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600"/>
        <w:jc w:val="center"/>
      </w:pPr>
      <w:r>
        <w:rPr>
          <w:b/>
          <w:bCs/>
          <w:color w:val="1a3a5c"/>
          <w:sz w:val="40"/>
          <w:szCs w:val="40"/>
        </w:rPr>
        <w:t xml:space="preserve">Hikari Currency (LUX) Valuation Theory</w:t>
      </w:r>
    </w:p>
    <w:p>
      <w:pPr>
        <w:spacing w:after="200"/>
        <w:jc w:val="center"/>
      </w:pPr>
      <w:r>
        <w:rPr>
          <w:b/>
          <w:bCs/>
          <w:color w:val="2c5f8a"/>
          <w:sz w:val="28"/>
          <w:szCs w:val="28"/>
        </w:rPr>
        <w:t xml:space="preserve">道徳実行を宇宙エネルギーで価格化する変動相場制</w:t>
      </w:r>
    </w:p>
    <w:p>
      <w:pPr>
        <w:spacing w:after="400"/>
        <w:jc w:val="center"/>
      </w:pPr>
      <w:r>
        <w:rPr>
          <w:i/>
          <w:iCs/>
          <w:sz w:val="20"/>
          <w:szCs w:val="20"/>
        </w:rPr>
        <w:t xml:space="preserve">Yoshimitsu Katayama  |  TheYKHC  |  2026-04-28</w:t>
      </w:r>
    </w:p>
    <w:p>
      <w:pPr>
        <w:spacing w:after="200"/>
        <w:jc w:val="center"/>
      </w:pPr>
      <w:r>
        <w:rPr>
          <w:b/>
          <w:bCs/>
          <w:color w:val="c0392b"/>
          <w:sz w:val="22"/>
          <w:szCs w:val="22"/>
        </w:rPr>
        <w:t xml:space="preserve">Price: 13.3 – 265.1 JPY/LUX  |  20x Float  |  IceCube-anchored</w:t>
      </w:r>
    </w:p>
    <w:p>
      <w:r>
        <w:br w:type="page"/>
      </w:r>
    </w:p>
    <w:p>
      <w:pPr>
        <w:pStyle w:val="Heading1"/>
        <w:spacing w:after="200" w:before="400"/>
      </w:pPr>
      <w:r>
        <w:rPr>
          <w:b/>
          <w:bCs/>
          <w:color w:val="1a3a5c"/>
          <w:sz w:val="32"/>
          <w:szCs w:val="32"/>
        </w:rPr>
        <w:t xml:space="preserve">Abstract</w:t>
      </w:r>
    </w:p>
    <w:p>
      <w:pPr>
        <w:spacing w:after="160"/>
      </w:pPr>
      <w:r>
        <w:rPr>
          <w:sz w:val="20"/>
          <w:szCs w:val="20"/>
        </w:rPr>
        <w:t xml:space="preserve">We propose a complete valuation framework for Hikari Currency (LUX). Issuance is determined by moral execution quality. Price is determined by a floating rate driven by IceCube GOLD signalness (cosmic Ma intensity).</w:t>
      </w:r>
    </w:p>
    <w:p>
      <w:pPr>
        <w:spacing w:after="160"/>
      </w:pPr>
      <w:r>
        <w:rPr>
          <w:sz w:val="20"/>
          <w:szCs w:val="20"/>
        </w:rPr>
        <w:t xml:space="preserve">Issuance: LUX = T x (1 + Q squared). Price range: 13.3-265.1 JPY (20x band). Primary driver: IceCube GOLD signalness.</w:t>
      </w:r>
    </w:p>
    <w:p>
      <w:pPr>
        <w:spacing w:after="160"/>
      </w:pPr>
      <w:r>
        <w:rPr>
          <w:sz w:val="20"/>
          <w:szCs w:val="20"/>
        </w:rPr>
        <w:t xml:space="preserve">Based on: DP-Ma Hypothesis (zenodo.19706219-19720727), 347-object survey (zenodo.19849607), cosmic-market resonance (zenodo.19832409).</w:t>
      </w:r>
    </w:p>
    <w:p>
      <w:r>
        <w:br w:type="page"/>
      </w:r>
    </w:p>
    <w:p>
      <w:pPr>
        <w:pStyle w:val="Heading1"/>
        <w:spacing w:after="200" w:before="400"/>
      </w:pPr>
      <w:r>
        <w:rPr>
          <w:b/>
          <w:bCs/>
          <w:color w:val="1a3a5c"/>
          <w:sz w:val="32"/>
          <w:szCs w:val="32"/>
        </w:rPr>
        <w:t xml:space="preserve">1. Core Proposition</w:t>
      </w:r>
    </w:p>
    <w:p>
      <w:pPr>
        <w:spacing w:after="300" w:before="300"/>
        <w:jc w:val="center"/>
      </w:pPr>
      <w:r>
        <w:rPr>
          <w:b/>
          <w:bCs/>
          <w:i/>
          <w:iCs/>
          <w:color w:val="1a3a5c"/>
          <w:sz w:val="26"/>
          <w:szCs w:val="26"/>
        </w:rPr>
        <w:t xml:space="preserve">Moral execution is the human-scale resonance with cosmic Ma.</w:t>
      </w:r>
    </w:p>
    <w:p>
      <w:pPr>
        <w:spacing w:after="160"/>
      </w:pPr>
      <w:r>
        <w:rPr>
          <w:sz w:val="20"/>
          <w:szCs w:val="20"/>
        </w:rPr>
        <w:t xml:space="preserve">Existing currencies measure economic output. They cannot measure moral energy: acting rightly without expectation of return. Moralogy (Hiroike 1928) defines this as Obligation First, Rights Later. LUX makes this resonance economically visible.</w:t>
      </w:r>
    </w:p>
    <w:p>
      <w:r>
        <w:br w:type="page"/>
      </w:r>
    </w:p>
    <w:p>
      <w:pPr>
        <w:pStyle w:val="Heading1"/>
        <w:spacing w:after="200" w:before="400"/>
      </w:pPr>
      <w:r>
        <w:rPr>
          <w:b/>
          <w:bCs/>
          <w:color w:val="1a3a5c"/>
          <w:sz w:val="32"/>
          <w:szCs w:val="32"/>
        </w:rPr>
        <w:t xml:space="preserve">2. LUX Issuance Formula</w:t>
      </w:r>
    </w:p>
    <w:p>
      <w:pPr>
        <w:spacing w:after="200" w:before="200"/>
        <w:jc w:val="center"/>
      </w:pPr>
      <w:r>
        <w:rPr>
          <w:b/>
          <w:bCs/>
          <w:color w:val="1a3a5c"/>
          <w:sz w:val="36"/>
          <w:szCs w:val="36"/>
        </w:rPr>
        <w:t xml:space="preserve">LUX = T x (1 + Q squared)</w:t>
      </w:r>
    </w:p>
    <w:p>
      <w:pPr>
        <w:spacing w:after="160"/>
      </w:pPr>
      <w:r>
        <w:rPr>
          <w:sz w:val="20"/>
          <w:szCs w:val="20"/>
        </w:rPr>
        <w:t xml:space="preserve">T = execution hours  |  Q = quality score (0-1)</w:t>
      </w:r>
    </w:p>
    <w:p>
      <w:pPr>
        <w:spacing w:after="160"/>
      </w:pPr>
      <w:r>
        <w:rPr>
          <w:sz w:val="20"/>
          <w:szCs w:val="20"/>
        </w:rPr>
        <w:t xml:space="preserve">Q squared creates superlinear reward for deep practice. Shallow execution (Q=0.1) yields +1% bonus. Deep execution (Q=0.9) yields +81% bonus.</w:t>
      </w:r>
    </w:p>
    <w:p>
      <w:pPr>
        <w:spacing w:after="1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1500"/>
        <w:gridCol w:w="1500"/>
        <w:gridCol w:w="2360"/>
      </w:tblGrid>
      <w:tr>
        <w:tc>
          <w:tcPr>
            <w:tcW w:type="dxa" w:w="4000"/>
            <w:tcBorders>
              <w:top w:val="single" w:color="1a3a5c" w:sz="2"/>
              <w:left w:val="single" w:color="1a3a5c" w:sz="2"/>
              <w:bottom w:val="single" w:color="1a3a5c" w:sz="2"/>
              <w:right w:val="single" w:color="1a3a5c" w:sz="2"/>
            </w:tcBorders>
            <w:shd w:fill="1a3a5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  <w:sz w:val="18"/>
                <w:szCs w:val="18"/>
              </w:rPr>
              <w:t xml:space="preserve">Scenario</w:t>
            </w:r>
          </w:p>
        </w:tc>
        <w:tc>
          <w:tcPr>
            <w:tcW w:type="dxa" w:w="1500"/>
            <w:tcBorders>
              <w:top w:val="single" w:color="1a3a5c" w:sz="2"/>
              <w:left w:val="single" w:color="1a3a5c" w:sz="2"/>
              <w:bottom w:val="single" w:color="1a3a5c" w:sz="2"/>
              <w:right w:val="single" w:color="1a3a5c" w:sz="2"/>
            </w:tcBorders>
            <w:shd w:fill="1a3a5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  <w:sz w:val="18"/>
                <w:szCs w:val="18"/>
              </w:rPr>
              <w:t xml:space="preserve">Hours</w:t>
            </w:r>
          </w:p>
        </w:tc>
        <w:tc>
          <w:tcPr>
            <w:tcW w:type="dxa" w:w="1500"/>
            <w:tcBorders>
              <w:top w:val="single" w:color="1a3a5c" w:sz="2"/>
              <w:left w:val="single" w:color="1a3a5c" w:sz="2"/>
              <w:bottom w:val="single" w:color="1a3a5c" w:sz="2"/>
              <w:right w:val="single" w:color="1a3a5c" w:sz="2"/>
            </w:tcBorders>
            <w:shd w:fill="1a3a5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  <w:sz w:val="18"/>
                <w:szCs w:val="18"/>
              </w:rPr>
              <w:t xml:space="preserve">Q</w:t>
            </w:r>
          </w:p>
        </w:tc>
        <w:tc>
          <w:tcPr>
            <w:tcW w:type="dxa" w:w="2360"/>
            <w:tcBorders>
              <w:top w:val="single" w:color="1a3a5c" w:sz="2"/>
              <w:left w:val="single" w:color="1a3a5c" w:sz="2"/>
              <w:bottom w:val="single" w:color="1a3a5c" w:sz="2"/>
              <w:right w:val="single" w:color="1a3a5c" w:sz="2"/>
            </w:tcBorders>
            <w:shd w:fill="1a3a5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  <w:sz w:val="18"/>
                <w:szCs w:val="18"/>
              </w:rPr>
              <w:t xml:space="preserve">LUX Issued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1h/day x 30 days, moderate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30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0.5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37.5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3h/day x 30 days, focused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90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0.7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134.1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5h/day x 30 days, deep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150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0.9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271.5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Hikaru - 3 years practice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1095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1.0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2190.0</w:t>
            </w:r>
          </w:p>
        </w:tc>
      </w:tr>
    </w:tbl>
    <w:p>
      <w:r>
        <w:br w:type="page"/>
      </w:r>
    </w:p>
    <w:p>
      <w:pPr>
        <w:pStyle w:val="Heading1"/>
        <w:spacing w:after="200" w:before="400"/>
      </w:pPr>
      <w:r>
        <w:rPr>
          <w:b/>
          <w:bCs/>
          <w:color w:val="1a3a5c"/>
          <w:sz w:val="32"/>
          <w:szCs w:val="32"/>
        </w:rPr>
        <w:t xml:space="preserve">3. LUX Price: Three Physical Coefficients</w:t>
      </w:r>
    </w:p>
    <w:p>
      <w:pPr>
        <w:pStyle w:val="Heading2"/>
        <w:spacing w:after="160" w:before="300"/>
      </w:pPr>
      <w:r>
        <w:rPr>
          <w:b/>
          <w:bCs/>
          <w:color w:val="1a3a5c"/>
          <w:sz w:val="26"/>
          <w:szCs w:val="26"/>
        </w:rPr>
        <w:t xml:space="preserve">Cosmic Scarcity (kappa)</w:t>
      </w:r>
    </w:p>
    <w:p>
      <w:pPr>
        <w:spacing w:after="160"/>
      </w:pPr>
      <w:r>
        <w:rPr>
          <w:sz w:val="20"/>
          <w:szCs w:val="20"/>
        </w:rPr>
        <w:t xml:space="preserve">kappa = 1 / 0.0041 = 243.9  (inverse of Class-H rate from 347-object survey)</w:t>
      </w:r>
    </w:p>
    <w:p>
      <w:pPr>
        <w:pStyle w:val="Heading2"/>
        <w:spacing w:after="160" w:before="300"/>
      </w:pPr>
      <w:r>
        <w:rPr>
          <w:b/>
          <w:bCs/>
          <w:color w:val="1a3a5c"/>
          <w:sz w:val="26"/>
          <w:szCs w:val="26"/>
        </w:rPr>
        <w:t xml:space="preserve">Economic Effect (eta)</w:t>
      </w:r>
    </w:p>
    <w:p>
      <w:pPr>
        <w:spacing w:after="160"/>
      </w:pPr>
      <w:r>
        <w:rPr>
          <w:sz w:val="20"/>
          <w:szCs w:val="20"/>
        </w:rPr>
        <w:t xml:space="preserve">eta = PF x R_BTC = 3.04 x 0.2363 = 0.718  (Tendo EA profit factor x IceCube-BTC correlation)</w:t>
      </w:r>
    </w:p>
    <w:p>
      <w:pPr>
        <w:pStyle w:val="Heading2"/>
        <w:spacing w:after="160" w:before="300"/>
      </w:pPr>
      <w:r>
        <w:rPr>
          <w:b/>
          <w:bCs/>
          <w:color w:val="1a3a5c"/>
          <w:sz w:val="26"/>
          <w:szCs w:val="26"/>
        </w:rPr>
        <w:t xml:space="preserve">Ma Intensity (mu)</w:t>
      </w:r>
    </w:p>
    <w:p>
      <w:pPr>
        <w:spacing w:after="160"/>
      </w:pPr>
      <w:r>
        <w:rPr>
          <w:sz w:val="20"/>
          <w:szCs w:val="20"/>
        </w:rPr>
        <w:t xml:space="preserve">mu = GOLD signalness x exp(-t/15)  [real-time IceCube GCN, decays over 30 days]</w:t>
      </w:r>
    </w:p>
    <w:p>
      <w:pPr>
        <w:spacing w:after="160"/>
      </w:pPr>
    </w:p>
    <w:p>
      <w:pPr>
        <w:spacing w:after="200" w:before="200"/>
        <w:jc w:val="center"/>
      </w:pPr>
      <w:r>
        <w:rPr>
          <w:b/>
          <w:bCs/>
          <w:color w:val="c0392b"/>
          <w:sz w:val="28"/>
          <w:szCs w:val="28"/>
        </w:rPr>
        <w:t xml:space="preserve">P_LUX = 265.1 x mu  (JPY)  |  at BTC=0,000, USD/JPY=150</w:t>
      </w:r>
    </w:p>
    <w:p>
      <w:pPr>
        <w:spacing w:after="1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800"/>
        <w:gridCol w:w="1280"/>
        <w:gridCol w:w="2880"/>
      </w:tblGrid>
      <w:tr>
        <w:tc>
          <w:tcPr>
            <w:tcW w:type="dxa" w:w="2400"/>
            <w:tcBorders>
              <w:top w:val="single" w:color="1a3a5c" w:sz="2"/>
              <w:left w:val="single" w:color="1a3a5c" w:sz="2"/>
              <w:bottom w:val="single" w:color="1a3a5c" w:sz="2"/>
              <w:right w:val="single" w:color="1a3a5c" w:sz="2"/>
            </w:tcBorders>
            <w:shd w:fill="1a3a5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  <w:sz w:val="18"/>
                <w:szCs w:val="18"/>
              </w:rPr>
              <w:t xml:space="preserve">Ma State</w:t>
            </w:r>
          </w:p>
        </w:tc>
        <w:tc>
          <w:tcPr>
            <w:tcW w:type="dxa" w:w="2800"/>
            <w:tcBorders>
              <w:top w:val="single" w:color="1a3a5c" w:sz="2"/>
              <w:left w:val="single" w:color="1a3a5c" w:sz="2"/>
              <w:bottom w:val="single" w:color="1a3a5c" w:sz="2"/>
              <w:right w:val="single" w:color="1a3a5c" w:sz="2"/>
            </w:tcBorders>
            <w:shd w:fill="1a3a5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  <w:sz w:val="18"/>
                <w:szCs w:val="18"/>
              </w:rPr>
              <w:t xml:space="preserve">IceCube Status</w:t>
            </w:r>
          </w:p>
        </w:tc>
        <w:tc>
          <w:tcPr>
            <w:tcW w:type="dxa" w:w="1280"/>
            <w:tcBorders>
              <w:top w:val="single" w:color="1a3a5c" w:sz="2"/>
              <w:left w:val="single" w:color="1a3a5c" w:sz="2"/>
              <w:bottom w:val="single" w:color="1a3a5c" w:sz="2"/>
              <w:right w:val="single" w:color="1a3a5c" w:sz="2"/>
            </w:tcBorders>
            <w:shd w:fill="1a3a5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  <w:sz w:val="18"/>
                <w:szCs w:val="18"/>
              </w:rPr>
              <w:t xml:space="preserve">mu</w:t>
            </w:r>
          </w:p>
        </w:tc>
        <w:tc>
          <w:tcPr>
            <w:tcW w:type="dxa" w:w="2880"/>
            <w:tcBorders>
              <w:top w:val="single" w:color="1a3a5c" w:sz="2"/>
              <w:left w:val="single" w:color="1a3a5c" w:sz="2"/>
              <w:bottom w:val="single" w:color="1a3a5c" w:sz="2"/>
              <w:right w:val="single" w:color="1a3a5c" w:sz="2"/>
            </w:tcBorders>
            <w:shd w:fill="1a3a5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  <w:sz w:val="18"/>
                <w:szCs w:val="18"/>
              </w:rPr>
              <w:t xml:space="preserve">LUX (JPY)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Closed (&gt;90 days)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No GOLD</w:t>
            </w:r>
          </w:p>
        </w:tc>
        <w:tc>
          <w:tcPr>
            <w:tcW w:type="dxa" w:w="12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0.05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13.3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Micro-open (60-90d)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No GOLD</w:t>
            </w:r>
          </w:p>
        </w:tc>
        <w:tc>
          <w:tcPr>
            <w:tcW w:type="dxa" w:w="12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0.20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53.0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Open (0-30d)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GOLD within 30d</w:t>
            </w:r>
          </w:p>
        </w:tc>
        <w:tc>
          <w:tcPr>
            <w:tcW w:type="dxa" w:w="12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0.55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145.8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Strong open (0-7d)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GOLD within 7d</w:t>
            </w:r>
          </w:p>
        </w:tc>
        <w:tc>
          <w:tcPr>
            <w:tcW w:type="dxa" w:w="12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0.85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225.3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Maximum (GOLD day)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GOLD today</w:t>
            </w:r>
          </w:p>
        </w:tc>
        <w:tc>
          <w:tcPr>
            <w:tcW w:type="dxa" w:w="12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1.00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265.1</w:t>
            </w:r>
          </w:p>
        </w:tc>
      </w:tr>
    </w:tbl>
    <w:p>
      <w:r>
        <w:br w:type="page"/>
      </w:r>
    </w:p>
    <w:p>
      <w:pPr>
        <w:pStyle w:val="Heading1"/>
        <w:spacing w:after="200" w:before="400"/>
      </w:pPr>
      <w:r>
        <w:rPr>
          <w:b/>
          <w:bCs/>
          <w:color w:val="1a3a5c"/>
          <w:sz w:val="32"/>
          <w:szCs w:val="32"/>
        </w:rPr>
        <w:t xml:space="preserve">4. Why 20x Variation is the Signal</w:t>
      </w:r>
    </w:p>
    <w:p>
      <w:pPr>
        <w:spacing w:after="160"/>
      </w:pPr>
      <w:r>
        <w:rPr>
          <w:sz w:val="20"/>
          <w:szCs w:val="20"/>
        </w:rPr>
        <w:t xml:space="preserve">The 20x price band reflects the same rarity structure as: Class-H blazars being 243x rarer than Class-S, BTC rising 4x more frequently after GOLD events (p=0.004), and Q-squared weighting favoring deep practice exponentially.</w:t>
      </w:r>
    </w:p>
    <w:p>
      <w:pPr>
        <w:spacing w:after="200" w:before="200"/>
        <w:jc w:val="center"/>
      </w:pPr>
      <w:r>
        <w:rPr>
          <w:b/>
          <w:bCs/>
          <w:i/>
          <w:iCs/>
          <w:color w:val="1a3a5c"/>
          <w:sz w:val="22"/>
          <w:szCs w:val="22"/>
        </w:rPr>
        <w:t xml:space="preserve">The universe is pricing your moral energy. The 20x band is not noise - it is the signal.</w:t>
      </w:r>
    </w:p>
    <w:p>
      <w:r>
        <w:br w:type="page"/>
      </w:r>
    </w:p>
    <w:p>
      <w:pPr>
        <w:pStyle w:val="Heading1"/>
        <w:spacing w:after="200" w:before="400"/>
      </w:pPr>
      <w:r>
        <w:rPr>
          <w:b/>
          <w:bCs/>
          <w:color w:val="1a3a5c"/>
          <w:sz w:val="32"/>
          <w:szCs w:val="32"/>
        </w:rPr>
        <w:t xml:space="preserve">5. Floating Exchange Rate Architecture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3160"/>
        <w:gridCol w:w="3000"/>
      </w:tblGrid>
      <w:tr>
        <w:tc>
          <w:tcPr>
            <w:tcW w:type="dxa" w:w="3200"/>
            <w:tcBorders>
              <w:top w:val="single" w:color="1a3a5c" w:sz="2"/>
              <w:left w:val="single" w:color="1a3a5c" w:sz="2"/>
              <w:bottom w:val="single" w:color="1a3a5c" w:sz="2"/>
              <w:right w:val="single" w:color="1a3a5c" w:sz="2"/>
            </w:tcBorders>
            <w:shd w:fill="1a3a5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  <w:sz w:val="18"/>
                <w:szCs w:val="18"/>
              </w:rPr>
              <w:t xml:space="preserve">Variable</w:t>
            </w:r>
          </w:p>
        </w:tc>
        <w:tc>
          <w:tcPr>
            <w:tcW w:type="dxa" w:w="3160"/>
            <w:tcBorders>
              <w:top w:val="single" w:color="1a3a5c" w:sz="2"/>
              <w:left w:val="single" w:color="1a3a5c" w:sz="2"/>
              <w:bottom w:val="single" w:color="1a3a5c" w:sz="2"/>
              <w:right w:val="single" w:color="1a3a5c" w:sz="2"/>
            </w:tcBorders>
            <w:shd w:fill="1a3a5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  <w:sz w:val="18"/>
                <w:szCs w:val="18"/>
              </w:rPr>
              <w:t xml:space="preserve">Source</w:t>
            </w:r>
          </w:p>
        </w:tc>
        <w:tc>
          <w:tcPr>
            <w:tcW w:type="dxa" w:w="3000"/>
            <w:tcBorders>
              <w:top w:val="single" w:color="1a3a5c" w:sz="2"/>
              <w:left w:val="single" w:color="1a3a5c" w:sz="2"/>
              <w:bottom w:val="single" w:color="1a3a5c" w:sz="2"/>
              <w:right w:val="single" w:color="1a3a5c" w:sz="2"/>
            </w:tcBorders>
            <w:shd w:fill="1a3a5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  <w:sz w:val="18"/>
                <w:szCs w:val="18"/>
              </w:rPr>
              <w:t xml:space="preserve">Update Frequency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IceCube GOLD signalness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GCN Circular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Real-time (hours)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Days since last GOLD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IceCube archive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Continuous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BTC spot price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Market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Continuous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USD/JPY rate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Market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Continuous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Class-H rate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ISP survey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color w:val="000000"/>
                <w:sz w:val="18"/>
                <w:szCs w:val="18"/>
              </w:rPr>
              <w:t xml:space="preserve">Annual revision</w:t>
            </w:r>
          </w:p>
        </w:tc>
      </w:tr>
    </w:tbl>
    <w:p>
      <w:pPr>
        <w:spacing w:after="160"/>
      </w:pPr>
    </w:p>
    <w:p>
      <w:pPr>
        <w:spacing w:after="160"/>
      </w:pPr>
      <w:r>
        <w:rPr>
          <w:sz w:val="20"/>
          <w:szCs w:val="20"/>
        </w:rPr>
        <w:t xml:space="preserve">Anti-manipulation: LUX price is anchored to IceCube data - a publicly verifiable, institutionally unmanipulable cosmic signal. No corporation, government, or algorithm can manipulate IceCube GOLD events.</w:t>
      </w:r>
    </w:p>
    <w:p>
      <w:r>
        <w:br w:type="page"/>
      </w:r>
    </w:p>
    <w:p>
      <w:pPr>
        <w:pStyle w:val="Heading1"/>
        <w:spacing w:after="200" w:before="400"/>
      </w:pPr>
      <w:r>
        <w:rPr>
          <w:b/>
          <w:bCs/>
          <w:color w:val="1a3a5c"/>
          <w:sz w:val="32"/>
          <w:szCs w:val="32"/>
        </w:rPr>
        <w:t xml:space="preserve">6. Moralogy x Astrophysics</w:t>
      </w:r>
    </w:p>
    <w:p>
      <w:pPr>
        <w:spacing w:after="160"/>
      </w:pPr>
      <w:r>
        <w:rPr>
          <w:sz w:val="20"/>
          <w:szCs w:val="20"/>
        </w:rPr>
        <w:t xml:space="preserve">In Moralogy: obligations precede rights. In LUX: moral execution (obligation) triggers issuance. Ma opens (cosmic timing) triggers price rise (rights received). The holder cannot force LUX appreciation - only the universe can do that.</w:t>
      </w:r>
    </w:p>
    <w:p>
      <w:pPr>
        <w:spacing w:after="300" w:before="300"/>
        <w:jc w:val="center"/>
      </w:pPr>
      <w:r>
        <w:rPr>
          <w:b/>
          <w:bCs/>
          <w:i/>
          <w:iCs/>
          <w:color w:val="1a3a5c"/>
          <w:sz w:val="22"/>
          <w:szCs w:val="22"/>
        </w:rPr>
        <w:t xml:space="preserve">Labor: priced by market (exploitable). Moral execution: priced by cosmic Ma (unexploitable).</w:t>
      </w:r>
    </w:p>
    <w:p>
      <w:r>
        <w:br w:type="page"/>
      </w:r>
    </w:p>
    <w:p>
      <w:pPr>
        <w:pStyle w:val="Heading1"/>
        <w:spacing w:after="200" w:before="400"/>
      </w:pPr>
      <w:r>
        <w:rPr>
          <w:b/>
          <w:bCs/>
          <w:color w:val="1a3a5c"/>
          <w:sz w:val="32"/>
          <w:szCs w:val="32"/>
        </w:rPr>
        <w:t xml:space="preserve">7. Conclusion</w:t>
      </w:r>
    </w:p>
    <w:p>
      <w:pPr>
        <w:spacing w:after="160"/>
      </w:pPr>
      <w:r>
        <w:rPr>
          <w:sz w:val="20"/>
          <w:szCs w:val="20"/>
        </w:rPr>
        <w:t xml:space="preserve">1. LUX issuance is deterministic: T x (1+Q^2) converts moral records into supply.</w:t>
      </w:r>
    </w:p>
    <w:p>
      <w:pPr>
        <w:spacing w:after="160"/>
      </w:pPr>
      <w:r>
        <w:rPr>
          <w:sz w:val="20"/>
          <w:szCs w:val="20"/>
        </w:rPr>
        <w:t xml:space="preserve">2. LUX price is physically anchored: P = 265.1mu (JPY) from IceCube GOLD signalness.</w:t>
      </w:r>
    </w:p>
    <w:p>
      <w:pPr>
        <w:spacing w:after="160"/>
      </w:pPr>
      <w:r>
        <w:rPr>
          <w:sz w:val="20"/>
          <w:szCs w:val="20"/>
        </w:rPr>
        <w:t xml:space="preserve">3. The 20x band encodes cosmic rarity - the same structure as Class-H rate and BTC-GOLD correlation.</w:t>
      </w:r>
    </w:p>
    <w:p>
      <w:pPr>
        <w:spacing w:after="160"/>
      </w:pPr>
      <w:r>
        <w:rPr>
          <w:sz w:val="20"/>
          <w:szCs w:val="20"/>
        </w:rPr>
        <w:t xml:space="preserve">4. Five publicly observable inputs fully determine LUX price at any moment.</w:t>
      </w:r>
    </w:p>
    <w:p>
      <w:pPr>
        <w:spacing w:after="160"/>
      </w:pPr>
      <w:r>
        <w:rPr>
          <w:sz w:val="20"/>
          <w:szCs w:val="20"/>
        </w:rPr>
        <w:t xml:space="preserve">5. Moralogy obligation-first principle is architecturally enforced by the currency mechanism.</w:t>
      </w:r>
    </w:p>
    <w:p>
      <w:pPr>
        <w:spacing w:after="160"/>
      </w:pPr>
    </w:p>
    <w:p>
      <w:pPr>
        <w:spacing w:after="200" w:before="300"/>
        <w:jc w:val="center"/>
      </w:pPr>
      <w:r>
        <w:rPr>
          <w:b/>
          <w:bCs/>
          <w:color w:val="1a3a5c"/>
          <w:sz w:val="30"/>
          <w:szCs w:val="30"/>
        </w:rPr>
        <w:t xml:space="preserve">LUX is the first astrophysics-backed moral currency.</w:t>
      </w:r>
    </w:p>
    <w:p>
      <w:pPr>
        <w:spacing w:after="400"/>
        <w:jc w:val="center"/>
      </w:pPr>
      <w:r>
        <w:rPr>
          <w:b/>
          <w:bCs/>
          <w:i/>
          <w:iCs/>
          <w:color w:val="c0392b"/>
          <w:sz w:val="30"/>
          <w:szCs w:val="30"/>
        </w:rPr>
        <w:t xml:space="preserve">Its exchange rate is set by the universe.</w:t>
      </w:r>
    </w:p>
    <w:p>
      <w:r>
        <w:br w:type="page"/>
      </w:r>
    </w:p>
    <w:p>
      <w:pPr>
        <w:pStyle w:val="Heading1"/>
        <w:spacing w:after="200" w:before="400"/>
      </w:pPr>
      <w:r>
        <w:rPr>
          <w:b/>
          <w:bCs/>
          <w:color w:val="1a3a5c"/>
          <w:sz w:val="32"/>
          <w:szCs w:val="32"/>
        </w:rPr>
        <w:t xml:space="preserve">References</w:t>
      </w:r>
    </w:p>
    <w:p>
      <w:pPr>
        <w:spacing w:after="160"/>
      </w:pPr>
      <w:r>
        <w:rPr>
          <w:sz w:val="20"/>
          <w:szCs w:val="20"/>
        </w:rPr>
        <w:t xml:space="preserve">1. Katayama, Y. (2026). DP-Ma Hypothesis Vol.1-5. DOI: 10.5281/zenodo.19706219-19720727</w:t>
      </w:r>
    </w:p>
    <w:p>
      <w:pPr>
        <w:spacing w:after="160"/>
      </w:pPr>
      <w:r>
        <w:rPr>
          <w:sz w:val="20"/>
          <w:szCs w:val="20"/>
        </w:rPr>
        <w:t xml:space="preserve">2. Katayama, Y. (2026). Complete X-ray Survey of 347 ISP BL Lac. DOI: 10.5281/zenodo.19849607</w:t>
      </w:r>
    </w:p>
    <w:p>
      <w:pPr>
        <w:spacing w:after="160"/>
      </w:pPr>
      <w:r>
        <w:rPr>
          <w:sz w:val="20"/>
          <w:szCs w:val="20"/>
        </w:rPr>
        <w:t xml:space="preserve">3. Katayama, Y. (2026). Economy as Mirror of Cosmic Ma. DOI: 10.5281/zenodo.19832409</w:t>
      </w:r>
    </w:p>
    <w:p>
      <w:pPr>
        <w:spacing w:after="160"/>
      </w:pPr>
      <w:r>
        <w:rPr>
          <w:sz w:val="20"/>
          <w:szCs w:val="20"/>
        </w:rPr>
        <w:t xml:space="preserve">4. Katayama, Y. (2026). TheYKHC Grand Unified Theory. [in press]</w:t>
      </w:r>
    </w:p>
    <w:p>
      <w:pPr>
        <w:spacing w:after="160"/>
      </w:pPr>
      <w:r>
        <w:rPr>
          <w:sz w:val="20"/>
          <w:szCs w:val="20"/>
        </w:rPr>
        <w:t xml:space="preserve">5. IceCube Collaboration. (2019-2026). GCN Circular Archive.</w:t>
      </w:r>
    </w:p>
    <w:p>
      <w:pPr>
        <w:spacing w:after="160"/>
      </w:pPr>
      <w:r>
        <w:rPr>
          <w:sz w:val="20"/>
          <w:szCs w:val="20"/>
        </w:rPr>
        <w:t xml:space="preserve">6. Hiroike, C. (1928). Moralogy: A New Science for Social Order.</w:t>
      </w:r>
    </w:p>
    <w:p>
      <w:pPr>
        <w:spacing w:after="160"/>
      </w:pPr>
      <w:r>
        <w:rPr>
          <w:sz w:val="20"/>
          <w:szCs w:val="20"/>
        </w:rPr>
        <w:t xml:space="preserve">7. NASA/HEASARC. (2005-2026). Swift-XRT Archival Data.</w:t>
      </w:r>
    </w:p>
    <w:p>
      <w:pPr>
        <w:spacing w:after="160"/>
      </w:pPr>
      <w:r>
        <w:rPr>
          <w:i/>
          <w:iCs/>
          <w:sz w:val="20"/>
          <w:szCs w:val="20"/>
        </w:rPr>
        <w:t xml:space="preserve">(c) 2026 Yoshimitsu Katayama / TheYKHC. All rights reserved.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2026-04-28T11:49:57.645Z</dcterms:created>
  <dcterms:modified xsi:type="dcterms:W3CDTF">2026-04-28T11:49:57.646Z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