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03BE" w:rsidRDefault="000A5B4A">
      <w:pPr>
        <w:spacing w:after="60" w:line="260" w:lineRule="auto"/>
        <w:jc w:val="center"/>
      </w:pPr>
      <w:r>
        <w:rPr>
          <w:b/>
          <w:bCs/>
          <w:caps/>
          <w:color w:val="3B82C4"/>
          <w:sz w:val="18"/>
          <w:szCs w:val="18"/>
        </w:rPr>
        <w:t xml:space="preserve">INDEPENDENT </w:t>
      </w:r>
      <w:proofErr w:type="gramStart"/>
      <w:r>
        <w:rPr>
          <w:b/>
          <w:bCs/>
          <w:caps/>
          <w:color w:val="3B82C4"/>
          <w:sz w:val="18"/>
          <w:szCs w:val="18"/>
        </w:rPr>
        <w:t>RESEARCH  ·</w:t>
      </w:r>
      <w:proofErr w:type="gramEnd"/>
      <w:r>
        <w:rPr>
          <w:b/>
          <w:bCs/>
          <w:caps/>
          <w:color w:val="3B82C4"/>
          <w:sz w:val="18"/>
          <w:szCs w:val="18"/>
        </w:rPr>
        <w:t xml:space="preserve">  ZENODO PREPRINT</w:t>
      </w:r>
    </w:p>
    <w:p w:rsidR="006C03BE" w:rsidRDefault="000A5B4A">
      <w:pPr>
        <w:pBdr>
          <w:bottom w:val="single" w:sz="10" w:space="6" w:color="3B82C4"/>
        </w:pBdr>
        <w:spacing w:after="40" w:line="260" w:lineRule="auto"/>
        <w:jc w:val="center"/>
      </w:pPr>
      <w:r>
        <w:rPr>
          <w:b/>
          <w:bCs/>
          <w:color w:val="1A3557"/>
          <w:sz w:val="44"/>
          <w:szCs w:val="44"/>
        </w:rPr>
        <w:t>Life Cycle Assessment:</w:t>
      </w:r>
    </w:p>
    <w:p w:rsidR="006C03BE" w:rsidRDefault="000A5B4A">
      <w:pPr>
        <w:spacing w:after="200" w:line="260" w:lineRule="auto"/>
        <w:jc w:val="center"/>
      </w:pPr>
      <w:r>
        <w:rPr>
          <w:b/>
          <w:bCs/>
          <w:color w:val="1A3557"/>
          <w:sz w:val="33"/>
          <w:szCs w:val="33"/>
        </w:rPr>
        <w:t>Conceptual Foundations, ISO Standards, and Methodological Evolution</w:t>
      </w:r>
    </w:p>
    <w:p w:rsidR="006C03BE" w:rsidRDefault="000A5B4A">
      <w:pPr>
        <w:spacing w:after="50" w:line="260" w:lineRule="auto"/>
        <w:jc w:val="center"/>
      </w:pPr>
      <w:r>
        <w:rPr>
          <w:b/>
          <w:bCs/>
          <w:color w:val="2563A8"/>
          <w:sz w:val="26"/>
          <w:szCs w:val="26"/>
        </w:rPr>
        <w:t xml:space="preserve">Mohammad </w:t>
      </w:r>
      <w:proofErr w:type="spellStart"/>
      <w:r>
        <w:rPr>
          <w:b/>
          <w:bCs/>
          <w:color w:val="2563A8"/>
          <w:sz w:val="26"/>
          <w:szCs w:val="26"/>
        </w:rPr>
        <w:t>Husni</w:t>
      </w:r>
      <w:proofErr w:type="spellEnd"/>
      <w:r>
        <w:rPr>
          <w:b/>
          <w:bCs/>
          <w:color w:val="2563A8"/>
          <w:sz w:val="26"/>
          <w:szCs w:val="26"/>
        </w:rPr>
        <w:t xml:space="preserve"> Mohammad Abuhelweh</w:t>
      </w:r>
    </w:p>
    <w:p w:rsidR="006C03BE" w:rsidRDefault="000A5B4A">
      <w:pPr>
        <w:spacing w:after="36" w:line="260" w:lineRule="auto"/>
        <w:jc w:val="center"/>
      </w:pPr>
      <w:r>
        <w:rPr>
          <w:i/>
          <w:iCs/>
          <w:color w:val="555555"/>
          <w:sz w:val="20"/>
          <w:szCs w:val="20"/>
        </w:rPr>
        <w:t>Independent Researcher</w:t>
      </w:r>
    </w:p>
    <w:p w:rsidR="006C03BE" w:rsidRDefault="000A5B4A">
      <w:pPr>
        <w:spacing w:after="36" w:line="260" w:lineRule="auto"/>
        <w:jc w:val="center"/>
      </w:pPr>
      <w:r>
        <w:rPr>
          <w:color w:val="555555"/>
          <w:sz w:val="20"/>
          <w:szCs w:val="20"/>
        </w:rPr>
        <w:t>Ministry of Labour, Jordan</w:t>
      </w:r>
    </w:p>
    <w:p w:rsidR="003674F9" w:rsidRDefault="003674F9">
      <w:pPr>
        <w:spacing w:after="16" w:line="260" w:lineRule="auto"/>
        <w:jc w:val="center"/>
        <w:rPr>
          <w:color w:val="555555"/>
          <w:sz w:val="19"/>
          <w:szCs w:val="19"/>
        </w:rPr>
      </w:pPr>
      <w:r w:rsidRPr="003674F9">
        <w:rPr>
          <w:color w:val="555555"/>
          <w:sz w:val="19"/>
          <w:szCs w:val="19"/>
        </w:rPr>
        <w:t>ORCID: 0009-0005-0499-5951</w:t>
      </w:r>
    </w:p>
    <w:p w:rsidR="006C03BE" w:rsidRDefault="000A5B4A">
      <w:pPr>
        <w:spacing w:after="16" w:line="260" w:lineRule="auto"/>
        <w:jc w:val="center"/>
      </w:pPr>
      <w:r>
        <w:rPr>
          <w:color w:val="555555"/>
          <w:sz w:val="19"/>
          <w:szCs w:val="19"/>
        </w:rPr>
        <w:t xml:space="preserve">Deposited on </w:t>
      </w:r>
      <w:proofErr w:type="spellStart"/>
      <w:r>
        <w:rPr>
          <w:color w:val="555555"/>
          <w:sz w:val="19"/>
          <w:szCs w:val="19"/>
        </w:rPr>
        <w:t>Zenodo</w:t>
      </w:r>
      <w:proofErr w:type="spellEnd"/>
      <w:r>
        <w:rPr>
          <w:color w:val="555555"/>
          <w:sz w:val="19"/>
          <w:szCs w:val="19"/>
        </w:rPr>
        <w:t xml:space="preserve">: </w:t>
      </w:r>
      <w:proofErr w:type="gramStart"/>
      <w:r>
        <w:rPr>
          <w:color w:val="555555"/>
          <w:sz w:val="19"/>
          <w:szCs w:val="19"/>
        </w:rPr>
        <w:t>2025  ·</w:t>
      </w:r>
      <w:proofErr w:type="gramEnd"/>
      <w:r>
        <w:rPr>
          <w:color w:val="555555"/>
          <w:sz w:val="19"/>
          <w:szCs w:val="19"/>
        </w:rPr>
        <w:t xml:space="preserve">  DOI: 10.5281/</w:t>
      </w:r>
      <w:proofErr w:type="spellStart"/>
      <w:r>
        <w:rPr>
          <w:color w:val="555555"/>
          <w:sz w:val="19"/>
          <w:szCs w:val="19"/>
        </w:rPr>
        <w:t>zenodo.XXXXXXX</w:t>
      </w:r>
      <w:proofErr w:type="spellEnd"/>
    </w:p>
    <w:p w:rsidR="006C03BE" w:rsidRDefault="000A5B4A">
      <w:pPr>
        <w:spacing w:after="20" w:line="260" w:lineRule="auto"/>
        <w:jc w:val="center"/>
      </w:pPr>
      <w:r>
        <w:rPr>
          <w:color w:val="555555"/>
          <w:sz w:val="18"/>
          <w:szCs w:val="18"/>
        </w:rPr>
        <w:t>License: Creative Commons Attribution 4.0 International (CC BY 4.0)</w:t>
      </w:r>
    </w:p>
    <w:p w:rsidR="006C03BE" w:rsidRDefault="006C03BE">
      <w:pPr>
        <w:pBdr>
          <w:bottom w:val="single" w:sz="4" w:space="1" w:color="3B82C4"/>
        </w:pBdr>
        <w:spacing w:before="180" w:after="180" w:line="300" w:lineRule="auto"/>
      </w:pPr>
    </w:p>
    <w:p w:rsidR="006C03BE" w:rsidRDefault="000A5B4A">
      <w:pPr>
        <w:spacing w:before="100" w:after="80" w:line="280" w:lineRule="auto"/>
        <w:jc w:val="center"/>
      </w:pPr>
      <w:r>
        <w:rPr>
          <w:b/>
          <w:bCs/>
          <w:color w:val="1A3557"/>
          <w:sz w:val="27"/>
          <w:szCs w:val="27"/>
        </w:rPr>
        <w:t>Abstract</w:t>
      </w:r>
    </w:p>
    <w:p w:rsidR="006C03BE" w:rsidRDefault="000A5B4A">
      <w:pPr>
        <w:pBdr>
          <w:left w:val="single" w:sz="18" w:space="10" w:color="2563A8"/>
        </w:pBdr>
        <w:shd w:val="clear" w:color="auto" w:fill="EBF2FB"/>
        <w:spacing w:before="60" w:after="60" w:line="316" w:lineRule="auto"/>
        <w:ind w:left="380" w:right="380"/>
        <w:jc w:val="both"/>
      </w:pPr>
      <w:r>
        <w:rPr>
          <w:sz w:val="21"/>
          <w:szCs w:val="21"/>
        </w:rPr>
        <w:t>Life Cycle Assessment (LCA) has become one of the most rigorous, internation</w:t>
      </w:r>
      <w:r>
        <w:rPr>
          <w:sz w:val="21"/>
          <w:szCs w:val="21"/>
        </w:rPr>
        <w:t xml:space="preserve">ally </w:t>
      </w:r>
      <w:proofErr w:type="spellStart"/>
      <w:r>
        <w:rPr>
          <w:sz w:val="21"/>
          <w:szCs w:val="21"/>
        </w:rPr>
        <w:t>standardised</w:t>
      </w:r>
      <w:proofErr w:type="spellEnd"/>
      <w:r>
        <w:rPr>
          <w:sz w:val="21"/>
          <w:szCs w:val="21"/>
        </w:rPr>
        <w:t>, and widely adopted environmental analysis tools available to researchers, policymakers, and industry practitioners. This paper provides a comprehensive and critically oriented conceptual foundation for the methodology. Drawing on the ISO</w:t>
      </w:r>
      <w:r>
        <w:rPr>
          <w:sz w:val="21"/>
          <w:szCs w:val="21"/>
        </w:rPr>
        <w:t xml:space="preserve"> 14040/14044 normative framework, the foundational scholarship of Jolliet et al. (2016), and complementary literature in environmental management and sustainability science, the paper traces the historical evolution of LCA from early energy-balance studies</w:t>
      </w:r>
      <w:r>
        <w:rPr>
          <w:sz w:val="21"/>
          <w:szCs w:val="21"/>
        </w:rPr>
        <w:t xml:space="preserve"> of the 1970s through the global flagship projects of the UNEP-SETAC Life Cycle Initiative in the present decade. The four canonical LCA phases — goal and scope definition, inventory analysis (LCI), impact assessment (LCIA), and interpretation — are introd</w:t>
      </w:r>
      <w:r>
        <w:rPr>
          <w:sz w:val="21"/>
          <w:szCs w:val="21"/>
        </w:rPr>
        <w:t>uced, defined, and their current levels of methodological maturity critically assessed. Crucially, the paper situates LCA within a comparative framework alongside five complementary environmental assessment tools: Substance Flow Analysis (SFA), Environment</w:t>
      </w:r>
      <w:r>
        <w:rPr>
          <w:sz w:val="21"/>
          <w:szCs w:val="21"/>
        </w:rPr>
        <w:t>al Impact Assessment (EIA), Risk Assessment (RA), Material Flow Analysis (MFA), and the Carbon Footprint (CF). The distinctive characteristics of LCA — systems-wide cradle-to-grave scope, multi-issue impact coverage, and function-based comparative orientat</w:t>
      </w:r>
      <w:r>
        <w:rPr>
          <w:sz w:val="21"/>
          <w:szCs w:val="21"/>
        </w:rPr>
        <w:t>ion — are identified and their significance for sustainable decision-making elaborated. The paper then examines the methodological evolution of LCA from a technical instrument into a strategic governance framework, including its integration with Environmen</w:t>
      </w:r>
      <w:r>
        <w:rPr>
          <w:sz w:val="21"/>
          <w:szCs w:val="21"/>
        </w:rPr>
        <w:t>tal Product Declarations (EPDs), green building certification, and circular economy policy. Practical applications across the food, construction, and energy sectors are surveyed to demonstrate LCA's cross-sectoral reach. The paper concludes with a structur</w:t>
      </w:r>
      <w:r>
        <w:rPr>
          <w:sz w:val="21"/>
          <w:szCs w:val="21"/>
        </w:rPr>
        <w:t>ed roadmap for the seven subsequent papers in the series and a how-to-cite block for academic reuse.</w:t>
      </w:r>
    </w:p>
    <w:p w:rsidR="006C03BE" w:rsidRDefault="006C03BE">
      <w:pPr>
        <w:spacing w:before="50" w:after="50"/>
      </w:pPr>
    </w:p>
    <w:p w:rsidR="006C03BE" w:rsidRDefault="000A5B4A">
      <w:pPr>
        <w:spacing w:after="60" w:line="260" w:lineRule="auto"/>
        <w:ind w:left="380"/>
      </w:pPr>
      <w:r>
        <w:rPr>
          <w:b/>
          <w:bCs/>
          <w:sz w:val="20"/>
          <w:szCs w:val="20"/>
        </w:rPr>
        <w:t xml:space="preserve">Keywords: </w:t>
      </w:r>
      <w:r>
        <w:rPr>
          <w:i/>
          <w:iCs/>
          <w:sz w:val="20"/>
          <w:szCs w:val="20"/>
        </w:rPr>
        <w:t xml:space="preserve">life cycle assessment, LCA, ISO 14040, ISO 14044, SETAC, UNEP Life Cycle Initiative, environmental management, cradle-to-grave, LCI, LCIA, sustainability, </w:t>
      </w:r>
      <w:proofErr w:type="spellStart"/>
      <w:r>
        <w:rPr>
          <w:i/>
          <w:iCs/>
          <w:sz w:val="20"/>
          <w:szCs w:val="20"/>
        </w:rPr>
        <w:t>ecobalance</w:t>
      </w:r>
      <w:proofErr w:type="spellEnd"/>
      <w:r>
        <w:rPr>
          <w:i/>
          <w:iCs/>
          <w:sz w:val="20"/>
          <w:szCs w:val="20"/>
        </w:rPr>
        <w:t>, carbon footprint, environmental tools</w:t>
      </w:r>
    </w:p>
    <w:p w:rsidR="006C03BE" w:rsidRDefault="006C03BE">
      <w:pPr>
        <w:spacing w:after="40" w:line="260" w:lineRule="auto"/>
        <w:ind w:left="380"/>
      </w:pPr>
    </w:p>
    <w:p w:rsidR="006C03BE" w:rsidRDefault="006C03BE">
      <w:pPr>
        <w:pBdr>
          <w:bottom w:val="single" w:sz="4" w:space="1" w:color="3B82C4"/>
        </w:pBdr>
        <w:spacing w:before="180" w:after="180" w:line="300" w:lineRule="auto"/>
      </w:pPr>
    </w:p>
    <w:p w:rsidR="006C03BE" w:rsidRDefault="000A5B4A">
      <w:pPr>
        <w:pStyle w:val="Heading1"/>
        <w:pBdr>
          <w:bottom w:val="single" w:sz="8" w:space="4" w:color="3B82C4"/>
        </w:pBdr>
        <w:spacing w:line="280" w:lineRule="auto"/>
      </w:pPr>
      <w:r>
        <w:t>1. Introduction</w:t>
      </w:r>
    </w:p>
    <w:p w:rsidR="006C03BE" w:rsidRDefault="000A5B4A">
      <w:pPr>
        <w:spacing w:before="60" w:after="70" w:line="308" w:lineRule="auto"/>
        <w:ind w:firstLine="720"/>
        <w:jc w:val="both"/>
      </w:pPr>
      <w:r>
        <w:lastRenderedPageBreak/>
        <w:t>In the context of intensifying gl</w:t>
      </w:r>
      <w:r>
        <w:t>obal environmental challenges and growing pressure toward sustainable development, Life Cycle Assessment (LCA) has emerged as a central analytical tool for understanding the environmental impacts of products, processes, and services across their entire lif</w:t>
      </w:r>
      <w:r>
        <w:t>e cycle. The imperative is urgent: the environment's finite capacity to absorb the effects of human economic activity has been reached or exceeded in many regions of the world (UNEP, 2012). Sustainability statements must be accompanied by rigorous, quantit</w:t>
      </w:r>
      <w:r>
        <w:t>ative assessments that effectively identify the most significant environmental impacts and direct improvement efforts where they matter most (Jolliet et al., 2016).</w:t>
      </w:r>
    </w:p>
    <w:p w:rsidR="006C03BE" w:rsidRDefault="000A5B4A">
      <w:pPr>
        <w:spacing w:before="60" w:after="70" w:line="308" w:lineRule="auto"/>
        <w:ind w:firstLine="720"/>
        <w:jc w:val="both"/>
      </w:pPr>
      <w:r>
        <w:t>LCA provides precisely such a framework. By tracing all material and energy flows associate</w:t>
      </w:r>
      <w:r>
        <w:t>d with a product or service from raw material extraction — 'cradle' — through manufacturing, distribution, use, and end-of-life management — 'grave' — LCA captures the full environmental cost of human activities, including impacts displaced in space (e.g.,</w:t>
      </w:r>
      <w:r>
        <w:t xml:space="preserve"> supplier country emissions) and time (e.g., long-lived pollutants). It links these impacts to the function of the product or system, enabling meaningful comparison among alternatives on a consistent basis. This function-based, systems-wide, multi-issue ap</w:t>
      </w:r>
      <w:r>
        <w:t>proach distinguishes LCA from all other environmental assessment methods currently in use.</w:t>
      </w:r>
    </w:p>
    <w:p w:rsidR="006C03BE" w:rsidRDefault="000A5B4A">
      <w:pPr>
        <w:spacing w:before="60" w:after="70" w:line="308" w:lineRule="auto"/>
        <w:ind w:firstLine="720"/>
        <w:jc w:val="both"/>
      </w:pPr>
      <w:r>
        <w:t>The growing integration of LCA into public governance underscores its maturation from an academic method into a global policy instrument. The European Commission's S</w:t>
      </w:r>
      <w:r>
        <w:t>ustainable Consumption and Production strategy, Environmental Product Declarations (EPDs), biofuel sustainability criteria, carbon footprint labelling schemes, and green public procurement frameworks all rely substantively on LCA (</w:t>
      </w:r>
      <w:proofErr w:type="spellStart"/>
      <w:r>
        <w:t>Hauschild</w:t>
      </w:r>
      <w:proofErr w:type="spellEnd"/>
      <w:r>
        <w:t xml:space="preserve"> et al., 2012; I</w:t>
      </w:r>
      <w:r>
        <w:t>SO, 2006a). Large corporations — responding to investor pressure, regulatory requirements, and consumer demand — increasingly embed LCA into product development, supplier assessment, and strategic communication.</w:t>
      </w:r>
    </w:p>
    <w:p w:rsidR="006C03BE" w:rsidRDefault="000A5B4A">
      <w:pPr>
        <w:spacing w:before="60" w:after="70" w:line="308" w:lineRule="auto"/>
        <w:ind w:firstLine="720"/>
        <w:jc w:val="both"/>
      </w:pPr>
      <w:r>
        <w:t>Yet for PhD researchers and emerging practit</w:t>
      </w:r>
      <w:r>
        <w:t>ioners, the LCA literature is technically demanding, methodologically diverse, and rapidly evolving. This paper provides a consolidated, critically oriented, and accessible foundation for researchers, practitioners, and policymakers engaging with LCA metho</w:t>
      </w:r>
      <w:r>
        <w:t>dology. It covers: the origins and historical trajectory of LCA (Section 2); the four canonical LCA phases under ISO 14040/14044 and their methodological maturity (Section 3); the distinctive characteristics that define LCA as an analytical tool (Section 4</w:t>
      </w:r>
      <w:r>
        <w:t>); a structured comparison of LCA with five complementary environmental assessment tools (Section 5); the iterative LCA procedure (Section 6); the methodological evolution of LCA from a technical instrument to a strategic framework (Section 7); practical a</w:t>
      </w:r>
      <w:r>
        <w:t>pplications across key sectors (Section 8); and conclusions (Section 9).</w:t>
      </w:r>
    </w:p>
    <w:p w:rsidR="006C03BE" w:rsidRDefault="006C03BE">
      <w:pPr>
        <w:pBdr>
          <w:bottom w:val="single" w:sz="4" w:space="1" w:color="3B82C4"/>
        </w:pBdr>
        <w:spacing w:before="180" w:after="180" w:line="300" w:lineRule="auto"/>
      </w:pPr>
    </w:p>
    <w:p w:rsidR="006C03BE" w:rsidRDefault="000A5B4A">
      <w:pPr>
        <w:pStyle w:val="Heading1"/>
        <w:pBdr>
          <w:bottom w:val="single" w:sz="8" w:space="4" w:color="3B82C4"/>
        </w:pBdr>
        <w:spacing w:line="280" w:lineRule="auto"/>
      </w:pPr>
      <w:r>
        <w:t xml:space="preserve">2. Historical Development and </w:t>
      </w:r>
      <w:proofErr w:type="spellStart"/>
      <w:r>
        <w:t>Standardisation</w:t>
      </w:r>
      <w:proofErr w:type="spellEnd"/>
      <w:r>
        <w:t xml:space="preserve"> of LCA</w:t>
      </w:r>
    </w:p>
    <w:p w:rsidR="006C03BE" w:rsidRDefault="000A5B4A">
      <w:pPr>
        <w:pStyle w:val="Heading2"/>
        <w:spacing w:line="280" w:lineRule="auto"/>
      </w:pPr>
      <w:r>
        <w:t>2.1 Origins: From Energy Balances to Environmental Accounting (1970s–1990s)</w:t>
      </w:r>
    </w:p>
    <w:p w:rsidR="006C03BE" w:rsidRDefault="000A5B4A">
      <w:pPr>
        <w:spacing w:before="60" w:after="70" w:line="308" w:lineRule="auto"/>
        <w:ind w:firstLine="720"/>
        <w:jc w:val="both"/>
      </w:pPr>
      <w:r>
        <w:t>The intellectual roots of LCA converge from two analy</w:t>
      </w:r>
      <w:r>
        <w:t xml:space="preserve">tical streams that emerged in the late 1960s and early 1970s. The first was resource accounting: concern about finite material resources, </w:t>
      </w:r>
      <w:proofErr w:type="spellStart"/>
      <w:r>
        <w:t>popularised</w:t>
      </w:r>
      <w:proofErr w:type="spellEnd"/>
      <w:r>
        <w:t xml:space="preserve"> by the Club of Rome's landmark 1972 publication Limits to Growth (Meadows &amp; Club of Rome, 1972), prompted </w:t>
      </w:r>
      <w:r>
        <w:t xml:space="preserve">analysts to track resource consumption across industrial systems. The second was energy accounting: the 1973 oil crisis </w:t>
      </w:r>
      <w:proofErr w:type="spellStart"/>
      <w:r>
        <w:t>catalysed</w:t>
      </w:r>
      <w:proofErr w:type="spellEnd"/>
      <w:r>
        <w:t xml:space="preserve"> energy balance studies across the packaging and manufacturing sectors, quantifying primary energy requirements from raw materi</w:t>
      </w:r>
      <w:r>
        <w:t>al through final product.</w:t>
      </w:r>
    </w:p>
    <w:p w:rsidR="006C03BE" w:rsidRDefault="000A5B4A">
      <w:pPr>
        <w:spacing w:before="60" w:after="70" w:line="308" w:lineRule="auto"/>
        <w:ind w:firstLine="720"/>
        <w:jc w:val="both"/>
      </w:pPr>
      <w:r>
        <w:lastRenderedPageBreak/>
        <w:t xml:space="preserve">Early LCA-type studies — notably on bottle packaging in the United States in the early 1970s — combined these streams by tracking both resource use and pollutant emissions. The Swiss </w:t>
      </w:r>
      <w:proofErr w:type="spellStart"/>
      <w:r>
        <w:t>Ecoscarcity</w:t>
      </w:r>
      <w:proofErr w:type="spellEnd"/>
      <w:r>
        <w:t xml:space="preserve"> method (1977) provided the first st</w:t>
      </w:r>
      <w:r>
        <w:t xml:space="preserve">ructured impact assessment framework, relating environmental loads to ecological thresholds. Comprehensive packaging analyses by Bus (1984) and </w:t>
      </w:r>
      <w:proofErr w:type="spellStart"/>
      <w:r>
        <w:t>Habersatter</w:t>
      </w:r>
      <w:proofErr w:type="spellEnd"/>
      <w:r>
        <w:t xml:space="preserve"> &amp; Widmer (1991) functioned as precursors to modern LCI databases, consolidating data on energy and m</w:t>
      </w:r>
      <w:r>
        <w:t>aterial flows across product systems.</w:t>
      </w:r>
    </w:p>
    <w:p w:rsidR="006C03BE" w:rsidRDefault="000A5B4A">
      <w:pPr>
        <w:spacing w:before="60" w:after="70" w:line="308" w:lineRule="auto"/>
        <w:ind w:firstLine="720"/>
        <w:jc w:val="both"/>
      </w:pPr>
      <w:r>
        <w:t>A critical conceptual advance came with the 1992 CML guide to LCA (</w:t>
      </w:r>
      <w:proofErr w:type="spellStart"/>
      <w:r>
        <w:t>Heijungs</w:t>
      </w:r>
      <w:proofErr w:type="spellEnd"/>
      <w:r>
        <w:t xml:space="preserve"> et al., 1992), which </w:t>
      </w:r>
      <w:proofErr w:type="spellStart"/>
      <w:r>
        <w:t>organised</w:t>
      </w:r>
      <w:proofErr w:type="spellEnd"/>
      <w:r>
        <w:t xml:space="preserve"> environmental impacts into effect-oriented categories — acidification, climate change, eutrophication, ecotoxic</w:t>
      </w:r>
      <w:r>
        <w:t>ity — transcending geographic and medium boundaries. This move from descriptive inventory to multi-issue impact-oriented assessment marks the emergence of modern LCA as a methodologically coherent discipline.</w:t>
      </w:r>
    </w:p>
    <w:p w:rsidR="006C03BE" w:rsidRDefault="000A5B4A">
      <w:pPr>
        <w:pStyle w:val="Heading2"/>
        <w:spacing w:line="280" w:lineRule="auto"/>
      </w:pPr>
      <w:r>
        <w:t xml:space="preserve">2.2 </w:t>
      </w:r>
      <w:proofErr w:type="spellStart"/>
      <w:r>
        <w:t>Institutionalisation</w:t>
      </w:r>
      <w:proofErr w:type="spellEnd"/>
      <w:r>
        <w:t>: SETAC, ISO, and the L</w:t>
      </w:r>
      <w:r>
        <w:t>ife Cycle Initiative (1993–2013)</w:t>
      </w:r>
    </w:p>
    <w:p w:rsidR="006C03BE" w:rsidRDefault="000A5B4A">
      <w:pPr>
        <w:spacing w:before="60" w:after="70" w:line="308" w:lineRule="auto"/>
        <w:ind w:firstLine="720"/>
        <w:jc w:val="both"/>
      </w:pPr>
      <w:r>
        <w:t xml:space="preserve">Three institutions have been central to the </w:t>
      </w:r>
      <w:proofErr w:type="spellStart"/>
      <w:r>
        <w:t>standardisation</w:t>
      </w:r>
      <w:proofErr w:type="spellEnd"/>
      <w:r>
        <w:t xml:space="preserve"> and global dissemination of LCA. First, the Society of Environmental Toxicology and Chemistry (SETAC) published the foundational 'Code of Practice' in 1993, establ</w:t>
      </w:r>
      <w:r>
        <w:t>ishing the four-phase LCA structure. SETAC working groups continue to drive methodological development across impact assessment categories.</w:t>
      </w:r>
    </w:p>
    <w:p w:rsidR="006C03BE" w:rsidRDefault="000A5B4A">
      <w:pPr>
        <w:spacing w:before="60" w:after="70" w:line="308" w:lineRule="auto"/>
        <w:ind w:firstLine="720"/>
        <w:jc w:val="both"/>
      </w:pPr>
      <w:r>
        <w:t>Second, the International Organization for Standardization (ISO) published the ISO 14040 series between 1997 and 200</w:t>
      </w:r>
      <w:r>
        <w:t xml:space="preserve">6, responding to demand for methodological </w:t>
      </w:r>
      <w:proofErr w:type="spellStart"/>
      <w:r>
        <w:t>harmonisation</w:t>
      </w:r>
      <w:proofErr w:type="spellEnd"/>
      <w:r>
        <w:t>. ISO 14040 establishes the general principles and framework; ISO 14044 — which consolidated and replaced the earlier ISO 14041, 14042, and 14043 standards — provides detailed requirements for invento</w:t>
      </w:r>
      <w:r>
        <w:t>ry analysis, impact assessment, and interpretation (</w:t>
      </w:r>
      <w:proofErr w:type="spellStart"/>
      <w:r>
        <w:t>Finkbeiner</w:t>
      </w:r>
      <w:proofErr w:type="spellEnd"/>
      <w:r>
        <w:t xml:space="preserve"> et al., 2006). These two standards constitute the normative foundation for all certified and peer-reviewed LCA practice worldwide.</w:t>
      </w:r>
    </w:p>
    <w:p w:rsidR="006C03BE" w:rsidRDefault="000A5B4A">
      <w:pPr>
        <w:spacing w:before="60" w:after="70" w:line="308" w:lineRule="auto"/>
        <w:ind w:firstLine="720"/>
        <w:jc w:val="both"/>
      </w:pPr>
      <w:r>
        <w:t>Third, UNEP partnered with SETAC in 2002 to launch the Life Cy</w:t>
      </w:r>
      <w:r>
        <w:t>cle Initiative — an institutional platform for developing consensus on LCA methods and promoting global adoption. Its three phases (2002–2007: consensus building; 2007–2011: global dissemination; 2012–present: flagship project on impact assessment guidance</w:t>
      </w:r>
      <w:r>
        <w:t>) reflect a systematic effort to make LCA universally applicable, including in developing countries and emerging economies.</w:t>
      </w:r>
    </w:p>
    <w:p w:rsidR="006C03BE" w:rsidRDefault="006C03BE">
      <w:pPr>
        <w:spacing w:before="80" w:after="80"/>
      </w:pPr>
    </w:p>
    <w:p w:rsidR="006C03BE" w:rsidRDefault="000A5B4A">
      <w:pPr>
        <w:spacing w:before="60" w:after="60" w:line="260" w:lineRule="auto"/>
        <w:jc w:val="center"/>
      </w:pPr>
      <w:r>
        <w:rPr>
          <w:b/>
          <w:bCs/>
          <w:color w:val="1A3557"/>
          <w:sz w:val="21"/>
          <w:szCs w:val="21"/>
        </w:rPr>
        <w:t>Table 1. Key Historical Milestones in LCA Development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0"/>
        <w:gridCol w:w="2800"/>
        <w:gridCol w:w="4826"/>
      </w:tblGrid>
      <w:tr w:rsidR="006C03BE">
        <w:tblPrEx>
          <w:tblCellMar>
            <w:top w:w="0" w:type="dxa"/>
            <w:bottom w:w="0" w:type="dxa"/>
          </w:tblCellMar>
        </w:tblPrEx>
        <w:trPr>
          <w:tblHeader/>
        </w:trPr>
        <w:tc>
          <w:tcPr>
            <w:tcW w:w="1400"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Year / Period</w:t>
            </w:r>
          </w:p>
        </w:tc>
        <w:tc>
          <w:tcPr>
            <w:tcW w:w="2800"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Milestone</w:t>
            </w:r>
          </w:p>
        </w:tc>
        <w:tc>
          <w:tcPr>
            <w:tcW w:w="4826"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Significance for LCA</w:t>
            </w:r>
          </w:p>
        </w:tc>
      </w:tr>
      <w:tr w:rsidR="006C03BE">
        <w:tblPrEx>
          <w:tblCellMar>
            <w:top w:w="0" w:type="dxa"/>
            <w:bottom w:w="0" w:type="dxa"/>
          </w:tblCellMar>
        </w:tblPrEx>
        <w:tc>
          <w:tcPr>
            <w:tcW w:w="14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1972</w:t>
            </w:r>
          </w:p>
        </w:tc>
        <w:tc>
          <w:tcPr>
            <w:tcW w:w="28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Club of Rome — Limits to Growth</w:t>
            </w:r>
          </w:p>
        </w:tc>
        <w:tc>
          <w:tcPr>
            <w:tcW w:w="48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Raised global awareness of resource limits; stimulated early LCA-type packaging studies in the US</w:t>
            </w:r>
          </w:p>
        </w:tc>
      </w:tr>
      <w:tr w:rsidR="006C03BE">
        <w:tblPrEx>
          <w:tblCellMar>
            <w:top w:w="0" w:type="dxa"/>
            <w:bottom w:w="0" w:type="dxa"/>
          </w:tblCellMar>
        </w:tblPrEx>
        <w:tc>
          <w:tcPr>
            <w:tcW w:w="14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1973</w:t>
            </w: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Global oil crisis</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proofErr w:type="spellStart"/>
            <w:r>
              <w:rPr>
                <w:sz w:val="19"/>
                <w:szCs w:val="19"/>
              </w:rPr>
              <w:t>Generalised</w:t>
            </w:r>
            <w:proofErr w:type="spellEnd"/>
            <w:r>
              <w:rPr>
                <w:sz w:val="19"/>
                <w:szCs w:val="19"/>
              </w:rPr>
              <w:t xml:space="preserve"> the energy balance approach across all industrial sectors</w:t>
            </w:r>
          </w:p>
        </w:tc>
      </w:tr>
      <w:tr w:rsidR="006C03BE">
        <w:tblPrEx>
          <w:tblCellMar>
            <w:top w:w="0" w:type="dxa"/>
            <w:bottom w:w="0" w:type="dxa"/>
          </w:tblCellMar>
        </w:tblPrEx>
        <w:tc>
          <w:tcPr>
            <w:tcW w:w="14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1977</w:t>
            </w:r>
          </w:p>
        </w:tc>
        <w:tc>
          <w:tcPr>
            <w:tcW w:w="28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 xml:space="preserve">Swiss </w:t>
            </w:r>
            <w:proofErr w:type="spellStart"/>
            <w:r>
              <w:rPr>
                <w:sz w:val="19"/>
                <w:szCs w:val="19"/>
              </w:rPr>
              <w:t>Ecoscarcity</w:t>
            </w:r>
            <w:proofErr w:type="spellEnd"/>
            <w:r>
              <w:rPr>
                <w:sz w:val="19"/>
                <w:szCs w:val="19"/>
              </w:rPr>
              <w:t xml:space="preserve"> method</w:t>
            </w:r>
          </w:p>
        </w:tc>
        <w:tc>
          <w:tcPr>
            <w:tcW w:w="48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First life cycle impact assessment framework — related environmental loads to regulatory ecological thresholds</w:t>
            </w:r>
          </w:p>
        </w:tc>
      </w:tr>
      <w:tr w:rsidR="006C03BE">
        <w:tblPrEx>
          <w:tblCellMar>
            <w:top w:w="0" w:type="dxa"/>
            <w:bottom w:w="0" w:type="dxa"/>
          </w:tblCellMar>
        </w:tblPrEx>
        <w:tc>
          <w:tcPr>
            <w:tcW w:w="14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1984–1991</w:t>
            </w: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 xml:space="preserve">Comprehensive packaging LCAs (Bus; </w:t>
            </w:r>
            <w:proofErr w:type="spellStart"/>
            <w:r>
              <w:rPr>
                <w:sz w:val="19"/>
                <w:szCs w:val="19"/>
              </w:rPr>
              <w:t>Habersatter</w:t>
            </w:r>
            <w:proofErr w:type="spellEnd"/>
            <w:r>
              <w:rPr>
                <w:sz w:val="19"/>
                <w:szCs w:val="19"/>
              </w:rPr>
              <w:t xml:space="preserve"> &amp; Widmer)</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Precursors to modern LCI databases; broadened scope from energy to multi-substance emissions</w:t>
            </w:r>
          </w:p>
        </w:tc>
      </w:tr>
      <w:tr w:rsidR="006C03BE">
        <w:tblPrEx>
          <w:tblCellMar>
            <w:top w:w="0" w:type="dxa"/>
            <w:bottom w:w="0" w:type="dxa"/>
          </w:tblCellMar>
        </w:tblPrEx>
        <w:tc>
          <w:tcPr>
            <w:tcW w:w="14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1992</w:t>
            </w:r>
          </w:p>
        </w:tc>
        <w:tc>
          <w:tcPr>
            <w:tcW w:w="28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CML Guide — Leiden University</w:t>
            </w:r>
          </w:p>
        </w:tc>
        <w:tc>
          <w:tcPr>
            <w:tcW w:w="48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proofErr w:type="spellStart"/>
            <w:r>
              <w:rPr>
                <w:sz w:val="19"/>
                <w:szCs w:val="19"/>
              </w:rPr>
              <w:t>Organised</w:t>
            </w:r>
            <w:proofErr w:type="spellEnd"/>
            <w:r>
              <w:rPr>
                <w:sz w:val="19"/>
                <w:szCs w:val="19"/>
              </w:rPr>
              <w:t xml:space="preserve"> impacts into effect-oriented categories (acidification, GW, toxicity); founding methodological advance</w:t>
            </w:r>
          </w:p>
        </w:tc>
      </w:tr>
      <w:tr w:rsidR="006C03BE">
        <w:tblPrEx>
          <w:tblCellMar>
            <w:top w:w="0" w:type="dxa"/>
            <w:bottom w:w="0" w:type="dxa"/>
          </w:tblCellMar>
        </w:tblPrEx>
        <w:tc>
          <w:tcPr>
            <w:tcW w:w="14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1993</w:t>
            </w: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SETAC Code of Practice</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Established the four-phase LCA structure that persists under ISO 14040/14044 today</w:t>
            </w:r>
          </w:p>
        </w:tc>
      </w:tr>
      <w:tr w:rsidR="006C03BE">
        <w:tblPrEx>
          <w:tblCellMar>
            <w:top w:w="0" w:type="dxa"/>
            <w:bottom w:w="0" w:type="dxa"/>
          </w:tblCellMar>
        </w:tblPrEx>
        <w:tc>
          <w:tcPr>
            <w:tcW w:w="14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lastRenderedPageBreak/>
              <w:t>1996</w:t>
            </w:r>
          </w:p>
        </w:tc>
        <w:tc>
          <w:tcPr>
            <w:tcW w:w="28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International Journal of LCA founded</w:t>
            </w:r>
          </w:p>
        </w:tc>
        <w:tc>
          <w:tcPr>
            <w:tcW w:w="48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Created dedicated peer-reviewed publication channel; accelerated methodological dissemination</w:t>
            </w:r>
          </w:p>
        </w:tc>
      </w:tr>
      <w:tr w:rsidR="006C03BE">
        <w:tblPrEx>
          <w:tblCellMar>
            <w:top w:w="0" w:type="dxa"/>
            <w:bottom w:w="0" w:type="dxa"/>
          </w:tblCellMar>
        </w:tblPrEx>
        <w:tc>
          <w:tcPr>
            <w:tcW w:w="14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1997–2006</w:t>
            </w: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ISO 14040 series (incl. 14044 in 2006)</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 xml:space="preserve">International normative </w:t>
            </w:r>
            <w:proofErr w:type="spellStart"/>
            <w:r>
              <w:rPr>
                <w:sz w:val="19"/>
                <w:szCs w:val="19"/>
              </w:rPr>
              <w:t>harmonisation</w:t>
            </w:r>
            <w:proofErr w:type="spellEnd"/>
            <w:r>
              <w:rPr>
                <w:sz w:val="19"/>
                <w:szCs w:val="19"/>
              </w:rPr>
              <w:t>; ISO 14044 consolidated previous ISO 14041/42/43 standards</w:t>
            </w:r>
          </w:p>
        </w:tc>
      </w:tr>
      <w:tr w:rsidR="006C03BE">
        <w:tblPrEx>
          <w:tblCellMar>
            <w:top w:w="0" w:type="dxa"/>
            <w:bottom w:w="0" w:type="dxa"/>
          </w:tblCellMar>
        </w:tblPrEx>
        <w:tc>
          <w:tcPr>
            <w:tcW w:w="14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2002</w:t>
            </w:r>
          </w:p>
        </w:tc>
        <w:tc>
          <w:tcPr>
            <w:tcW w:w="28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UNEP-SETAC Life Cycle Initiative launched</w:t>
            </w:r>
          </w:p>
        </w:tc>
        <w:tc>
          <w:tcPr>
            <w:tcW w:w="48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Broadened global reach; consensus platform for method development and data quality</w:t>
            </w:r>
          </w:p>
        </w:tc>
      </w:tr>
      <w:tr w:rsidR="006C03BE">
        <w:tblPrEx>
          <w:tblCellMar>
            <w:top w:w="0" w:type="dxa"/>
            <w:bottom w:w="0" w:type="dxa"/>
          </w:tblCellMar>
        </w:tblPrEx>
        <w:tc>
          <w:tcPr>
            <w:tcW w:w="14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2003</w:t>
            </w: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proofErr w:type="spellStart"/>
            <w:r>
              <w:rPr>
                <w:sz w:val="19"/>
                <w:szCs w:val="19"/>
              </w:rPr>
              <w:t>Ecoinvent</w:t>
            </w:r>
            <w:proofErr w:type="spellEnd"/>
            <w:r>
              <w:rPr>
                <w:sz w:val="19"/>
                <w:szCs w:val="19"/>
              </w:rPr>
              <w:t xml:space="preserve"> database (v1) released</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Open, peer-reviewed LCI data for ~4,000 processes; transformed data accessibility globally</w:t>
            </w:r>
          </w:p>
        </w:tc>
      </w:tr>
      <w:tr w:rsidR="006C03BE">
        <w:tblPrEx>
          <w:tblCellMar>
            <w:top w:w="0" w:type="dxa"/>
            <w:bottom w:w="0" w:type="dxa"/>
          </w:tblCellMar>
        </w:tblPrEx>
        <w:tc>
          <w:tcPr>
            <w:tcW w:w="14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2008</w:t>
            </w:r>
          </w:p>
        </w:tc>
        <w:tc>
          <w:tcPr>
            <w:tcW w:w="28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proofErr w:type="spellStart"/>
            <w:r>
              <w:rPr>
                <w:sz w:val="19"/>
                <w:szCs w:val="19"/>
              </w:rPr>
              <w:t>USEtox</w:t>
            </w:r>
            <w:proofErr w:type="spellEnd"/>
            <w:r>
              <w:rPr>
                <w:sz w:val="19"/>
                <w:szCs w:val="19"/>
              </w:rPr>
              <w:t xml:space="preserve"> model (UNEP-SETAC)</w:t>
            </w:r>
          </w:p>
        </w:tc>
        <w:tc>
          <w:tcPr>
            <w:tcW w:w="48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 xml:space="preserve">Consensus </w:t>
            </w:r>
            <w:proofErr w:type="spellStart"/>
            <w:r>
              <w:rPr>
                <w:sz w:val="19"/>
                <w:szCs w:val="19"/>
              </w:rPr>
              <w:t>characterisation</w:t>
            </w:r>
            <w:proofErr w:type="spellEnd"/>
            <w:r>
              <w:rPr>
                <w:sz w:val="19"/>
                <w:szCs w:val="19"/>
              </w:rPr>
              <w:t xml:space="preserve"> model for human and ecotoxicity impacts</w:t>
            </w:r>
          </w:p>
        </w:tc>
      </w:tr>
      <w:tr w:rsidR="006C03BE">
        <w:tblPrEx>
          <w:tblCellMar>
            <w:top w:w="0" w:type="dxa"/>
            <w:bottom w:w="0" w:type="dxa"/>
          </w:tblCellMar>
        </w:tblPrEx>
        <w:tc>
          <w:tcPr>
            <w:tcW w:w="14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2008 / 2016</w:t>
            </w: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proofErr w:type="spellStart"/>
            <w:r>
              <w:rPr>
                <w:sz w:val="19"/>
                <w:szCs w:val="19"/>
              </w:rPr>
              <w:t>ReCiPe</w:t>
            </w:r>
            <w:proofErr w:type="spellEnd"/>
            <w:r>
              <w:rPr>
                <w:sz w:val="19"/>
                <w:szCs w:val="19"/>
              </w:rPr>
              <w:t xml:space="preserve"> LCIA method (v1 and v2)</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Integrated midpoint-to-endpoint framework; succeeded Eco-indicator 99 and CML 2002</w:t>
            </w:r>
          </w:p>
        </w:tc>
      </w:tr>
      <w:tr w:rsidR="006C03BE">
        <w:tblPrEx>
          <w:tblCellMar>
            <w:top w:w="0" w:type="dxa"/>
            <w:bottom w:w="0" w:type="dxa"/>
          </w:tblCellMar>
        </w:tblPrEx>
        <w:tc>
          <w:tcPr>
            <w:tcW w:w="14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2012</w:t>
            </w:r>
          </w:p>
        </w:tc>
        <w:tc>
          <w:tcPr>
            <w:tcW w:w="28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IMPACT World+ released</w:t>
            </w:r>
          </w:p>
        </w:tc>
        <w:tc>
          <w:tcPr>
            <w:tcW w:w="48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 xml:space="preserve">Succeeded IMPACT 2002+; introduced spatial differentiation in impact </w:t>
            </w:r>
            <w:proofErr w:type="spellStart"/>
            <w:r>
              <w:rPr>
                <w:sz w:val="19"/>
                <w:szCs w:val="19"/>
              </w:rPr>
              <w:t>characterisation</w:t>
            </w:r>
            <w:proofErr w:type="spellEnd"/>
          </w:p>
        </w:tc>
      </w:tr>
      <w:tr w:rsidR="006C03BE">
        <w:tblPrEx>
          <w:tblCellMar>
            <w:top w:w="0" w:type="dxa"/>
            <w:bottom w:w="0" w:type="dxa"/>
          </w:tblCellMar>
        </w:tblPrEx>
        <w:tc>
          <w:tcPr>
            <w:tcW w:w="14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2013–present</w:t>
            </w: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Life Cycle Initiative Flagship Project</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Global guidance on climate change, water use, land use, particulate matter, and overarching LCIA framework</w:t>
            </w:r>
          </w:p>
        </w:tc>
      </w:tr>
    </w:tbl>
    <w:p w:rsidR="006C03BE" w:rsidRDefault="000A5B4A">
      <w:pPr>
        <w:spacing w:before="40" w:after="100" w:line="260" w:lineRule="auto"/>
        <w:jc w:val="center"/>
      </w:pPr>
      <w:r>
        <w:rPr>
          <w:i/>
          <w:iCs/>
          <w:color w:val="555555"/>
          <w:sz w:val="19"/>
          <w:szCs w:val="19"/>
        </w:rPr>
        <w:t>Source: Jolliet et al. (2016); ISO (2006a, 2006b); supplemented by the author.</w:t>
      </w:r>
    </w:p>
    <w:p w:rsidR="006C03BE" w:rsidRDefault="006C03BE">
      <w:pPr>
        <w:spacing w:before="80" w:after="80"/>
      </w:pPr>
    </w:p>
    <w:p w:rsidR="006C03BE" w:rsidRDefault="000A5B4A">
      <w:pPr>
        <w:pStyle w:val="Heading2"/>
        <w:spacing w:line="280" w:lineRule="auto"/>
      </w:pPr>
      <w:r>
        <w:t xml:space="preserve">2.3 ISO </w:t>
      </w:r>
      <w:proofErr w:type="spellStart"/>
      <w:r>
        <w:t>Standardisation</w:t>
      </w:r>
      <w:proofErr w:type="spellEnd"/>
      <w:r>
        <w:t xml:space="preserve"> Architecture</w:t>
      </w:r>
    </w:p>
    <w:p w:rsidR="006C03BE" w:rsidRDefault="000A5B4A">
      <w:pPr>
        <w:spacing w:before="60" w:after="70" w:line="308" w:lineRule="auto"/>
        <w:ind w:firstLine="720"/>
        <w:jc w:val="both"/>
      </w:pPr>
      <w:r>
        <w:t>The ISO 14040 series provides the normative architecture governing LCA practice. ISO 14040 defines the four phases, their interrelationships, and general requirements. ISO 14044 provides detailed procedural requirements and guidelines for each phase. Compl</w:t>
      </w:r>
      <w:r>
        <w:t xml:space="preserve">ementary standards extend LCA logic to specific environmental concerns: ISO 14046 (2014) governs water footprint assessment; ISO 14048 </w:t>
      </w:r>
      <w:proofErr w:type="spellStart"/>
      <w:r>
        <w:t>standardises</w:t>
      </w:r>
      <w:proofErr w:type="spellEnd"/>
      <w:r>
        <w:t xml:space="preserve"> LCI data documentation formats; ISO 14047 and ISO 14049 provide illustrative application examples.</w:t>
      </w:r>
    </w:p>
    <w:p w:rsidR="006C03BE" w:rsidRDefault="006C03BE">
      <w:pPr>
        <w:spacing w:before="70" w:after="70"/>
      </w:pPr>
    </w:p>
    <w:p w:rsidR="006C03BE" w:rsidRDefault="000A5B4A">
      <w:pPr>
        <w:spacing w:before="60" w:after="60" w:line="260" w:lineRule="auto"/>
        <w:jc w:val="center"/>
      </w:pPr>
      <w:r>
        <w:rPr>
          <w:b/>
          <w:bCs/>
          <w:color w:val="1A3557"/>
          <w:sz w:val="21"/>
          <w:szCs w:val="21"/>
        </w:rPr>
        <w:t>Table 2.</w:t>
      </w:r>
      <w:r>
        <w:rPr>
          <w:b/>
          <w:bCs/>
          <w:color w:val="1A3557"/>
          <w:sz w:val="21"/>
          <w:szCs w:val="21"/>
        </w:rPr>
        <w:t xml:space="preserve"> ISO Standards Governing LCA and Related Environmental Assessment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00"/>
        <w:gridCol w:w="900"/>
        <w:gridCol w:w="6426"/>
      </w:tblGrid>
      <w:tr w:rsidR="006C03BE">
        <w:tblPrEx>
          <w:tblCellMar>
            <w:top w:w="0" w:type="dxa"/>
            <w:bottom w:w="0" w:type="dxa"/>
          </w:tblCellMar>
        </w:tblPrEx>
        <w:trPr>
          <w:tblHeader/>
        </w:trPr>
        <w:tc>
          <w:tcPr>
            <w:tcW w:w="1700"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Standard</w:t>
            </w:r>
          </w:p>
        </w:tc>
        <w:tc>
          <w:tcPr>
            <w:tcW w:w="900"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Year</w:t>
            </w:r>
          </w:p>
        </w:tc>
        <w:tc>
          <w:tcPr>
            <w:tcW w:w="6426"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Scope</w:t>
            </w:r>
          </w:p>
        </w:tc>
      </w:tr>
      <w:tr w:rsidR="006C03BE">
        <w:tblPrEx>
          <w:tblCellMar>
            <w:top w:w="0" w:type="dxa"/>
            <w:bottom w:w="0" w:type="dxa"/>
          </w:tblCellMar>
        </w:tblPrEx>
        <w:tc>
          <w:tcPr>
            <w:tcW w:w="17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ISO 14040</w:t>
            </w:r>
          </w:p>
        </w:tc>
        <w:tc>
          <w:tcPr>
            <w:tcW w:w="9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2006</w:t>
            </w:r>
          </w:p>
        </w:tc>
        <w:tc>
          <w:tcPr>
            <w:tcW w:w="64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Principles and framework — defines the four LCA phases and their general requirements</w:t>
            </w:r>
          </w:p>
        </w:tc>
      </w:tr>
      <w:tr w:rsidR="006C03BE">
        <w:tblPrEx>
          <w:tblCellMar>
            <w:top w:w="0" w:type="dxa"/>
            <w:bottom w:w="0" w:type="dxa"/>
          </w:tblCellMar>
        </w:tblPrEx>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ISO 14044</w:t>
            </w:r>
          </w:p>
        </w:tc>
        <w:tc>
          <w:tcPr>
            <w:tcW w:w="9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2006</w:t>
            </w:r>
          </w:p>
        </w:tc>
        <w:tc>
          <w:tcPr>
            <w:tcW w:w="64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Requirements and guidelines — governs LCI, LCIA, and interpretation; replaced ISO 14041/42/43</w:t>
            </w:r>
          </w:p>
        </w:tc>
      </w:tr>
      <w:tr w:rsidR="006C03BE">
        <w:tblPrEx>
          <w:tblCellMar>
            <w:top w:w="0" w:type="dxa"/>
            <w:bottom w:w="0" w:type="dxa"/>
          </w:tblCellMar>
        </w:tblPrEx>
        <w:tc>
          <w:tcPr>
            <w:tcW w:w="17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ISO 14046</w:t>
            </w:r>
          </w:p>
        </w:tc>
        <w:tc>
          <w:tcPr>
            <w:tcW w:w="9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2014</w:t>
            </w:r>
          </w:p>
        </w:tc>
        <w:tc>
          <w:tcPr>
            <w:tcW w:w="64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Water footprint — LCA-based principles, requirements, and guidelines for water assessment</w:t>
            </w:r>
          </w:p>
        </w:tc>
      </w:tr>
      <w:tr w:rsidR="006C03BE">
        <w:tblPrEx>
          <w:tblCellMar>
            <w:top w:w="0" w:type="dxa"/>
            <w:bottom w:w="0" w:type="dxa"/>
          </w:tblCellMar>
        </w:tblPrEx>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ISO 14047</w:t>
            </w:r>
          </w:p>
        </w:tc>
        <w:tc>
          <w:tcPr>
            <w:tcW w:w="9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2012</w:t>
            </w:r>
          </w:p>
        </w:tc>
        <w:tc>
          <w:tcPr>
            <w:tcW w:w="64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Illustrative examples for the application of ISO 14044</w:t>
            </w:r>
          </w:p>
        </w:tc>
      </w:tr>
      <w:tr w:rsidR="006C03BE">
        <w:tblPrEx>
          <w:tblCellMar>
            <w:top w:w="0" w:type="dxa"/>
            <w:bottom w:w="0" w:type="dxa"/>
          </w:tblCellMar>
        </w:tblPrEx>
        <w:tc>
          <w:tcPr>
            <w:tcW w:w="17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ISO 14048</w:t>
            </w:r>
          </w:p>
        </w:tc>
        <w:tc>
          <w:tcPr>
            <w:tcW w:w="9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2002</w:t>
            </w:r>
          </w:p>
        </w:tc>
        <w:tc>
          <w:tcPr>
            <w:tcW w:w="64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 xml:space="preserve">Data documentation format — </w:t>
            </w:r>
            <w:proofErr w:type="spellStart"/>
            <w:r>
              <w:rPr>
                <w:sz w:val="19"/>
                <w:szCs w:val="19"/>
              </w:rPr>
              <w:t>standardises</w:t>
            </w:r>
            <w:proofErr w:type="spellEnd"/>
            <w:r>
              <w:rPr>
                <w:sz w:val="19"/>
                <w:szCs w:val="19"/>
              </w:rPr>
              <w:t xml:space="preserve"> LCI data exchange and reporting</w:t>
            </w:r>
          </w:p>
        </w:tc>
      </w:tr>
      <w:tr w:rsidR="006C03BE">
        <w:tblPrEx>
          <w:tblCellMar>
            <w:top w:w="0" w:type="dxa"/>
            <w:bottom w:w="0" w:type="dxa"/>
          </w:tblCellMar>
        </w:tblPrEx>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ISO 14049</w:t>
            </w:r>
          </w:p>
        </w:tc>
        <w:tc>
          <w:tcPr>
            <w:tcW w:w="9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2012</w:t>
            </w:r>
          </w:p>
        </w:tc>
        <w:tc>
          <w:tcPr>
            <w:tcW w:w="64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Examples for goal, scope, and inventory analysis under ISO 14044</w:t>
            </w:r>
          </w:p>
        </w:tc>
      </w:tr>
      <w:tr w:rsidR="006C03BE">
        <w:tblPrEx>
          <w:tblCellMar>
            <w:top w:w="0" w:type="dxa"/>
            <w:bottom w:w="0" w:type="dxa"/>
          </w:tblCellMar>
        </w:tblPrEx>
        <w:tc>
          <w:tcPr>
            <w:tcW w:w="17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ISO 14020–25</w:t>
            </w:r>
          </w:p>
        </w:tc>
        <w:tc>
          <w:tcPr>
            <w:tcW w:w="9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1999–2006</w:t>
            </w:r>
          </w:p>
        </w:tc>
        <w:tc>
          <w:tcPr>
            <w:tcW w:w="64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Environmental labels and declarations (EPDs) — govern public environmental claims based on LCA</w:t>
            </w:r>
          </w:p>
        </w:tc>
      </w:tr>
      <w:tr w:rsidR="006C03BE">
        <w:tblPrEx>
          <w:tblCellMar>
            <w:top w:w="0" w:type="dxa"/>
            <w:bottom w:w="0" w:type="dxa"/>
          </w:tblCellMar>
        </w:tblPrEx>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ISO 14001</w:t>
            </w:r>
          </w:p>
        </w:tc>
        <w:tc>
          <w:tcPr>
            <w:tcW w:w="9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2015</w:t>
            </w:r>
          </w:p>
        </w:tc>
        <w:tc>
          <w:tcPr>
            <w:tcW w:w="64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Environmental Management Systems — broader governance context within which LCA is often deployed</w:t>
            </w:r>
          </w:p>
        </w:tc>
      </w:tr>
    </w:tbl>
    <w:p w:rsidR="006C03BE" w:rsidRDefault="000A5B4A">
      <w:pPr>
        <w:spacing w:before="40" w:after="100" w:line="260" w:lineRule="auto"/>
        <w:jc w:val="center"/>
      </w:pPr>
      <w:r>
        <w:rPr>
          <w:i/>
          <w:iCs/>
          <w:color w:val="555555"/>
          <w:sz w:val="19"/>
          <w:szCs w:val="19"/>
        </w:rPr>
        <w:t>Source: ISO (2006a, 2006b, 2012, 2014, 2015).</w:t>
      </w:r>
    </w:p>
    <w:p w:rsidR="006C03BE" w:rsidRDefault="006C03BE">
      <w:pPr>
        <w:spacing w:before="80" w:after="80"/>
      </w:pPr>
    </w:p>
    <w:p w:rsidR="006C03BE" w:rsidRDefault="006C03BE">
      <w:pPr>
        <w:pBdr>
          <w:bottom w:val="single" w:sz="4" w:space="1" w:color="3B82C4"/>
        </w:pBdr>
        <w:spacing w:before="180" w:after="180" w:line="300" w:lineRule="auto"/>
      </w:pPr>
    </w:p>
    <w:p w:rsidR="006C03BE" w:rsidRDefault="000A5B4A">
      <w:pPr>
        <w:pStyle w:val="Heading1"/>
        <w:pBdr>
          <w:bottom w:val="single" w:sz="8" w:space="4" w:color="3B82C4"/>
        </w:pBdr>
        <w:spacing w:line="280" w:lineRule="auto"/>
      </w:pPr>
      <w:r>
        <w:t>3. The Four LCA Phases: Definitions, Content, and Maturity Assessment</w:t>
      </w:r>
    </w:p>
    <w:p w:rsidR="006C03BE" w:rsidRDefault="000A5B4A">
      <w:pPr>
        <w:spacing w:before="60" w:after="70" w:line="308" w:lineRule="auto"/>
        <w:ind w:firstLine="720"/>
        <w:jc w:val="both"/>
      </w:pPr>
      <w:r>
        <w:t xml:space="preserve">The ISO 14040/14044 framework defines LCA as comprising four interrelated, iterative phases. These phases are not strictly sequential: findings from later phases frequently necessitate </w:t>
      </w:r>
      <w:r>
        <w:t>revision of earlier ones. This iterative character is fundamental — LCA is a learning process, not a linear procedure.</w:t>
      </w:r>
    </w:p>
    <w:p w:rsidR="006C03BE" w:rsidRDefault="006C03BE">
      <w:pPr>
        <w:spacing w:before="60"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6C03BE">
        <w:tblPrEx>
          <w:tblCellMar>
            <w:top w:w="0" w:type="dxa"/>
            <w:bottom w:w="0" w:type="dxa"/>
          </w:tblCellMar>
        </w:tblPrEx>
        <w:tc>
          <w:tcPr>
            <w:tcW w:w="0" w:type="auto"/>
            <w:tcBorders>
              <w:top w:val="single" w:sz="8" w:space="0" w:color="2563A8"/>
              <w:left w:val="single" w:sz="24" w:space="0" w:color="2563A8"/>
              <w:bottom w:val="single" w:sz="8" w:space="0" w:color="2563A8"/>
              <w:right w:val="none" w:sz="0" w:space="0" w:color="FFFFFF"/>
            </w:tcBorders>
            <w:shd w:val="clear" w:color="auto" w:fill="EBF2FB"/>
            <w:tcMar>
              <w:top w:w="130" w:type="dxa"/>
              <w:left w:w="220" w:type="dxa"/>
              <w:bottom w:w="130" w:type="dxa"/>
              <w:right w:w="220" w:type="dxa"/>
            </w:tcMar>
          </w:tcPr>
          <w:p w:rsidR="006C03BE" w:rsidRDefault="000A5B4A">
            <w:pPr>
              <w:spacing w:after="60" w:line="280" w:lineRule="auto"/>
            </w:pPr>
            <w:r>
              <w:rPr>
                <w:b/>
                <w:bCs/>
                <w:color w:val="2563A8"/>
                <w:sz w:val="21"/>
                <w:szCs w:val="21"/>
              </w:rPr>
              <w:t>ISO 14040 Definition of LCA</w:t>
            </w:r>
          </w:p>
          <w:p w:rsidR="006C03BE" w:rsidRDefault="000A5B4A">
            <w:pPr>
              <w:spacing w:after="40" w:line="290" w:lineRule="auto"/>
              <w:jc w:val="both"/>
            </w:pPr>
            <w:r>
              <w:rPr>
                <w:sz w:val="21"/>
                <w:szCs w:val="21"/>
              </w:rPr>
              <w:t>"Life Cycle Assessment is the compilation and evaluation of the inputs, outputs and the potential environmental impacts of a product system throughout its life cycle." (ISO, 2006a, §3.2)</w:t>
            </w:r>
          </w:p>
          <w:p w:rsidR="006C03BE" w:rsidRDefault="006C03BE">
            <w:pPr>
              <w:spacing w:after="40" w:line="290" w:lineRule="auto"/>
              <w:jc w:val="both"/>
            </w:pPr>
          </w:p>
          <w:p w:rsidR="006C03BE" w:rsidRDefault="000A5B4A">
            <w:pPr>
              <w:spacing w:after="40" w:line="290" w:lineRule="auto"/>
              <w:jc w:val="both"/>
            </w:pPr>
            <w:r>
              <w:rPr>
                <w:sz w:val="21"/>
                <w:szCs w:val="21"/>
              </w:rPr>
              <w:t>The four phases — goal and scope definition, inventory analysis, imp</w:t>
            </w:r>
            <w:r>
              <w:rPr>
                <w:sz w:val="21"/>
                <w:szCs w:val="21"/>
              </w:rPr>
              <w:t>act assessment, and interpretation — are conducted iteratively, each informing and potentially requiring revision of the others.</w:t>
            </w:r>
          </w:p>
        </w:tc>
      </w:tr>
    </w:tbl>
    <w:p w:rsidR="006C03BE" w:rsidRDefault="006C03BE">
      <w:pPr>
        <w:spacing w:before="100" w:after="100"/>
      </w:pPr>
    </w:p>
    <w:p w:rsidR="006C03BE" w:rsidRDefault="000A5B4A">
      <w:pPr>
        <w:pStyle w:val="Heading2"/>
        <w:spacing w:line="280" w:lineRule="auto"/>
      </w:pPr>
      <w:r>
        <w:t>3.1 Phase 1 — Goal and Scope Definition</w:t>
      </w:r>
    </w:p>
    <w:p w:rsidR="006C03BE" w:rsidRDefault="000A5B4A">
      <w:pPr>
        <w:spacing w:before="60" w:after="70" w:line="308" w:lineRule="auto"/>
        <w:ind w:firstLine="720"/>
        <w:jc w:val="both"/>
      </w:pPr>
      <w:r>
        <w:t xml:space="preserve">The goal and scope definition phase </w:t>
      </w:r>
      <w:proofErr w:type="gramStart"/>
      <w:r>
        <w:t>establishes</w:t>
      </w:r>
      <w:proofErr w:type="gramEnd"/>
      <w:r>
        <w:t xml:space="preserve"> the analytical architecture of the en</w:t>
      </w:r>
      <w:r>
        <w:t>tire study. It determines: (a) the purpose and intended audience of the study; (b) the function of the product or service system under investigation; (c) the functional unit (FU) — the quantified measure of system performance that serves as the reference b</w:t>
      </w:r>
      <w:r>
        <w:t>asis for all calculations and comparisons; (d) the reference flows — the physical quantities of products required to deliver the functional unit; (e) the system boundaries — which unit processes are included and which are excluded; and (f) the assumptions,</w:t>
      </w:r>
      <w:r>
        <w:t xml:space="preserve"> data quality requirements, and limitations governing the study.</w:t>
      </w:r>
    </w:p>
    <w:p w:rsidR="006C03BE" w:rsidRDefault="000A5B4A">
      <w:pPr>
        <w:spacing w:before="60" w:after="70" w:line="308" w:lineRule="auto"/>
        <w:ind w:firstLine="720"/>
        <w:jc w:val="both"/>
      </w:pPr>
      <w:r>
        <w:t xml:space="preserve">The choice of functional unit is the most consequential methodological decision in any LCA. An inappropriate FU systematically biases results by failing to ensure genuine comparability among </w:t>
      </w:r>
      <w:r>
        <w:t>alternatives. Consider the classic example of single-use versus multi-use cups at sporting events: comparing a paper cup and a reusable polycarbonate cup on the basis of 'one cup produced' would be meaningless — the meaningful functional unit is 'one use o</w:t>
      </w:r>
      <w:r>
        <w:t>f a 300 mL beverage serving', which correctly distributes the manufacturing impact of the reusable cup across all its service occasions (Jolliet et al., 2016). The FU must reflect the service delivered, not the physical product.</w:t>
      </w:r>
    </w:p>
    <w:p w:rsidR="006C03BE" w:rsidRDefault="000A5B4A">
      <w:pPr>
        <w:spacing w:before="60" w:after="70" w:line="308" w:lineRule="auto"/>
        <w:ind w:firstLine="720"/>
        <w:jc w:val="both"/>
      </w:pPr>
      <w:r>
        <w:t>System boundaries are equally critical. ISO 14044 specifies that all unit processes contributing more than a de minimis share of cumulative environmental impact must be included. Truncated boundaries systematically undercount impacts; excessively broad bou</w:t>
      </w:r>
      <w:r>
        <w:t>ndaries may introduce noise. The choice of what is included — raw material extraction, energy generation, transport, use phase, end-of-life — determines which environmental burdens are attributed to the product system. This phase is currently the most meth</w:t>
      </w:r>
      <w:r>
        <w:t>odologically mature of the four, with extensive ISO 14044 guidance and pedagogic literature available. Detailed guidance on goal and scope definition is provided in ISO 14044 and the references.</w:t>
      </w:r>
    </w:p>
    <w:p w:rsidR="006C03BE" w:rsidRDefault="000A5B4A">
      <w:pPr>
        <w:pStyle w:val="Heading2"/>
        <w:spacing w:line="280" w:lineRule="auto"/>
      </w:pPr>
      <w:r>
        <w:t>3.2 Phase 2 — Life Cycle Inventory Analysis (LCI)</w:t>
      </w:r>
    </w:p>
    <w:p w:rsidR="006C03BE" w:rsidRDefault="000A5B4A">
      <w:pPr>
        <w:spacing w:before="60" w:after="70" w:line="308" w:lineRule="auto"/>
        <w:ind w:firstLine="720"/>
        <w:jc w:val="both"/>
      </w:pPr>
      <w:r>
        <w:lastRenderedPageBreak/>
        <w:t>The LCI pha</w:t>
      </w:r>
      <w:r>
        <w:t>se involves the compilation and quantification of all inputs (energy, water, raw materials) and outputs (products, co-products, wastes, emissions to air, water, and soil) for all unit processes within the system boundary. This phase translates the physical</w:t>
      </w:r>
      <w:r>
        <w:t xml:space="preserve"> reality of the product system into a structured data matrix — the life cycle inventory — that captures all material and energy flows associated with delivering the functional unit.</w:t>
      </w:r>
    </w:p>
    <w:p w:rsidR="006C03BE" w:rsidRDefault="000A5B4A">
      <w:pPr>
        <w:spacing w:before="60" w:after="70" w:line="308" w:lineRule="auto"/>
        <w:ind w:firstLine="720"/>
        <w:jc w:val="both"/>
      </w:pPr>
      <w:r>
        <w:t xml:space="preserve">Two principal methodological approaches exist. The process-based approach </w:t>
      </w:r>
      <w:r>
        <w:t xml:space="preserve">traces </w:t>
      </w:r>
      <w:proofErr w:type="gramStart"/>
      <w:r>
        <w:t>flows</w:t>
      </w:r>
      <w:proofErr w:type="gramEnd"/>
      <w:r>
        <w:t xml:space="preserve"> through individual unit processes using measured or modelled emission factors, offering high resolution and product specificity. The input-output (I/O) approach uses national economic input-output tables extended with environmental satellite d</w:t>
      </w:r>
      <w:r>
        <w:t>ata to capture economy-wide upstream flows, offering broader supply chain coverage at lower process resolution. Hybrid approaches combine both, verifying system boundary completeness (Level 1), capturing impacts of services (Level 2), and producing full hy</w:t>
      </w:r>
      <w:r>
        <w:t>brid models (Level 3).</w:t>
      </w:r>
    </w:p>
    <w:p w:rsidR="006C03BE" w:rsidRDefault="000A5B4A">
      <w:pPr>
        <w:spacing w:before="60" w:after="70" w:line="308" w:lineRule="auto"/>
        <w:ind w:firstLine="720"/>
        <w:jc w:val="both"/>
      </w:pPr>
      <w:r>
        <w:t>Two major challenges dominate the LCI phase: data quality and allocation. Data quality is assessed using uncertainty factors covering reliability, completeness, temporal correlation, geographical correlation, and technological correl</w:t>
      </w:r>
      <w:r>
        <w:t>ation (</w:t>
      </w:r>
      <w:proofErr w:type="spellStart"/>
      <w:r>
        <w:t>Weidema</w:t>
      </w:r>
      <w:proofErr w:type="spellEnd"/>
      <w:r>
        <w:t xml:space="preserve"> &amp; </w:t>
      </w:r>
      <w:proofErr w:type="spellStart"/>
      <w:r>
        <w:t>Wesnæs</w:t>
      </w:r>
      <w:proofErr w:type="spellEnd"/>
      <w:r>
        <w:t xml:space="preserve">, 1996). The </w:t>
      </w:r>
      <w:proofErr w:type="spellStart"/>
      <w:r>
        <w:t>Ecoinvent</w:t>
      </w:r>
      <w:proofErr w:type="spellEnd"/>
      <w:r>
        <w:t xml:space="preserve"> database — released in 2003 and now at version 3.x with peer-reviewed data for over 15,000 processes — has become the global reference for process-based LCI. Allocation — the partitioning of environmental burde</w:t>
      </w:r>
      <w:r>
        <w:t>ns among co-products — remains methodologically contested; ISO 14044 specifies a preference hierarchy: avoid allocation by system expansion where possible; if unavoidable, use physical (causal) allocation; economic allocation is a last resort. Full methodo</w:t>
      </w:r>
      <w:r>
        <w:t xml:space="preserve">logical treatment of LCI approaches is available in </w:t>
      </w:r>
      <w:proofErr w:type="spellStart"/>
      <w:r>
        <w:t>Weidema</w:t>
      </w:r>
      <w:proofErr w:type="spellEnd"/>
      <w:r>
        <w:t xml:space="preserve"> &amp; </w:t>
      </w:r>
      <w:proofErr w:type="spellStart"/>
      <w:r>
        <w:t>Wesnæs</w:t>
      </w:r>
      <w:proofErr w:type="spellEnd"/>
      <w:r>
        <w:t xml:space="preserve"> (1996) and Jolliet et al. (2016).</w:t>
      </w:r>
    </w:p>
    <w:p w:rsidR="006C03BE" w:rsidRDefault="000A5B4A">
      <w:pPr>
        <w:pStyle w:val="Heading2"/>
        <w:spacing w:line="280" w:lineRule="auto"/>
      </w:pPr>
      <w:r>
        <w:t>3.3 Phase 3 — Life Cycle Impact Assessment (LCIA)</w:t>
      </w:r>
    </w:p>
    <w:p w:rsidR="006C03BE" w:rsidRDefault="000A5B4A">
      <w:pPr>
        <w:spacing w:before="60" w:after="70" w:line="308" w:lineRule="auto"/>
        <w:ind w:firstLine="720"/>
        <w:jc w:val="both"/>
      </w:pPr>
      <w:r>
        <w:t>The LCIA phase translates the inventory's physical quantities — emissions and resource extractions — in</w:t>
      </w:r>
      <w:r>
        <w:t>to environmental impact scores that communicate ecological and human health significance. LCIA is where engineering data becomes environmental understanding.</w:t>
      </w:r>
    </w:p>
    <w:p w:rsidR="006C03BE" w:rsidRDefault="000A5B4A">
      <w:pPr>
        <w:spacing w:before="60" w:after="70" w:line="308" w:lineRule="auto"/>
        <w:ind w:firstLine="720"/>
        <w:jc w:val="both"/>
      </w:pPr>
      <w:r>
        <w:t>ISO 14044 defines mandatory and optional LCIA steps. The mandatory steps are: (1) Selection of imp</w:t>
      </w:r>
      <w:r>
        <w:t xml:space="preserve">act categories, category indicators, and </w:t>
      </w:r>
      <w:proofErr w:type="spellStart"/>
      <w:r>
        <w:t>characterisation</w:t>
      </w:r>
      <w:proofErr w:type="spellEnd"/>
      <w:r>
        <w:t xml:space="preserve"> models — establishing which environmental issues are evaluated and how; (2) Classification — assigning inventory flows to the relevant impact categories; and (3) Midpoint </w:t>
      </w:r>
      <w:proofErr w:type="spellStart"/>
      <w:r>
        <w:t>characterisation</w:t>
      </w:r>
      <w:proofErr w:type="spellEnd"/>
      <w:r>
        <w:t xml:space="preserve"> — multiply</w:t>
      </w:r>
      <w:r>
        <w:t xml:space="preserve">ing inventory flows by </w:t>
      </w:r>
      <w:proofErr w:type="spellStart"/>
      <w:r>
        <w:t>characterisation</w:t>
      </w:r>
      <w:proofErr w:type="spellEnd"/>
      <w:r>
        <w:t xml:space="preserve"> factors (CFs) to produce impact scores in each category (e.g., kg CO₂-eq for climate change; kg SO₂-eq for acidification; </w:t>
      </w:r>
      <w:proofErr w:type="spellStart"/>
      <w:r>
        <w:t>CTUh</w:t>
      </w:r>
      <w:proofErr w:type="spellEnd"/>
      <w:r>
        <w:t xml:space="preserve"> for human toxicity). Optional steps include: (4) </w:t>
      </w:r>
      <w:proofErr w:type="spellStart"/>
      <w:r>
        <w:t>Normalisation</w:t>
      </w:r>
      <w:proofErr w:type="spellEnd"/>
      <w:r>
        <w:t xml:space="preserve"> — expressing scores relati</w:t>
      </w:r>
      <w:r>
        <w:t>ve to a reference system (e.g., global annual emissions per capita) to provide interpretive perspective; (5) Grouping — ranking or sorting categories; and (6) Weighting — applying importance weights to aggregate across categories into a single score (scien</w:t>
      </w:r>
      <w:r>
        <w:t>tifically contested).</w:t>
      </w:r>
    </w:p>
    <w:p w:rsidR="006C03BE" w:rsidRDefault="000A5B4A">
      <w:pPr>
        <w:spacing w:before="60" w:after="70" w:line="308" w:lineRule="auto"/>
        <w:ind w:firstLine="720"/>
        <w:jc w:val="both"/>
      </w:pPr>
      <w:r>
        <w:t>A key architectural distinction is between midpoint and endpoint (damage) modelling levels. Midpoint indicators represent environmental stresses along the cause-effect chain, offering higher scientific certainty. Endpoint indicators —</w:t>
      </w:r>
      <w:r>
        <w:t xml:space="preserve"> expressing harm in DALYs (human health), PDF·m²·year (ecosystem quality), and MJ surplus (resources) — aggregate cause-effect chains into three areas of protection, offering interpretive simplicity at the cost of greater model uncertainty. Key LCIA method</w:t>
      </w:r>
      <w:r>
        <w:t>s are surveyed in Section 5 and the references.</w:t>
      </w:r>
    </w:p>
    <w:p w:rsidR="006C03BE" w:rsidRDefault="000A5B4A">
      <w:pPr>
        <w:pStyle w:val="Heading2"/>
        <w:spacing w:line="280" w:lineRule="auto"/>
      </w:pPr>
      <w:r>
        <w:t>3.4 Phase 4 — Interpretation</w:t>
      </w:r>
    </w:p>
    <w:p w:rsidR="006C03BE" w:rsidRDefault="000A5B4A">
      <w:pPr>
        <w:spacing w:before="60" w:after="70" w:line="308" w:lineRule="auto"/>
        <w:ind w:firstLine="720"/>
        <w:jc w:val="both"/>
      </w:pPr>
      <w:r>
        <w:lastRenderedPageBreak/>
        <w:t>The interpretation phase involves the systematic evaluation of LCI and LCIA findings in relation to the study's goal, identifying significant environmental issues, assessing the r</w:t>
      </w:r>
      <w:r>
        <w:t>obustness of conclusions, and formulating actionable recommendations. ISO 14044 specifies three core elements: identification of significant issues (contribution analysis, dominance analysis); completeness, sensitivity, and consistency checks; and conclusi</w:t>
      </w:r>
      <w:r>
        <w:t>ons, limitations, and recommendations.</w:t>
      </w:r>
    </w:p>
    <w:p w:rsidR="006C03BE" w:rsidRDefault="000A5B4A">
      <w:pPr>
        <w:spacing w:before="60" w:after="70" w:line="308" w:lineRule="auto"/>
        <w:ind w:firstLine="720"/>
        <w:jc w:val="both"/>
      </w:pPr>
      <w:r>
        <w:t xml:space="preserve">Sensitivity analysis — evaluating how conclusions change in response to variations in key parameters or methodological choices — is the methodological </w:t>
      </w:r>
      <w:proofErr w:type="spellStart"/>
      <w:r>
        <w:t>centrepiece</w:t>
      </w:r>
      <w:proofErr w:type="spellEnd"/>
      <w:r>
        <w:t xml:space="preserve"> of interpretation. Monte Carlo simulation and analytic</w:t>
      </w:r>
      <w:r>
        <w:t>al Taylor Series expansion are the principal quantitative uncertainty propagation approaches. A critical finding from the LCA literature is that very few published studies include rigorous quantitative uncertainty analysis despite its centrality to defensi</w:t>
      </w:r>
      <w:r>
        <w:t>ble comparative conclusions (</w:t>
      </w:r>
      <w:proofErr w:type="spellStart"/>
      <w:r>
        <w:t>Finnveden</w:t>
      </w:r>
      <w:proofErr w:type="spellEnd"/>
      <w:r>
        <w:t xml:space="preserve"> et al., 2009). This gap is particularly acute for studies informing regulatory or investment decisions. These topics are elaborated in the complementary literature cited in Section 9.</w:t>
      </w:r>
    </w:p>
    <w:p w:rsidR="006C03BE" w:rsidRDefault="006C03BE">
      <w:pPr>
        <w:spacing w:before="80" w:after="80"/>
      </w:pPr>
    </w:p>
    <w:p w:rsidR="006C03BE" w:rsidRDefault="000A5B4A">
      <w:pPr>
        <w:spacing w:before="60" w:after="60" w:line="260" w:lineRule="auto"/>
        <w:jc w:val="center"/>
      </w:pPr>
      <w:r>
        <w:rPr>
          <w:b/>
          <w:bCs/>
          <w:color w:val="1A3557"/>
          <w:sz w:val="21"/>
          <w:szCs w:val="21"/>
        </w:rPr>
        <w:t xml:space="preserve">Table 3. Maturity Assessment of </w:t>
      </w:r>
      <w:r>
        <w:rPr>
          <w:b/>
          <w:bCs/>
          <w:color w:val="1A3557"/>
          <w:sz w:val="21"/>
          <w:szCs w:val="21"/>
        </w:rPr>
        <w:t>the Four LCA Phases</w:t>
      </w:r>
    </w:p>
    <w:tbl>
      <w:tblPr>
        <w:tblW w:w="10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74"/>
        <w:gridCol w:w="1411"/>
        <w:gridCol w:w="2858"/>
        <w:gridCol w:w="3483"/>
      </w:tblGrid>
      <w:tr w:rsidR="006C03BE">
        <w:tblPrEx>
          <w:tblCellMar>
            <w:top w:w="0" w:type="dxa"/>
            <w:bottom w:w="0" w:type="dxa"/>
          </w:tblCellMar>
        </w:tblPrEx>
        <w:trPr>
          <w:tblHeader/>
        </w:trPr>
        <w:tc>
          <w:tcPr>
            <w:tcW w:w="2300"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Phase</w:t>
            </w:r>
          </w:p>
        </w:tc>
        <w:tc>
          <w:tcPr>
            <w:tcW w:w="1300"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Maturity</w:t>
            </w:r>
          </w:p>
        </w:tc>
        <w:tc>
          <w:tcPr>
            <w:tcW w:w="2900"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Key Strengths</w:t>
            </w:r>
          </w:p>
        </w:tc>
        <w:tc>
          <w:tcPr>
            <w:tcW w:w="3526"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Primary Development Gaps</w:t>
            </w:r>
          </w:p>
        </w:tc>
      </w:tr>
      <w:tr w:rsidR="006C03BE">
        <w:tblPrEx>
          <w:tblCellMar>
            <w:top w:w="0" w:type="dxa"/>
            <w:bottom w:w="0" w:type="dxa"/>
          </w:tblCellMar>
        </w:tblPrEx>
        <w:tc>
          <w:tcPr>
            <w:tcW w:w="23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Goal &amp; Scope Definition</w:t>
            </w:r>
          </w:p>
        </w:tc>
        <w:tc>
          <w:tcPr>
            <w:tcW w:w="13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HIGH</w:t>
            </w:r>
          </w:p>
        </w:tc>
        <w:tc>
          <w:tcPr>
            <w:tcW w:w="29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Robust ISO 14044 guidance; extensive pedagogic literature; consensus on FU definition principles</w:t>
            </w:r>
          </w:p>
        </w:tc>
        <w:tc>
          <w:tcPr>
            <w:tcW w:w="35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Context-specific application still requires expert judgement; boundary decisions for novel systems contested</w:t>
            </w:r>
          </w:p>
        </w:tc>
      </w:tr>
      <w:tr w:rsidR="006C03BE">
        <w:tblPrEx>
          <w:tblCellMar>
            <w:top w:w="0" w:type="dxa"/>
            <w:bottom w:w="0" w:type="dxa"/>
          </w:tblCellMar>
        </w:tblPrEx>
        <w:tc>
          <w:tcPr>
            <w:tcW w:w="23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LCI Analysis</w:t>
            </w:r>
          </w:p>
        </w:tc>
        <w:tc>
          <w:tcPr>
            <w:tcW w:w="13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MODERATE–HIGH</w:t>
            </w:r>
          </w:p>
        </w:tc>
        <w:tc>
          <w:tcPr>
            <w:tcW w:w="29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proofErr w:type="spellStart"/>
            <w:r>
              <w:rPr>
                <w:sz w:val="19"/>
                <w:szCs w:val="19"/>
              </w:rPr>
              <w:t>Ecoinvent</w:t>
            </w:r>
            <w:proofErr w:type="spellEnd"/>
            <w:r>
              <w:rPr>
                <w:sz w:val="19"/>
                <w:szCs w:val="19"/>
              </w:rPr>
              <w:t xml:space="preserve"> database provides global coverage; process matrix methods well-developed; I/O databases expanding</w:t>
            </w:r>
          </w:p>
        </w:tc>
        <w:tc>
          <w:tcPr>
            <w:tcW w:w="35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Non-OECD data gaps; allocation controversies unresolved; dynamic/prospective inventory modelling limited</w:t>
            </w:r>
          </w:p>
        </w:tc>
      </w:tr>
      <w:tr w:rsidR="006C03BE">
        <w:tblPrEx>
          <w:tblCellMar>
            <w:top w:w="0" w:type="dxa"/>
            <w:bottom w:w="0" w:type="dxa"/>
          </w:tblCellMar>
        </w:tblPrEx>
        <w:tc>
          <w:tcPr>
            <w:tcW w:w="23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LCIA</w:t>
            </w:r>
          </w:p>
        </w:tc>
        <w:tc>
          <w:tcPr>
            <w:tcW w:w="13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MODERATE (advancing rapidly)</w:t>
            </w:r>
          </w:p>
        </w:tc>
        <w:tc>
          <w:tcPr>
            <w:tcW w:w="29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 xml:space="preserve">Multiple established methods; </w:t>
            </w:r>
            <w:proofErr w:type="spellStart"/>
            <w:r>
              <w:rPr>
                <w:sz w:val="19"/>
                <w:szCs w:val="19"/>
              </w:rPr>
              <w:t>USEtox</w:t>
            </w:r>
            <w:proofErr w:type="spellEnd"/>
            <w:r>
              <w:rPr>
                <w:sz w:val="19"/>
                <w:szCs w:val="19"/>
              </w:rPr>
              <w:t xml:space="preserve"> consensus for toxicity; Life Cycle Initiative global guidance underway</w:t>
            </w:r>
          </w:p>
        </w:tc>
        <w:tc>
          <w:tcPr>
            <w:tcW w:w="35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Method plurality complicates comparisons; spatial differentiation incomplete; weighting philosophically contested</w:t>
            </w:r>
          </w:p>
        </w:tc>
      </w:tr>
      <w:tr w:rsidR="006C03BE">
        <w:tblPrEx>
          <w:tblCellMar>
            <w:top w:w="0" w:type="dxa"/>
            <w:bottom w:w="0" w:type="dxa"/>
          </w:tblCellMar>
        </w:tblPrEx>
        <w:tc>
          <w:tcPr>
            <w:tcW w:w="23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Interpretation</w:t>
            </w:r>
          </w:p>
        </w:tc>
        <w:tc>
          <w:tcPr>
            <w:tcW w:w="13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MODERATE–LOW</w:t>
            </w:r>
          </w:p>
        </w:tc>
        <w:tc>
          <w:tcPr>
            <w:tcW w:w="29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 xml:space="preserve">Contribution and sensitivity analysis well-established; scenario analysis widely </w:t>
            </w:r>
            <w:proofErr w:type="spellStart"/>
            <w:r>
              <w:rPr>
                <w:sz w:val="19"/>
                <w:szCs w:val="19"/>
              </w:rPr>
              <w:t>practised</w:t>
            </w:r>
            <w:proofErr w:type="spellEnd"/>
          </w:p>
        </w:tc>
        <w:tc>
          <w:tcPr>
            <w:tcW w:w="35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Quantitative uncertainty analysis (Monte Carlo) rarely applied; temporal and spatial variability under-addressed</w:t>
            </w:r>
          </w:p>
        </w:tc>
      </w:tr>
    </w:tbl>
    <w:p w:rsidR="006C03BE" w:rsidRDefault="000A5B4A">
      <w:pPr>
        <w:spacing w:before="40" w:after="100" w:line="260" w:lineRule="auto"/>
        <w:jc w:val="center"/>
      </w:pPr>
      <w:r>
        <w:rPr>
          <w:i/>
          <w:iCs/>
          <w:color w:val="555555"/>
          <w:sz w:val="19"/>
          <w:szCs w:val="19"/>
        </w:rPr>
        <w:t xml:space="preserve">Source: </w:t>
      </w:r>
      <w:proofErr w:type="spellStart"/>
      <w:r>
        <w:rPr>
          <w:i/>
          <w:iCs/>
          <w:color w:val="555555"/>
          <w:sz w:val="19"/>
          <w:szCs w:val="19"/>
        </w:rPr>
        <w:t>Synthesised</w:t>
      </w:r>
      <w:proofErr w:type="spellEnd"/>
      <w:r>
        <w:rPr>
          <w:i/>
          <w:iCs/>
          <w:color w:val="555555"/>
          <w:sz w:val="19"/>
          <w:szCs w:val="19"/>
        </w:rPr>
        <w:t xml:space="preserve"> from Jolliet et al. (2016); ISO 14044 (2006b); </w:t>
      </w:r>
      <w:proofErr w:type="spellStart"/>
      <w:r>
        <w:rPr>
          <w:i/>
          <w:iCs/>
          <w:color w:val="555555"/>
          <w:sz w:val="19"/>
          <w:szCs w:val="19"/>
        </w:rPr>
        <w:t>Finnveden</w:t>
      </w:r>
      <w:proofErr w:type="spellEnd"/>
      <w:r>
        <w:rPr>
          <w:i/>
          <w:iCs/>
          <w:color w:val="555555"/>
          <w:sz w:val="19"/>
          <w:szCs w:val="19"/>
        </w:rPr>
        <w:t xml:space="preserve"> et al. (2009); author's assessment.</w:t>
      </w:r>
    </w:p>
    <w:p w:rsidR="006C03BE" w:rsidRDefault="006C03BE">
      <w:pPr>
        <w:spacing w:before="80" w:after="80"/>
      </w:pPr>
    </w:p>
    <w:p w:rsidR="006C03BE" w:rsidRDefault="006C03BE">
      <w:pPr>
        <w:pBdr>
          <w:bottom w:val="single" w:sz="4" w:space="1" w:color="3B82C4"/>
        </w:pBdr>
        <w:spacing w:before="180" w:after="180" w:line="300" w:lineRule="auto"/>
      </w:pPr>
    </w:p>
    <w:p w:rsidR="006C03BE" w:rsidRDefault="000A5B4A">
      <w:pPr>
        <w:pStyle w:val="Heading1"/>
        <w:pBdr>
          <w:bottom w:val="single" w:sz="8" w:space="4" w:color="3B82C4"/>
        </w:pBdr>
        <w:spacing w:line="280" w:lineRule="auto"/>
      </w:pPr>
      <w:r>
        <w:t>4. Distinctive Characteristics of LCA as an Environmental Assessment Tool</w:t>
      </w:r>
    </w:p>
    <w:p w:rsidR="006C03BE" w:rsidRDefault="000A5B4A">
      <w:pPr>
        <w:spacing w:before="60" w:after="70" w:line="308" w:lineRule="auto"/>
        <w:ind w:firstLine="720"/>
        <w:jc w:val="both"/>
      </w:pPr>
      <w:r>
        <w:t>LCA's position as the pre-eminent environmental analysis tool derives from a constellation of methodological characteristics that together distinguish it from all other approaches. U</w:t>
      </w:r>
      <w:r>
        <w:t>nderstanding these characteristics is essential for rigorous application and for critical evaluation of published LCA studies.</w:t>
      </w:r>
    </w:p>
    <w:p w:rsidR="006C03BE" w:rsidRDefault="000A5B4A">
      <w:pPr>
        <w:pStyle w:val="Heading2"/>
        <w:spacing w:line="280" w:lineRule="auto"/>
      </w:pPr>
      <w:r>
        <w:t>4.1 Function-Based Comparative Assessment</w:t>
      </w:r>
    </w:p>
    <w:p w:rsidR="006C03BE" w:rsidRDefault="000A5B4A">
      <w:pPr>
        <w:spacing w:before="60" w:after="70" w:line="308" w:lineRule="auto"/>
        <w:ind w:firstLine="720"/>
        <w:jc w:val="both"/>
      </w:pPr>
      <w:r>
        <w:t xml:space="preserve">LCA links environmental impacts to system function rather than to physical product quantities. This function-based orientation enables meaningful comparison among functionally equivalent but physically different alternatives. The cup comparison in Jolliet </w:t>
      </w:r>
      <w:r>
        <w:t xml:space="preserve">et al. (2016) illustrates this precisely: only by anchoring comparison to 'one use of a 300 mL beverage serving' can the different use frequencies, </w:t>
      </w:r>
      <w:r>
        <w:lastRenderedPageBreak/>
        <w:t>transport logistics, and washing requirements of paper versus polycarbonate cups be compared on a common bas</w:t>
      </w:r>
      <w:r>
        <w:t>is. This characteristic makes LCA the preferred tool for product eco-design, procurement decisions, and Environmental Product Declarations — contexts where the question is 'which alternative delivers the lowest environmental impact per unit of service?', n</w:t>
      </w:r>
      <w:r>
        <w:t>ot 'how much does this product emit?'</w:t>
      </w:r>
    </w:p>
    <w:p w:rsidR="006C03BE" w:rsidRDefault="000A5B4A">
      <w:pPr>
        <w:pStyle w:val="Heading2"/>
        <w:spacing w:line="280" w:lineRule="auto"/>
      </w:pPr>
      <w:r>
        <w:t>4.2 Cradle-to-Grave Systems Coverage</w:t>
      </w:r>
    </w:p>
    <w:p w:rsidR="006C03BE" w:rsidRDefault="000A5B4A">
      <w:pPr>
        <w:spacing w:before="60" w:after="70" w:line="308" w:lineRule="auto"/>
        <w:ind w:firstLine="720"/>
        <w:jc w:val="both"/>
      </w:pPr>
      <w:r>
        <w:t>LCA considers all life cycle stages — resource extraction, processing, manufacturing, distribution, use, maintenance, and end-of-life — within a single analytical framework. This sy</w:t>
      </w:r>
      <w:r>
        <w:t>stem-wide scope prevents problem shifting: environmental improvements at one life cycle stage that merely displace impacts to another stage or geography are detectable in LCA but invisible to partial, gate-to-gate analyses. A company that eliminates solven</w:t>
      </w:r>
      <w:r>
        <w:t>t emissions from its manufacturing facility by switching to a more energy-intensive solvent with higher upstream extraction impacts may achieve no net environmental benefit — a conclusion only a cradle-to-grave LCA can reveal.</w:t>
      </w:r>
    </w:p>
    <w:p w:rsidR="006C03BE" w:rsidRDefault="000A5B4A">
      <w:pPr>
        <w:pStyle w:val="Heading2"/>
        <w:spacing w:line="280" w:lineRule="auto"/>
      </w:pPr>
      <w:r>
        <w:t>4.3 Multi-Issue Environmental</w:t>
      </w:r>
      <w:r>
        <w:t xml:space="preserve"> Coverage</w:t>
      </w:r>
    </w:p>
    <w:p w:rsidR="006C03BE" w:rsidRDefault="000A5B4A">
      <w:pPr>
        <w:spacing w:before="60" w:after="70" w:line="308" w:lineRule="auto"/>
        <w:ind w:firstLine="720"/>
        <w:jc w:val="both"/>
      </w:pPr>
      <w:r>
        <w:t>LCA simultaneously quantifies impacts across all major environmental issue areas: climate change, stratospheric ozone depletion, terrestrial and aquatic acidification, eutrophication, photochemical smog, human toxicity, ecotoxicity, land use, fre</w:t>
      </w:r>
      <w:r>
        <w:t>shwater use, and resource depletion. This multi-issue scope enables identification of trade-offs across impact categories that single-metric approaches cannot detect. The electric vehicle example is paradigmatic: on a carbon footprint basis, electric vehic</w:t>
      </w:r>
      <w:r>
        <w:t xml:space="preserve">les appear uniformly superior to combustion vehicles; on a full LCA basis, advantages may be substantially reduced in high-coal electricity grids, and trade-offs around lithium and cobalt (toxicity, land use, water) become visible. Multi-issue coverage is </w:t>
      </w:r>
      <w:r>
        <w:t>therefore essential for defensible environmental claims.</w:t>
      </w:r>
    </w:p>
    <w:p w:rsidR="006C03BE" w:rsidRDefault="000A5B4A">
      <w:pPr>
        <w:pStyle w:val="Heading2"/>
        <w:spacing w:line="280" w:lineRule="auto"/>
      </w:pPr>
      <w:r>
        <w:t>4.4 Voluntary, Science-Driven, and Critically Evaluable</w:t>
      </w:r>
    </w:p>
    <w:p w:rsidR="006C03BE" w:rsidRDefault="000A5B4A">
      <w:pPr>
        <w:spacing w:before="60" w:after="70" w:line="308" w:lineRule="auto"/>
        <w:ind w:firstLine="720"/>
        <w:jc w:val="both"/>
      </w:pPr>
      <w:r>
        <w:t xml:space="preserve">Unlike regulatory assessments (EIA, RA) that are legally mandated, LCA is fundamentally a voluntary tool driven by scientific inquiry and corporate initiative. This enables methodological innovation but also creates risk: the LCA literature has documented </w:t>
      </w:r>
      <w:r>
        <w:t xml:space="preserve">cases where functional unit, system boundary, and LCIA method choices were made to </w:t>
      </w:r>
      <w:proofErr w:type="spellStart"/>
      <w:r>
        <w:t>favour</w:t>
      </w:r>
      <w:proofErr w:type="spellEnd"/>
      <w:r>
        <w:t xml:space="preserve"> predetermined conclusions (</w:t>
      </w:r>
      <w:proofErr w:type="spellStart"/>
      <w:r>
        <w:t>Finnveden</w:t>
      </w:r>
      <w:proofErr w:type="spellEnd"/>
      <w:r>
        <w:t xml:space="preserve"> et al., 2009). Critical LCA practice requires transparency in methodological choices, sensitivity analysis of key assumptions, an</w:t>
      </w:r>
      <w:r>
        <w:t>d independent peer review. ISO 14044 mandates critical review for all comparative assertions intended for public disclosure.</w:t>
      </w:r>
    </w:p>
    <w:p w:rsidR="006C03BE" w:rsidRDefault="000A5B4A">
      <w:pPr>
        <w:pStyle w:val="Heading2"/>
        <w:spacing w:line="280" w:lineRule="auto"/>
      </w:pPr>
      <w:r>
        <w:t>4.5 Integration with the Sustainability Triad</w:t>
      </w:r>
    </w:p>
    <w:p w:rsidR="006C03BE" w:rsidRDefault="000A5B4A">
      <w:pPr>
        <w:spacing w:before="60" w:after="70" w:line="308" w:lineRule="auto"/>
        <w:ind w:firstLine="720"/>
        <w:jc w:val="both"/>
      </w:pPr>
      <w:r>
        <w:t>LCA's scope extends naturally to the full triple bottom line of sustainability. Envir</w:t>
      </w:r>
      <w:r>
        <w:t>onmental LCA results can be combined with Life Cycle Costing (LCC), which applies the same system boundary to economic costs, and with Social LCA (S-LCA), which assesses social impacts on workers, local communities, and consumers. Together, these three pil</w:t>
      </w:r>
      <w:r>
        <w:t>lars — environmental LCA, LCC, and S-LCA — constitute the sustainability assessment triad, enabling simultaneous evaluation of environmental, economic, and social performance within a shared analytical framework.</w:t>
      </w:r>
    </w:p>
    <w:p w:rsidR="006C03BE" w:rsidRDefault="006C03BE">
      <w:pPr>
        <w:pBdr>
          <w:bottom w:val="single" w:sz="4" w:space="1" w:color="3B82C4"/>
        </w:pBdr>
        <w:spacing w:before="180" w:after="180" w:line="300" w:lineRule="auto"/>
      </w:pPr>
    </w:p>
    <w:p w:rsidR="006C03BE" w:rsidRDefault="000A5B4A">
      <w:pPr>
        <w:pStyle w:val="Heading1"/>
        <w:pBdr>
          <w:bottom w:val="single" w:sz="8" w:space="4" w:color="3B82C4"/>
        </w:pBdr>
        <w:spacing w:line="280" w:lineRule="auto"/>
      </w:pPr>
      <w:r>
        <w:t>5. LCA in the Landscape of Environmental A</w:t>
      </w:r>
      <w:r>
        <w:t>ssessment Tools</w:t>
      </w:r>
    </w:p>
    <w:p w:rsidR="006C03BE" w:rsidRDefault="000A5B4A">
      <w:pPr>
        <w:spacing w:before="60" w:after="70" w:line="308" w:lineRule="auto"/>
        <w:ind w:firstLine="720"/>
        <w:jc w:val="both"/>
      </w:pPr>
      <w:r>
        <w:lastRenderedPageBreak/>
        <w:t>A rigorous understanding of LCA requires situating it within the broader ecosystem of environmental assessment methodologies. Each tool addresses a distinct set of questions, operates at a characteristic scale, and draws on specific analyti</w:t>
      </w:r>
      <w:r>
        <w:t>cal traditions. Applying a tool outside its appropriate domain — or conflating tools with different scopes — is a common source of methodological error in environmental research.</w:t>
      </w:r>
    </w:p>
    <w:p w:rsidR="006C03BE" w:rsidRDefault="006C03BE">
      <w:pPr>
        <w:spacing w:before="70" w:after="70"/>
      </w:pPr>
    </w:p>
    <w:p w:rsidR="006C03BE" w:rsidRDefault="000A5B4A">
      <w:pPr>
        <w:spacing w:before="60" w:after="60" w:line="260" w:lineRule="auto"/>
        <w:jc w:val="center"/>
      </w:pPr>
      <w:r>
        <w:rPr>
          <w:b/>
          <w:bCs/>
          <w:color w:val="1A3557"/>
          <w:sz w:val="21"/>
          <w:szCs w:val="21"/>
        </w:rPr>
        <w:t>Table 4. Comparative Framework: LCA and Complementary Environmental Assessme</w:t>
      </w:r>
      <w:r>
        <w:rPr>
          <w:b/>
          <w:bCs/>
          <w:color w:val="1A3557"/>
          <w:sz w:val="21"/>
          <w:szCs w:val="21"/>
        </w:rPr>
        <w:t>nt Tools</w:t>
      </w:r>
    </w:p>
    <w:tbl>
      <w:tblPr>
        <w:tblW w:w="11026" w:type="dxa"/>
        <w:tblInd w:w="-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1700"/>
        <w:gridCol w:w="1700"/>
        <w:gridCol w:w="2000"/>
        <w:gridCol w:w="1800"/>
        <w:gridCol w:w="1826"/>
      </w:tblGrid>
      <w:tr w:rsidR="006C03BE" w:rsidTr="00285EF5">
        <w:tblPrEx>
          <w:tblCellMar>
            <w:top w:w="0" w:type="dxa"/>
            <w:bottom w:w="0" w:type="dxa"/>
          </w:tblCellMar>
        </w:tblPrEx>
        <w:trPr>
          <w:tblHeader/>
        </w:trPr>
        <w:tc>
          <w:tcPr>
            <w:tcW w:w="2000"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bookmarkStart w:id="0" w:name="_GoBack"/>
            <w:bookmarkEnd w:id="0"/>
            <w:r>
              <w:rPr>
                <w:b/>
                <w:bCs/>
                <w:color w:val="FFFFFF"/>
                <w:sz w:val="19"/>
                <w:szCs w:val="19"/>
              </w:rPr>
              <w:t>Tool</w:t>
            </w:r>
          </w:p>
        </w:tc>
        <w:tc>
          <w:tcPr>
            <w:tcW w:w="1700"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Object of Study</w:t>
            </w:r>
          </w:p>
        </w:tc>
        <w:tc>
          <w:tcPr>
            <w:tcW w:w="1700"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Geographic Scope</w:t>
            </w:r>
          </w:p>
        </w:tc>
        <w:tc>
          <w:tcPr>
            <w:tcW w:w="2000"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Impact Coverage</w:t>
            </w:r>
          </w:p>
        </w:tc>
        <w:tc>
          <w:tcPr>
            <w:tcW w:w="1800"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Primary Use Case</w:t>
            </w:r>
          </w:p>
        </w:tc>
        <w:tc>
          <w:tcPr>
            <w:tcW w:w="1826"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Relationship to LCA</w:t>
            </w:r>
          </w:p>
        </w:tc>
      </w:tr>
      <w:tr w:rsidR="006C03BE" w:rsidTr="00285EF5">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Life Cycle Assessment (LCA)</w:t>
            </w:r>
          </w:p>
        </w:tc>
        <w:tc>
          <w:tcPr>
            <w:tcW w:w="17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Product / service / process</w:t>
            </w:r>
          </w:p>
        </w:tc>
        <w:tc>
          <w:tcPr>
            <w:tcW w:w="17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Global or regional (full life cycle)</w:t>
            </w:r>
          </w:p>
        </w:tc>
        <w:tc>
          <w:tcPr>
            <w:tcW w:w="20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Multiple categories (climate, toxicity, land, water, resources, etc.)</w:t>
            </w:r>
          </w:p>
        </w:tc>
        <w:tc>
          <w:tcPr>
            <w:tcW w:w="18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Product comparison, eco-design, EPDs, policy support</w:t>
            </w:r>
          </w:p>
        </w:tc>
        <w:tc>
          <w:tcPr>
            <w:tcW w:w="18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Reference benchmark for this comparison</w:t>
            </w:r>
          </w:p>
        </w:tc>
      </w:tr>
      <w:tr w:rsidR="006C03BE" w:rsidTr="00285EF5">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Carbon Footprint (CF)</w:t>
            </w: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 xml:space="preserve">Product, activity, or </w:t>
            </w:r>
            <w:proofErr w:type="spellStart"/>
            <w:r>
              <w:rPr>
                <w:sz w:val="19"/>
                <w:szCs w:val="19"/>
              </w:rPr>
              <w:t>organisation</w:t>
            </w:r>
            <w:proofErr w:type="spellEnd"/>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Global or regional (full life cycle scope)</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Climate change only (GHG in CO₂-eq)</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GHG disclosure, labelling, carbon trading</w:t>
            </w:r>
          </w:p>
        </w:tc>
        <w:tc>
          <w:tcPr>
            <w:tcW w:w="18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CF = single-category LCA; a methodological subset of full LCA; governed by GHG Protocol and ISO 14067</w:t>
            </w:r>
          </w:p>
        </w:tc>
      </w:tr>
      <w:tr w:rsidR="006C03BE" w:rsidTr="00285EF5">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Water Footprint (WF)</w:t>
            </w:r>
          </w:p>
        </w:tc>
        <w:tc>
          <w:tcPr>
            <w:tcW w:w="17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 xml:space="preserve">Product, activity, or </w:t>
            </w:r>
            <w:proofErr w:type="spellStart"/>
            <w:r>
              <w:rPr>
                <w:sz w:val="19"/>
                <w:szCs w:val="19"/>
              </w:rPr>
              <w:t>organisation</w:t>
            </w:r>
            <w:proofErr w:type="spellEnd"/>
          </w:p>
        </w:tc>
        <w:tc>
          <w:tcPr>
            <w:tcW w:w="17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Global or regional (full life cycle scope)</w:t>
            </w:r>
          </w:p>
        </w:tc>
        <w:tc>
          <w:tcPr>
            <w:tcW w:w="20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Water use and water-quality-related impacts</w:t>
            </w:r>
          </w:p>
        </w:tc>
        <w:tc>
          <w:tcPr>
            <w:tcW w:w="18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Water management, risk disclosure</w:t>
            </w:r>
          </w:p>
        </w:tc>
        <w:tc>
          <w:tcPr>
            <w:tcW w:w="18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WF = water-category LCA; governed by ISO 14046</w:t>
            </w:r>
          </w:p>
        </w:tc>
      </w:tr>
      <w:tr w:rsidR="006C03BE" w:rsidTr="00285EF5">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Substance Flow Analysis (SFA)</w:t>
            </w: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Single substance or substance group</w:t>
            </w: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Regional or global (substance cycle)</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None — inventory of flows only</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Substance management, pollution tracking, waste policy</w:t>
            </w:r>
          </w:p>
        </w:tc>
        <w:tc>
          <w:tcPr>
            <w:tcW w:w="18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 xml:space="preserve">Shares mass-balance logic with LCA; LCA extends by adding </w:t>
            </w:r>
            <w:proofErr w:type="spellStart"/>
            <w:r>
              <w:rPr>
                <w:sz w:val="19"/>
                <w:szCs w:val="19"/>
              </w:rPr>
              <w:t>characterisation</w:t>
            </w:r>
            <w:proofErr w:type="spellEnd"/>
            <w:r>
              <w:rPr>
                <w:sz w:val="19"/>
                <w:szCs w:val="19"/>
              </w:rPr>
              <w:t xml:space="preserve"> factors and function-b</w:t>
            </w:r>
            <w:r>
              <w:rPr>
                <w:sz w:val="19"/>
                <w:szCs w:val="19"/>
              </w:rPr>
              <w:t>ased comparison</w:t>
            </w:r>
          </w:p>
        </w:tc>
      </w:tr>
      <w:tr w:rsidR="006C03BE" w:rsidTr="00285EF5">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Environmental Impact Assessment (EIA)</w:t>
            </w:r>
          </w:p>
        </w:tc>
        <w:tc>
          <w:tcPr>
            <w:tcW w:w="17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 xml:space="preserve">New </w:t>
            </w:r>
            <w:proofErr w:type="spellStart"/>
            <w:r>
              <w:rPr>
                <w:sz w:val="19"/>
                <w:szCs w:val="19"/>
              </w:rPr>
              <w:t>localised</w:t>
            </w:r>
            <w:proofErr w:type="spellEnd"/>
            <w:r>
              <w:rPr>
                <w:sz w:val="19"/>
                <w:szCs w:val="19"/>
              </w:rPr>
              <w:t xml:space="preserve"> installation or activity</w:t>
            </w:r>
          </w:p>
        </w:tc>
        <w:tc>
          <w:tcPr>
            <w:tcW w:w="17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Site-specific (local)</w:t>
            </w:r>
          </w:p>
        </w:tc>
        <w:tc>
          <w:tcPr>
            <w:tcW w:w="20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Variable — site conditions, local ecology, community</w:t>
            </w:r>
          </w:p>
        </w:tc>
        <w:tc>
          <w:tcPr>
            <w:tcW w:w="18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Regulatory approval of new facilities</w:t>
            </w:r>
          </w:p>
        </w:tc>
        <w:tc>
          <w:tcPr>
            <w:tcW w:w="18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Complementary: EIA = site-specific depth; LCA = life cycle breadth; emerging hybrid models combine both</w:t>
            </w:r>
          </w:p>
        </w:tc>
      </w:tr>
      <w:tr w:rsidR="006C03BE" w:rsidTr="00285EF5">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Risk Assessment (RA)</w:t>
            </w: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Chemical substance or industrial installation</w:t>
            </w: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Local or regional</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Human and ecosystem toxicity (conservative, safety-factor-based)</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Regulatory chemical risk management, emergency response</w:t>
            </w:r>
          </w:p>
        </w:tc>
        <w:tc>
          <w:tcPr>
            <w:tcW w:w="18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Shares fate-transport and dose-response logic with LCA LCIA; RA uses conservative assumptions, LCA uses mean comparative estimates</w:t>
            </w:r>
          </w:p>
        </w:tc>
      </w:tr>
      <w:tr w:rsidR="006C03BE" w:rsidTr="00285EF5">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Material Flow Analysis (MFA)</w:t>
            </w:r>
          </w:p>
        </w:tc>
        <w:tc>
          <w:tcPr>
            <w:tcW w:w="17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Raw material or compound group</w:t>
            </w:r>
          </w:p>
        </w:tc>
        <w:tc>
          <w:tcPr>
            <w:tcW w:w="17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National or regional (material economy)</w:t>
            </w:r>
          </w:p>
        </w:tc>
        <w:tc>
          <w:tcPr>
            <w:tcW w:w="20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None — material flows only</w:t>
            </w:r>
          </w:p>
        </w:tc>
        <w:tc>
          <w:tcPr>
            <w:tcW w:w="18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Circular economy, material strategy, industrial metabolism</w:t>
            </w:r>
          </w:p>
        </w:tc>
        <w:tc>
          <w:tcPr>
            <w:tcW w:w="18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MFA provides economic context; LCA can use MFA flows; MFA does not calculate environmental impacts</w:t>
            </w:r>
          </w:p>
        </w:tc>
      </w:tr>
    </w:tbl>
    <w:p w:rsidR="006C03BE" w:rsidRDefault="000A5B4A">
      <w:pPr>
        <w:spacing w:before="40" w:after="100" w:line="260" w:lineRule="auto"/>
        <w:jc w:val="center"/>
      </w:pPr>
      <w:r>
        <w:rPr>
          <w:i/>
          <w:iCs/>
          <w:color w:val="555555"/>
          <w:sz w:val="19"/>
          <w:szCs w:val="19"/>
        </w:rPr>
        <w:t xml:space="preserve">Source: </w:t>
      </w:r>
      <w:proofErr w:type="spellStart"/>
      <w:r>
        <w:rPr>
          <w:i/>
          <w:iCs/>
          <w:color w:val="555555"/>
          <w:sz w:val="19"/>
          <w:szCs w:val="19"/>
        </w:rPr>
        <w:t>Synthesised</w:t>
      </w:r>
      <w:proofErr w:type="spellEnd"/>
      <w:r>
        <w:rPr>
          <w:i/>
          <w:iCs/>
          <w:color w:val="555555"/>
          <w:sz w:val="19"/>
          <w:szCs w:val="19"/>
        </w:rPr>
        <w:t xml:space="preserve"> from Jolliet et al. (2016); </w:t>
      </w:r>
      <w:proofErr w:type="spellStart"/>
      <w:r>
        <w:rPr>
          <w:i/>
          <w:iCs/>
          <w:color w:val="555555"/>
          <w:sz w:val="19"/>
          <w:szCs w:val="19"/>
        </w:rPr>
        <w:t>Wrisberg</w:t>
      </w:r>
      <w:proofErr w:type="spellEnd"/>
      <w:r>
        <w:rPr>
          <w:i/>
          <w:iCs/>
          <w:color w:val="555555"/>
          <w:sz w:val="19"/>
          <w:szCs w:val="19"/>
        </w:rPr>
        <w:t xml:space="preserve"> et al. (2002); ISO (2006a, 2014); author's elaboration.</w:t>
      </w:r>
    </w:p>
    <w:p w:rsidR="006C03BE" w:rsidRDefault="006C03BE">
      <w:pPr>
        <w:spacing w:before="80" w:after="80"/>
      </w:pPr>
    </w:p>
    <w:p w:rsidR="006C03BE" w:rsidRDefault="000A5B4A">
      <w:pPr>
        <w:pStyle w:val="Heading2"/>
        <w:spacing w:line="280" w:lineRule="auto"/>
      </w:pPr>
      <w:r>
        <w:t>5.1 LCA versus Carbon Footprint and Water Footprint</w:t>
      </w:r>
    </w:p>
    <w:p w:rsidR="006C03BE" w:rsidRDefault="000A5B4A">
      <w:pPr>
        <w:spacing w:before="60" w:after="70" w:line="308" w:lineRule="auto"/>
        <w:ind w:firstLine="720"/>
        <w:jc w:val="both"/>
      </w:pPr>
      <w:r>
        <w:t>Carbon and water footprints are best understood as methodologically embedded subsets of LC</w:t>
      </w:r>
      <w:r>
        <w:t>A. The carbon footprint applies LCA's full life cycle system boundary and inventory logic but reports only greenhouse gas emissions in CO₂-equivalent units. The water footprint applies the same logic to freshwater consumption and related quality impacts, g</w:t>
      </w:r>
      <w:r>
        <w:t xml:space="preserve">overned by ISO 14046 (2014). Both are governed by the same functional unit and system boundary principles as LCA. Their appeal — a single communicative metric — comes at a trade-off: they cannot detect cross-category environmental trade-offs. An LCA study </w:t>
      </w:r>
      <w:r>
        <w:t xml:space="preserve">that includes a full LCIA profile alongside derived footprint indicators </w:t>
      </w:r>
      <w:proofErr w:type="gramStart"/>
      <w:r>
        <w:t>provides</w:t>
      </w:r>
      <w:proofErr w:type="gramEnd"/>
      <w:r>
        <w:t xml:space="preserve"> the most complete and defensible picture.</w:t>
      </w:r>
    </w:p>
    <w:p w:rsidR="006C03BE" w:rsidRDefault="000A5B4A">
      <w:pPr>
        <w:pStyle w:val="Heading2"/>
        <w:spacing w:line="280" w:lineRule="auto"/>
      </w:pPr>
      <w:r>
        <w:t>5.2 LCA versus Environmental Impact Assessment (EIA)</w:t>
      </w:r>
    </w:p>
    <w:p w:rsidR="006C03BE" w:rsidRDefault="000A5B4A">
      <w:pPr>
        <w:spacing w:before="60" w:after="70" w:line="308" w:lineRule="auto"/>
        <w:ind w:firstLine="720"/>
        <w:jc w:val="both"/>
      </w:pPr>
      <w:r>
        <w:t>EIA is a legally mandated regulatory procedure for assessing anticipated enviro</w:t>
      </w:r>
      <w:r>
        <w:t>nmental impacts of proposed new installations or developments at specific sites, prior to regulatory approval. It incorporates site-specific local conditions — population proximity, specific sensitive ecosystems, local hydrology and meteorology — that gene</w:t>
      </w:r>
      <w:r>
        <w:t xml:space="preserve">ric LCA </w:t>
      </w:r>
      <w:proofErr w:type="spellStart"/>
      <w:r>
        <w:t>characterisation</w:t>
      </w:r>
      <w:proofErr w:type="spellEnd"/>
      <w:r>
        <w:t xml:space="preserve"> factors cannot capture. LCA and EIA are therefore complementary: EIA provides site-level resolution; LCA provides life cycle breadth. The development of hybrid frameworks integrating spatial differentiation into LCA — including pro</w:t>
      </w:r>
      <w:r>
        <w:t>totype multiscale multimedia models (</w:t>
      </w:r>
      <w:proofErr w:type="spellStart"/>
      <w:r>
        <w:t>Wannaz</w:t>
      </w:r>
      <w:proofErr w:type="spellEnd"/>
      <w:r>
        <w:t xml:space="preserve"> et al., 2012) — represents an active research frontier addressing this boundary.</w:t>
      </w:r>
    </w:p>
    <w:p w:rsidR="006C03BE" w:rsidRDefault="000A5B4A">
      <w:pPr>
        <w:pStyle w:val="Heading2"/>
        <w:spacing w:line="280" w:lineRule="auto"/>
      </w:pPr>
      <w:r>
        <w:t>5.3 LCA versus Risk Assessment (RA)</w:t>
      </w:r>
    </w:p>
    <w:p w:rsidR="006C03BE" w:rsidRDefault="000A5B4A">
      <w:pPr>
        <w:spacing w:before="60" w:after="70" w:line="308" w:lineRule="auto"/>
        <w:ind w:firstLine="720"/>
        <w:jc w:val="both"/>
      </w:pPr>
      <w:r>
        <w:t>LCA and RA share common methodological elements in toxicity assessment: both use multimedia fate models to track environmental distribution of chemicals and dose-response relationships to estimate harm. However, their intent and design differ fundamentally</w:t>
      </w:r>
      <w:r>
        <w:t>. RA is regulatory and hazard-based, applying conservative assumptions and safety factors to ensure assessed exposures remain substantially below no-observable-effect levels; its output is a binary acceptable/unacceptable risk judgement. LCA aims to quanti</w:t>
      </w:r>
      <w:r>
        <w:t>fy comparative average risk — the mean contribution of a product to health and ecosystem impacts across the exposed population — rather than maximum permissible exposure. RA asks: 'Is this safe?'; LCA asks: 'How does this compare?'</w:t>
      </w:r>
    </w:p>
    <w:p w:rsidR="006C03BE" w:rsidRDefault="000A5B4A">
      <w:pPr>
        <w:pStyle w:val="Heading2"/>
        <w:spacing w:line="280" w:lineRule="auto"/>
      </w:pPr>
      <w:r>
        <w:t>5.4 LCA versus Substance</w:t>
      </w:r>
      <w:r>
        <w:t xml:space="preserve"> Flow Analysis (SFA) and Material Flow Analysis (MFA)</w:t>
      </w:r>
    </w:p>
    <w:p w:rsidR="006C03BE" w:rsidRDefault="000A5B4A">
      <w:pPr>
        <w:spacing w:before="60" w:after="70" w:line="308" w:lineRule="auto"/>
        <w:ind w:firstLine="720"/>
        <w:jc w:val="both"/>
      </w:pPr>
      <w:r>
        <w:t>SFA focuses on the flows, accumulation, and environmental fate of a single substance (e.g., mercury, phosphorus) or defined substance group within a geographic region or industrial system. It provides g</w:t>
      </w:r>
      <w:r>
        <w:t>ranular substance-specific insight but does not aggregate across substances or calculate environmental impact scores. MFA tracks material flows in the economy without reference to environmental impact. Both methods share mass-balance modelling logic with L</w:t>
      </w:r>
      <w:r>
        <w:t xml:space="preserve">CA; LCA extends by applying </w:t>
      </w:r>
      <w:proofErr w:type="spellStart"/>
      <w:r>
        <w:t>characterisation</w:t>
      </w:r>
      <w:proofErr w:type="spellEnd"/>
      <w:r>
        <w:t xml:space="preserve"> factors to convert flows into multi-issue impact scores referenced to a product function. SFA and MFA are thus valuable precursors and complements to LCA rather than alternatives.</w:t>
      </w:r>
    </w:p>
    <w:p w:rsidR="006C03BE" w:rsidRDefault="006C03BE">
      <w:pPr>
        <w:pBdr>
          <w:bottom w:val="single" w:sz="4" w:space="1" w:color="3B82C4"/>
        </w:pBdr>
        <w:spacing w:before="180" w:after="180" w:line="300" w:lineRule="auto"/>
      </w:pPr>
    </w:p>
    <w:p w:rsidR="006C03BE" w:rsidRDefault="000A5B4A">
      <w:pPr>
        <w:pStyle w:val="Heading1"/>
        <w:pBdr>
          <w:bottom w:val="single" w:sz="8" w:space="4" w:color="3B82C4"/>
        </w:pBdr>
        <w:spacing w:line="280" w:lineRule="auto"/>
      </w:pPr>
      <w:r>
        <w:t>6. The Iterative LCA Procedure</w:t>
      </w:r>
      <w:r>
        <w:t xml:space="preserve"> in Practice</w:t>
      </w:r>
    </w:p>
    <w:p w:rsidR="006C03BE" w:rsidRDefault="000A5B4A">
      <w:pPr>
        <w:spacing w:before="60" w:after="70" w:line="308" w:lineRule="auto"/>
        <w:ind w:firstLine="720"/>
        <w:jc w:val="both"/>
      </w:pPr>
      <w:r>
        <w:lastRenderedPageBreak/>
        <w:t>A defining feature of LCA practice — often under-</w:t>
      </w:r>
      <w:proofErr w:type="spellStart"/>
      <w:r>
        <w:t>emphasised</w:t>
      </w:r>
      <w:proofErr w:type="spellEnd"/>
      <w:r>
        <w:t xml:space="preserve"> in introductory treatments — is its iterative character. ISO 14044 depicts the four phases as interconnected by bidirectional arrows, not as a linear sequence. Insights from inventory analysis may</w:t>
      </w:r>
      <w:r>
        <w:t xml:space="preserve"> reveal that the goal and scope definition was insufficiently precise; LCIA results may indicate that the system boundary was drawn too narrowly; sensitivity analysis during interpretation may prompt revision of </w:t>
      </w:r>
      <w:proofErr w:type="spellStart"/>
      <w:r>
        <w:t>characterisation</w:t>
      </w:r>
      <w:proofErr w:type="spellEnd"/>
      <w:r>
        <w:t xml:space="preserve"> factor choices. LCA is a st</w:t>
      </w:r>
      <w:r>
        <w:t>ructured learning process.</w:t>
      </w:r>
    </w:p>
    <w:p w:rsidR="006C03BE" w:rsidRDefault="000A5B4A">
      <w:pPr>
        <w:pStyle w:val="Heading2"/>
        <w:spacing w:line="280" w:lineRule="auto"/>
      </w:pPr>
      <w:r>
        <w:t>6.1 The Two-Phase Iterative Approach</w:t>
      </w:r>
    </w:p>
    <w:p w:rsidR="006C03BE" w:rsidRDefault="000A5B4A">
      <w:pPr>
        <w:spacing w:before="60" w:after="70" w:line="308" w:lineRule="auto"/>
        <w:ind w:firstLine="720"/>
        <w:jc w:val="both"/>
      </w:pPr>
      <w:r>
        <w:t>Best practice involves two iterative cycles:</w:t>
      </w:r>
    </w:p>
    <w:p w:rsidR="006C03BE" w:rsidRDefault="000A5B4A">
      <w:pPr>
        <w:pStyle w:val="ListParagraph"/>
        <w:numPr>
          <w:ilvl w:val="0"/>
          <w:numId w:val="2"/>
        </w:numPr>
        <w:spacing w:before="44" w:after="44" w:line="290" w:lineRule="auto"/>
        <w:jc w:val="both"/>
      </w:pPr>
      <w:r>
        <w:rPr>
          <w:b/>
          <w:bCs/>
        </w:rPr>
        <w:t xml:space="preserve">Screening LCA (Phase 1): </w:t>
      </w:r>
      <w:r>
        <w:t xml:space="preserve">A rapid, order-of-magnitude analysis that identifies which life cycle stages, processes, and impact categories contribute </w:t>
      </w:r>
      <w:r>
        <w:t xml:space="preserve">most significantly to total environmental impact. Preliminary energy and CO₂ calculations can be performed by hand or in a spreadsheet. The screening phase deliberately sacrifices precision for speed, its purpose being to focus analytical resources on the </w:t>
      </w:r>
      <w:r>
        <w:t>environmental hotspots that matter most before investing in detailed data collection.</w:t>
      </w:r>
    </w:p>
    <w:p w:rsidR="006C03BE" w:rsidRDefault="000A5B4A">
      <w:pPr>
        <w:pStyle w:val="ListParagraph"/>
        <w:numPr>
          <w:ilvl w:val="0"/>
          <w:numId w:val="2"/>
        </w:numPr>
        <w:spacing w:before="44" w:after="44" w:line="290" w:lineRule="auto"/>
        <w:jc w:val="both"/>
      </w:pPr>
      <w:r>
        <w:rPr>
          <w:b/>
          <w:bCs/>
        </w:rPr>
        <w:t xml:space="preserve">Detailed LCA (Phase 2): </w:t>
      </w:r>
      <w:r>
        <w:t xml:space="preserve">A full analysis incorporating granular process data, comprehensive inventory modelling, rigorous LCIA, and quantitative uncertainty analysis. The </w:t>
      </w:r>
      <w:r>
        <w:t>scope of this phase is determined by the screening results: processes or life cycle stages identified as contributing less than 1–5% of cumulative impact can typically be excluded without material effect on conclusions. Energy and CO₂ balances calculated b</w:t>
      </w:r>
      <w:r>
        <w:t>y hand serve as a quality check against software outputs.</w:t>
      </w:r>
    </w:p>
    <w:p w:rsidR="006C03BE" w:rsidRDefault="006C03BE">
      <w:pPr>
        <w:spacing w:before="60" w:after="60"/>
      </w:pPr>
    </w:p>
    <w:p w:rsidR="006C03BE" w:rsidRDefault="000A5B4A">
      <w:pPr>
        <w:spacing w:before="60" w:after="70" w:line="308" w:lineRule="auto"/>
        <w:ind w:firstLine="720"/>
        <w:jc w:val="both"/>
      </w:pPr>
      <w:r>
        <w:t>This two-phase approach embeds analytical proportionality — depth of analysis proportional to the importance of the question — and provides a built-in quality control mechanism through iterative co</w:t>
      </w:r>
      <w:r>
        <w:t>nsistency checking between phases.</w:t>
      </w:r>
    </w:p>
    <w:p w:rsidR="006C03BE" w:rsidRDefault="000A5B4A">
      <w:pPr>
        <w:pStyle w:val="Heading2"/>
        <w:spacing w:line="280" w:lineRule="auto"/>
      </w:pPr>
      <w:r>
        <w:t>6.2 LCA Software Platforms</w:t>
      </w:r>
    </w:p>
    <w:p w:rsidR="006C03BE" w:rsidRDefault="000A5B4A">
      <w:pPr>
        <w:spacing w:before="60" w:after="70" w:line="308" w:lineRule="auto"/>
        <w:ind w:firstLine="720"/>
        <w:jc w:val="both"/>
      </w:pPr>
      <w:r>
        <w:t xml:space="preserve">Full LCA studies require </w:t>
      </w:r>
      <w:proofErr w:type="spellStart"/>
      <w:r>
        <w:t>specialised</w:t>
      </w:r>
      <w:proofErr w:type="spellEnd"/>
      <w:r>
        <w:t xml:space="preserve"> software to manage the computational complexity of multi-process, multi-substance inventory matrices and </w:t>
      </w:r>
      <w:proofErr w:type="spellStart"/>
      <w:r>
        <w:t>characterisation</w:t>
      </w:r>
      <w:proofErr w:type="spellEnd"/>
      <w:r>
        <w:t xml:space="preserve"> calculations. Major platforms inclu</w:t>
      </w:r>
      <w:r>
        <w:t xml:space="preserve">de </w:t>
      </w:r>
      <w:proofErr w:type="spellStart"/>
      <w:r>
        <w:t>SimaPro</w:t>
      </w:r>
      <w:proofErr w:type="spellEnd"/>
      <w:r>
        <w:t xml:space="preserve"> (</w:t>
      </w:r>
      <w:proofErr w:type="spellStart"/>
      <w:r>
        <w:t>PRé</w:t>
      </w:r>
      <w:proofErr w:type="spellEnd"/>
      <w:r>
        <w:t xml:space="preserve"> Consultants), </w:t>
      </w:r>
      <w:proofErr w:type="spellStart"/>
      <w:r>
        <w:t>GaBi</w:t>
      </w:r>
      <w:proofErr w:type="spellEnd"/>
      <w:r>
        <w:t xml:space="preserve"> (</w:t>
      </w:r>
      <w:proofErr w:type="spellStart"/>
      <w:r>
        <w:t>Thinkstep</w:t>
      </w:r>
      <w:proofErr w:type="spellEnd"/>
      <w:r>
        <w:t>/</w:t>
      </w:r>
      <w:proofErr w:type="spellStart"/>
      <w:r>
        <w:t>Sphera</w:t>
      </w:r>
      <w:proofErr w:type="spellEnd"/>
      <w:r>
        <w:t xml:space="preserve">), </w:t>
      </w:r>
      <w:proofErr w:type="spellStart"/>
      <w:r>
        <w:t>OpenLCA</w:t>
      </w:r>
      <w:proofErr w:type="spellEnd"/>
      <w:r>
        <w:t xml:space="preserve"> (</w:t>
      </w:r>
      <w:proofErr w:type="spellStart"/>
      <w:r>
        <w:t>GreenDelta</w:t>
      </w:r>
      <w:proofErr w:type="spellEnd"/>
      <w:r>
        <w:t xml:space="preserve">, open source), and Brightway2 (Python-based, open source). Each integrates with major LCI databases, particularly </w:t>
      </w:r>
      <w:proofErr w:type="spellStart"/>
      <w:r>
        <w:t>Ecoinvent</w:t>
      </w:r>
      <w:proofErr w:type="spellEnd"/>
      <w:r>
        <w:t>. Regardless of platform, best practice requires independe</w:t>
      </w:r>
      <w:r>
        <w:t xml:space="preserve">nt verification of energy and CO₂ calculations by hand or spreadsheet — a safeguard against data entry errors, </w:t>
      </w:r>
      <w:proofErr w:type="spellStart"/>
      <w:r>
        <w:t>misspecified</w:t>
      </w:r>
      <w:proofErr w:type="spellEnd"/>
      <w:r>
        <w:t xml:space="preserve"> functional units, and unit conversion mistakes that are common in software-based LCA (Jolliet et al., 2016).</w:t>
      </w:r>
    </w:p>
    <w:p w:rsidR="006C03BE" w:rsidRDefault="006C03BE">
      <w:pPr>
        <w:pBdr>
          <w:bottom w:val="single" w:sz="4" w:space="1" w:color="3B82C4"/>
        </w:pBdr>
        <w:spacing w:before="180" w:after="180" w:line="300" w:lineRule="auto"/>
      </w:pPr>
    </w:p>
    <w:p w:rsidR="006C03BE" w:rsidRDefault="000A5B4A">
      <w:pPr>
        <w:pStyle w:val="Heading1"/>
        <w:pBdr>
          <w:bottom w:val="single" w:sz="8" w:space="4" w:color="3B82C4"/>
        </w:pBdr>
        <w:spacing w:line="280" w:lineRule="auto"/>
      </w:pPr>
      <w:r>
        <w:t>7. Methodological Evol</w:t>
      </w:r>
      <w:r>
        <w:t>ution: From Technical Tool to Strategic Framework</w:t>
      </w:r>
    </w:p>
    <w:p w:rsidR="006C03BE" w:rsidRDefault="000A5B4A">
      <w:pPr>
        <w:spacing w:before="60" w:after="70" w:line="308" w:lineRule="auto"/>
        <w:ind w:firstLine="720"/>
        <w:jc w:val="both"/>
      </w:pPr>
      <w:r>
        <w:t>The methodological evolution of LCA over the past five decades reflects a progressive expansion of its scope, ambition, and institutional embeddedness. Understanding this trajectory is essential for PhD res</w:t>
      </w:r>
      <w:r>
        <w:t>earchers who will engage with LCA not only as a technical procedure but as a governance instrument and strategic management framework.</w:t>
      </w:r>
    </w:p>
    <w:p w:rsidR="006C03BE" w:rsidRDefault="000A5B4A">
      <w:pPr>
        <w:pStyle w:val="Heading2"/>
        <w:spacing w:line="280" w:lineRule="auto"/>
      </w:pPr>
      <w:r>
        <w:t>7.1 From Environmental Accounting to Strategic Decision Support</w:t>
      </w:r>
    </w:p>
    <w:p w:rsidR="006C03BE" w:rsidRDefault="000A5B4A">
      <w:pPr>
        <w:spacing w:before="60" w:after="70" w:line="308" w:lineRule="auto"/>
        <w:ind w:firstLine="720"/>
        <w:jc w:val="both"/>
      </w:pPr>
      <w:r>
        <w:lastRenderedPageBreak/>
        <w:t>In its early iterations, LCA was primarily a technical ac</w:t>
      </w:r>
      <w:r>
        <w:t>counting tool — a systematic procedure for tallying material and energy flows and their associated emissions. Its output was a detailed inventory and, later, an environmental impact profile. Over time, the scope of its application has expanded substantiall</w:t>
      </w:r>
      <w:r>
        <w:t>y:</w:t>
      </w:r>
    </w:p>
    <w:p w:rsidR="006C03BE" w:rsidRDefault="000A5B4A">
      <w:pPr>
        <w:pStyle w:val="ListParagraph"/>
        <w:numPr>
          <w:ilvl w:val="0"/>
          <w:numId w:val="2"/>
        </w:numPr>
        <w:spacing w:before="44" w:after="44" w:line="290" w:lineRule="auto"/>
        <w:jc w:val="both"/>
      </w:pPr>
      <w:r>
        <w:rPr>
          <w:b/>
          <w:bCs/>
        </w:rPr>
        <w:t xml:space="preserve">Product eco-design: </w:t>
      </w:r>
      <w:r>
        <w:t xml:space="preserve">LCA results now routinely inform early-stage design decisions, identifying hotspot processes and materials before manufacturing investments are locked in. Early LCA integration in design reduces the cost of environmental improvement </w:t>
      </w:r>
      <w:r>
        <w:t>by orders of magnitude compared with retrofitting.</w:t>
      </w:r>
    </w:p>
    <w:p w:rsidR="006C03BE" w:rsidRDefault="000A5B4A">
      <w:pPr>
        <w:pStyle w:val="ListParagraph"/>
        <w:numPr>
          <w:ilvl w:val="0"/>
          <w:numId w:val="2"/>
        </w:numPr>
        <w:spacing w:before="44" w:after="44" w:line="290" w:lineRule="auto"/>
        <w:jc w:val="both"/>
      </w:pPr>
      <w:r>
        <w:rPr>
          <w:b/>
          <w:bCs/>
        </w:rPr>
        <w:t xml:space="preserve">Environmental Product Declarations (EPDs): </w:t>
      </w:r>
      <w:r>
        <w:t xml:space="preserve">EPDs use LCA as their analytical foundation to provide </w:t>
      </w:r>
      <w:proofErr w:type="spellStart"/>
      <w:r>
        <w:t>standardised</w:t>
      </w:r>
      <w:proofErr w:type="spellEnd"/>
      <w:r>
        <w:t>, third-party-verified environmental performance data for products. EPDs are increasingly requi</w:t>
      </w:r>
      <w:r>
        <w:t xml:space="preserve">red by public procurement specifications, particularly in the construction sector, and are </w:t>
      </w:r>
      <w:proofErr w:type="spellStart"/>
      <w:r>
        <w:t>recognised</w:t>
      </w:r>
      <w:proofErr w:type="spellEnd"/>
      <w:r>
        <w:t xml:space="preserve"> in green building certification systems.</w:t>
      </w:r>
    </w:p>
    <w:p w:rsidR="006C03BE" w:rsidRDefault="000A5B4A">
      <w:pPr>
        <w:pStyle w:val="ListParagraph"/>
        <w:numPr>
          <w:ilvl w:val="0"/>
          <w:numId w:val="2"/>
        </w:numPr>
        <w:spacing w:before="44" w:after="44" w:line="290" w:lineRule="auto"/>
        <w:jc w:val="both"/>
      </w:pPr>
      <w:r>
        <w:rPr>
          <w:b/>
          <w:bCs/>
        </w:rPr>
        <w:t xml:space="preserve">Corporate sustainability strategy: </w:t>
      </w:r>
      <w:r>
        <w:t xml:space="preserve">LCA is embedded in the sustainability reporting of major multinational corporations, informing supplier assessment, product portfolio </w:t>
      </w:r>
      <w:proofErr w:type="spellStart"/>
      <w:r>
        <w:t>prioritisation</w:t>
      </w:r>
      <w:proofErr w:type="spellEnd"/>
      <w:r>
        <w:t xml:space="preserve">, and public environmental claims. The Science Based Targets initiative and the EU Corporate Sustainability </w:t>
      </w:r>
      <w:r>
        <w:t>Reporting Directive (CSRD) create growing demand for LCA-based disclosure.</w:t>
      </w:r>
    </w:p>
    <w:p w:rsidR="006C03BE" w:rsidRDefault="000A5B4A">
      <w:pPr>
        <w:pStyle w:val="ListParagraph"/>
        <w:numPr>
          <w:ilvl w:val="0"/>
          <w:numId w:val="2"/>
        </w:numPr>
        <w:spacing w:before="44" w:after="44" w:line="290" w:lineRule="auto"/>
        <w:jc w:val="both"/>
      </w:pPr>
      <w:r>
        <w:rPr>
          <w:b/>
          <w:bCs/>
        </w:rPr>
        <w:t xml:space="preserve">Policy and regulatory support: </w:t>
      </w:r>
      <w:r>
        <w:t xml:space="preserve">The European Commission's Product Environmental Footprint (PEF) methodology — formally adopted as the basis for product-level environmental claims in </w:t>
      </w:r>
      <w:r>
        <w:t>the EU — is a directly LCA-based approach. National governments use LCA to evaluate biofuel sustainability criteria, set energy labelling standards, and design extended producer responsibility schemes.</w:t>
      </w:r>
    </w:p>
    <w:p w:rsidR="006C03BE" w:rsidRDefault="006C03BE">
      <w:pPr>
        <w:spacing w:before="60" w:after="60"/>
      </w:pPr>
    </w:p>
    <w:p w:rsidR="006C03BE" w:rsidRDefault="000A5B4A">
      <w:pPr>
        <w:pStyle w:val="Heading2"/>
        <w:spacing w:line="280" w:lineRule="auto"/>
      </w:pPr>
      <w:r>
        <w:t>7.2 Integration with Green Building Certification</w:t>
      </w:r>
    </w:p>
    <w:p w:rsidR="006C03BE" w:rsidRDefault="000A5B4A">
      <w:pPr>
        <w:spacing w:before="60" w:after="70" w:line="308" w:lineRule="auto"/>
        <w:ind w:firstLine="720"/>
        <w:jc w:val="both"/>
      </w:pPr>
      <w:r>
        <w:t xml:space="preserve">In </w:t>
      </w:r>
      <w:r>
        <w:t>the construction sector, LCA has become a core methodology for assessing the whole-of-life environmental performance of buildings and infrastructure. Green building certification systems — including LEED (Leadership in Energy and Environmental Design), BRE</w:t>
      </w:r>
      <w:r>
        <w:t>EAM (Building Research Establishment Environmental Assessment Method), and DGNB — award credits or recognition for LCA-based whole-building environmental analysis. Whole-building LCA encompasses the embodied impacts of materials (extraction, manufacturing,</w:t>
      </w:r>
      <w:r>
        <w:t xml:space="preserve"> transport), the operational impacts of energy use over the building's service life, and end-of-life impacts of demolition and material recovery. This integration has driven substantial growth in construction-sector LCA practice and LCI database developmen</w:t>
      </w:r>
      <w:r>
        <w:t>t for building materials.</w:t>
      </w:r>
    </w:p>
    <w:p w:rsidR="006C03BE" w:rsidRDefault="000A5B4A">
      <w:pPr>
        <w:pStyle w:val="Heading2"/>
        <w:spacing w:line="280" w:lineRule="auto"/>
      </w:pPr>
      <w:r>
        <w:t>7.3 Integration with Circular Economy Policy</w:t>
      </w:r>
    </w:p>
    <w:p w:rsidR="006C03BE" w:rsidRDefault="000A5B4A">
      <w:pPr>
        <w:spacing w:before="60" w:after="70" w:line="308" w:lineRule="auto"/>
        <w:ind w:firstLine="720"/>
        <w:jc w:val="both"/>
      </w:pPr>
      <w:r>
        <w:t>The circular economy — a systemic approach that aims to keep materials in productive use for as long as possible through reuse, repair, remanufacturing, and recycling — has elevated LCA</w:t>
      </w:r>
      <w:r>
        <w:t xml:space="preserve"> to a central analytical role. LCA provides the quantitative evidence base for evaluating whether circular strategies genuinely reduce environmental impacts across the full life cycle, or whether rebound effects, collection logistics, and reprocessing burd</w:t>
      </w:r>
      <w:r>
        <w:t>ens negate apparent benefits. The EU Circular Economy Action Plan and the associated legislative packages on sustainable products, critical raw materials, and waste treatment all identify LCA as a key analytical instrument for evidence-based circular econo</w:t>
      </w:r>
      <w:r>
        <w:t>my policy.</w:t>
      </w:r>
    </w:p>
    <w:p w:rsidR="006C03BE" w:rsidRDefault="000A5B4A">
      <w:pPr>
        <w:pStyle w:val="Heading2"/>
        <w:spacing w:line="280" w:lineRule="auto"/>
      </w:pPr>
      <w:r>
        <w:t>7.4 Emerging Methodological Frontiers</w:t>
      </w:r>
    </w:p>
    <w:p w:rsidR="006C03BE" w:rsidRDefault="000A5B4A">
      <w:pPr>
        <w:spacing w:before="60" w:after="70" w:line="308" w:lineRule="auto"/>
        <w:ind w:firstLine="720"/>
        <w:jc w:val="both"/>
      </w:pPr>
      <w:r>
        <w:t>Three emerging frontiers are reshaping LCA methodology for the next decade:</w:t>
      </w:r>
    </w:p>
    <w:p w:rsidR="006C03BE" w:rsidRDefault="000A5B4A">
      <w:pPr>
        <w:pStyle w:val="ListParagraph"/>
        <w:numPr>
          <w:ilvl w:val="0"/>
          <w:numId w:val="2"/>
        </w:numPr>
        <w:spacing w:before="44" w:after="44" w:line="290" w:lineRule="auto"/>
        <w:jc w:val="both"/>
      </w:pPr>
      <w:r>
        <w:rPr>
          <w:b/>
          <w:bCs/>
        </w:rPr>
        <w:lastRenderedPageBreak/>
        <w:t xml:space="preserve">Artificial Intelligence and Big Data: </w:t>
      </w:r>
      <w:r>
        <w:t>Machine learning techniques are being applied to accelerate LCI data collection (e.g., automa</w:t>
      </w:r>
      <w:r>
        <w:t>ted extraction from supplier databases), to predict missing inventory data, and to reduce parametric uncertainty. AI-assisted LCA has the potential to dramatically reduce the data collection burden that currently limits LCA applicability in data-scarce con</w:t>
      </w:r>
      <w:r>
        <w:t>texts.</w:t>
      </w:r>
    </w:p>
    <w:p w:rsidR="006C03BE" w:rsidRDefault="000A5B4A">
      <w:pPr>
        <w:pStyle w:val="ListParagraph"/>
        <w:numPr>
          <w:ilvl w:val="0"/>
          <w:numId w:val="2"/>
        </w:numPr>
        <w:spacing w:before="44" w:after="44" w:line="290" w:lineRule="auto"/>
        <w:jc w:val="both"/>
      </w:pPr>
      <w:r>
        <w:rPr>
          <w:b/>
          <w:bCs/>
        </w:rPr>
        <w:t xml:space="preserve">Dynamic and Prospective LCA: </w:t>
      </w:r>
      <w:r>
        <w:t>Conventional LCA is static — it models a product system as a snapshot in time. Dynamic LCA models time-varying emission profiles (e.g., the changing carbon intensity of electricity grids over a product's service life) an</w:t>
      </w:r>
      <w:r>
        <w:t>d prospective LCA models future product systems under different technology or policy scenarios. Both approaches are essential for informing long-horizon decisions, such as infrastructure investment or technology transition policy.</w:t>
      </w:r>
    </w:p>
    <w:p w:rsidR="006C03BE" w:rsidRDefault="000A5B4A">
      <w:pPr>
        <w:pStyle w:val="ListParagraph"/>
        <w:numPr>
          <w:ilvl w:val="0"/>
          <w:numId w:val="2"/>
        </w:numPr>
        <w:spacing w:before="44" w:after="44" w:line="290" w:lineRule="auto"/>
        <w:jc w:val="both"/>
      </w:pPr>
      <w:r>
        <w:rPr>
          <w:b/>
          <w:bCs/>
        </w:rPr>
        <w:t xml:space="preserve">Spatial Differentiation: </w:t>
      </w:r>
      <w:r>
        <w:t>The environmental significance of a given emission depends profoundly on where it occurs — a kilogram of phosphorus entering a nutrient-poor remote lake has very different ecosystem consequences than the same emission entering an already-eutrophic river ne</w:t>
      </w:r>
      <w:r>
        <w:t>ar a protected wetland. Spatially differentiated LCIA models, developed under the Life Cycle Initiative flagship project, are progressively being incorporated into mainstream LCIA methods, particularly for water use, land use, and particulate matter impact</w:t>
      </w:r>
      <w:r>
        <w:t>s.</w:t>
      </w:r>
    </w:p>
    <w:p w:rsidR="006C03BE" w:rsidRDefault="006C03BE">
      <w:pPr>
        <w:pBdr>
          <w:bottom w:val="single" w:sz="4" w:space="1" w:color="3B82C4"/>
        </w:pBdr>
        <w:spacing w:before="180" w:after="180" w:line="300" w:lineRule="auto"/>
      </w:pPr>
    </w:p>
    <w:p w:rsidR="006C03BE" w:rsidRDefault="000A5B4A">
      <w:pPr>
        <w:pStyle w:val="Heading1"/>
        <w:pBdr>
          <w:bottom w:val="single" w:sz="8" w:space="4" w:color="3B82C4"/>
        </w:pBdr>
        <w:spacing w:line="280" w:lineRule="auto"/>
      </w:pPr>
      <w:r>
        <w:t>8. Practical Applications of LCA Across Key Sectors</w:t>
      </w:r>
    </w:p>
    <w:p w:rsidR="006C03BE" w:rsidRDefault="000A5B4A">
      <w:pPr>
        <w:spacing w:before="60" w:after="70" w:line="308" w:lineRule="auto"/>
        <w:ind w:firstLine="720"/>
        <w:jc w:val="both"/>
      </w:pPr>
      <w:r>
        <w:t>LCA has been applied across virtually every sector of the modern economy. This section surveys its applications in four sectors of particular relevance for sustainability research and PhD inquiry: foo</w:t>
      </w:r>
      <w:r>
        <w:t>d systems, construction, energy, and public policy. These sectors collectively account for the dominant share of global greenhouse gas emissions, resource consumption, and land use change.</w:t>
      </w:r>
    </w:p>
    <w:p w:rsidR="006C03BE" w:rsidRDefault="000A5B4A">
      <w:pPr>
        <w:pStyle w:val="Heading2"/>
        <w:spacing w:line="280" w:lineRule="auto"/>
      </w:pPr>
      <w:r>
        <w:t>8.1 Food and Agriculture Sector</w:t>
      </w:r>
    </w:p>
    <w:p w:rsidR="006C03BE" w:rsidRDefault="000A5B4A">
      <w:pPr>
        <w:spacing w:before="60" w:after="70" w:line="308" w:lineRule="auto"/>
        <w:ind w:firstLine="720"/>
        <w:jc w:val="both"/>
      </w:pPr>
      <w:r>
        <w:t>The food system — from agricultural</w:t>
      </w:r>
      <w:r>
        <w:t xml:space="preserve"> production through processing, packaging, distribution, retail, consumption, and food waste — is responsible for approximately 26% of global greenhouse gas emissions (</w:t>
      </w:r>
      <w:proofErr w:type="spellStart"/>
      <w:r>
        <w:t>Poore</w:t>
      </w:r>
      <w:proofErr w:type="spellEnd"/>
      <w:r>
        <w:t xml:space="preserve"> &amp; </w:t>
      </w:r>
      <w:proofErr w:type="spellStart"/>
      <w:r>
        <w:t>Nemecek</w:t>
      </w:r>
      <w:proofErr w:type="spellEnd"/>
      <w:r>
        <w:t>, 2018) and is a principal driver of land use change, freshwater depletio</w:t>
      </w:r>
      <w:r>
        <w:t>n, and nitrogen pollution. LCA has become the primary tool for quantifying and comparing the environmental performance of food products and agricultural systems.</w:t>
      </w:r>
    </w:p>
    <w:p w:rsidR="006C03BE" w:rsidRDefault="000A5B4A">
      <w:pPr>
        <w:spacing w:before="60" w:after="70" w:line="308" w:lineRule="auto"/>
        <w:ind w:firstLine="720"/>
        <w:jc w:val="both"/>
      </w:pPr>
      <w:r>
        <w:t>A paradigmatic application is the comparison of conventional versus organic milk production ov</w:t>
      </w:r>
      <w:r>
        <w:t xml:space="preserve">er one </w:t>
      </w:r>
      <w:proofErr w:type="spellStart"/>
      <w:r>
        <w:t>litre</w:t>
      </w:r>
      <w:proofErr w:type="spellEnd"/>
      <w:r>
        <w:t xml:space="preserve"> of milk consumed. A full LCA reveals that while organic production typically requires more land per </w:t>
      </w:r>
      <w:proofErr w:type="spellStart"/>
      <w:r>
        <w:t>litre</w:t>
      </w:r>
      <w:proofErr w:type="spellEnd"/>
      <w:r>
        <w:t xml:space="preserve"> (due to lower yields), it may produce lower greenhouse gas emissions per hectare and lower pesticide-related ecotoxicity impacts — a trad</w:t>
      </w:r>
      <w:r>
        <w:t>e-off invisible to carbon-footprint-only analysis. Similarly, LCA studies comparing plant-based and animal-based protein sources consistently identify animal agriculture — particularly ruminant livestock — as the dominant environmental hotspot in global fo</w:t>
      </w:r>
      <w:r>
        <w:t>od systems, while revealing important nuances among different livestock systems and geographic contexts.</w:t>
      </w:r>
    </w:p>
    <w:p w:rsidR="006C03BE" w:rsidRDefault="000A5B4A">
      <w:pPr>
        <w:spacing w:before="60" w:after="70" w:line="308" w:lineRule="auto"/>
        <w:ind w:firstLine="720"/>
        <w:jc w:val="both"/>
      </w:pPr>
      <w:r>
        <w:t>For the food sector, key LCA methodological choices include: the functional unit (per kg product? per gram protein? per serving? per calorie?); the han</w:t>
      </w:r>
      <w:r>
        <w:t>dling of land use change emissions; the allocation of co-product burdens between meat and dairy; and the treatment of soil carbon sequestration in agricultural systems. Each choice can substantially alter comparative conclusions, underscoring the importanc</w:t>
      </w:r>
      <w:r>
        <w:t>e of transparent methodological reporting and sensitivity analysis.</w:t>
      </w:r>
    </w:p>
    <w:p w:rsidR="006C03BE" w:rsidRDefault="006C03BE">
      <w:pPr>
        <w:spacing w:before="70" w:after="70"/>
      </w:pPr>
    </w:p>
    <w:p w:rsidR="006C03BE" w:rsidRDefault="000A5B4A">
      <w:pPr>
        <w:spacing w:before="60" w:after="60" w:line="260" w:lineRule="auto"/>
        <w:jc w:val="center"/>
      </w:pPr>
      <w:r>
        <w:rPr>
          <w:b/>
          <w:bCs/>
          <w:color w:val="1A3557"/>
          <w:sz w:val="21"/>
          <w:szCs w:val="21"/>
        </w:rPr>
        <w:lastRenderedPageBreak/>
        <w:t>Table 5. Illustrative LCA Application Examples Across Key Sectors</w:t>
      </w:r>
    </w:p>
    <w:tbl>
      <w:tblPr>
        <w:tblW w:w="1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00"/>
        <w:gridCol w:w="2200"/>
        <w:gridCol w:w="1900"/>
        <w:gridCol w:w="2100"/>
        <w:gridCol w:w="3326"/>
      </w:tblGrid>
      <w:tr w:rsidR="006C03BE">
        <w:tblPrEx>
          <w:tblCellMar>
            <w:top w:w="0" w:type="dxa"/>
            <w:bottom w:w="0" w:type="dxa"/>
          </w:tblCellMar>
        </w:tblPrEx>
        <w:trPr>
          <w:tblHeader/>
        </w:trPr>
        <w:tc>
          <w:tcPr>
            <w:tcW w:w="1500"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Sector</w:t>
            </w:r>
          </w:p>
        </w:tc>
        <w:tc>
          <w:tcPr>
            <w:tcW w:w="2200"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Illustrative LCA Question</w:t>
            </w:r>
          </w:p>
        </w:tc>
        <w:tc>
          <w:tcPr>
            <w:tcW w:w="1900"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Functional Unit</w:t>
            </w:r>
          </w:p>
        </w:tc>
        <w:tc>
          <w:tcPr>
            <w:tcW w:w="2100"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Key Environmental Hotspot (typical)</w:t>
            </w:r>
          </w:p>
        </w:tc>
        <w:tc>
          <w:tcPr>
            <w:tcW w:w="3326"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LCA Insight / Policy Relevance</w:t>
            </w:r>
          </w:p>
        </w:tc>
      </w:tr>
      <w:tr w:rsidR="006C03BE">
        <w:tblPrEx>
          <w:tblCellMar>
            <w:top w:w="0" w:type="dxa"/>
            <w:bottom w:w="0" w:type="dxa"/>
          </w:tblCellMar>
        </w:tblPrEx>
        <w:tc>
          <w:tcPr>
            <w:tcW w:w="15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Food &amp; Agriculture</w:t>
            </w:r>
          </w:p>
        </w:tc>
        <w:tc>
          <w:tcPr>
            <w:tcW w:w="22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Conventional vs. organic milk production</w:t>
            </w:r>
          </w:p>
        </w:tc>
        <w:tc>
          <w:tcPr>
            <w:tcW w:w="19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 xml:space="preserve">1 </w:t>
            </w:r>
            <w:proofErr w:type="spellStart"/>
            <w:r>
              <w:rPr>
                <w:sz w:val="19"/>
                <w:szCs w:val="19"/>
              </w:rPr>
              <w:t>litre</w:t>
            </w:r>
            <w:proofErr w:type="spellEnd"/>
            <w:r>
              <w:rPr>
                <w:sz w:val="19"/>
                <w:szCs w:val="19"/>
              </w:rPr>
              <w:t xml:space="preserve"> of fresh milk at the consumer</w:t>
            </w:r>
          </w:p>
        </w:tc>
        <w:tc>
          <w:tcPr>
            <w:tcW w:w="21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On-farm enteric fermentation and manure management</w:t>
            </w:r>
          </w:p>
        </w:tc>
        <w:tc>
          <w:tcPr>
            <w:tcW w:w="33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Trade-offs between GHG, land use, and ecotoxicity — single-metric CF analysis is insufficient</w:t>
            </w:r>
          </w:p>
        </w:tc>
      </w:tr>
      <w:tr w:rsidR="006C03BE">
        <w:tblPrEx>
          <w:tblCellMar>
            <w:top w:w="0" w:type="dxa"/>
            <w:bottom w:w="0" w:type="dxa"/>
          </w:tblCellMar>
        </w:tblPrEx>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Food &amp; Agriculture</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Plant-based vs. animal-based protein</w:t>
            </w:r>
          </w:p>
        </w:tc>
        <w:tc>
          <w:tcPr>
            <w:tcW w:w="19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1 kg of edible protein</w:t>
            </w:r>
          </w:p>
        </w:tc>
        <w:tc>
          <w:tcPr>
            <w:tcW w:w="21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Animal agriculture (ruminant livestock dominant)</w:t>
            </w:r>
          </w:p>
        </w:tc>
        <w:tc>
          <w:tcPr>
            <w:tcW w:w="33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Dietary shift is the highest-impact consumer action for food system sustainability</w:t>
            </w:r>
          </w:p>
        </w:tc>
      </w:tr>
      <w:tr w:rsidR="006C03BE">
        <w:tblPrEx>
          <w:tblCellMar>
            <w:top w:w="0" w:type="dxa"/>
            <w:bottom w:w="0" w:type="dxa"/>
          </w:tblCellMar>
        </w:tblPrEx>
        <w:tc>
          <w:tcPr>
            <w:tcW w:w="15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Construction &amp; Built Environment</w:t>
            </w:r>
          </w:p>
        </w:tc>
        <w:tc>
          <w:tcPr>
            <w:tcW w:w="22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Conventional concrete vs. low-carbon alternatives (timber, recycled materials)</w:t>
            </w:r>
          </w:p>
        </w:tc>
        <w:tc>
          <w:tcPr>
            <w:tcW w:w="19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1 m² of functional floor area, 50-year service life</w:t>
            </w:r>
          </w:p>
        </w:tc>
        <w:tc>
          <w:tcPr>
            <w:tcW w:w="21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Embodied carbon in material production (cement calcination)</w:t>
            </w:r>
          </w:p>
        </w:tc>
        <w:tc>
          <w:tcPr>
            <w:tcW w:w="33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Whole-building LCA essential for EPDs and green building certific</w:t>
            </w:r>
            <w:r>
              <w:rPr>
                <w:sz w:val="19"/>
                <w:szCs w:val="19"/>
              </w:rPr>
              <w:t>ation (LEED, BREEAM)</w:t>
            </w:r>
          </w:p>
        </w:tc>
      </w:tr>
      <w:tr w:rsidR="006C03BE">
        <w:tblPrEx>
          <w:tblCellMar>
            <w:top w:w="0" w:type="dxa"/>
            <w:bottom w:w="0" w:type="dxa"/>
          </w:tblCellMar>
        </w:tblPrEx>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Energy Systems</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Coal power vs. utility-scale solar PV</w:t>
            </w:r>
          </w:p>
        </w:tc>
        <w:tc>
          <w:tcPr>
            <w:tcW w:w="19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1 kWh of electricity delivered to the grid</w:t>
            </w:r>
          </w:p>
        </w:tc>
        <w:tc>
          <w:tcPr>
            <w:tcW w:w="21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Combustion emissions (coal); manufacturing phase (solar PV)</w:t>
            </w:r>
          </w:p>
        </w:tc>
        <w:tc>
          <w:tcPr>
            <w:tcW w:w="33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Solar LCA reveals low operational impacts but non-negligible manufacturing and end-of-life burdens</w:t>
            </w:r>
          </w:p>
        </w:tc>
      </w:tr>
      <w:tr w:rsidR="006C03BE">
        <w:tblPrEx>
          <w:tblCellMar>
            <w:top w:w="0" w:type="dxa"/>
            <w:bottom w:w="0" w:type="dxa"/>
          </w:tblCellMar>
        </w:tblPrEx>
        <w:tc>
          <w:tcPr>
            <w:tcW w:w="15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Energy Systems</w:t>
            </w:r>
          </w:p>
        </w:tc>
        <w:tc>
          <w:tcPr>
            <w:tcW w:w="22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Internal combustion vs. battery-electric vehicle</w:t>
            </w:r>
          </w:p>
        </w:tc>
        <w:tc>
          <w:tcPr>
            <w:tcW w:w="19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1 vehicle-km driven over 150,000 km lifetime</w:t>
            </w:r>
          </w:p>
        </w:tc>
        <w:tc>
          <w:tcPr>
            <w:tcW w:w="21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Tailpipe emissions (ICE); battery manufacturing and grid electricity (BEV)</w:t>
            </w:r>
          </w:p>
        </w:tc>
        <w:tc>
          <w:tcPr>
            <w:tcW w:w="33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BEV advantage depends critically on electricity grid carbon intensity — LCA exposes this context-dependence</w:t>
            </w:r>
          </w:p>
        </w:tc>
      </w:tr>
      <w:tr w:rsidR="006C03BE">
        <w:tblPrEx>
          <w:tblCellMar>
            <w:top w:w="0" w:type="dxa"/>
            <w:bottom w:w="0" w:type="dxa"/>
          </w:tblCellMar>
        </w:tblPrEx>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Waste Management</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Municipal solid waste: landfill vs. incineration vs. recycling</w:t>
            </w:r>
          </w:p>
        </w:tc>
        <w:tc>
          <w:tcPr>
            <w:tcW w:w="19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 xml:space="preserve">Management of 1 </w:t>
            </w:r>
            <w:proofErr w:type="spellStart"/>
            <w:r>
              <w:rPr>
                <w:sz w:val="19"/>
                <w:szCs w:val="19"/>
              </w:rPr>
              <w:t>tonne</w:t>
            </w:r>
            <w:proofErr w:type="spellEnd"/>
            <w:r>
              <w:rPr>
                <w:sz w:val="19"/>
                <w:szCs w:val="19"/>
              </w:rPr>
              <w:t xml:space="preserve"> of mixed household waste</w:t>
            </w:r>
          </w:p>
        </w:tc>
        <w:tc>
          <w:tcPr>
            <w:tcW w:w="21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Methane from landfill decomposition</w:t>
            </w:r>
          </w:p>
        </w:tc>
        <w:tc>
          <w:tcPr>
            <w:tcW w:w="33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Recycling typically best for most material streams; incineration preferred over landfill for mixed residual wa</w:t>
            </w:r>
            <w:r>
              <w:rPr>
                <w:sz w:val="19"/>
                <w:szCs w:val="19"/>
              </w:rPr>
              <w:t>ste</w:t>
            </w:r>
          </w:p>
        </w:tc>
      </w:tr>
      <w:tr w:rsidR="006C03BE">
        <w:tblPrEx>
          <w:tblCellMar>
            <w:top w:w="0" w:type="dxa"/>
            <w:bottom w:w="0" w:type="dxa"/>
          </w:tblCellMar>
        </w:tblPrEx>
        <w:tc>
          <w:tcPr>
            <w:tcW w:w="15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Packaging</w:t>
            </w:r>
          </w:p>
        </w:tc>
        <w:tc>
          <w:tcPr>
            <w:tcW w:w="22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Single-use plastic vs. glass vs. multi-use reusable container</w:t>
            </w:r>
          </w:p>
        </w:tc>
        <w:tc>
          <w:tcPr>
            <w:tcW w:w="19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One use of a 300 mL beverage container</w:t>
            </w:r>
          </w:p>
        </w:tc>
        <w:tc>
          <w:tcPr>
            <w:tcW w:w="21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Raw material extraction and manufacturing (all scenarios)</w:t>
            </w:r>
          </w:p>
        </w:tc>
        <w:tc>
          <w:tcPr>
            <w:tcW w:w="33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 xml:space="preserve">Reuse advantage only </w:t>
            </w:r>
            <w:proofErr w:type="spellStart"/>
            <w:r>
              <w:rPr>
                <w:sz w:val="19"/>
                <w:szCs w:val="19"/>
              </w:rPr>
              <w:t>realised</w:t>
            </w:r>
            <w:proofErr w:type="spellEnd"/>
            <w:r>
              <w:rPr>
                <w:sz w:val="19"/>
                <w:szCs w:val="19"/>
              </w:rPr>
              <w:t xml:space="preserve"> when actual reuse rates are high and transport distances are short</w:t>
            </w:r>
          </w:p>
        </w:tc>
      </w:tr>
    </w:tbl>
    <w:p w:rsidR="006C03BE" w:rsidRDefault="000A5B4A">
      <w:pPr>
        <w:spacing w:before="40" w:after="100" w:line="260" w:lineRule="auto"/>
        <w:jc w:val="center"/>
      </w:pPr>
      <w:r>
        <w:rPr>
          <w:i/>
          <w:iCs/>
          <w:color w:val="555555"/>
          <w:sz w:val="19"/>
          <w:szCs w:val="19"/>
        </w:rPr>
        <w:t xml:space="preserve">Source: </w:t>
      </w:r>
      <w:proofErr w:type="spellStart"/>
      <w:r>
        <w:rPr>
          <w:i/>
          <w:iCs/>
          <w:color w:val="555555"/>
          <w:sz w:val="19"/>
          <w:szCs w:val="19"/>
        </w:rPr>
        <w:t>Synthesised</w:t>
      </w:r>
      <w:proofErr w:type="spellEnd"/>
      <w:r>
        <w:rPr>
          <w:i/>
          <w:iCs/>
          <w:color w:val="555555"/>
          <w:sz w:val="19"/>
          <w:szCs w:val="19"/>
        </w:rPr>
        <w:t xml:space="preserve"> from Jolliet et al. (2016); </w:t>
      </w:r>
      <w:proofErr w:type="spellStart"/>
      <w:r>
        <w:rPr>
          <w:i/>
          <w:iCs/>
          <w:color w:val="555555"/>
          <w:sz w:val="19"/>
          <w:szCs w:val="19"/>
        </w:rPr>
        <w:t>Poore</w:t>
      </w:r>
      <w:proofErr w:type="spellEnd"/>
      <w:r>
        <w:rPr>
          <w:i/>
          <w:iCs/>
          <w:color w:val="555555"/>
          <w:sz w:val="19"/>
          <w:szCs w:val="19"/>
        </w:rPr>
        <w:t xml:space="preserve"> &amp; </w:t>
      </w:r>
      <w:proofErr w:type="spellStart"/>
      <w:r>
        <w:rPr>
          <w:i/>
          <w:iCs/>
          <w:color w:val="555555"/>
          <w:sz w:val="19"/>
          <w:szCs w:val="19"/>
        </w:rPr>
        <w:t>Nemecek</w:t>
      </w:r>
      <w:proofErr w:type="spellEnd"/>
      <w:r>
        <w:rPr>
          <w:i/>
          <w:iCs/>
          <w:color w:val="555555"/>
          <w:sz w:val="19"/>
          <w:szCs w:val="19"/>
        </w:rPr>
        <w:t xml:space="preserve"> (2018); </w:t>
      </w:r>
      <w:proofErr w:type="spellStart"/>
      <w:r>
        <w:rPr>
          <w:i/>
          <w:iCs/>
          <w:color w:val="555555"/>
          <w:sz w:val="19"/>
          <w:szCs w:val="19"/>
        </w:rPr>
        <w:t>Hauschild</w:t>
      </w:r>
      <w:proofErr w:type="spellEnd"/>
      <w:r>
        <w:rPr>
          <w:i/>
          <w:iCs/>
          <w:color w:val="555555"/>
          <w:sz w:val="19"/>
          <w:szCs w:val="19"/>
        </w:rPr>
        <w:t xml:space="preserve"> et al. (2012); author's elaboration.</w:t>
      </w:r>
    </w:p>
    <w:p w:rsidR="006C03BE" w:rsidRDefault="006C03BE">
      <w:pPr>
        <w:spacing w:before="80" w:after="80"/>
      </w:pPr>
    </w:p>
    <w:p w:rsidR="006C03BE" w:rsidRDefault="000A5B4A">
      <w:pPr>
        <w:pStyle w:val="Heading2"/>
        <w:spacing w:line="280" w:lineRule="auto"/>
      </w:pPr>
      <w:r>
        <w:t>8.2 Construction and Built Environment Sector</w:t>
      </w:r>
    </w:p>
    <w:p w:rsidR="006C03BE" w:rsidRDefault="000A5B4A">
      <w:pPr>
        <w:spacing w:before="60" w:after="70" w:line="308" w:lineRule="auto"/>
        <w:ind w:firstLine="720"/>
        <w:jc w:val="both"/>
      </w:pPr>
      <w:r>
        <w:t xml:space="preserve">The construction and built environment sector accounts for approximately 36–40% of global final energy consumption and 39% of energy-related CO₂ emissions (IEA, 2022), making it a priority sector for </w:t>
      </w:r>
      <w:proofErr w:type="spellStart"/>
      <w:r>
        <w:t>decarbonis</w:t>
      </w:r>
      <w:r>
        <w:t>ation</w:t>
      </w:r>
      <w:proofErr w:type="spellEnd"/>
      <w:r>
        <w:t>. LCA is increasingly applied to assess the whole-of-life environmental performance of buildings and infrastructure, covering both embodied impacts (material production, construction, maintenance, and end-of-life) and operational impacts (heating, coo</w:t>
      </w:r>
      <w:r>
        <w:t>ling, lighting, and appliance energy).</w:t>
      </w:r>
    </w:p>
    <w:p w:rsidR="006C03BE" w:rsidRDefault="000A5B4A">
      <w:pPr>
        <w:spacing w:before="60" w:after="70" w:line="308" w:lineRule="auto"/>
        <w:ind w:firstLine="720"/>
        <w:jc w:val="both"/>
      </w:pPr>
      <w:r>
        <w:t>A central tension in building LCA is the trade-off between operational and embodied carbon. As building energy efficiency standards have improved dramatically over the past two decades, the operational carbon share of</w:t>
      </w:r>
      <w:r>
        <w:t xml:space="preserve"> total life cycle impact has declined, elevating the relative importance of embodied carbon in high-performance buildings. For net-zero buildings and passive houses, embodied carbon may account for 50–80% of total life cycle greenhouse gas emissions, makin</w:t>
      </w:r>
      <w:r>
        <w:t>g material choice — particularly decisions around steel, concrete, and insulation — strategically decisive.</w:t>
      </w:r>
    </w:p>
    <w:p w:rsidR="006C03BE" w:rsidRDefault="000A5B4A">
      <w:pPr>
        <w:spacing w:before="60" w:after="70" w:line="308" w:lineRule="auto"/>
        <w:ind w:firstLine="720"/>
        <w:jc w:val="both"/>
      </w:pPr>
      <w:r>
        <w:t xml:space="preserve">Functional unit choice in building LCA is particularly complex: per square </w:t>
      </w:r>
      <w:proofErr w:type="spellStart"/>
      <w:r>
        <w:t>metre</w:t>
      </w:r>
      <w:proofErr w:type="spellEnd"/>
      <w:r>
        <w:t xml:space="preserve"> of floor area? Per occupant? Per building? Over what service life (</w:t>
      </w:r>
      <w:r>
        <w:t xml:space="preserve">30 years? 50 years? 100 years?)? Each choice changes the relative ranking of building alternatives. The ISO 21931 standard and emerging EN 15978 norm (for Europe) provide sector-specific guidance on building LCA methodology, helping </w:t>
      </w:r>
      <w:proofErr w:type="spellStart"/>
      <w:r>
        <w:t>standardise</w:t>
      </w:r>
      <w:proofErr w:type="spellEnd"/>
      <w:r>
        <w:t xml:space="preserve"> practice ac</w:t>
      </w:r>
      <w:r>
        <w:t>ross national contexts.</w:t>
      </w:r>
    </w:p>
    <w:p w:rsidR="006C03BE" w:rsidRDefault="000A5B4A">
      <w:pPr>
        <w:pStyle w:val="Heading2"/>
        <w:spacing w:line="280" w:lineRule="auto"/>
      </w:pPr>
      <w:r>
        <w:t>8.3 Energy Systems</w:t>
      </w:r>
    </w:p>
    <w:p w:rsidR="006C03BE" w:rsidRDefault="000A5B4A">
      <w:pPr>
        <w:spacing w:before="60" w:after="70" w:line="308" w:lineRule="auto"/>
        <w:ind w:firstLine="720"/>
        <w:jc w:val="both"/>
      </w:pPr>
      <w:r>
        <w:lastRenderedPageBreak/>
        <w:t xml:space="preserve">Energy system LCA compares the environmental performance of electricity generation technologies, fuel supply chains, and energy carriers across their full life cycles. This application domain has produced some of the most consequential and policy-relevant </w:t>
      </w:r>
      <w:r>
        <w:t>LCA findings of the past two decades.</w:t>
      </w:r>
    </w:p>
    <w:p w:rsidR="006C03BE" w:rsidRDefault="000A5B4A">
      <w:pPr>
        <w:spacing w:before="60" w:after="70" w:line="308" w:lineRule="auto"/>
        <w:ind w:firstLine="720"/>
        <w:jc w:val="both"/>
      </w:pPr>
      <w:r>
        <w:t xml:space="preserve">The comparison of fossil fuel versus renewable electricity generation has been extensively studied. While the operational phase of solar photovoltaic (PV) and wind power produces near-zero direct emissions, their life </w:t>
      </w:r>
      <w:r>
        <w:t>cycle environmental profiles — including manufacturing of panels and turbines, use of critical minerals (silicon, neodymium, lithium), and end-of-life management — are non-negligible. However, across all major impact categories, the life cycle environmenta</w:t>
      </w:r>
      <w:r>
        <w:t>l performance of renewable electricity is substantially superior to coal, oil, and natural gas generation, even in regions with energy-intensive manufacturing of renewable technologies (</w:t>
      </w:r>
      <w:proofErr w:type="spellStart"/>
      <w:r>
        <w:t>Hertwich</w:t>
      </w:r>
      <w:proofErr w:type="spellEnd"/>
      <w:r>
        <w:t xml:space="preserve"> et al., 2014).</w:t>
      </w:r>
    </w:p>
    <w:p w:rsidR="006C03BE" w:rsidRDefault="000A5B4A">
      <w:pPr>
        <w:spacing w:before="60" w:after="70" w:line="308" w:lineRule="auto"/>
        <w:ind w:firstLine="720"/>
        <w:jc w:val="both"/>
      </w:pPr>
      <w:r>
        <w:t>The electric vehicle (EV) versus internal comb</w:t>
      </w:r>
      <w:r>
        <w:t>ustion engine (ICE) vehicle comparison exemplifies the context-dependence of LCA conclusions. In countries with high-carbon electricity grids (e.g., coal-dominant systems), the manufacturing-phase carbon burden of EV batteries reduces the climate advantage</w:t>
      </w:r>
      <w:r>
        <w:t xml:space="preserve"> of EVs over their lifetimes. In low-carbon grid contexts, EVs deliver substantial life cycle climate benefits. This context-dependence — visible only through full LCA, not carbon footprint alone — is a central contribution of LCA to energy transition poli</w:t>
      </w:r>
      <w:r>
        <w:t>cy.</w:t>
      </w:r>
    </w:p>
    <w:p w:rsidR="006C03BE" w:rsidRDefault="000A5B4A">
      <w:pPr>
        <w:pStyle w:val="Heading2"/>
        <w:spacing w:line="280" w:lineRule="auto"/>
      </w:pPr>
      <w:r>
        <w:t>8.4 Public Policy Applications</w:t>
      </w:r>
    </w:p>
    <w:p w:rsidR="006C03BE" w:rsidRDefault="000A5B4A">
      <w:pPr>
        <w:spacing w:before="60" w:after="70" w:line="308" w:lineRule="auto"/>
        <w:ind w:firstLine="720"/>
        <w:jc w:val="both"/>
      </w:pPr>
      <w:r>
        <w:t xml:space="preserve">Governments and international </w:t>
      </w:r>
      <w:proofErr w:type="spellStart"/>
      <w:r>
        <w:t>organisations</w:t>
      </w:r>
      <w:proofErr w:type="spellEnd"/>
      <w:r>
        <w:t xml:space="preserve"> increasingly use LCA results to design and evaluate environmental policies. Key applications include:</w:t>
      </w:r>
    </w:p>
    <w:p w:rsidR="006C03BE" w:rsidRDefault="000A5B4A">
      <w:pPr>
        <w:pStyle w:val="ListParagraph"/>
        <w:numPr>
          <w:ilvl w:val="0"/>
          <w:numId w:val="2"/>
        </w:numPr>
        <w:spacing w:before="44" w:after="44" w:line="290" w:lineRule="auto"/>
        <w:jc w:val="both"/>
      </w:pPr>
      <w:r>
        <w:rPr>
          <w:b/>
          <w:bCs/>
        </w:rPr>
        <w:t xml:space="preserve">Eco-labelling and EPDs: </w:t>
      </w:r>
      <w:r>
        <w:t>The European Ecolabel and Nordic Swan schemes use L</w:t>
      </w:r>
      <w:r>
        <w:t>CA-based criteria to certify the environmental performance of consumer products. EPDs, governed by ISO 14025 and EN 15804 (for construction products), provide product-specific, third-party-verified LCA-based environmental performance data that enable procu</w:t>
      </w:r>
      <w:r>
        <w:t>rement-based market transformation.</w:t>
      </w:r>
    </w:p>
    <w:p w:rsidR="006C03BE" w:rsidRDefault="000A5B4A">
      <w:pPr>
        <w:pStyle w:val="ListParagraph"/>
        <w:numPr>
          <w:ilvl w:val="0"/>
          <w:numId w:val="2"/>
        </w:numPr>
        <w:spacing w:before="44" w:after="44" w:line="290" w:lineRule="auto"/>
        <w:jc w:val="both"/>
      </w:pPr>
      <w:r>
        <w:rPr>
          <w:b/>
          <w:bCs/>
        </w:rPr>
        <w:t xml:space="preserve">Biofuel sustainability criteria: </w:t>
      </w:r>
      <w:r>
        <w:t>The EU Renewable Energy Directive (RED II and RED III) mandates LCA-based greenhouse gas calculations for biofuels to qualify for renewable energy credits. This has driven large-scale LCA</w:t>
      </w:r>
      <w:r>
        <w:t xml:space="preserve"> studies of agricultural feedstock chains and has revealed trade-offs between direct GHG savings and indirect land use change.</w:t>
      </w:r>
    </w:p>
    <w:p w:rsidR="006C03BE" w:rsidRDefault="000A5B4A">
      <w:pPr>
        <w:pStyle w:val="ListParagraph"/>
        <w:numPr>
          <w:ilvl w:val="0"/>
          <w:numId w:val="2"/>
        </w:numPr>
        <w:spacing w:before="44" w:after="44" w:line="290" w:lineRule="auto"/>
        <w:jc w:val="both"/>
      </w:pPr>
      <w:r>
        <w:rPr>
          <w:b/>
          <w:bCs/>
        </w:rPr>
        <w:t xml:space="preserve">Extended Producer Responsibility (EPR): </w:t>
      </w:r>
      <w:r>
        <w:t>EPR schemes that require manufacturers to fund end-of-life collection and treatment of th</w:t>
      </w:r>
      <w:r>
        <w:t>eir products can be designed using LCA to identify which waste streams have the highest environmental return on investment from collection and recycling.</w:t>
      </w:r>
    </w:p>
    <w:p w:rsidR="006C03BE" w:rsidRDefault="000A5B4A">
      <w:pPr>
        <w:pStyle w:val="ListParagraph"/>
        <w:numPr>
          <w:ilvl w:val="0"/>
          <w:numId w:val="2"/>
        </w:numPr>
        <w:spacing w:before="44" w:after="44" w:line="290" w:lineRule="auto"/>
        <w:jc w:val="both"/>
      </w:pPr>
      <w:r>
        <w:rPr>
          <w:b/>
          <w:bCs/>
        </w:rPr>
        <w:t xml:space="preserve">Circular Economy legislation: </w:t>
      </w:r>
      <w:r>
        <w:t xml:space="preserve">The EU Sustainable Products Regulation (replacing the </w:t>
      </w:r>
      <w:proofErr w:type="spellStart"/>
      <w:r>
        <w:t>Ecodesign</w:t>
      </w:r>
      <w:proofErr w:type="spellEnd"/>
      <w:r>
        <w:t xml:space="preserve"> Directiv</w:t>
      </w:r>
      <w:r>
        <w:t>e) explicitly incorporates LCA-based performance requirements into product design standards, creating regulatory demand for LCA capacity across manufacturing sectors.</w:t>
      </w:r>
    </w:p>
    <w:p w:rsidR="006C03BE" w:rsidRDefault="006C03BE">
      <w:pPr>
        <w:pBdr>
          <w:bottom w:val="single" w:sz="4" w:space="1" w:color="3B82C4"/>
        </w:pBdr>
        <w:spacing w:before="180" w:after="180" w:line="300" w:lineRule="auto"/>
      </w:pPr>
    </w:p>
    <w:p w:rsidR="006C03BE" w:rsidRDefault="000A5B4A">
      <w:pPr>
        <w:pStyle w:val="Heading1"/>
        <w:pBdr>
          <w:bottom w:val="single" w:sz="8" w:space="4" w:color="3B82C4"/>
        </w:pBdr>
        <w:spacing w:line="280" w:lineRule="auto"/>
      </w:pPr>
      <w:r>
        <w:t>9. Conclusions and Further Reading</w:t>
      </w:r>
    </w:p>
    <w:p w:rsidR="006C03BE" w:rsidRDefault="000A5B4A">
      <w:pPr>
        <w:pStyle w:val="Heading2"/>
        <w:spacing w:line="280" w:lineRule="auto"/>
      </w:pPr>
      <w:r>
        <w:t>9.1 Conclusions</w:t>
      </w:r>
    </w:p>
    <w:p w:rsidR="006C03BE" w:rsidRDefault="000A5B4A">
      <w:pPr>
        <w:spacing w:before="60" w:after="70" w:line="308" w:lineRule="auto"/>
        <w:ind w:firstLine="720"/>
        <w:jc w:val="both"/>
      </w:pPr>
      <w:r>
        <w:t>This paper has established the concep</w:t>
      </w:r>
      <w:r>
        <w:t xml:space="preserve">tual, historical, and methodological foundations of Life Cycle Assessment as a scientifically rigorous, internationally </w:t>
      </w:r>
      <w:proofErr w:type="spellStart"/>
      <w:r>
        <w:t>standardised</w:t>
      </w:r>
      <w:proofErr w:type="spellEnd"/>
      <w:r>
        <w:t>, and practically indispensable tool for environmental analysis in the service of sustainable development. The key conclusio</w:t>
      </w:r>
      <w:r>
        <w:t>ns are as follows.</w:t>
      </w:r>
    </w:p>
    <w:p w:rsidR="006C03BE" w:rsidRDefault="000A5B4A">
      <w:pPr>
        <w:spacing w:before="60" w:after="70" w:line="308" w:lineRule="auto"/>
        <w:ind w:firstLine="720"/>
        <w:jc w:val="both"/>
      </w:pPr>
      <w:r>
        <w:lastRenderedPageBreak/>
        <w:t xml:space="preserve">First, LCA's historical development — from early energy balance studies and the CML methodological revolution through SETAC </w:t>
      </w:r>
      <w:proofErr w:type="spellStart"/>
      <w:r>
        <w:t>institutionalisation</w:t>
      </w:r>
      <w:proofErr w:type="spellEnd"/>
      <w:r>
        <w:t xml:space="preserve">, ISO </w:t>
      </w:r>
      <w:proofErr w:type="spellStart"/>
      <w:r>
        <w:t>standardisation</w:t>
      </w:r>
      <w:proofErr w:type="spellEnd"/>
      <w:r>
        <w:t>, and the UNEP-SETAC Life Cycle Initiative — reflects a cumulative, evid</w:t>
      </w:r>
      <w:r>
        <w:t>ence-driven process of methodological refinement. The ISO 14040/14044 framework represents the current normative apex of this process and the mandatory reference for certified LCA practice.</w:t>
      </w:r>
    </w:p>
    <w:p w:rsidR="006C03BE" w:rsidRDefault="000A5B4A">
      <w:pPr>
        <w:spacing w:before="60" w:after="70" w:line="308" w:lineRule="auto"/>
        <w:ind w:firstLine="720"/>
        <w:jc w:val="both"/>
      </w:pPr>
      <w:r>
        <w:t>Second, the four LCA phases display uneven methodological maturity</w:t>
      </w:r>
      <w:r>
        <w:t xml:space="preserve">. Goal and scope definition </w:t>
      </w:r>
      <w:proofErr w:type="gramStart"/>
      <w:r>
        <w:t>is</w:t>
      </w:r>
      <w:proofErr w:type="gramEnd"/>
      <w:r>
        <w:t xml:space="preserve"> most advanced; quantitative uncertainty analysis in interpretation is most underdeveloped. PhD research contributes most distinctively by advancing the methodological frontier at these developmental edges — particularly in dy</w:t>
      </w:r>
      <w:r>
        <w:t>namic and prospective modelling, spatial differentiation, and uncertainty quantification.</w:t>
      </w:r>
    </w:p>
    <w:p w:rsidR="006C03BE" w:rsidRDefault="000A5B4A">
      <w:pPr>
        <w:spacing w:before="60" w:after="70" w:line="308" w:lineRule="auto"/>
        <w:ind w:firstLine="720"/>
        <w:jc w:val="both"/>
      </w:pPr>
      <w:r>
        <w:t>Third, LCA's unique analytical contribution lies in the simultaneous combination of: cradle-to-grave systems coverage; multi-issue environmental impact quantification</w:t>
      </w:r>
      <w:r>
        <w:t>; and function-based comparative assessment referenced to a defined service. No other environmental assessment tool achieves all three simultaneously — which explains its centrality in contemporary environmental governance and its irreplaceable role in evi</w:t>
      </w:r>
      <w:r>
        <w:t>dence-based sustainability decision-making.</w:t>
      </w:r>
    </w:p>
    <w:p w:rsidR="006C03BE" w:rsidRDefault="000A5B4A">
      <w:pPr>
        <w:spacing w:before="60" w:after="70" w:line="308" w:lineRule="auto"/>
        <w:ind w:firstLine="720"/>
        <w:jc w:val="both"/>
      </w:pPr>
      <w:r>
        <w:t xml:space="preserve">Fourth, the positioning of LCA relative to CF, WF, SFA, EIA, RA, and MFA </w:t>
      </w:r>
      <w:proofErr w:type="gramStart"/>
      <w:r>
        <w:t>clarifies</w:t>
      </w:r>
      <w:proofErr w:type="gramEnd"/>
      <w:r>
        <w:t xml:space="preserve"> the appropriate domain of each tool and highlights their complementarities. Methodological sophistication in environmental resear</w:t>
      </w:r>
      <w:r>
        <w:t>ch increasingly requires knowing not only how to conduct an LCA, but when LCA is the right tool — and when its integration with complementary approaches is necessary.</w:t>
      </w:r>
    </w:p>
    <w:p w:rsidR="006C03BE" w:rsidRDefault="000A5B4A">
      <w:pPr>
        <w:spacing w:before="60" w:after="70" w:line="308" w:lineRule="auto"/>
        <w:ind w:firstLine="720"/>
        <w:jc w:val="both"/>
      </w:pPr>
      <w:r>
        <w:t>Fifth, the methodological evolution of LCA from a technical accounting instrument to a st</w:t>
      </w:r>
      <w:r>
        <w:t>rategic governance framework — embedded in EPDs, green building certification, biofuel policy, and circular economy legislation — reflects its maturation into an indispensable pillar of the sustainability transition. Independent researchers and practitione</w:t>
      </w:r>
      <w:r>
        <w:t>rs who command this framework are well positioned to contribute to evidence-based environmental management and policy.</w:t>
      </w:r>
    </w:p>
    <w:p w:rsidR="006C03BE" w:rsidRDefault="000A5B4A">
      <w:pPr>
        <w:pStyle w:val="Heading2"/>
        <w:spacing w:line="280" w:lineRule="auto"/>
      </w:pPr>
      <w:r>
        <w:t>9.2 Recommended Further Reading and Key Resources</w:t>
      </w:r>
    </w:p>
    <w:p w:rsidR="006C03BE" w:rsidRDefault="006C03BE">
      <w:pPr>
        <w:spacing w:before="70" w:after="70"/>
      </w:pPr>
    </w:p>
    <w:p w:rsidR="006C03BE" w:rsidRDefault="000A5B4A">
      <w:pPr>
        <w:spacing w:before="60" w:after="60" w:line="260" w:lineRule="auto"/>
        <w:jc w:val="center"/>
      </w:pPr>
      <w:r>
        <w:rPr>
          <w:b/>
          <w:bCs/>
          <w:color w:val="1A3557"/>
          <w:sz w:val="21"/>
          <w:szCs w:val="21"/>
        </w:rPr>
        <w:t>Table 6. Key References and Resources for Further Study in LCA</w:t>
      </w:r>
    </w:p>
    <w:tbl>
      <w:tblPr>
        <w:tblW w:w="10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1600"/>
        <w:gridCol w:w="2400"/>
        <w:gridCol w:w="3226"/>
      </w:tblGrid>
      <w:tr w:rsidR="006C03BE">
        <w:tblPrEx>
          <w:tblCellMar>
            <w:top w:w="0" w:type="dxa"/>
            <w:bottom w:w="0" w:type="dxa"/>
          </w:tblCellMar>
        </w:tblPrEx>
        <w:trPr>
          <w:tblHeader/>
        </w:trPr>
        <w:tc>
          <w:tcPr>
            <w:tcW w:w="2800"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Resource / Reference</w:t>
            </w:r>
          </w:p>
        </w:tc>
        <w:tc>
          <w:tcPr>
            <w:tcW w:w="1600"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Type</w:t>
            </w:r>
          </w:p>
        </w:tc>
        <w:tc>
          <w:tcPr>
            <w:tcW w:w="2400"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Focus Area</w:t>
            </w:r>
          </w:p>
        </w:tc>
        <w:tc>
          <w:tcPr>
            <w:tcW w:w="3226" w:type="dxa"/>
            <w:tcBorders>
              <w:top w:val="single" w:sz="1" w:space="0" w:color="CCCCCC"/>
              <w:left w:val="single" w:sz="1" w:space="0" w:color="CCCCCC"/>
              <w:bottom w:val="single" w:sz="1" w:space="0" w:color="CCCCCC"/>
              <w:right w:val="single" w:sz="1" w:space="0" w:color="CCCCCC"/>
            </w:tcBorders>
            <w:shd w:val="clear" w:color="auto" w:fill="1A3557"/>
            <w:tcMar>
              <w:top w:w="90" w:type="dxa"/>
              <w:left w:w="130" w:type="dxa"/>
              <w:bottom w:w="90" w:type="dxa"/>
              <w:right w:w="130" w:type="dxa"/>
            </w:tcMar>
            <w:vAlign w:val="center"/>
          </w:tcPr>
          <w:p w:rsidR="006C03BE" w:rsidRDefault="000A5B4A">
            <w:pPr>
              <w:jc w:val="center"/>
            </w:pPr>
            <w:r>
              <w:rPr>
                <w:b/>
                <w:bCs/>
                <w:color w:val="FFFFFF"/>
                <w:sz w:val="19"/>
                <w:szCs w:val="19"/>
              </w:rPr>
              <w:t>Why It Matters</w:t>
            </w:r>
          </w:p>
        </w:tc>
      </w:tr>
      <w:tr w:rsidR="006C03BE">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Jolliet et al. (2016) — Environmental Life Cycle Assessment</w:t>
            </w:r>
          </w:p>
        </w:tc>
        <w:tc>
          <w:tcPr>
            <w:tcW w:w="16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Textbook (CRC Press)</w:t>
            </w:r>
          </w:p>
        </w:tc>
        <w:tc>
          <w:tcPr>
            <w:tcW w:w="24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Comprehensive LCA methodology — all four phases, LCIA methods, case studies</w:t>
            </w:r>
          </w:p>
        </w:tc>
        <w:tc>
          <w:tcPr>
            <w:tcW w:w="32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The primary methodological reference for this paper; strongest single-volume introduction to LCA</w:t>
            </w:r>
          </w:p>
        </w:tc>
      </w:tr>
      <w:tr w:rsidR="006C03BE">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ISO 14040:2006</w:t>
            </w:r>
          </w:p>
        </w:tc>
        <w:tc>
          <w:tcPr>
            <w:tcW w:w="16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International Standard</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LCA principles and framework — four phases, iterative structure</w:t>
            </w:r>
          </w:p>
        </w:tc>
        <w:tc>
          <w:tcPr>
            <w:tcW w:w="32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Mandatory normative reference for all certified LCA prac</w:t>
            </w:r>
            <w:r>
              <w:rPr>
                <w:sz w:val="19"/>
                <w:szCs w:val="19"/>
              </w:rPr>
              <w:t>tice; freely accessible via national standards bodies</w:t>
            </w:r>
          </w:p>
        </w:tc>
      </w:tr>
      <w:tr w:rsidR="006C03BE">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ISO 14044:2006</w:t>
            </w:r>
          </w:p>
        </w:tc>
        <w:tc>
          <w:tcPr>
            <w:tcW w:w="16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International Standard</w:t>
            </w:r>
          </w:p>
        </w:tc>
        <w:tc>
          <w:tcPr>
            <w:tcW w:w="24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LCA requirements and guidelines — LCI, LCIA, interpretation in detail</w:t>
            </w:r>
          </w:p>
        </w:tc>
        <w:tc>
          <w:tcPr>
            <w:tcW w:w="32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Companion to ISO 14040; governs all procedural requirements for inventory, impact assessment, and interpretation</w:t>
            </w:r>
          </w:p>
        </w:tc>
      </w:tr>
      <w:tr w:rsidR="006C03BE">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proofErr w:type="spellStart"/>
            <w:r>
              <w:rPr>
                <w:sz w:val="19"/>
                <w:szCs w:val="19"/>
              </w:rPr>
              <w:t>Finnveden</w:t>
            </w:r>
            <w:proofErr w:type="spellEnd"/>
            <w:r>
              <w:rPr>
                <w:sz w:val="19"/>
                <w:szCs w:val="19"/>
              </w:rPr>
              <w:t xml:space="preserve"> et al. (2009) — Journal of Environmental Management 91(1)</w:t>
            </w:r>
          </w:p>
        </w:tc>
        <w:tc>
          <w:tcPr>
            <w:tcW w:w="16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Peer-reviewed review article</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Recent developments in LCA — critical review of methodological advances and gaps</w:t>
            </w:r>
          </w:p>
        </w:tc>
        <w:tc>
          <w:tcPr>
            <w:tcW w:w="32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Best single review article for understanding LCA methodological frontiers and limitations; open access</w:t>
            </w:r>
          </w:p>
        </w:tc>
      </w:tr>
      <w:tr w:rsidR="006C03BE">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proofErr w:type="spellStart"/>
            <w:r>
              <w:rPr>
                <w:sz w:val="19"/>
                <w:szCs w:val="19"/>
              </w:rPr>
              <w:t>Ecoinvent</w:t>
            </w:r>
            <w:proofErr w:type="spellEnd"/>
            <w:r>
              <w:rPr>
                <w:sz w:val="19"/>
                <w:szCs w:val="19"/>
              </w:rPr>
              <w:t xml:space="preserve"> Database (v3.x) — www.ecoinvent.org</w:t>
            </w:r>
          </w:p>
        </w:tc>
        <w:tc>
          <w:tcPr>
            <w:tcW w:w="16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LCI Database</w:t>
            </w:r>
          </w:p>
        </w:tc>
        <w:tc>
          <w:tcPr>
            <w:tcW w:w="24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Process-based life cycle inventory data for 15,000+ processes globally</w:t>
            </w:r>
          </w:p>
        </w:tc>
        <w:tc>
          <w:tcPr>
            <w:tcW w:w="32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De facto global reference LCI database; essential for conducting quantitative LCA studies</w:t>
            </w:r>
          </w:p>
        </w:tc>
      </w:tr>
      <w:tr w:rsidR="006C03BE">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proofErr w:type="spellStart"/>
            <w:r>
              <w:rPr>
                <w:sz w:val="19"/>
                <w:szCs w:val="19"/>
              </w:rPr>
              <w:lastRenderedPageBreak/>
              <w:t>OpenLCA</w:t>
            </w:r>
            <w:proofErr w:type="spellEnd"/>
            <w:r>
              <w:rPr>
                <w:sz w:val="19"/>
                <w:szCs w:val="19"/>
              </w:rPr>
              <w:t xml:space="preserve"> — www.openlca.org</w:t>
            </w:r>
          </w:p>
        </w:tc>
        <w:tc>
          <w:tcPr>
            <w:tcW w:w="16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Free LCA Software (</w:t>
            </w:r>
            <w:proofErr w:type="spellStart"/>
            <w:r>
              <w:rPr>
                <w:sz w:val="19"/>
                <w:szCs w:val="19"/>
              </w:rPr>
              <w:t>GreenDelta</w:t>
            </w:r>
            <w:proofErr w:type="spellEnd"/>
            <w:r>
              <w:rPr>
                <w:sz w:val="19"/>
                <w:szCs w:val="19"/>
              </w:rPr>
              <w:t>)</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 xml:space="preserve">Full LCA modelling platform — integrates with </w:t>
            </w:r>
            <w:proofErr w:type="spellStart"/>
            <w:r>
              <w:rPr>
                <w:sz w:val="19"/>
                <w:szCs w:val="19"/>
              </w:rPr>
              <w:t>Ecoinvent</w:t>
            </w:r>
            <w:proofErr w:type="spellEnd"/>
            <w:r>
              <w:rPr>
                <w:sz w:val="19"/>
                <w:szCs w:val="19"/>
              </w:rPr>
              <w:t xml:space="preserve"> and other databases</w:t>
            </w:r>
          </w:p>
        </w:tc>
        <w:tc>
          <w:tcPr>
            <w:tcW w:w="32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 xml:space="preserve">Best free option for independent researchers; no institutional </w:t>
            </w:r>
            <w:proofErr w:type="spellStart"/>
            <w:r>
              <w:rPr>
                <w:sz w:val="19"/>
                <w:szCs w:val="19"/>
              </w:rPr>
              <w:t>licence</w:t>
            </w:r>
            <w:proofErr w:type="spellEnd"/>
            <w:r>
              <w:rPr>
                <w:sz w:val="19"/>
                <w:szCs w:val="19"/>
              </w:rPr>
              <w:t xml:space="preserve"> required</w:t>
            </w:r>
          </w:p>
        </w:tc>
      </w:tr>
      <w:tr w:rsidR="006C03BE">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UNEP Life Cycle Initiative — lifecycleinitiative.org</w:t>
            </w:r>
          </w:p>
        </w:tc>
        <w:tc>
          <w:tcPr>
            <w:tcW w:w="16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Institutional Platform</w:t>
            </w:r>
          </w:p>
        </w:tc>
        <w:tc>
          <w:tcPr>
            <w:tcW w:w="24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Global guidance on LCIA methods, data quality, and LCA applications</w:t>
            </w:r>
          </w:p>
        </w:tc>
        <w:tc>
          <w:tcPr>
            <w:tcW w:w="32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Primary source for international consensus documents on LCIA methods and global guidance principles</w:t>
            </w:r>
          </w:p>
        </w:tc>
      </w:tr>
      <w:tr w:rsidR="006C03BE">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proofErr w:type="spellStart"/>
            <w:r>
              <w:rPr>
                <w:sz w:val="19"/>
                <w:szCs w:val="19"/>
              </w:rPr>
              <w:t>Hauschild</w:t>
            </w:r>
            <w:proofErr w:type="spellEnd"/>
            <w:r>
              <w:rPr>
                <w:sz w:val="19"/>
                <w:szCs w:val="19"/>
              </w:rPr>
              <w:t xml:space="preserve"> et al. (2012) — Int. J. LCA 18(3)</w:t>
            </w:r>
          </w:p>
        </w:tc>
        <w:tc>
          <w:tcPr>
            <w:tcW w:w="16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Peer-reviewed article</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 xml:space="preserve">Best existing practice for </w:t>
            </w:r>
            <w:proofErr w:type="spellStart"/>
            <w:r>
              <w:rPr>
                <w:sz w:val="19"/>
                <w:szCs w:val="19"/>
              </w:rPr>
              <w:t>characterisation</w:t>
            </w:r>
            <w:proofErr w:type="spellEnd"/>
            <w:r>
              <w:rPr>
                <w:sz w:val="19"/>
                <w:szCs w:val="19"/>
              </w:rPr>
              <w:t xml:space="preserve"> modelling in LCIA</w:t>
            </w:r>
          </w:p>
        </w:tc>
        <w:tc>
          <w:tcPr>
            <w:tcW w:w="32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Essential reference for selecting among competing LCIA methods; provides structured comparison criteria</w:t>
            </w:r>
          </w:p>
        </w:tc>
      </w:tr>
      <w:tr w:rsidR="006C03BE">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proofErr w:type="spellStart"/>
            <w:r>
              <w:rPr>
                <w:sz w:val="19"/>
                <w:szCs w:val="19"/>
              </w:rPr>
              <w:t>SimaPro</w:t>
            </w:r>
            <w:proofErr w:type="spellEnd"/>
            <w:r>
              <w:rPr>
                <w:sz w:val="19"/>
                <w:szCs w:val="19"/>
              </w:rPr>
              <w:t xml:space="preserve"> / </w:t>
            </w:r>
            <w:proofErr w:type="spellStart"/>
            <w:r>
              <w:rPr>
                <w:sz w:val="19"/>
                <w:szCs w:val="19"/>
              </w:rPr>
              <w:t>GaBi</w:t>
            </w:r>
            <w:proofErr w:type="spellEnd"/>
            <w:r>
              <w:rPr>
                <w:sz w:val="19"/>
                <w:szCs w:val="19"/>
              </w:rPr>
              <w:t xml:space="preserve"> / Brightway2</w:t>
            </w:r>
          </w:p>
        </w:tc>
        <w:tc>
          <w:tcPr>
            <w:tcW w:w="16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LCA Software Platforms</w:t>
            </w:r>
          </w:p>
        </w:tc>
        <w:tc>
          <w:tcPr>
            <w:tcW w:w="2400"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Full LCA calculation, database integration, uncertainty analysis</w:t>
            </w:r>
          </w:p>
        </w:tc>
        <w:tc>
          <w:tcPr>
            <w:tcW w:w="3226" w:type="dxa"/>
            <w:tcBorders>
              <w:top w:val="single" w:sz="1" w:space="0" w:color="CCCCCC"/>
              <w:left w:val="single" w:sz="1" w:space="0" w:color="CCCCCC"/>
              <w:bottom w:val="single" w:sz="1" w:space="0" w:color="CCCCCC"/>
              <w:right w:val="single" w:sz="1" w:space="0" w:color="CCCCCC"/>
            </w:tcBorders>
            <w:shd w:val="clear" w:color="auto" w:fill="EBF2FB"/>
            <w:tcMar>
              <w:top w:w="70" w:type="dxa"/>
              <w:left w:w="130" w:type="dxa"/>
              <w:bottom w:w="70" w:type="dxa"/>
              <w:right w:w="130" w:type="dxa"/>
            </w:tcMar>
          </w:tcPr>
          <w:p w:rsidR="006C03BE" w:rsidRDefault="000A5B4A">
            <w:r>
              <w:rPr>
                <w:sz w:val="19"/>
                <w:szCs w:val="19"/>
              </w:rPr>
              <w:t>Commercial and open-source platforms used by practitioners; Brightway2 is Python-based and free</w:t>
            </w:r>
          </w:p>
        </w:tc>
      </w:tr>
      <w:tr w:rsidR="006C03BE">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proofErr w:type="spellStart"/>
            <w:r>
              <w:rPr>
                <w:sz w:val="19"/>
                <w:szCs w:val="19"/>
              </w:rPr>
              <w:t>Poore</w:t>
            </w:r>
            <w:proofErr w:type="spellEnd"/>
            <w:r>
              <w:rPr>
                <w:sz w:val="19"/>
                <w:szCs w:val="19"/>
              </w:rPr>
              <w:t xml:space="preserve"> &amp; </w:t>
            </w:r>
            <w:proofErr w:type="spellStart"/>
            <w:r>
              <w:rPr>
                <w:sz w:val="19"/>
                <w:szCs w:val="19"/>
              </w:rPr>
              <w:t>Nemecek</w:t>
            </w:r>
            <w:proofErr w:type="spellEnd"/>
            <w:r>
              <w:rPr>
                <w:sz w:val="19"/>
                <w:szCs w:val="19"/>
              </w:rPr>
              <w:t xml:space="preserve"> (2018) — Science 360(6392)</w:t>
            </w:r>
          </w:p>
        </w:tc>
        <w:tc>
          <w:tcPr>
            <w:tcW w:w="16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High-impact research article</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LCA of food systems — global meta-analysis of 38,700 farms</w:t>
            </w:r>
          </w:p>
        </w:tc>
        <w:tc>
          <w:tcPr>
            <w:tcW w:w="3226"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rsidR="006C03BE" w:rsidRDefault="000A5B4A">
            <w:r>
              <w:rPr>
                <w:sz w:val="19"/>
                <w:szCs w:val="19"/>
              </w:rPr>
              <w:t>Most comprehensive food-sector LCA meta-analysis; demonstrates LCA policy relevance at global scale</w:t>
            </w:r>
          </w:p>
        </w:tc>
      </w:tr>
    </w:tbl>
    <w:p w:rsidR="006C03BE" w:rsidRDefault="000A5B4A">
      <w:pPr>
        <w:spacing w:before="40" w:after="100" w:line="260" w:lineRule="auto"/>
        <w:jc w:val="center"/>
      </w:pPr>
      <w:r>
        <w:rPr>
          <w:i/>
          <w:iCs/>
          <w:color w:val="555555"/>
          <w:sz w:val="19"/>
          <w:szCs w:val="19"/>
        </w:rPr>
        <w:t>Source: Author's research series plan, 2025.</w:t>
      </w:r>
    </w:p>
    <w:p w:rsidR="006C03BE" w:rsidRDefault="006C03BE">
      <w:pPr>
        <w:spacing w:before="80" w:after="80"/>
      </w:pPr>
    </w:p>
    <w:p w:rsidR="006C03BE" w:rsidRDefault="000A5B4A">
      <w:pPr>
        <w:spacing w:before="60" w:after="70" w:line="308" w:lineRule="auto"/>
        <w:ind w:firstLine="720"/>
        <w:jc w:val="both"/>
      </w:pPr>
      <w:r>
        <w:t xml:space="preserve">Each paper in this series is designed to be self-contained and independently citable as a </w:t>
      </w:r>
      <w:proofErr w:type="spellStart"/>
      <w:r>
        <w:t>Zenodo</w:t>
      </w:r>
      <w:proofErr w:type="spellEnd"/>
      <w:r>
        <w:t xml:space="preserve"> preprint while forming part of a coherent methodological progression. Cross-references between papers are provided at each paper's conclusion. The series serve</w:t>
      </w:r>
      <w:r>
        <w:t>s two purposes: serving researchers, practitioners, and policymakers seeking a rigorous and accessible entry point into LCA methodology.</w:t>
      </w:r>
    </w:p>
    <w:p w:rsidR="006C03BE" w:rsidRDefault="006C03BE">
      <w:pPr>
        <w:pBdr>
          <w:bottom w:val="single" w:sz="4" w:space="1" w:color="3B82C4"/>
        </w:pBdr>
        <w:spacing w:before="180" w:after="180" w:line="300" w:lineRule="auto"/>
      </w:pPr>
    </w:p>
    <w:p w:rsidR="006C03BE" w:rsidRDefault="000A5B4A">
      <w:pPr>
        <w:pStyle w:val="Heading1"/>
        <w:pBdr>
          <w:bottom w:val="single" w:sz="8" w:space="4" w:color="3B82C4"/>
        </w:pBdr>
        <w:spacing w:line="280" w:lineRule="auto"/>
      </w:pPr>
      <w:r>
        <w:t>Acknowledgements</w:t>
      </w:r>
    </w:p>
    <w:p w:rsidR="006C03BE" w:rsidRDefault="000A5B4A">
      <w:pPr>
        <w:spacing w:before="60" w:after="70" w:line="308" w:lineRule="auto"/>
        <w:ind w:firstLine="720"/>
        <w:jc w:val="both"/>
      </w:pPr>
      <w:r>
        <w:t xml:space="preserve">The author gratefully acknowledges the foundational scholarship of Olivier Jolliet, Myriam </w:t>
      </w:r>
      <w:proofErr w:type="spellStart"/>
      <w:r>
        <w:t>Saadé-Sbei</w:t>
      </w:r>
      <w:r>
        <w:t>h</w:t>
      </w:r>
      <w:proofErr w:type="spellEnd"/>
      <w:r>
        <w:t xml:space="preserve">, Shanna </w:t>
      </w:r>
      <w:proofErr w:type="spellStart"/>
      <w:r>
        <w:t>Shaked</w:t>
      </w:r>
      <w:proofErr w:type="spellEnd"/>
      <w:r>
        <w:t xml:space="preserve">, Alexandre Jolliet, and Pierre </w:t>
      </w:r>
      <w:proofErr w:type="spellStart"/>
      <w:r>
        <w:t>Crettaz</w:t>
      </w:r>
      <w:proofErr w:type="spellEnd"/>
      <w:r>
        <w:t xml:space="preserve">, whose textbook Environmental Life Cycle Assessment (CRC Press / Taylor &amp; Francis, 2016) serves as the primary methodological reference for this series. The institutional contributions of the Society </w:t>
      </w:r>
      <w:r>
        <w:t xml:space="preserve">of Environmental Toxicology and Chemistry (SETAC), the UNEP-SETAC Life Cycle Initiative, and the International Organization for Standardization (ISO) to the development and </w:t>
      </w:r>
      <w:proofErr w:type="spellStart"/>
      <w:r>
        <w:t>standardisation</w:t>
      </w:r>
      <w:proofErr w:type="spellEnd"/>
      <w:r>
        <w:t xml:space="preserve"> of LCA methodology are also acknowledged.</w:t>
      </w:r>
    </w:p>
    <w:p w:rsidR="006C03BE" w:rsidRDefault="006C03BE">
      <w:pPr>
        <w:pBdr>
          <w:bottom w:val="single" w:sz="4" w:space="1" w:color="3B82C4"/>
        </w:pBdr>
        <w:spacing w:before="180" w:after="180" w:line="300" w:lineRule="auto"/>
      </w:pPr>
    </w:p>
    <w:p w:rsidR="006C03BE" w:rsidRDefault="000A5B4A">
      <w:pPr>
        <w:pStyle w:val="Heading1"/>
        <w:pBdr>
          <w:bottom w:val="single" w:sz="8" w:space="4" w:color="3B82C4"/>
        </w:pBdr>
        <w:spacing w:line="280" w:lineRule="auto"/>
      </w:pPr>
      <w:r>
        <w:t>Declaration of Originality</w:t>
      </w:r>
    </w:p>
    <w:p w:rsidR="006C03BE" w:rsidRDefault="000A5B4A">
      <w:pPr>
        <w:spacing w:before="60" w:after="70" w:line="308" w:lineRule="auto"/>
        <w:ind w:firstLine="720"/>
        <w:jc w:val="both"/>
      </w:pPr>
      <w:r>
        <w:t>This paper is an original academic synthesis prepared by the author as an independent researcher. All analytical frameworks, comparative tables, and critical interpretations are the author's own synthesis of the cited sources. No</w:t>
      </w:r>
      <w:r>
        <w:t xml:space="preserve"> content is reproduced verbatim from copyrighted works. The paper has not been submitted elsewhere for publication. It is deposited under a Creative Commons Attribution 4.0 International (CC BY 4.0) </w:t>
      </w:r>
      <w:proofErr w:type="spellStart"/>
      <w:r>
        <w:t>licence</w:t>
      </w:r>
      <w:proofErr w:type="spellEnd"/>
      <w:r>
        <w:t>, permitting unrestricted reuse, distribution, and</w:t>
      </w:r>
      <w:r>
        <w:t xml:space="preserve"> adaptation for any purpose, provided appropriate credit is given and any changes are indicated.</w:t>
      </w:r>
    </w:p>
    <w:p w:rsidR="006C03BE" w:rsidRDefault="006C03BE">
      <w:pPr>
        <w:pBdr>
          <w:bottom w:val="single" w:sz="4" w:space="1" w:color="3B82C4"/>
        </w:pBdr>
        <w:spacing w:before="180" w:after="180" w:line="300" w:lineRule="auto"/>
      </w:pPr>
    </w:p>
    <w:p w:rsidR="006C03BE" w:rsidRDefault="000A5B4A">
      <w:pPr>
        <w:pStyle w:val="Heading1"/>
        <w:pBdr>
          <w:bottom w:val="single" w:sz="8" w:space="4" w:color="3B82C4"/>
        </w:pBdr>
        <w:spacing w:line="280" w:lineRule="auto"/>
      </w:pPr>
      <w:r>
        <w:lastRenderedPageBreak/>
        <w:t>References</w:t>
      </w:r>
    </w:p>
    <w:p w:rsidR="006C03BE" w:rsidRDefault="000A5B4A">
      <w:pPr>
        <w:spacing w:before="36" w:after="36" w:line="280" w:lineRule="auto"/>
        <w:ind w:left="720" w:hanging="720"/>
        <w:jc w:val="both"/>
      </w:pPr>
      <w:r>
        <w:rPr>
          <w:sz w:val="20"/>
          <w:szCs w:val="20"/>
        </w:rPr>
        <w:t xml:space="preserve">Bus, J. (1984). </w:t>
      </w:r>
      <w:proofErr w:type="spellStart"/>
      <w:r>
        <w:rPr>
          <w:sz w:val="20"/>
          <w:szCs w:val="20"/>
        </w:rPr>
        <w:t>Ökologische</w:t>
      </w:r>
      <w:proofErr w:type="spellEnd"/>
      <w:r>
        <w:rPr>
          <w:sz w:val="20"/>
          <w:szCs w:val="20"/>
        </w:rPr>
        <w:t xml:space="preserve"> </w:t>
      </w:r>
      <w:proofErr w:type="spellStart"/>
      <w:r>
        <w:rPr>
          <w:sz w:val="20"/>
          <w:szCs w:val="20"/>
        </w:rPr>
        <w:t>Gesamtbilanz</w:t>
      </w:r>
      <w:proofErr w:type="spellEnd"/>
      <w:r>
        <w:rPr>
          <w:sz w:val="20"/>
          <w:szCs w:val="20"/>
        </w:rPr>
        <w:t xml:space="preserve"> von </w:t>
      </w:r>
      <w:proofErr w:type="spellStart"/>
      <w:r>
        <w:rPr>
          <w:sz w:val="20"/>
          <w:szCs w:val="20"/>
        </w:rPr>
        <w:t>Verpackungsmaterialien</w:t>
      </w:r>
      <w:proofErr w:type="spellEnd"/>
      <w:r>
        <w:rPr>
          <w:sz w:val="20"/>
          <w:szCs w:val="20"/>
        </w:rPr>
        <w:t xml:space="preserve"> I. Swiss Federal Office of the Environment.</w:t>
      </w:r>
    </w:p>
    <w:p w:rsidR="006C03BE" w:rsidRDefault="000A5B4A">
      <w:pPr>
        <w:spacing w:before="36" w:after="36" w:line="280" w:lineRule="auto"/>
        <w:ind w:left="720" w:hanging="720"/>
        <w:jc w:val="both"/>
      </w:pPr>
      <w:r>
        <w:rPr>
          <w:sz w:val="20"/>
          <w:szCs w:val="20"/>
        </w:rPr>
        <w:t>Cooper, J. S., &amp; Fava, J. A. (2006)</w:t>
      </w:r>
      <w:r>
        <w:rPr>
          <w:sz w:val="20"/>
          <w:szCs w:val="20"/>
        </w:rPr>
        <w:t>. Life-cycle assessment practitioner survey: Summary of results. Journal of Industrial Ecology, 10(4), 12–14. https://doi.org/10.1162/jiec.2006.10.4.12</w:t>
      </w:r>
    </w:p>
    <w:p w:rsidR="006C03BE" w:rsidRDefault="000A5B4A">
      <w:pPr>
        <w:spacing w:before="36" w:after="36" w:line="280" w:lineRule="auto"/>
        <w:ind w:left="720" w:hanging="720"/>
        <w:jc w:val="both"/>
      </w:pPr>
      <w:proofErr w:type="spellStart"/>
      <w:r>
        <w:rPr>
          <w:sz w:val="20"/>
          <w:szCs w:val="20"/>
        </w:rPr>
        <w:t>Finkbeiner</w:t>
      </w:r>
      <w:proofErr w:type="spellEnd"/>
      <w:r>
        <w:rPr>
          <w:sz w:val="20"/>
          <w:szCs w:val="20"/>
        </w:rPr>
        <w:t xml:space="preserve">, M., Inaba, A., Tan, R., Christiansen, K., &amp; </w:t>
      </w:r>
      <w:proofErr w:type="spellStart"/>
      <w:r>
        <w:rPr>
          <w:sz w:val="20"/>
          <w:szCs w:val="20"/>
        </w:rPr>
        <w:t>Klüppel</w:t>
      </w:r>
      <w:proofErr w:type="spellEnd"/>
      <w:r>
        <w:rPr>
          <w:sz w:val="20"/>
          <w:szCs w:val="20"/>
        </w:rPr>
        <w:t>, H.-J. (2006). The new international sta</w:t>
      </w:r>
      <w:r>
        <w:rPr>
          <w:sz w:val="20"/>
          <w:szCs w:val="20"/>
        </w:rPr>
        <w:t>ndards for life cycle assessment: ISO 14040 and ISO 14044. International Journal of Life Cycle Assessment, 11(2), 80–85. https://doi.org/10.1065/lca2006.02.002</w:t>
      </w:r>
    </w:p>
    <w:p w:rsidR="006C03BE" w:rsidRDefault="000A5B4A">
      <w:pPr>
        <w:spacing w:before="36" w:after="36" w:line="280" w:lineRule="auto"/>
        <w:ind w:left="720" w:hanging="720"/>
        <w:jc w:val="both"/>
      </w:pPr>
      <w:proofErr w:type="spellStart"/>
      <w:r>
        <w:rPr>
          <w:sz w:val="20"/>
          <w:szCs w:val="20"/>
        </w:rPr>
        <w:t>Finnveden</w:t>
      </w:r>
      <w:proofErr w:type="spellEnd"/>
      <w:r>
        <w:rPr>
          <w:sz w:val="20"/>
          <w:szCs w:val="20"/>
        </w:rPr>
        <w:t xml:space="preserve">, G., </w:t>
      </w:r>
      <w:proofErr w:type="spellStart"/>
      <w:r>
        <w:rPr>
          <w:sz w:val="20"/>
          <w:szCs w:val="20"/>
        </w:rPr>
        <w:t>Hauschild</w:t>
      </w:r>
      <w:proofErr w:type="spellEnd"/>
      <w:r>
        <w:rPr>
          <w:sz w:val="20"/>
          <w:szCs w:val="20"/>
        </w:rPr>
        <w:t xml:space="preserve">, M. Z., </w:t>
      </w:r>
      <w:proofErr w:type="spellStart"/>
      <w:r>
        <w:rPr>
          <w:sz w:val="20"/>
          <w:szCs w:val="20"/>
        </w:rPr>
        <w:t>Ekvall</w:t>
      </w:r>
      <w:proofErr w:type="spellEnd"/>
      <w:r>
        <w:rPr>
          <w:sz w:val="20"/>
          <w:szCs w:val="20"/>
        </w:rPr>
        <w:t xml:space="preserve">, T., </w:t>
      </w:r>
      <w:proofErr w:type="spellStart"/>
      <w:r>
        <w:rPr>
          <w:sz w:val="20"/>
          <w:szCs w:val="20"/>
        </w:rPr>
        <w:t>Guinée</w:t>
      </w:r>
      <w:proofErr w:type="spellEnd"/>
      <w:r>
        <w:rPr>
          <w:sz w:val="20"/>
          <w:szCs w:val="20"/>
        </w:rPr>
        <w:t xml:space="preserve">, J., </w:t>
      </w:r>
      <w:proofErr w:type="spellStart"/>
      <w:r>
        <w:rPr>
          <w:sz w:val="20"/>
          <w:szCs w:val="20"/>
        </w:rPr>
        <w:t>Heijungs</w:t>
      </w:r>
      <w:proofErr w:type="spellEnd"/>
      <w:r>
        <w:rPr>
          <w:sz w:val="20"/>
          <w:szCs w:val="20"/>
        </w:rPr>
        <w:t>, R., Hellweg, S., Koehler, A.,</w:t>
      </w:r>
      <w:r>
        <w:rPr>
          <w:sz w:val="20"/>
          <w:szCs w:val="20"/>
        </w:rPr>
        <w:t xml:space="preserve"> Pennington, D., &amp; Suh, S. (2009). Recent developments in life cycle assessment. Journal of Environmental Management, 91(1), 1–21. https://doi.org/10.1016/j.jenvman.2009.06.018</w:t>
      </w:r>
    </w:p>
    <w:p w:rsidR="006C03BE" w:rsidRDefault="000A5B4A">
      <w:pPr>
        <w:spacing w:before="36" w:after="36" w:line="280" w:lineRule="auto"/>
        <w:ind w:left="720" w:hanging="720"/>
        <w:jc w:val="both"/>
      </w:pPr>
      <w:proofErr w:type="spellStart"/>
      <w:r>
        <w:rPr>
          <w:sz w:val="20"/>
          <w:szCs w:val="20"/>
        </w:rPr>
        <w:t>Goedkoop</w:t>
      </w:r>
      <w:proofErr w:type="spellEnd"/>
      <w:r>
        <w:rPr>
          <w:sz w:val="20"/>
          <w:szCs w:val="20"/>
        </w:rPr>
        <w:t xml:space="preserve">, M., </w:t>
      </w:r>
      <w:proofErr w:type="spellStart"/>
      <w:r>
        <w:rPr>
          <w:sz w:val="20"/>
          <w:szCs w:val="20"/>
        </w:rPr>
        <w:t>Heijungs</w:t>
      </w:r>
      <w:proofErr w:type="spellEnd"/>
      <w:r>
        <w:rPr>
          <w:sz w:val="20"/>
          <w:szCs w:val="20"/>
        </w:rPr>
        <w:t xml:space="preserve">, R., </w:t>
      </w:r>
      <w:proofErr w:type="spellStart"/>
      <w:r>
        <w:rPr>
          <w:sz w:val="20"/>
          <w:szCs w:val="20"/>
        </w:rPr>
        <w:t>Huijbregts</w:t>
      </w:r>
      <w:proofErr w:type="spellEnd"/>
      <w:r>
        <w:rPr>
          <w:sz w:val="20"/>
          <w:szCs w:val="20"/>
        </w:rPr>
        <w:t xml:space="preserve">, M., De </w:t>
      </w:r>
      <w:proofErr w:type="spellStart"/>
      <w:r>
        <w:rPr>
          <w:sz w:val="20"/>
          <w:szCs w:val="20"/>
        </w:rPr>
        <w:t>Schryver</w:t>
      </w:r>
      <w:proofErr w:type="spellEnd"/>
      <w:r>
        <w:rPr>
          <w:sz w:val="20"/>
          <w:szCs w:val="20"/>
        </w:rPr>
        <w:t xml:space="preserve">, A., </w:t>
      </w:r>
      <w:proofErr w:type="spellStart"/>
      <w:r>
        <w:rPr>
          <w:sz w:val="20"/>
          <w:szCs w:val="20"/>
        </w:rPr>
        <w:t>Struijs</w:t>
      </w:r>
      <w:proofErr w:type="spellEnd"/>
      <w:r>
        <w:rPr>
          <w:sz w:val="20"/>
          <w:szCs w:val="20"/>
        </w:rPr>
        <w:t>, J., &amp; Van</w:t>
      </w:r>
      <w:r>
        <w:rPr>
          <w:sz w:val="20"/>
          <w:szCs w:val="20"/>
        </w:rPr>
        <w:t xml:space="preserve"> </w:t>
      </w:r>
      <w:proofErr w:type="spellStart"/>
      <w:r>
        <w:rPr>
          <w:sz w:val="20"/>
          <w:szCs w:val="20"/>
        </w:rPr>
        <w:t>Zelm</w:t>
      </w:r>
      <w:proofErr w:type="spellEnd"/>
      <w:r>
        <w:rPr>
          <w:sz w:val="20"/>
          <w:szCs w:val="20"/>
        </w:rPr>
        <w:t xml:space="preserve">, R. (2009). </w:t>
      </w:r>
      <w:proofErr w:type="spellStart"/>
      <w:r>
        <w:rPr>
          <w:sz w:val="20"/>
          <w:szCs w:val="20"/>
        </w:rPr>
        <w:t>ReCiPe</w:t>
      </w:r>
      <w:proofErr w:type="spellEnd"/>
      <w:r>
        <w:rPr>
          <w:sz w:val="20"/>
          <w:szCs w:val="20"/>
        </w:rPr>
        <w:t xml:space="preserve"> 2008: A life cycle impact assessment method which comprises </w:t>
      </w:r>
      <w:proofErr w:type="spellStart"/>
      <w:r>
        <w:rPr>
          <w:sz w:val="20"/>
          <w:szCs w:val="20"/>
        </w:rPr>
        <w:t>harmonised</w:t>
      </w:r>
      <w:proofErr w:type="spellEnd"/>
      <w:r>
        <w:rPr>
          <w:sz w:val="20"/>
          <w:szCs w:val="20"/>
        </w:rPr>
        <w:t xml:space="preserve"> category indicators at the midpoint and the endpoint level. Report I: </w:t>
      </w:r>
      <w:proofErr w:type="spellStart"/>
      <w:r>
        <w:rPr>
          <w:sz w:val="20"/>
          <w:szCs w:val="20"/>
        </w:rPr>
        <w:t>Characterisation</w:t>
      </w:r>
      <w:proofErr w:type="spellEnd"/>
      <w:r>
        <w:rPr>
          <w:sz w:val="20"/>
          <w:szCs w:val="20"/>
        </w:rPr>
        <w:t>. VROM, Netherlands.</w:t>
      </w:r>
    </w:p>
    <w:p w:rsidR="006C03BE" w:rsidRDefault="000A5B4A">
      <w:pPr>
        <w:spacing w:before="36" w:after="36" w:line="280" w:lineRule="auto"/>
        <w:ind w:left="720" w:hanging="720"/>
        <w:jc w:val="both"/>
      </w:pPr>
      <w:proofErr w:type="spellStart"/>
      <w:r>
        <w:rPr>
          <w:sz w:val="20"/>
          <w:szCs w:val="20"/>
        </w:rPr>
        <w:t>Habersatter</w:t>
      </w:r>
      <w:proofErr w:type="spellEnd"/>
      <w:r>
        <w:rPr>
          <w:sz w:val="20"/>
          <w:szCs w:val="20"/>
        </w:rPr>
        <w:t xml:space="preserve">, K., &amp; Widmer, F. (1991). </w:t>
      </w:r>
      <w:proofErr w:type="spellStart"/>
      <w:r>
        <w:rPr>
          <w:sz w:val="20"/>
          <w:szCs w:val="20"/>
        </w:rPr>
        <w:t>Ökobilanz</w:t>
      </w:r>
      <w:proofErr w:type="spellEnd"/>
      <w:r>
        <w:rPr>
          <w:sz w:val="20"/>
          <w:szCs w:val="20"/>
        </w:rPr>
        <w:t xml:space="preserve"> von </w:t>
      </w:r>
      <w:proofErr w:type="spellStart"/>
      <w:r>
        <w:rPr>
          <w:sz w:val="20"/>
          <w:szCs w:val="20"/>
        </w:rPr>
        <w:t>P</w:t>
      </w:r>
      <w:r>
        <w:rPr>
          <w:sz w:val="20"/>
          <w:szCs w:val="20"/>
        </w:rPr>
        <w:t>ackstoffen</w:t>
      </w:r>
      <w:proofErr w:type="spellEnd"/>
      <w:r>
        <w:rPr>
          <w:sz w:val="20"/>
          <w:szCs w:val="20"/>
        </w:rPr>
        <w:t xml:space="preserve"> Stand 1990. Swiss Federal Office of the Environment.</w:t>
      </w:r>
    </w:p>
    <w:p w:rsidR="006C03BE" w:rsidRDefault="000A5B4A">
      <w:pPr>
        <w:spacing w:before="36" w:after="36" w:line="280" w:lineRule="auto"/>
        <w:ind w:left="720" w:hanging="720"/>
        <w:jc w:val="both"/>
      </w:pPr>
      <w:proofErr w:type="spellStart"/>
      <w:r>
        <w:rPr>
          <w:sz w:val="20"/>
          <w:szCs w:val="20"/>
        </w:rPr>
        <w:t>Hauschild</w:t>
      </w:r>
      <w:proofErr w:type="spellEnd"/>
      <w:r>
        <w:rPr>
          <w:sz w:val="20"/>
          <w:szCs w:val="20"/>
        </w:rPr>
        <w:t xml:space="preserve">, M. Z., </w:t>
      </w:r>
      <w:proofErr w:type="spellStart"/>
      <w:r>
        <w:rPr>
          <w:sz w:val="20"/>
          <w:szCs w:val="20"/>
        </w:rPr>
        <w:t>Goedkoop</w:t>
      </w:r>
      <w:proofErr w:type="spellEnd"/>
      <w:r>
        <w:rPr>
          <w:sz w:val="20"/>
          <w:szCs w:val="20"/>
        </w:rPr>
        <w:t xml:space="preserve">, M., </w:t>
      </w:r>
      <w:proofErr w:type="spellStart"/>
      <w:r>
        <w:rPr>
          <w:sz w:val="20"/>
          <w:szCs w:val="20"/>
        </w:rPr>
        <w:t>Guinée</w:t>
      </w:r>
      <w:proofErr w:type="spellEnd"/>
      <w:r>
        <w:rPr>
          <w:sz w:val="20"/>
          <w:szCs w:val="20"/>
        </w:rPr>
        <w:t xml:space="preserve">, J., </w:t>
      </w:r>
      <w:proofErr w:type="spellStart"/>
      <w:r>
        <w:rPr>
          <w:sz w:val="20"/>
          <w:szCs w:val="20"/>
        </w:rPr>
        <w:t>Heijungs</w:t>
      </w:r>
      <w:proofErr w:type="spellEnd"/>
      <w:r>
        <w:rPr>
          <w:sz w:val="20"/>
          <w:szCs w:val="20"/>
        </w:rPr>
        <w:t xml:space="preserve">, R., </w:t>
      </w:r>
      <w:proofErr w:type="spellStart"/>
      <w:r>
        <w:rPr>
          <w:sz w:val="20"/>
          <w:szCs w:val="20"/>
        </w:rPr>
        <w:t>Huijbregts</w:t>
      </w:r>
      <w:proofErr w:type="spellEnd"/>
      <w:r>
        <w:rPr>
          <w:sz w:val="20"/>
          <w:szCs w:val="20"/>
        </w:rPr>
        <w:t xml:space="preserve">, M., Jolliet, O., </w:t>
      </w:r>
      <w:proofErr w:type="spellStart"/>
      <w:r>
        <w:rPr>
          <w:sz w:val="20"/>
          <w:szCs w:val="20"/>
        </w:rPr>
        <w:t>Margni</w:t>
      </w:r>
      <w:proofErr w:type="spellEnd"/>
      <w:r>
        <w:rPr>
          <w:sz w:val="20"/>
          <w:szCs w:val="20"/>
        </w:rPr>
        <w:t xml:space="preserve">, M., De </w:t>
      </w:r>
      <w:proofErr w:type="spellStart"/>
      <w:r>
        <w:rPr>
          <w:sz w:val="20"/>
          <w:szCs w:val="20"/>
        </w:rPr>
        <w:t>Schryver</w:t>
      </w:r>
      <w:proofErr w:type="spellEnd"/>
      <w:r>
        <w:rPr>
          <w:sz w:val="20"/>
          <w:szCs w:val="20"/>
        </w:rPr>
        <w:t>, A., Humbert, S., Laurent, A., Sala, S., &amp; Pant, R. (2012). Identifying best exis</w:t>
      </w:r>
      <w:r>
        <w:rPr>
          <w:sz w:val="20"/>
          <w:szCs w:val="20"/>
        </w:rPr>
        <w:t xml:space="preserve">ting practice for </w:t>
      </w:r>
      <w:proofErr w:type="spellStart"/>
      <w:r>
        <w:rPr>
          <w:sz w:val="20"/>
          <w:szCs w:val="20"/>
        </w:rPr>
        <w:t>characterisation</w:t>
      </w:r>
      <w:proofErr w:type="spellEnd"/>
      <w:r>
        <w:rPr>
          <w:sz w:val="20"/>
          <w:szCs w:val="20"/>
        </w:rPr>
        <w:t xml:space="preserve"> modelling in life cycle impact assessment. International Journal of Life Cycle Assessment, 18(3), 683–697. https://doi.org/10.1007/s11367-012-0489-5</w:t>
      </w:r>
    </w:p>
    <w:p w:rsidR="006C03BE" w:rsidRDefault="000A5B4A">
      <w:pPr>
        <w:spacing w:before="36" w:after="36" w:line="280" w:lineRule="auto"/>
        <w:ind w:left="720" w:hanging="720"/>
        <w:jc w:val="both"/>
      </w:pPr>
      <w:proofErr w:type="spellStart"/>
      <w:r>
        <w:rPr>
          <w:sz w:val="20"/>
          <w:szCs w:val="20"/>
        </w:rPr>
        <w:t>Heijungs</w:t>
      </w:r>
      <w:proofErr w:type="spellEnd"/>
      <w:r>
        <w:rPr>
          <w:sz w:val="20"/>
          <w:szCs w:val="20"/>
        </w:rPr>
        <w:t xml:space="preserve">, R., </w:t>
      </w:r>
      <w:proofErr w:type="spellStart"/>
      <w:r>
        <w:rPr>
          <w:sz w:val="20"/>
          <w:szCs w:val="20"/>
        </w:rPr>
        <w:t>Guinée</w:t>
      </w:r>
      <w:proofErr w:type="spellEnd"/>
      <w:r>
        <w:rPr>
          <w:sz w:val="20"/>
          <w:szCs w:val="20"/>
        </w:rPr>
        <w:t xml:space="preserve">, J. B., </w:t>
      </w:r>
      <w:proofErr w:type="spellStart"/>
      <w:r>
        <w:rPr>
          <w:sz w:val="20"/>
          <w:szCs w:val="20"/>
        </w:rPr>
        <w:t>Huppes</w:t>
      </w:r>
      <w:proofErr w:type="spellEnd"/>
      <w:r>
        <w:rPr>
          <w:sz w:val="20"/>
          <w:szCs w:val="20"/>
        </w:rPr>
        <w:t xml:space="preserve">, G., </w:t>
      </w:r>
      <w:proofErr w:type="spellStart"/>
      <w:r>
        <w:rPr>
          <w:sz w:val="20"/>
          <w:szCs w:val="20"/>
        </w:rPr>
        <w:t>Lankreijer</w:t>
      </w:r>
      <w:proofErr w:type="spellEnd"/>
      <w:r>
        <w:rPr>
          <w:sz w:val="20"/>
          <w:szCs w:val="20"/>
        </w:rPr>
        <w:t xml:space="preserve">, R. M., Udo de </w:t>
      </w:r>
      <w:proofErr w:type="spellStart"/>
      <w:r>
        <w:rPr>
          <w:sz w:val="20"/>
          <w:szCs w:val="20"/>
        </w:rPr>
        <w:t>Haes</w:t>
      </w:r>
      <w:proofErr w:type="spellEnd"/>
      <w:r>
        <w:rPr>
          <w:sz w:val="20"/>
          <w:szCs w:val="20"/>
        </w:rPr>
        <w:t>,</w:t>
      </w:r>
      <w:r>
        <w:rPr>
          <w:sz w:val="20"/>
          <w:szCs w:val="20"/>
        </w:rPr>
        <w:t xml:space="preserve"> H. A., Wegener </w:t>
      </w:r>
      <w:proofErr w:type="spellStart"/>
      <w:r>
        <w:rPr>
          <w:sz w:val="20"/>
          <w:szCs w:val="20"/>
        </w:rPr>
        <w:t>Sleeswijk</w:t>
      </w:r>
      <w:proofErr w:type="spellEnd"/>
      <w:r>
        <w:rPr>
          <w:sz w:val="20"/>
          <w:szCs w:val="20"/>
        </w:rPr>
        <w:t xml:space="preserve">, A., </w:t>
      </w:r>
      <w:proofErr w:type="spellStart"/>
      <w:r>
        <w:rPr>
          <w:sz w:val="20"/>
          <w:szCs w:val="20"/>
        </w:rPr>
        <w:t>Ansems</w:t>
      </w:r>
      <w:proofErr w:type="spellEnd"/>
      <w:r>
        <w:rPr>
          <w:sz w:val="20"/>
          <w:szCs w:val="20"/>
        </w:rPr>
        <w:t xml:space="preserve">, A. M. M., </w:t>
      </w:r>
      <w:proofErr w:type="spellStart"/>
      <w:r>
        <w:rPr>
          <w:sz w:val="20"/>
          <w:szCs w:val="20"/>
        </w:rPr>
        <w:t>Eggels</w:t>
      </w:r>
      <w:proofErr w:type="spellEnd"/>
      <w:r>
        <w:rPr>
          <w:sz w:val="20"/>
          <w:szCs w:val="20"/>
        </w:rPr>
        <w:t xml:space="preserve">, P. G., </w:t>
      </w:r>
      <w:proofErr w:type="spellStart"/>
      <w:r>
        <w:rPr>
          <w:sz w:val="20"/>
          <w:szCs w:val="20"/>
        </w:rPr>
        <w:t>Duin</w:t>
      </w:r>
      <w:proofErr w:type="spellEnd"/>
      <w:r>
        <w:rPr>
          <w:sz w:val="20"/>
          <w:szCs w:val="20"/>
        </w:rPr>
        <w:t>, R. van, &amp; Goede, H. P. de. (1992). Environmental life cycle assessment of products: Guide and backgrounds. Centre of Environmental Science, Leiden University.</w:t>
      </w:r>
    </w:p>
    <w:p w:rsidR="006C03BE" w:rsidRDefault="000A5B4A">
      <w:pPr>
        <w:spacing w:before="36" w:after="36" w:line="280" w:lineRule="auto"/>
        <w:ind w:left="720" w:hanging="720"/>
        <w:jc w:val="both"/>
      </w:pPr>
      <w:proofErr w:type="spellStart"/>
      <w:r>
        <w:rPr>
          <w:sz w:val="20"/>
          <w:szCs w:val="20"/>
        </w:rPr>
        <w:t>Hertwich</w:t>
      </w:r>
      <w:proofErr w:type="spellEnd"/>
      <w:r>
        <w:rPr>
          <w:sz w:val="20"/>
          <w:szCs w:val="20"/>
        </w:rPr>
        <w:t xml:space="preserve">, E. G., </w:t>
      </w:r>
      <w:proofErr w:type="spellStart"/>
      <w:r>
        <w:rPr>
          <w:sz w:val="20"/>
          <w:szCs w:val="20"/>
        </w:rPr>
        <w:t>Gibon</w:t>
      </w:r>
      <w:proofErr w:type="spellEnd"/>
      <w:r>
        <w:rPr>
          <w:sz w:val="20"/>
          <w:szCs w:val="20"/>
        </w:rPr>
        <w:t>, T.,</w:t>
      </w:r>
      <w:r>
        <w:rPr>
          <w:sz w:val="20"/>
          <w:szCs w:val="20"/>
        </w:rPr>
        <w:t xml:space="preserve"> </w:t>
      </w:r>
      <w:proofErr w:type="spellStart"/>
      <w:r>
        <w:rPr>
          <w:sz w:val="20"/>
          <w:szCs w:val="20"/>
        </w:rPr>
        <w:t>Bouman</w:t>
      </w:r>
      <w:proofErr w:type="spellEnd"/>
      <w:r>
        <w:rPr>
          <w:sz w:val="20"/>
          <w:szCs w:val="20"/>
        </w:rPr>
        <w:t xml:space="preserve">, E. A., </w:t>
      </w:r>
      <w:proofErr w:type="spellStart"/>
      <w:r>
        <w:rPr>
          <w:sz w:val="20"/>
          <w:szCs w:val="20"/>
        </w:rPr>
        <w:t>Arvesen</w:t>
      </w:r>
      <w:proofErr w:type="spellEnd"/>
      <w:r>
        <w:rPr>
          <w:sz w:val="20"/>
          <w:szCs w:val="20"/>
        </w:rPr>
        <w:t xml:space="preserve">, A., Suh, S., Heath, G. A., </w:t>
      </w:r>
      <w:proofErr w:type="spellStart"/>
      <w:r>
        <w:rPr>
          <w:sz w:val="20"/>
          <w:szCs w:val="20"/>
        </w:rPr>
        <w:t>Bergesen</w:t>
      </w:r>
      <w:proofErr w:type="spellEnd"/>
      <w:r>
        <w:rPr>
          <w:sz w:val="20"/>
          <w:szCs w:val="20"/>
        </w:rPr>
        <w:t xml:space="preserve">, J. D., Ramirez, A., Vega, M. I., &amp; Shi, L. (2014). Integrated life-cycle assessment of electricity-supply scenarios confirms global environmental benefit of low-carbon technologies. Proceedings </w:t>
      </w:r>
      <w:r>
        <w:rPr>
          <w:sz w:val="20"/>
          <w:szCs w:val="20"/>
        </w:rPr>
        <w:t>of the National Academy of Sciences, 112(20), 6277–6282. https://doi.org/10.1073/pnas.1312753111</w:t>
      </w:r>
    </w:p>
    <w:p w:rsidR="006C03BE" w:rsidRDefault="000A5B4A">
      <w:pPr>
        <w:spacing w:before="36" w:after="36" w:line="280" w:lineRule="auto"/>
        <w:ind w:left="720" w:hanging="720"/>
        <w:jc w:val="both"/>
      </w:pPr>
      <w:r>
        <w:rPr>
          <w:sz w:val="20"/>
          <w:szCs w:val="20"/>
        </w:rPr>
        <w:t>IEA (International Energy Agency). (2022). Buildings — Tracking report. IEA. https://www.iea.org/reports/buildings</w:t>
      </w:r>
    </w:p>
    <w:p w:rsidR="006C03BE" w:rsidRDefault="000A5B4A">
      <w:pPr>
        <w:spacing w:before="36" w:after="36" w:line="280" w:lineRule="auto"/>
        <w:ind w:left="720" w:hanging="720"/>
        <w:jc w:val="both"/>
      </w:pPr>
      <w:r>
        <w:rPr>
          <w:sz w:val="20"/>
          <w:szCs w:val="20"/>
        </w:rPr>
        <w:t>ISO. (2006a). ISO 14040: Environmental manag</w:t>
      </w:r>
      <w:r>
        <w:rPr>
          <w:sz w:val="20"/>
          <w:szCs w:val="20"/>
        </w:rPr>
        <w:t>ement — Life cycle assessment — Principles and framework. International Organization for Standardization.</w:t>
      </w:r>
    </w:p>
    <w:p w:rsidR="006C03BE" w:rsidRDefault="000A5B4A">
      <w:pPr>
        <w:spacing w:before="36" w:after="36" w:line="280" w:lineRule="auto"/>
        <w:ind w:left="720" w:hanging="720"/>
        <w:jc w:val="both"/>
      </w:pPr>
      <w:r>
        <w:rPr>
          <w:sz w:val="20"/>
          <w:szCs w:val="20"/>
        </w:rPr>
        <w:t>ISO. (2006b). ISO 14044: Environmental management — Life cycle assessment — Requirements and guidelines. International Organization for Standardizatio</w:t>
      </w:r>
      <w:r>
        <w:rPr>
          <w:sz w:val="20"/>
          <w:szCs w:val="20"/>
        </w:rPr>
        <w:t>n.</w:t>
      </w:r>
    </w:p>
    <w:p w:rsidR="006C03BE" w:rsidRDefault="000A5B4A">
      <w:pPr>
        <w:spacing w:before="36" w:after="36" w:line="280" w:lineRule="auto"/>
        <w:ind w:left="720" w:hanging="720"/>
        <w:jc w:val="both"/>
      </w:pPr>
      <w:r>
        <w:rPr>
          <w:sz w:val="20"/>
          <w:szCs w:val="20"/>
        </w:rPr>
        <w:t>ISO. (2014). ISO 14046: Environmental management — Water footprint — Principles, requirements and guidelines. International Organization for Standardization.</w:t>
      </w:r>
    </w:p>
    <w:p w:rsidR="006C03BE" w:rsidRDefault="000A5B4A">
      <w:pPr>
        <w:spacing w:before="36" w:after="36" w:line="280" w:lineRule="auto"/>
        <w:ind w:left="720" w:hanging="720"/>
        <w:jc w:val="both"/>
      </w:pPr>
      <w:r>
        <w:rPr>
          <w:sz w:val="20"/>
          <w:szCs w:val="20"/>
        </w:rPr>
        <w:t xml:space="preserve">ISO. (2015). ISO 14001: Environmental management systems — Requirements with guidance for use. </w:t>
      </w:r>
      <w:r>
        <w:rPr>
          <w:sz w:val="20"/>
          <w:szCs w:val="20"/>
        </w:rPr>
        <w:t>International Organization for Standardization.</w:t>
      </w:r>
    </w:p>
    <w:p w:rsidR="006C03BE" w:rsidRDefault="000A5B4A">
      <w:pPr>
        <w:spacing w:before="36" w:after="36" w:line="280" w:lineRule="auto"/>
        <w:ind w:left="720" w:hanging="720"/>
        <w:jc w:val="both"/>
      </w:pPr>
      <w:r>
        <w:rPr>
          <w:sz w:val="20"/>
          <w:szCs w:val="20"/>
        </w:rPr>
        <w:t xml:space="preserve">Jolliet, O., </w:t>
      </w:r>
      <w:proofErr w:type="spellStart"/>
      <w:r>
        <w:rPr>
          <w:sz w:val="20"/>
          <w:szCs w:val="20"/>
        </w:rPr>
        <w:t>Saadé-Sbeih</w:t>
      </w:r>
      <w:proofErr w:type="spellEnd"/>
      <w:r>
        <w:rPr>
          <w:sz w:val="20"/>
          <w:szCs w:val="20"/>
        </w:rPr>
        <w:t xml:space="preserve">, M., </w:t>
      </w:r>
      <w:proofErr w:type="spellStart"/>
      <w:r>
        <w:rPr>
          <w:sz w:val="20"/>
          <w:szCs w:val="20"/>
        </w:rPr>
        <w:t>Shaked</w:t>
      </w:r>
      <w:proofErr w:type="spellEnd"/>
      <w:r>
        <w:rPr>
          <w:sz w:val="20"/>
          <w:szCs w:val="20"/>
        </w:rPr>
        <w:t xml:space="preserve">, S., Jolliet, A., &amp; </w:t>
      </w:r>
      <w:proofErr w:type="spellStart"/>
      <w:r>
        <w:rPr>
          <w:sz w:val="20"/>
          <w:szCs w:val="20"/>
        </w:rPr>
        <w:t>Crettaz</w:t>
      </w:r>
      <w:proofErr w:type="spellEnd"/>
      <w:r>
        <w:rPr>
          <w:sz w:val="20"/>
          <w:szCs w:val="20"/>
        </w:rPr>
        <w:t>, P. (2016). Environmental life cycle assessment. CRC Press / Taylor &amp; Francis. https://doi.org/10.1201/b19081</w:t>
      </w:r>
    </w:p>
    <w:p w:rsidR="006C03BE" w:rsidRDefault="000A5B4A">
      <w:pPr>
        <w:spacing w:before="36" w:after="36" w:line="280" w:lineRule="auto"/>
        <w:ind w:left="720" w:hanging="720"/>
        <w:jc w:val="both"/>
      </w:pPr>
      <w:r>
        <w:rPr>
          <w:sz w:val="20"/>
          <w:szCs w:val="20"/>
        </w:rPr>
        <w:t>Meadows, D. H., &amp; Club of Rome. (</w:t>
      </w:r>
      <w:r>
        <w:rPr>
          <w:sz w:val="20"/>
          <w:szCs w:val="20"/>
        </w:rPr>
        <w:t>1972). Limits to growth: A report for the Club of Rome's project on the predicament of mankind. Universe Books.</w:t>
      </w:r>
    </w:p>
    <w:p w:rsidR="006C03BE" w:rsidRDefault="000A5B4A">
      <w:pPr>
        <w:spacing w:before="36" w:after="36" w:line="280" w:lineRule="auto"/>
        <w:ind w:left="720" w:hanging="720"/>
        <w:jc w:val="both"/>
      </w:pPr>
      <w:r>
        <w:rPr>
          <w:sz w:val="20"/>
          <w:szCs w:val="20"/>
        </w:rPr>
        <w:t xml:space="preserve">Meadows, D. H., Meadows, D. L., &amp; Randers, J. (1992). Beyond the limits: Confronting global collapse, envisioning a sustainable future. Chelsea </w:t>
      </w:r>
      <w:r>
        <w:rPr>
          <w:sz w:val="20"/>
          <w:szCs w:val="20"/>
        </w:rPr>
        <w:t>Green Publishing.</w:t>
      </w:r>
    </w:p>
    <w:p w:rsidR="006C03BE" w:rsidRDefault="000A5B4A">
      <w:pPr>
        <w:spacing w:before="36" w:after="36" w:line="280" w:lineRule="auto"/>
        <w:ind w:left="720" w:hanging="720"/>
        <w:jc w:val="both"/>
      </w:pPr>
      <w:r>
        <w:rPr>
          <w:sz w:val="20"/>
          <w:szCs w:val="20"/>
        </w:rPr>
        <w:t xml:space="preserve">Pennington, D. W., Potting, J., </w:t>
      </w:r>
      <w:proofErr w:type="spellStart"/>
      <w:r>
        <w:rPr>
          <w:sz w:val="20"/>
          <w:szCs w:val="20"/>
        </w:rPr>
        <w:t>Finnveden</w:t>
      </w:r>
      <w:proofErr w:type="spellEnd"/>
      <w:r>
        <w:rPr>
          <w:sz w:val="20"/>
          <w:szCs w:val="20"/>
        </w:rPr>
        <w:t xml:space="preserve">, G., </w:t>
      </w:r>
      <w:proofErr w:type="spellStart"/>
      <w:r>
        <w:rPr>
          <w:sz w:val="20"/>
          <w:szCs w:val="20"/>
        </w:rPr>
        <w:t>Lindeijer</w:t>
      </w:r>
      <w:proofErr w:type="spellEnd"/>
      <w:r>
        <w:rPr>
          <w:sz w:val="20"/>
          <w:szCs w:val="20"/>
        </w:rPr>
        <w:t xml:space="preserve">, E., Jolliet, O., Rydberg, T., &amp; </w:t>
      </w:r>
      <w:proofErr w:type="spellStart"/>
      <w:r>
        <w:rPr>
          <w:sz w:val="20"/>
          <w:szCs w:val="20"/>
        </w:rPr>
        <w:t>Rebitzer</w:t>
      </w:r>
      <w:proofErr w:type="spellEnd"/>
      <w:r>
        <w:rPr>
          <w:sz w:val="20"/>
          <w:szCs w:val="20"/>
        </w:rPr>
        <w:t>, G. (2004). Life cycle assessment Part 2: Current impact assessment practice. Environment International, 30(5), 721–739. https://doi.org/10.1016/j.envint.200</w:t>
      </w:r>
      <w:r>
        <w:rPr>
          <w:sz w:val="20"/>
          <w:szCs w:val="20"/>
        </w:rPr>
        <w:t>3.12.009</w:t>
      </w:r>
    </w:p>
    <w:p w:rsidR="006C03BE" w:rsidRDefault="000A5B4A">
      <w:pPr>
        <w:spacing w:before="36" w:after="36" w:line="280" w:lineRule="auto"/>
        <w:ind w:left="720" w:hanging="720"/>
        <w:jc w:val="both"/>
      </w:pPr>
      <w:proofErr w:type="spellStart"/>
      <w:r>
        <w:rPr>
          <w:sz w:val="20"/>
          <w:szCs w:val="20"/>
        </w:rPr>
        <w:t>Poore</w:t>
      </w:r>
      <w:proofErr w:type="spellEnd"/>
      <w:r>
        <w:rPr>
          <w:sz w:val="20"/>
          <w:szCs w:val="20"/>
        </w:rPr>
        <w:t xml:space="preserve">, J., &amp; </w:t>
      </w:r>
      <w:proofErr w:type="spellStart"/>
      <w:r>
        <w:rPr>
          <w:sz w:val="20"/>
          <w:szCs w:val="20"/>
        </w:rPr>
        <w:t>Nemecek</w:t>
      </w:r>
      <w:proofErr w:type="spellEnd"/>
      <w:r>
        <w:rPr>
          <w:sz w:val="20"/>
          <w:szCs w:val="20"/>
        </w:rPr>
        <w:t>, T. (2018). Reducing food's environmental impacts through producers and consumers. Science, 360(6392), 987–992. https://doi.org/10.1126/science.aaq0216</w:t>
      </w:r>
    </w:p>
    <w:p w:rsidR="006C03BE" w:rsidRDefault="000A5B4A">
      <w:pPr>
        <w:spacing w:before="36" w:after="36" w:line="280" w:lineRule="auto"/>
        <w:ind w:left="720" w:hanging="720"/>
        <w:jc w:val="both"/>
      </w:pPr>
      <w:r>
        <w:rPr>
          <w:sz w:val="20"/>
          <w:szCs w:val="20"/>
        </w:rPr>
        <w:t>SETAC. (1993). A conceptual framework for life-cycle impact assessment. So</w:t>
      </w:r>
      <w:r>
        <w:rPr>
          <w:sz w:val="20"/>
          <w:szCs w:val="20"/>
        </w:rPr>
        <w:t>ciety of Environmental Toxicology and Chemistry.</w:t>
      </w:r>
    </w:p>
    <w:p w:rsidR="006C03BE" w:rsidRDefault="000A5B4A">
      <w:pPr>
        <w:spacing w:before="36" w:after="36" w:line="280" w:lineRule="auto"/>
        <w:ind w:left="720" w:hanging="720"/>
        <w:jc w:val="both"/>
      </w:pPr>
      <w:r>
        <w:rPr>
          <w:sz w:val="20"/>
          <w:szCs w:val="20"/>
        </w:rPr>
        <w:lastRenderedPageBreak/>
        <w:t xml:space="preserve">UNEP. (2012). Global environment outlook — GEO 5: Environment for the future we want. United Nations Environment </w:t>
      </w:r>
      <w:proofErr w:type="spellStart"/>
      <w:r>
        <w:rPr>
          <w:sz w:val="20"/>
          <w:szCs w:val="20"/>
        </w:rPr>
        <w:t>Programme</w:t>
      </w:r>
      <w:proofErr w:type="spellEnd"/>
      <w:r>
        <w:rPr>
          <w:sz w:val="20"/>
          <w:szCs w:val="20"/>
        </w:rPr>
        <w:t>.</w:t>
      </w:r>
    </w:p>
    <w:p w:rsidR="006C03BE" w:rsidRDefault="000A5B4A">
      <w:pPr>
        <w:spacing w:before="36" w:after="36" w:line="280" w:lineRule="auto"/>
        <w:ind w:left="720" w:hanging="720"/>
        <w:jc w:val="both"/>
      </w:pPr>
      <w:r>
        <w:rPr>
          <w:sz w:val="20"/>
          <w:szCs w:val="20"/>
        </w:rPr>
        <w:t>UNEP-SETAC. (2002). Life cycle initiative launch documents. United Nations Environm</w:t>
      </w:r>
      <w:r>
        <w:rPr>
          <w:sz w:val="20"/>
          <w:szCs w:val="20"/>
        </w:rPr>
        <w:t xml:space="preserve">ent </w:t>
      </w:r>
      <w:proofErr w:type="spellStart"/>
      <w:r>
        <w:rPr>
          <w:sz w:val="20"/>
          <w:szCs w:val="20"/>
        </w:rPr>
        <w:t>Programme</w:t>
      </w:r>
      <w:proofErr w:type="spellEnd"/>
      <w:r>
        <w:rPr>
          <w:sz w:val="20"/>
          <w:szCs w:val="20"/>
        </w:rPr>
        <w:t>.</w:t>
      </w:r>
    </w:p>
    <w:p w:rsidR="006C03BE" w:rsidRDefault="000A5B4A">
      <w:pPr>
        <w:spacing w:before="36" w:after="36" w:line="280" w:lineRule="auto"/>
        <w:ind w:left="720" w:hanging="720"/>
        <w:jc w:val="both"/>
      </w:pPr>
      <w:proofErr w:type="spellStart"/>
      <w:r>
        <w:rPr>
          <w:sz w:val="20"/>
          <w:szCs w:val="20"/>
        </w:rPr>
        <w:t>Wannaz</w:t>
      </w:r>
      <w:proofErr w:type="spellEnd"/>
      <w:r>
        <w:rPr>
          <w:sz w:val="20"/>
          <w:szCs w:val="20"/>
        </w:rPr>
        <w:t xml:space="preserve">, C., </w:t>
      </w:r>
      <w:proofErr w:type="spellStart"/>
      <w:r>
        <w:rPr>
          <w:sz w:val="20"/>
          <w:szCs w:val="20"/>
        </w:rPr>
        <w:t>Fantke</w:t>
      </w:r>
      <w:proofErr w:type="spellEnd"/>
      <w:r>
        <w:rPr>
          <w:sz w:val="20"/>
          <w:szCs w:val="20"/>
        </w:rPr>
        <w:t xml:space="preserve">, P., Jolliet, O., &amp; </w:t>
      </w:r>
      <w:proofErr w:type="spellStart"/>
      <w:r>
        <w:rPr>
          <w:sz w:val="20"/>
          <w:szCs w:val="20"/>
        </w:rPr>
        <w:t>Hodas</w:t>
      </w:r>
      <w:proofErr w:type="spellEnd"/>
      <w:r>
        <w:rPr>
          <w:sz w:val="20"/>
          <w:szCs w:val="20"/>
        </w:rPr>
        <w:t>, N. (2012). Multi-scale spatial modelling framework for chemical exposure. Environmental Health Perspectives.</w:t>
      </w:r>
    </w:p>
    <w:p w:rsidR="006C03BE" w:rsidRDefault="000A5B4A">
      <w:pPr>
        <w:spacing w:before="36" w:after="36" w:line="280" w:lineRule="auto"/>
        <w:ind w:left="720" w:hanging="720"/>
        <w:jc w:val="both"/>
      </w:pPr>
      <w:proofErr w:type="spellStart"/>
      <w:r>
        <w:rPr>
          <w:sz w:val="20"/>
          <w:szCs w:val="20"/>
        </w:rPr>
        <w:t>Weidema</w:t>
      </w:r>
      <w:proofErr w:type="spellEnd"/>
      <w:r>
        <w:rPr>
          <w:sz w:val="20"/>
          <w:szCs w:val="20"/>
        </w:rPr>
        <w:t xml:space="preserve">, B. P., &amp; </w:t>
      </w:r>
      <w:proofErr w:type="spellStart"/>
      <w:r>
        <w:rPr>
          <w:sz w:val="20"/>
          <w:szCs w:val="20"/>
        </w:rPr>
        <w:t>Wesnæs</w:t>
      </w:r>
      <w:proofErr w:type="spellEnd"/>
      <w:r>
        <w:rPr>
          <w:sz w:val="20"/>
          <w:szCs w:val="20"/>
        </w:rPr>
        <w:t>, M. S. (1996). Data quality management for life cycle inventories — an example of using data quality indicators. Journal of Cleaner Production, 4(3–4), 167–174. https://doi.org/10.1016/S0959-6526(96)00043-1</w:t>
      </w:r>
    </w:p>
    <w:p w:rsidR="006C03BE" w:rsidRDefault="000A5B4A">
      <w:pPr>
        <w:spacing w:before="36" w:after="36" w:line="280" w:lineRule="auto"/>
        <w:ind w:left="720" w:hanging="720"/>
        <w:jc w:val="both"/>
      </w:pPr>
      <w:r>
        <w:rPr>
          <w:sz w:val="20"/>
          <w:szCs w:val="20"/>
        </w:rPr>
        <w:t>World Resources Institut</w:t>
      </w:r>
      <w:r>
        <w:rPr>
          <w:sz w:val="20"/>
          <w:szCs w:val="20"/>
        </w:rPr>
        <w:t>e (WRI) &amp; World Business Council for Social Development (WBCSD). (2011). Greenhouse gas protocol: Product life cycle accounting and reporting standard. WRI/WBCSD.</w:t>
      </w:r>
    </w:p>
    <w:p w:rsidR="006C03BE" w:rsidRDefault="000A5B4A">
      <w:pPr>
        <w:spacing w:before="36" w:after="36" w:line="280" w:lineRule="auto"/>
        <w:ind w:left="720" w:hanging="720"/>
        <w:jc w:val="both"/>
      </w:pPr>
      <w:proofErr w:type="spellStart"/>
      <w:r>
        <w:rPr>
          <w:sz w:val="20"/>
          <w:szCs w:val="20"/>
        </w:rPr>
        <w:t>Wrisberg</w:t>
      </w:r>
      <w:proofErr w:type="spellEnd"/>
      <w:r>
        <w:rPr>
          <w:sz w:val="20"/>
          <w:szCs w:val="20"/>
        </w:rPr>
        <w:t xml:space="preserve">, N., Udo de </w:t>
      </w:r>
      <w:proofErr w:type="spellStart"/>
      <w:r>
        <w:rPr>
          <w:sz w:val="20"/>
          <w:szCs w:val="20"/>
        </w:rPr>
        <w:t>Haes</w:t>
      </w:r>
      <w:proofErr w:type="spellEnd"/>
      <w:r>
        <w:rPr>
          <w:sz w:val="20"/>
          <w:szCs w:val="20"/>
        </w:rPr>
        <w:t xml:space="preserve">, H. A., </w:t>
      </w:r>
      <w:proofErr w:type="spellStart"/>
      <w:r>
        <w:rPr>
          <w:sz w:val="20"/>
          <w:szCs w:val="20"/>
        </w:rPr>
        <w:t>Triebswetter</w:t>
      </w:r>
      <w:proofErr w:type="spellEnd"/>
      <w:r>
        <w:rPr>
          <w:sz w:val="20"/>
          <w:szCs w:val="20"/>
        </w:rPr>
        <w:t xml:space="preserve">, U., Eder, P., &amp; Clift, R. (2002). Analytical </w:t>
      </w:r>
      <w:r>
        <w:rPr>
          <w:sz w:val="20"/>
          <w:szCs w:val="20"/>
        </w:rPr>
        <w:t>tools for environmental design and management in a systems perspective. Kluwer Academic Publishers.</w:t>
      </w:r>
    </w:p>
    <w:p w:rsidR="006C03BE" w:rsidRDefault="006C03BE">
      <w:pPr>
        <w:pBdr>
          <w:bottom w:val="single" w:sz="4" w:space="1" w:color="3B82C4"/>
        </w:pBdr>
        <w:spacing w:before="180" w:after="180" w:line="300" w:lineRule="auto"/>
      </w:pPr>
    </w:p>
    <w:p w:rsidR="006C03BE" w:rsidRDefault="000A5B4A">
      <w:pPr>
        <w:spacing w:before="80" w:after="70" w:line="280" w:lineRule="auto"/>
        <w:jc w:val="center"/>
      </w:pPr>
      <w:r>
        <w:rPr>
          <w:b/>
          <w:bCs/>
          <w:color w:val="1A3557"/>
          <w:sz w:val="25"/>
          <w:szCs w:val="25"/>
        </w:rPr>
        <w:t>How to Cite This Paper</w:t>
      </w:r>
    </w:p>
    <w:p w:rsidR="006C03BE" w:rsidRDefault="000A5B4A">
      <w:pPr>
        <w:pBdr>
          <w:left w:val="single" w:sz="14" w:space="10" w:color="2563A8"/>
        </w:pBdr>
        <w:shd w:val="clear" w:color="auto" w:fill="EBF2FB"/>
        <w:spacing w:before="60" w:after="60" w:line="308" w:lineRule="auto"/>
        <w:ind w:left="360" w:right="360"/>
        <w:jc w:val="both"/>
      </w:pPr>
      <w:r>
        <w:rPr>
          <w:i/>
          <w:iCs/>
          <w:sz w:val="21"/>
          <w:szCs w:val="21"/>
        </w:rPr>
        <w:t xml:space="preserve">Abuhelweh, M. H. M. (2025). Life cycle assessment: Conceptual foundations, ISO standards, and methodological evolution. Independent </w:t>
      </w:r>
      <w:r>
        <w:rPr>
          <w:i/>
          <w:iCs/>
          <w:sz w:val="21"/>
          <w:szCs w:val="21"/>
        </w:rPr>
        <w:t xml:space="preserve">research preprint. </w:t>
      </w:r>
      <w:proofErr w:type="spellStart"/>
      <w:r>
        <w:rPr>
          <w:i/>
          <w:iCs/>
          <w:sz w:val="21"/>
          <w:szCs w:val="21"/>
        </w:rPr>
        <w:t>Zenodo</w:t>
      </w:r>
      <w:proofErr w:type="spellEnd"/>
      <w:r>
        <w:rPr>
          <w:i/>
          <w:iCs/>
          <w:sz w:val="21"/>
          <w:szCs w:val="21"/>
        </w:rPr>
        <w:t>. https://doi.org/10.5281/zenodo.XXXXXXX</w:t>
      </w:r>
    </w:p>
    <w:p w:rsidR="006C03BE" w:rsidRDefault="006C03BE">
      <w:pPr>
        <w:spacing w:before="60" w:after="60"/>
      </w:pPr>
    </w:p>
    <w:p w:rsidR="006C03BE" w:rsidRDefault="000A5B4A">
      <w:pPr>
        <w:spacing w:after="36" w:line="260" w:lineRule="auto"/>
        <w:jc w:val="center"/>
      </w:pPr>
      <w:r>
        <w:rPr>
          <w:color w:val="555555"/>
          <w:sz w:val="19"/>
          <w:szCs w:val="19"/>
        </w:rPr>
        <w:t xml:space="preserve">© 2025 Mohammad </w:t>
      </w:r>
      <w:proofErr w:type="spellStart"/>
      <w:r>
        <w:rPr>
          <w:color w:val="555555"/>
          <w:sz w:val="19"/>
          <w:szCs w:val="19"/>
        </w:rPr>
        <w:t>Husni</w:t>
      </w:r>
      <w:proofErr w:type="spellEnd"/>
      <w:r>
        <w:rPr>
          <w:color w:val="555555"/>
          <w:sz w:val="19"/>
          <w:szCs w:val="19"/>
        </w:rPr>
        <w:t xml:space="preserve"> Mohammad Abuhelweh</w:t>
      </w:r>
    </w:p>
    <w:p w:rsidR="006C03BE" w:rsidRDefault="000A5B4A">
      <w:pPr>
        <w:spacing w:after="36" w:line="260" w:lineRule="auto"/>
        <w:jc w:val="center"/>
      </w:pPr>
      <w:r>
        <w:rPr>
          <w:color w:val="555555"/>
          <w:sz w:val="19"/>
          <w:szCs w:val="19"/>
        </w:rPr>
        <w:t>Licensed under Creative Commons Attribution 4.0 International (CC BY 4.0)</w:t>
      </w:r>
    </w:p>
    <w:p w:rsidR="006C03BE" w:rsidRDefault="000A5B4A">
      <w:pPr>
        <w:spacing w:after="20" w:line="260" w:lineRule="auto"/>
        <w:jc w:val="center"/>
      </w:pPr>
      <w:r>
        <w:rPr>
          <w:i/>
          <w:iCs/>
          <w:color w:val="555555"/>
          <w:sz w:val="18"/>
          <w:szCs w:val="18"/>
        </w:rPr>
        <w:t>Free to share, adapt, and build upon — with attribution.</w:t>
      </w:r>
    </w:p>
    <w:sectPr w:rsidR="006C03BE">
      <w:headerReference w:type="default" r:id="rId7"/>
      <w:footerReference w:type="default" r:id="rId8"/>
      <w:pgSz w:w="11906" w:h="16838"/>
      <w:pgMar w:top="1260" w:right="1260" w:bottom="1260" w:left="126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5B4A" w:rsidRDefault="000A5B4A">
      <w:r>
        <w:separator/>
      </w:r>
    </w:p>
  </w:endnote>
  <w:endnote w:type="continuationSeparator" w:id="0">
    <w:p w:rsidR="000A5B4A" w:rsidRDefault="000A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3BE" w:rsidRDefault="000A5B4A">
    <w:pPr>
      <w:pBdr>
        <w:top w:val="single" w:sz="4" w:space="1" w:color="3B82C4"/>
      </w:pBdr>
      <w:spacing w:before="80"/>
      <w:jc w:val="center"/>
    </w:pPr>
    <w:r>
      <w:rPr>
        <w:color w:val="555555"/>
        <w:sz w:val="17"/>
        <w:szCs w:val="17"/>
      </w:rPr>
      <w:t xml:space="preserve">DOI: </w:t>
    </w:r>
    <w:proofErr w:type="gramStart"/>
    <w:r>
      <w:rPr>
        <w:color w:val="555555"/>
        <w:sz w:val="17"/>
        <w:szCs w:val="17"/>
      </w:rPr>
      <w:t>10.5281/</w:t>
    </w:r>
    <w:proofErr w:type="spellStart"/>
    <w:r>
      <w:rPr>
        <w:color w:val="555555"/>
        <w:sz w:val="17"/>
        <w:szCs w:val="17"/>
      </w:rPr>
      <w:t>zenodo.XXXXXXX</w:t>
    </w:r>
    <w:proofErr w:type="spellEnd"/>
    <w:r>
      <w:rPr>
        <w:color w:val="555555"/>
        <w:sz w:val="17"/>
        <w:szCs w:val="17"/>
      </w:rPr>
      <w:t xml:space="preserve">  ·</w:t>
    </w:r>
    <w:proofErr w:type="gramEnd"/>
    <w:r>
      <w:rPr>
        <w:color w:val="555555"/>
        <w:sz w:val="17"/>
        <w:szCs w:val="17"/>
      </w:rPr>
      <w:t xml:space="preserve">  CC BY 4.0  ·  Page </w:t>
    </w:r>
    <w:r>
      <w:rPr>
        <w:color w:val="555555"/>
        <w:sz w:val="17"/>
        <w:szCs w:val="17"/>
      </w:rPr>
      <w:fldChar w:fldCharType="begin"/>
    </w:r>
    <w:r>
      <w:rPr>
        <w:color w:val="555555"/>
        <w:sz w:val="17"/>
        <w:szCs w:val="17"/>
      </w:rPr>
      <w:instrText>PAGE</w:instrText>
    </w:r>
    <w:r w:rsidR="003674F9">
      <w:rPr>
        <w:color w:val="555555"/>
        <w:sz w:val="17"/>
        <w:szCs w:val="17"/>
      </w:rPr>
      <w:fldChar w:fldCharType="separate"/>
    </w:r>
    <w:r w:rsidR="003674F9">
      <w:rPr>
        <w:noProof/>
        <w:color w:val="555555"/>
        <w:sz w:val="17"/>
        <w:szCs w:val="17"/>
      </w:rPr>
      <w:t>1</w:t>
    </w:r>
    <w:r>
      <w:rPr>
        <w:color w:val="555555"/>
        <w:sz w:val="17"/>
        <w:szCs w:val="17"/>
      </w:rPr>
      <w:fldChar w:fldCharType="end"/>
    </w:r>
    <w:r>
      <w:rPr>
        <w:color w:val="555555"/>
        <w:sz w:val="17"/>
        <w:szCs w:val="17"/>
      </w:rPr>
      <w:t xml:space="preserve"> of </w:t>
    </w:r>
    <w:r>
      <w:rPr>
        <w:color w:val="555555"/>
        <w:sz w:val="17"/>
        <w:szCs w:val="17"/>
      </w:rPr>
      <w:fldChar w:fldCharType="begin"/>
    </w:r>
    <w:r>
      <w:rPr>
        <w:color w:val="555555"/>
        <w:sz w:val="17"/>
        <w:szCs w:val="17"/>
      </w:rPr>
      <w:instrText>NUMPAGES</w:instrText>
    </w:r>
    <w:r w:rsidR="003674F9">
      <w:rPr>
        <w:color w:val="555555"/>
        <w:sz w:val="17"/>
        <w:szCs w:val="17"/>
      </w:rPr>
      <w:fldChar w:fldCharType="separate"/>
    </w:r>
    <w:r w:rsidR="003674F9">
      <w:rPr>
        <w:noProof/>
        <w:color w:val="555555"/>
        <w:sz w:val="17"/>
        <w:szCs w:val="17"/>
      </w:rPr>
      <w:t>1</w:t>
    </w:r>
    <w:r>
      <w:rPr>
        <w:color w:val="555555"/>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5B4A" w:rsidRDefault="000A5B4A">
      <w:r>
        <w:separator/>
      </w:r>
    </w:p>
  </w:footnote>
  <w:footnote w:type="continuationSeparator" w:id="0">
    <w:p w:rsidR="000A5B4A" w:rsidRDefault="000A5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3BE" w:rsidRDefault="000A5B4A">
    <w:pPr>
      <w:pBdr>
        <w:bottom w:val="single" w:sz="4" w:space="1" w:color="3B82C4"/>
      </w:pBdr>
      <w:spacing w:after="80"/>
      <w:jc w:val="right"/>
    </w:pPr>
    <w:proofErr w:type="gramStart"/>
    <w:r>
      <w:rPr>
        <w:i/>
        <w:iCs/>
        <w:color w:val="555555"/>
        <w:sz w:val="17"/>
        <w:szCs w:val="17"/>
      </w:rPr>
      <w:t>Abuhelweh  |</w:t>
    </w:r>
    <w:proofErr w:type="gramEnd"/>
    <w:r>
      <w:rPr>
        <w:i/>
        <w:iCs/>
        <w:color w:val="555555"/>
        <w:sz w:val="17"/>
        <w:szCs w:val="17"/>
      </w:rPr>
      <w:t xml:space="preserve">  Independent Research  |  Ministry of Labour, Jordan  |  </w:t>
    </w:r>
    <w:proofErr w:type="spellStart"/>
    <w:r>
      <w:rPr>
        <w:i/>
        <w:iCs/>
        <w:color w:val="555555"/>
        <w:sz w:val="17"/>
        <w:szCs w:val="17"/>
      </w:rPr>
      <w:t>Zenodo</w:t>
    </w:r>
    <w:proofErr w:type="spellEnd"/>
    <w:r>
      <w:rPr>
        <w:i/>
        <w:iCs/>
        <w:color w:val="555555"/>
        <w:sz w:val="17"/>
        <w:szCs w:val="17"/>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F1230"/>
    <w:multiLevelType w:val="hybridMultilevel"/>
    <w:tmpl w:val="C91E1298"/>
    <w:lvl w:ilvl="0" w:tplc="AA96C1CE">
      <w:start w:val="1"/>
      <w:numFmt w:val="bullet"/>
      <w:lvlText w:val="●"/>
      <w:lvlJc w:val="left"/>
      <w:pPr>
        <w:ind w:left="720" w:hanging="360"/>
      </w:pPr>
    </w:lvl>
    <w:lvl w:ilvl="1" w:tplc="96AA8C40">
      <w:start w:val="1"/>
      <w:numFmt w:val="bullet"/>
      <w:lvlText w:val="○"/>
      <w:lvlJc w:val="left"/>
      <w:pPr>
        <w:ind w:left="1440" w:hanging="360"/>
      </w:pPr>
    </w:lvl>
    <w:lvl w:ilvl="2" w:tplc="D7E642A8">
      <w:start w:val="1"/>
      <w:numFmt w:val="bullet"/>
      <w:lvlText w:val="■"/>
      <w:lvlJc w:val="left"/>
      <w:pPr>
        <w:ind w:left="2160" w:hanging="360"/>
      </w:pPr>
    </w:lvl>
    <w:lvl w:ilvl="3" w:tplc="8482E558">
      <w:start w:val="1"/>
      <w:numFmt w:val="bullet"/>
      <w:lvlText w:val="●"/>
      <w:lvlJc w:val="left"/>
      <w:pPr>
        <w:ind w:left="2880" w:hanging="360"/>
      </w:pPr>
    </w:lvl>
    <w:lvl w:ilvl="4" w:tplc="DC986576">
      <w:start w:val="1"/>
      <w:numFmt w:val="bullet"/>
      <w:lvlText w:val="○"/>
      <w:lvlJc w:val="left"/>
      <w:pPr>
        <w:ind w:left="3600" w:hanging="360"/>
      </w:pPr>
    </w:lvl>
    <w:lvl w:ilvl="5" w:tplc="CAC212EA">
      <w:start w:val="1"/>
      <w:numFmt w:val="bullet"/>
      <w:lvlText w:val="■"/>
      <w:lvlJc w:val="left"/>
      <w:pPr>
        <w:ind w:left="4320" w:hanging="360"/>
      </w:pPr>
    </w:lvl>
    <w:lvl w:ilvl="6" w:tplc="E1A06F8C">
      <w:start w:val="1"/>
      <w:numFmt w:val="bullet"/>
      <w:lvlText w:val="●"/>
      <w:lvlJc w:val="left"/>
      <w:pPr>
        <w:ind w:left="5040" w:hanging="360"/>
      </w:pPr>
    </w:lvl>
    <w:lvl w:ilvl="7" w:tplc="DE4216AA">
      <w:start w:val="1"/>
      <w:numFmt w:val="bullet"/>
      <w:lvlText w:val="●"/>
      <w:lvlJc w:val="left"/>
      <w:pPr>
        <w:ind w:left="5760" w:hanging="360"/>
      </w:pPr>
    </w:lvl>
    <w:lvl w:ilvl="8" w:tplc="DCBEE61E">
      <w:start w:val="1"/>
      <w:numFmt w:val="bullet"/>
      <w:lvlText w:val="●"/>
      <w:lvlJc w:val="left"/>
      <w:pPr>
        <w:ind w:left="6480" w:hanging="360"/>
      </w:pPr>
    </w:lvl>
  </w:abstractNum>
  <w:abstractNum w:abstractNumId="1" w15:restartNumberingAfterBreak="0">
    <w:nsid w:val="52B82D8C"/>
    <w:multiLevelType w:val="hybridMultilevel"/>
    <w:tmpl w:val="3DF40EC8"/>
    <w:lvl w:ilvl="0" w:tplc="77F0CE7A">
      <w:start w:val="1"/>
      <w:numFmt w:val="decimal"/>
      <w:lvlText w:val="%1."/>
      <w:lvlJc w:val="left"/>
      <w:pPr>
        <w:ind w:left="720" w:hanging="360"/>
      </w:pPr>
    </w:lvl>
    <w:lvl w:ilvl="1" w:tplc="AFFE4F10">
      <w:numFmt w:val="decimal"/>
      <w:lvlText w:val=""/>
      <w:lvlJc w:val="left"/>
    </w:lvl>
    <w:lvl w:ilvl="2" w:tplc="AAEA4E22">
      <w:numFmt w:val="decimal"/>
      <w:lvlText w:val=""/>
      <w:lvlJc w:val="left"/>
    </w:lvl>
    <w:lvl w:ilvl="3" w:tplc="F9EEA3EA">
      <w:numFmt w:val="decimal"/>
      <w:lvlText w:val=""/>
      <w:lvlJc w:val="left"/>
    </w:lvl>
    <w:lvl w:ilvl="4" w:tplc="C01EDE30">
      <w:numFmt w:val="decimal"/>
      <w:lvlText w:val=""/>
      <w:lvlJc w:val="left"/>
    </w:lvl>
    <w:lvl w:ilvl="5" w:tplc="5F04BA6C">
      <w:numFmt w:val="decimal"/>
      <w:lvlText w:val=""/>
      <w:lvlJc w:val="left"/>
    </w:lvl>
    <w:lvl w:ilvl="6" w:tplc="608A1B92">
      <w:numFmt w:val="decimal"/>
      <w:lvlText w:val=""/>
      <w:lvlJc w:val="left"/>
    </w:lvl>
    <w:lvl w:ilvl="7" w:tplc="3468E59E">
      <w:numFmt w:val="decimal"/>
      <w:lvlText w:val=""/>
      <w:lvlJc w:val="left"/>
    </w:lvl>
    <w:lvl w:ilvl="8" w:tplc="9B5C82F0">
      <w:numFmt w:val="decimal"/>
      <w:lvlText w:val=""/>
      <w:lvlJc w:val="left"/>
    </w:lvl>
  </w:abstractNum>
  <w:abstractNum w:abstractNumId="2" w15:restartNumberingAfterBreak="0">
    <w:nsid w:val="63C707EB"/>
    <w:multiLevelType w:val="hybridMultilevel"/>
    <w:tmpl w:val="0B66B0E4"/>
    <w:lvl w:ilvl="0" w:tplc="92D0A684">
      <w:start w:val="1"/>
      <w:numFmt w:val="bullet"/>
      <w:lvlText w:val="•"/>
      <w:lvlJc w:val="left"/>
      <w:pPr>
        <w:ind w:left="720" w:hanging="360"/>
      </w:pPr>
    </w:lvl>
    <w:lvl w:ilvl="1" w:tplc="8CE834D6">
      <w:numFmt w:val="decimal"/>
      <w:lvlText w:val=""/>
      <w:lvlJc w:val="left"/>
    </w:lvl>
    <w:lvl w:ilvl="2" w:tplc="5BDC89AE">
      <w:numFmt w:val="decimal"/>
      <w:lvlText w:val=""/>
      <w:lvlJc w:val="left"/>
    </w:lvl>
    <w:lvl w:ilvl="3" w:tplc="71BE284C">
      <w:numFmt w:val="decimal"/>
      <w:lvlText w:val=""/>
      <w:lvlJc w:val="left"/>
    </w:lvl>
    <w:lvl w:ilvl="4" w:tplc="4CD4D18C">
      <w:numFmt w:val="decimal"/>
      <w:lvlText w:val=""/>
      <w:lvlJc w:val="left"/>
    </w:lvl>
    <w:lvl w:ilvl="5" w:tplc="89C27E42">
      <w:numFmt w:val="decimal"/>
      <w:lvlText w:val=""/>
      <w:lvlJc w:val="left"/>
    </w:lvl>
    <w:lvl w:ilvl="6" w:tplc="4CFCD958">
      <w:numFmt w:val="decimal"/>
      <w:lvlText w:val=""/>
      <w:lvlJc w:val="left"/>
    </w:lvl>
    <w:lvl w:ilvl="7" w:tplc="8EB43730">
      <w:numFmt w:val="decimal"/>
      <w:lvlText w:val=""/>
      <w:lvlJc w:val="left"/>
    </w:lvl>
    <w:lvl w:ilvl="8" w:tplc="814C9DEA">
      <w:numFmt w:val="decimal"/>
      <w:lvlText w:val=""/>
      <w:lvlJc w:val="left"/>
    </w:lvl>
  </w:abstractNum>
  <w:num w:numId="1">
    <w:abstractNumId w:val="0"/>
    <w:lvlOverride w:ilvl="0">
      <w:startOverride w:val="1"/>
    </w:lvlOverride>
  </w:num>
  <w:num w:numId="2">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3BE"/>
    <w:rsid w:val="000A5B4A"/>
    <w:rsid w:val="00285EF5"/>
    <w:rsid w:val="003674F9"/>
    <w:rsid w:val="006C03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15FAB"/>
  <w15:docId w15:val="{2D93BF4A-01F1-4C46-B743-91728B58F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uiPriority w:val="9"/>
    <w:qFormat/>
    <w:pPr>
      <w:spacing w:before="260" w:after="100" w:line="300" w:lineRule="auto"/>
      <w:outlineLvl w:val="0"/>
    </w:pPr>
    <w:rPr>
      <w:b/>
      <w:bCs/>
      <w:color w:val="1A3557"/>
      <w:sz w:val="32"/>
      <w:szCs w:val="32"/>
    </w:rPr>
  </w:style>
  <w:style w:type="paragraph" w:styleId="Heading2">
    <w:name w:val="heading 2"/>
    <w:uiPriority w:val="9"/>
    <w:unhideWhenUsed/>
    <w:qFormat/>
    <w:pPr>
      <w:spacing w:before="220" w:after="80" w:line="300" w:lineRule="auto"/>
      <w:outlineLvl w:val="1"/>
    </w:pPr>
    <w:rPr>
      <w:b/>
      <w:bCs/>
      <w:color w:val="2563A8"/>
      <w:sz w:val="25"/>
      <w:szCs w:val="25"/>
    </w:rPr>
  </w:style>
  <w:style w:type="paragraph" w:styleId="Heading3">
    <w:name w:val="heading 3"/>
    <w:uiPriority w:val="9"/>
    <w:semiHidden/>
    <w:unhideWhenUsed/>
    <w:qFormat/>
    <w:pPr>
      <w:spacing w:before="160" w:after="60" w:line="300" w:lineRule="auto"/>
      <w:outlineLvl w:val="2"/>
    </w:pPr>
    <w:rPr>
      <w:b/>
      <w:bCs/>
      <w:i/>
      <w:iCs/>
      <w:color w:val="2563A8"/>
      <w:sz w:val="23"/>
      <w:szCs w:val="23"/>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8934</Words>
  <Characters>50927</Characters>
  <Application>Microsoft Office Word</Application>
  <DocSecurity>0</DocSecurity>
  <Lines>424</Lines>
  <Paragraphs>119</Paragraphs>
  <ScaleCrop>false</ScaleCrop>
  <Company/>
  <LinksUpToDate>false</LinksUpToDate>
  <CharactersWithSpaces>59742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mohammad abuhelweh</cp:lastModifiedBy>
  <cp:revision>3</cp:revision>
  <dcterms:created xsi:type="dcterms:W3CDTF">2026-04-28T10:08:00Z</dcterms:created>
  <dcterms:modified xsi:type="dcterms:W3CDTF">2026-04-28T10:35:00Z</dcterms:modified>
</cp:coreProperties>
</file>