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93E40" w14:textId="77777777" w:rsidR="00B31BF1" w:rsidRDefault="00000000" w:rsidP="00B31BF1">
      <w:pPr>
        <w:pStyle w:val="Titel"/>
        <w:rPr>
          <w:rFonts w:cstheme="majorHAnsi"/>
          <w:color w:val="auto"/>
        </w:rPr>
      </w:pPr>
      <w:r w:rsidRPr="00B31BF1">
        <w:rPr>
          <w:rFonts w:cstheme="majorHAnsi"/>
          <w:color w:val="auto"/>
        </w:rPr>
        <w:t>Near-Maxwellian Infrared Vector Sectors from FIA Diversity</w:t>
      </w:r>
    </w:p>
    <w:p w14:paraId="760AD7F1" w14:textId="60ADFDAA" w:rsidR="002A5FCC" w:rsidRPr="00B31BF1" w:rsidRDefault="00000000" w:rsidP="00B31BF1">
      <w:pPr>
        <w:pStyle w:val="Titel"/>
        <w:rPr>
          <w:rFonts w:cstheme="majorHAnsi"/>
          <w:color w:val="auto"/>
        </w:rPr>
      </w:pPr>
      <w:r w:rsidRPr="00B31BF1">
        <w:rPr>
          <w:rFonts w:cstheme="majorHAnsi"/>
          <w:color w:val="auto"/>
        </w:rPr>
        <w:t>Kenneth Højsgaard Jensen</w:t>
      </w:r>
    </w:p>
    <w:p w14:paraId="190B24E7" w14:textId="77777777" w:rsidR="002A5FCC" w:rsidRPr="00B31BF1" w:rsidRDefault="00000000" w:rsidP="00B31BF1">
      <w:pPr>
        <w:pStyle w:val="Overskrift1"/>
        <w:rPr>
          <w:rFonts w:cstheme="majorHAnsi"/>
          <w:color w:val="auto"/>
        </w:rPr>
      </w:pPr>
      <w:r w:rsidRPr="00B31BF1">
        <w:rPr>
          <w:rFonts w:cstheme="majorHAnsi"/>
          <w:color w:val="auto"/>
        </w:rPr>
        <w:t>Abstract</w:t>
      </w:r>
    </w:p>
    <w:p w14:paraId="5B936F22"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This paper develops a controlled infrared route from an explicitly diverse microscopic scalar substrate to a near-Maxwellian vector sector. The goal is not to derive full electromagnetism or quantum electrodynamics, but to identify a mathematically transparent set of infrared conditions under which a Maxwell-like effective description can emerge from a current-current sector built on collective FIA modes.</w:t>
      </w:r>
    </w:p>
    <w:p w14:paraId="421B548D"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distinctive feature of the present framework is that microscopic diversity is kept explicit throughout the equations. Rather than beginning from exact microscopic identity and exact gauge symmetry, the construction organizes the substrate into approximate scalar pairs, derives an approximate current, and tracks how diversity controls both the transverse response that supports a Maxwell-like limit and the residual terms that obstruct exact microscopic symmetry.</w:t>
      </w:r>
    </w:p>
    <w:p w14:paraId="2D877FF6"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contribution to theoretical physics is therefore methodological as well as conceptual: the paper provides a diversity-retaining infrared template for connecting microscopic scalar sectors to emergent vector descriptions. The resulting claim is deliberately narrow but strong. FIA diversity does not yet yield exact electromagnetism, but it can support a near-Maxwellian infrared vector sector whose standard limit and structured deviations are both mathematically explicit.</w:t>
      </w:r>
    </w:p>
    <w:p w14:paraId="4244D8EF" w14:textId="77777777" w:rsidR="002A5FCC" w:rsidRPr="00B31BF1" w:rsidRDefault="00000000" w:rsidP="00B31BF1">
      <w:pPr>
        <w:pStyle w:val="Overskrift1"/>
        <w:rPr>
          <w:rFonts w:cstheme="majorHAnsi"/>
          <w:color w:val="auto"/>
        </w:rPr>
      </w:pPr>
      <w:r w:rsidRPr="00B31BF1">
        <w:rPr>
          <w:rFonts w:cstheme="majorHAnsi"/>
          <w:color w:val="auto"/>
        </w:rPr>
        <w:t>1. Introduction</w:t>
      </w:r>
    </w:p>
    <w:p w14:paraId="6643171F"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Electromagnetism is one of the most accurate and conceptually important field theories in physics. Yet that does not imply that its gauge structure must be taken as fundamental in every deeper microscopic theory. In many-body and condensed-matter settings, gauge-like sectors and Maxwell-like long-wavelength dynamics can emerge as effective descriptions of collective organization. The present paper asks whether an analogous statement can be made within the FIA program, whose microscopic ontology is built from irreducibly diverse scalar degrees of freedom rather than exactly identical microscopic constituents.</w:t>
      </w:r>
    </w:p>
    <w:p w14:paraId="36DAF959"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intended contribution to theoretical physics is methodological and connective rather than foundationally polemical: the paper isolates a transferable infrared mechanism linking explicitly diverse microscopic scalar sectors to emergent near-Maxwellian vector descriptions. The central difficulty is immediate. A genuine Maxwell sector requires an approximately massless transverse vector mode, a conserved or nearly conserved current, and a low-energy description dominated by the familiar field-strength kinetic term. A generic mass-diverse scalar sector does not automatically provide any of these. The value of the FIA framework is therefore not that it trivializes the problem, but that it supplies a natural arena in which one can keep microscopic diversity explicit and ask under what conditions an infrared vector sector becomes approximately gauge-like.</w:t>
      </w:r>
    </w:p>
    <w:p w14:paraId="099C9331"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lastRenderedPageBreak/>
        <w:t>This version of the paper adopts a deliberately cautious claim: we do not derive the visible photon. We instead formulate a controlled near-Maxwellian infrared limit. The mathematical strategy is to organize the diverse scalar sector into approximate pairs, define collective complex modes, construct an approximate current, introduce a current-current interaction, and analyze the resulting effective vector response through the polarization tensor.</w:t>
      </w:r>
    </w:p>
    <w:p w14:paraId="56C779B1"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broader FIA program has been developed in two companion preprints. The first formulates the FIA framework as a mass-diverse microscopic substrate for emergent particle structure and temporal order [1]. The second develops a minimal spectroscopic phenomenology of approximate atomic identity, showing how microscopic FIA diversity may induce an irreducible atom-to-atom contribution to precision spectroscopic variance [2]. The present paper extends that program in a different direction, namely toward ordinary field structure and the conditions for a near-Maxwellian infrared vector sector.</w:t>
      </w:r>
    </w:p>
    <w:p w14:paraId="3D9472A9" w14:textId="77777777" w:rsidR="002A5FCC" w:rsidRPr="00B31BF1" w:rsidRDefault="00000000" w:rsidP="00B31BF1">
      <w:pPr>
        <w:pStyle w:val="Overskrift1"/>
        <w:rPr>
          <w:rFonts w:cstheme="majorHAnsi"/>
          <w:color w:val="auto"/>
        </w:rPr>
      </w:pPr>
      <w:r w:rsidRPr="00B31BF1">
        <w:rPr>
          <w:rFonts w:cstheme="majorHAnsi"/>
          <w:color w:val="auto"/>
        </w:rPr>
        <w:t>2. FIA Substrate with Explicit Diversity</w:t>
      </w:r>
    </w:p>
    <w:p w14:paraId="02FFA4CD"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We begin from a minimally interacting FIA scalar sector written in a form that keeps diversity explicit. The microscopic fields are grouped into approximate pairs:</w:t>
      </w:r>
    </w:p>
    <w:p w14:paraId="2461F310"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L_FIA = Σ_a [ 1/2 (∂_μ φ_{2a-1})^2 + 1/2 (∂_μ φ_{2a})^2 - 1/2 m_{2a-1}^2 φ_{2a-1}^2 - 1/2 m_{2a}^2 φ_{2a}^2 ] - V_int(φ).</w:t>
      </w:r>
    </w:p>
    <w:p w14:paraId="5CB67532"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For each pair we write</w:t>
      </w:r>
    </w:p>
    <w:p w14:paraId="5EBADB79"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m_{2a-1}^2 = M_a^2 + δ_a,      m_{2a}^2 = M_a^2 - δ_a,</w:t>
      </w:r>
    </w:p>
    <w:p w14:paraId="4182A8C5"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where M_a sets the average pair scale and δ_a measures the internal pair asymmetry. The case δ_a = 0 corresponds to exact pair symmetry, whereas δ_a ≠ 0 keeps diversity present in the equations. This is the key mathematical stance of the paper: diversity is not averaged away at the start.</w:t>
      </w:r>
    </w:p>
    <w:p w14:paraId="4C91520D"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interaction potential may be decomposed as a symmetric part plus a diversity-breaking remainder:</w:t>
      </w:r>
    </w:p>
    <w:p w14:paraId="7E05974F"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V_int = V_sym(|Ψ|^2, pair-invariants) + V_div(δ_a, λ_div, ...).</w:t>
      </w:r>
    </w:p>
    <w:p w14:paraId="378AA2B1"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theory is intended as an infrared-effective organizing framework. We therefore do not require the microscopic interaction to be exactly pair symmetric at all scales; rather, we require the diversity-breaking pieces to become perturbatively small in the long-wavelength regime if a near-Maxwellian sector is to emerge.</w:t>
      </w:r>
    </w:p>
    <w:p w14:paraId="5C9036D7" w14:textId="77777777" w:rsidR="002A5FCC" w:rsidRPr="00B31BF1" w:rsidRDefault="00000000" w:rsidP="00B31BF1">
      <w:pPr>
        <w:pStyle w:val="Overskrift1"/>
        <w:rPr>
          <w:rFonts w:cstheme="majorHAnsi"/>
          <w:color w:val="auto"/>
        </w:rPr>
      </w:pPr>
      <w:r w:rsidRPr="00B31BF1">
        <w:rPr>
          <w:rFonts w:cstheme="majorHAnsi"/>
          <w:color w:val="auto"/>
        </w:rPr>
        <w:t>3. Collective Modes and Approximate Current</w:t>
      </w:r>
    </w:p>
    <w:p w14:paraId="2394CE71"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approximate pair structure allows one to define complex collective modes</w:t>
      </w:r>
    </w:p>
    <w:p w14:paraId="1EC093F4"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Ψ_a = (φ_{2a-1} + i φ_{2a}) / √2 .</w:t>
      </w:r>
    </w:p>
    <w:p w14:paraId="5CF8B561"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If the pair symmetry were exact, the corresponding infrared theory would admit an internal U(1)-like phase rotation Ψ_a → exp(i q_a α) Ψ_a, with associated current</w:t>
      </w:r>
    </w:p>
    <w:p w14:paraId="4C533DDA"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lastRenderedPageBreak/>
        <w:t>J^μ = i Σ_a q_a ( Ψ_a^* ∂^μ Ψ_a - Ψ_a ∂^μ Ψ_a^* ).</w:t>
      </w:r>
    </w:p>
    <w:p w14:paraId="3078B873"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Because diversity is retained, current conservation is only approximate. In the simplest pair-asymmetric realization one obtains schematically</w:t>
      </w:r>
    </w:p>
    <w:p w14:paraId="2248EEF8"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∂_μ J^μ = Δ = 2 Σ_a q_a δ_a Im(Ψ_a^2) + O(λ_div).</w:t>
      </w:r>
    </w:p>
    <w:p w14:paraId="630455BE"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This equation is central. It shows both why the FIA construction is interesting and why it is difficult. The same diversity parameters that enrich the microscopic substrate also generate the leading departures from exact current conservation. A near-Maxwellian vector sector is therefore possible only if the divergence term Δ becomes sufficiently small under coarse-graining.</w:t>
      </w:r>
    </w:p>
    <w:p w14:paraId="385A35F6" w14:textId="77777777" w:rsidR="002A5FCC" w:rsidRPr="00B31BF1" w:rsidRDefault="00000000" w:rsidP="00B31BF1">
      <w:pPr>
        <w:pStyle w:val="Overskrift1"/>
        <w:rPr>
          <w:rFonts w:cstheme="majorHAnsi"/>
          <w:color w:val="auto"/>
        </w:rPr>
      </w:pPr>
      <w:r w:rsidRPr="00B31BF1">
        <w:rPr>
          <w:rFonts w:cstheme="majorHAnsi"/>
          <w:color w:val="auto"/>
        </w:rPr>
        <w:t>4. Current-Current Sector and Auxiliary Vector Field</w:t>
      </w:r>
    </w:p>
    <w:p w14:paraId="77D4F355"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To promote the current into a collective mediator we introduce a current-current interaction,</w:t>
      </w:r>
    </w:p>
    <w:p w14:paraId="3F880355"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L_JJ = - (G / 2) J_μ J^μ .</w:t>
      </w:r>
    </w:p>
    <w:p w14:paraId="5FF4ACAB"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A Hubbard-Stratonovich transformation rewrites this in terms of an auxiliary vector field A_μ:</w:t>
      </w:r>
    </w:p>
    <w:p w14:paraId="4890FF53"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L_HS = A_μ J^μ - (1 / 2G) A_μ A^μ .</w:t>
      </w:r>
    </w:p>
    <w:p w14:paraId="7D9FFFDF"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At this stage A_μ is not yet a Maxwell field. It is an auxiliary collective variable introduced to resum the current-current interaction. The question is whether, after the scalar modes are integrated out, the effective action for A_μ acquires the infrared structure of a transverse nearly massless vector sector.</w:t>
      </w:r>
    </w:p>
    <w:p w14:paraId="7E27FD5A" w14:textId="77777777" w:rsidR="002A5FCC" w:rsidRPr="00B31BF1" w:rsidRDefault="00000000" w:rsidP="00B31BF1">
      <w:pPr>
        <w:pStyle w:val="Overskrift1"/>
        <w:rPr>
          <w:rFonts w:cstheme="majorHAnsi"/>
          <w:color w:val="auto"/>
        </w:rPr>
      </w:pPr>
      <w:r w:rsidRPr="00B31BF1">
        <w:rPr>
          <w:rFonts w:cstheme="majorHAnsi"/>
          <w:color w:val="auto"/>
        </w:rPr>
        <w:t>5. Polarization Tensor and Near-Maxwellian Infrared Limit</w:t>
      </w:r>
    </w:p>
    <w:p w14:paraId="5F2F62E6"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Integrating out the collective scalar modes produces an effective quadratic action</w:t>
      </w:r>
    </w:p>
    <w:p w14:paraId="37F1FF7A"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Γ^(2)[A] = 1/2 ∫ (d^4k / (2π)^4) A_μ(-k) [ G^{-1} η^{μν} + Π^{μν}(k) ] A_ν(k) .</w:t>
      </w:r>
    </w:p>
    <w:p w14:paraId="59E2B0B4"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polarization tensor may be decomposed as</w:t>
      </w:r>
    </w:p>
    <w:p w14:paraId="68A1CADF"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Π^{μν}(k) = (k^2 η^{μν} - k^μ k^ν) Π_T(k^2) + k^μ k^ν Π_L(k^2) / k^2 + Π_div^{μν}(k) .</w:t>
      </w:r>
    </w:p>
    <w:p w14:paraId="21F0B2EB"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first term is the desired transverse response. The second controls the longitudinal sector. The third encodes diversity-retaining deviations that cannot be written purely in transverse/longitudinal form once microscopic pair asymmetry and residual anisotropy are present.</w:t>
      </w:r>
    </w:p>
    <w:p w14:paraId="2A0C960C"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A near-Maxwellian infrared sector requires the following hierarchy:</w:t>
      </w:r>
    </w:p>
    <w:p w14:paraId="3FE5186F"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m_{A,eff}^2 = G^{-1} + Π_mass(0)  &lt;&lt;  Λ_IR^2 ,</w:t>
      </w:r>
    </w:p>
    <w:p w14:paraId="52E73E81"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|Π_L(k^2)|  &lt;&lt;  |Π_T(k^2)|  for  k^2 &lt;&lt; Λ_IR^2 ,</w:t>
      </w:r>
    </w:p>
    <w:p w14:paraId="0C55AF16"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|Π_div^{μν}(k)|  &lt;&lt;  |(k^2 η^{μν} - k^μ k^ν) Π_T(k^2)|  in the same regime .</w:t>
      </w:r>
    </w:p>
    <w:p w14:paraId="4E2A98C3"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lastRenderedPageBreak/>
        <w:t>When these conditions hold, the effective action reduces to</w:t>
      </w:r>
    </w:p>
    <w:p w14:paraId="53334C67"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L_IR ≈ - (Z_F / 4) F_{μν} F^{μν} + A_μ J^μ + small residual FIA corrections .</w:t>
      </w:r>
    </w:p>
    <w:p w14:paraId="7206E3E8"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This is the paper’s target statement. The infrared vector sector need not be exactly Maxwellian to be physically useful and conceptually meaningful. It need only approach the Maxwell form with diversity-controlled corrections.</w:t>
      </w:r>
    </w:p>
    <w:p w14:paraId="0D6228FB" w14:textId="77777777" w:rsidR="002A5FCC" w:rsidRPr="00B31BF1" w:rsidRDefault="00000000" w:rsidP="00B31BF1">
      <w:pPr>
        <w:pStyle w:val="Overskrift1"/>
        <w:rPr>
          <w:rFonts w:cstheme="majorHAnsi"/>
          <w:color w:val="auto"/>
        </w:rPr>
      </w:pPr>
      <w:r w:rsidRPr="00B31BF1">
        <w:rPr>
          <w:rFonts w:cstheme="majorHAnsi"/>
          <w:color w:val="auto"/>
        </w:rPr>
        <w:t>6. Diversity-Retaining Coefficients</w:t>
      </w:r>
    </w:p>
    <w:p w14:paraId="09CAD5AA"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A key improvement in the present version is to keep the diversity dependence explicit in the infrared coefficients rather than suppressing it too early. In a continuum approximation over emergent pair scales, one may write</w:t>
      </w:r>
    </w:p>
    <w:p w14:paraId="4573A23D"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Π_T(k^2)  ~  g^2 ∫ dM dδ ρ(M,δ) q(M,δ)^2 f_T(k^2; M, δ) ,</w:t>
      </w:r>
    </w:p>
    <w:p w14:paraId="0023E2F1"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Π_div^{μν}(k)  ~  g^2 ∫ dM dδ ρ(M,δ) δ r^{μν}(k; M, δ) .</w:t>
      </w:r>
    </w:p>
    <w:p w14:paraId="7BC5F6C9"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Here ρ(M,δ) is the FIA diversity distribution after pair organization, q(M,δ) is the effective collective charge assignment, and f_T and r^{μν} summarize the loop or coarse-grained response. These expressions make the conceptual point mathematically explicit: diversity is not a nuisance parameter added after the fact. It helps generate the collective response and at the same time controls the leading departures from ideal Maxwell behavior.</w:t>
      </w:r>
    </w:p>
    <w:p w14:paraId="749988E9"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standard limit is now equally explicit. If the diversity distribution narrows around exact pair symmetry and all diversity-breaking couplings become negligible in the infrared,</w:t>
      </w:r>
    </w:p>
    <w:p w14:paraId="41263FAA" w14:textId="77777777" w:rsidR="002A5FCC" w:rsidRPr="00B31BF1" w:rsidRDefault="00000000" w:rsidP="00B31BF1">
      <w:pPr>
        <w:rPr>
          <w:rFonts w:asciiTheme="majorHAnsi" w:hAnsiTheme="majorHAnsi" w:cstheme="majorHAnsi"/>
        </w:rPr>
      </w:pPr>
      <w:r w:rsidRPr="00B31BF1">
        <w:rPr>
          <w:rFonts w:asciiTheme="majorHAnsi" w:hAnsiTheme="majorHAnsi" w:cstheme="majorHAnsi"/>
          <w:i/>
        </w:rPr>
        <w:t>ρ(M,δ)  →  ρ_0(M) δ(δ) ,      Π_L → 0 ,      Π_div^{μν} → 0 ,      m_{A,eff}^2 → 0 ,</w:t>
      </w:r>
    </w:p>
    <w:p w14:paraId="736541AF"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then the infrared action tends toward the ordinary Maxwell form. This is the precise sense in which the present paper claims a near-Maxwellian, not an exact-microscopic, emergence result.</w:t>
      </w:r>
    </w:p>
    <w:p w14:paraId="0E95CA1E" w14:textId="77777777" w:rsidR="002A5FCC" w:rsidRPr="00B31BF1" w:rsidRDefault="00000000" w:rsidP="00B31BF1">
      <w:pPr>
        <w:pStyle w:val="Overskrift1"/>
        <w:rPr>
          <w:rFonts w:cstheme="majorHAnsi"/>
          <w:color w:val="auto"/>
        </w:rPr>
      </w:pPr>
      <w:r w:rsidRPr="00B31BF1">
        <w:rPr>
          <w:rFonts w:cstheme="majorHAnsi"/>
          <w:color w:val="auto"/>
        </w:rPr>
        <w:t>7. Observables and Future Phenomenology</w:t>
      </w:r>
    </w:p>
    <w:p w14:paraId="237797F9"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framework predicts not one sharp number but a family of structured infrared deviations whose size is set by the surviving diversity terms. The most natural observables are:</w:t>
      </w:r>
      <w:r w:rsidRPr="00B31BF1">
        <w:rPr>
          <w:rFonts w:asciiTheme="majorHAnsi" w:hAnsiTheme="majorHAnsi" w:cstheme="majorHAnsi"/>
        </w:rPr>
        <w:br/>
        <w:t>(1) a very small effective vector mass;</w:t>
      </w:r>
      <w:r w:rsidRPr="00B31BF1">
        <w:rPr>
          <w:rFonts w:asciiTheme="majorHAnsi" w:hAnsiTheme="majorHAnsi" w:cstheme="majorHAnsi"/>
        </w:rPr>
        <w:br/>
        <w:t>(2) small deviations from exactly transverse propagation;</w:t>
      </w:r>
      <w:r w:rsidRPr="00B31BF1">
        <w:rPr>
          <w:rFonts w:asciiTheme="majorHAnsi" w:hAnsiTheme="majorHAnsi" w:cstheme="majorHAnsi"/>
        </w:rPr>
        <w:br/>
        <w:t>(3) weak higher-derivative dispersive terms;</w:t>
      </w:r>
      <w:r w:rsidRPr="00B31BF1">
        <w:rPr>
          <w:rFonts w:asciiTheme="majorHAnsi" w:hAnsiTheme="majorHAnsi" w:cstheme="majorHAnsi"/>
        </w:rPr>
        <w:br/>
        <w:t>(4) possible residual anisotropy if diversity fails to coarse-grain isotropically.</w:t>
      </w:r>
    </w:p>
    <w:p w14:paraId="3E0DF257"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These observables motivate a future phenomenology paper, but the present article remains one step earlier: it identifies the mathematical route by which such deviations arise and the infrared conditions under which they are strongly suppressed.</w:t>
      </w:r>
    </w:p>
    <w:p w14:paraId="3816C700" w14:textId="77777777" w:rsidR="002A5FCC" w:rsidRPr="00B31BF1" w:rsidRDefault="00000000" w:rsidP="00B31BF1">
      <w:pPr>
        <w:pStyle w:val="Overskrift1"/>
        <w:rPr>
          <w:rFonts w:cstheme="majorHAnsi"/>
          <w:color w:val="auto"/>
        </w:rPr>
      </w:pPr>
      <w:r w:rsidRPr="00B31BF1">
        <w:rPr>
          <w:rFonts w:cstheme="majorHAnsi"/>
          <w:color w:val="auto"/>
        </w:rPr>
        <w:lastRenderedPageBreak/>
        <w:t>8. Scope and Consistency Conditions</w:t>
      </w:r>
    </w:p>
    <w:p w14:paraId="5CDD2B35"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This article should be read with several limitations in mind. First, it does not derive the visible photon as an exact composite gauge boson. Second, gauge redundancy is treated as an effective low-energy description, not as an ordinary microscopic order parameter. Third, the present construction is intentionally infrared and effective; higher-derivative terms and auxiliary-field manipulations should not be interpreted as a complete ultraviolet theory. Fourth, the literature on emergent gauge sectors and known constraints on composite massless vectors imply that claims of exact microscopic derivation would be premature.</w:t>
      </w:r>
    </w:p>
    <w:p w14:paraId="2BCF72C9"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Within those boundaries, the result remains meaningful. FIA diversity can support a controlled near-Maxwellian infrared vector sector, and it does so without ever erasing the diversity terms from the mathematics.</w:t>
      </w:r>
    </w:p>
    <w:p w14:paraId="50735D63" w14:textId="77777777" w:rsidR="002A5FCC" w:rsidRPr="00B31BF1" w:rsidRDefault="00000000" w:rsidP="00B31BF1">
      <w:pPr>
        <w:pStyle w:val="Overskrift1"/>
        <w:rPr>
          <w:rFonts w:cstheme="majorHAnsi"/>
          <w:color w:val="auto"/>
        </w:rPr>
      </w:pPr>
      <w:r w:rsidRPr="00B31BF1">
        <w:rPr>
          <w:rFonts w:cstheme="majorHAnsi"/>
          <w:color w:val="auto"/>
        </w:rPr>
        <w:t>9. Conclusion</w:t>
      </w:r>
    </w:p>
    <w:p w14:paraId="74D28D08"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The present article states the strongest defensible claim of article 3. FIA does not yet yield exact electromagnetism. It does, however, provide a concrete route from an explicitly diverse microscopic scalar substrate to a near-Maxwellian infrared vector sector. The same diversity parameters that obstruct exact microscopic symmetry are also the source of the collective richness that makes the infrared vector sector possible. This dual role of diversity is the central conceptual lesson of the paper.</w:t>
      </w:r>
    </w:p>
    <w:p w14:paraId="4C796597" w14:textId="77777777" w:rsidR="002A5FCC" w:rsidRPr="00B31BF1" w:rsidRDefault="002A5FCC" w:rsidP="00B31BF1">
      <w:pPr>
        <w:rPr>
          <w:rFonts w:asciiTheme="majorHAnsi" w:hAnsiTheme="majorHAnsi" w:cstheme="majorHAnsi"/>
        </w:rPr>
      </w:pPr>
    </w:p>
    <w:p w14:paraId="683B2B18" w14:textId="77777777" w:rsidR="002A5FCC" w:rsidRPr="00B31BF1" w:rsidRDefault="00000000" w:rsidP="00B31BF1">
      <w:pPr>
        <w:pStyle w:val="Overskrift1"/>
        <w:rPr>
          <w:rFonts w:cstheme="majorHAnsi"/>
          <w:color w:val="auto"/>
        </w:rPr>
      </w:pPr>
      <w:r w:rsidRPr="00B31BF1">
        <w:rPr>
          <w:rFonts w:cstheme="majorHAnsi"/>
          <w:color w:val="auto"/>
        </w:rPr>
        <w:t>References</w:t>
      </w:r>
    </w:p>
    <w:p w14:paraId="40F11E5F"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[1] Jensen, K.H. Microscopic Mass Diversity as a Primitive Source of Emergent Particle Structure and Temporal Order. Zenodo preprint (2026). DOI: 10.5281/zenodo.19743216.</w:t>
      </w:r>
    </w:p>
    <w:p w14:paraId="7D26F681" w14:textId="77777777" w:rsidR="002A5FCC" w:rsidRPr="00B31BF1" w:rsidRDefault="00000000" w:rsidP="00B31BF1">
      <w:pPr>
        <w:rPr>
          <w:rFonts w:asciiTheme="majorHAnsi" w:hAnsiTheme="majorHAnsi" w:cstheme="majorHAnsi"/>
        </w:rPr>
      </w:pPr>
      <w:r w:rsidRPr="00B31BF1">
        <w:rPr>
          <w:rFonts w:asciiTheme="majorHAnsi" w:hAnsiTheme="majorHAnsi" w:cstheme="majorHAnsi"/>
        </w:rPr>
        <w:t>[2] Jensen, K.H. Approximate Atomic Identity from Microscopic FIA-Diversity: A Minimal Spectroscopic Phenomenology. Zenodo preprint (2026). DOI: 10.5281/zenodo.19761411.</w:t>
      </w:r>
    </w:p>
    <w:sectPr w:rsidR="002A5FCC" w:rsidRPr="00B31BF1"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Opstilling-talellerbogst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Opstilling-talellerbogst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Opstilling-punkttegn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Opstilling-punkttegn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Opstilling-talellerbogst"/>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Opstilling-punkttegn"/>
      <w:lvlText w:val=""/>
      <w:lvlJc w:val="left"/>
      <w:pPr>
        <w:tabs>
          <w:tab w:val="num" w:pos="360"/>
        </w:tabs>
        <w:ind w:left="360" w:hanging="360"/>
      </w:pPr>
      <w:rPr>
        <w:rFonts w:ascii="Symbol" w:hAnsi="Symbol" w:hint="default"/>
      </w:rPr>
    </w:lvl>
  </w:abstractNum>
  <w:num w:numId="1" w16cid:durableId="1052851727">
    <w:abstractNumId w:val="8"/>
  </w:num>
  <w:num w:numId="2" w16cid:durableId="100028248">
    <w:abstractNumId w:val="6"/>
  </w:num>
  <w:num w:numId="3" w16cid:durableId="1314288399">
    <w:abstractNumId w:val="5"/>
  </w:num>
  <w:num w:numId="4" w16cid:durableId="2125882772">
    <w:abstractNumId w:val="4"/>
  </w:num>
  <w:num w:numId="5" w16cid:durableId="1147816076">
    <w:abstractNumId w:val="7"/>
  </w:num>
  <w:num w:numId="6" w16cid:durableId="800462297">
    <w:abstractNumId w:val="3"/>
  </w:num>
  <w:num w:numId="7" w16cid:durableId="1897425765">
    <w:abstractNumId w:val="2"/>
  </w:num>
  <w:num w:numId="8" w16cid:durableId="582838114">
    <w:abstractNumId w:val="1"/>
  </w:num>
  <w:num w:numId="9" w16cid:durableId="11468921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013CF"/>
    <w:rsid w:val="0029639D"/>
    <w:rsid w:val="002A5FCC"/>
    <w:rsid w:val="00326F90"/>
    <w:rsid w:val="00AA1D8D"/>
    <w:rsid w:val="00B31BF1"/>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EEEB65"/>
  <w14:defaultImageDpi w14:val="300"/>
  <w15:docId w15:val="{3FFB0BF1-9372-48B8-9811-7F90F2311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eastAsia="Times New Roman" w:hAnsi="Times New Roman"/>
    </w:rPr>
  </w:style>
  <w:style w:type="paragraph" w:styleId="Overskrift1">
    <w:name w:val="heading 1"/>
    <w:basedOn w:val="Normal"/>
    <w:next w:val="Normal"/>
    <w:link w:val="Overskrift1Tegn"/>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Overskrift2">
    <w:name w:val="heading 2"/>
    <w:basedOn w:val="Normal"/>
    <w:next w:val="Normal"/>
    <w:link w:val="Overskrift2Tegn"/>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4"/>
      <w:szCs w:val="26"/>
    </w:rPr>
  </w:style>
  <w:style w:type="paragraph" w:styleId="Overskrift3">
    <w:name w:val="heading 3"/>
    <w:basedOn w:val="Normal"/>
    <w:next w:val="Normal"/>
    <w:link w:val="Overskrift3Tegn"/>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Overskrift4">
    <w:name w:val="heading 4"/>
    <w:basedOn w:val="Normal"/>
    <w:next w:val="Normal"/>
    <w:link w:val="Overskrift4Teg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Overskrift5">
    <w:name w:val="heading 5"/>
    <w:basedOn w:val="Normal"/>
    <w:next w:val="Normal"/>
    <w:link w:val="Overskrift5Teg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Overskrift6">
    <w:name w:val="heading 6"/>
    <w:basedOn w:val="Normal"/>
    <w:next w:val="Normal"/>
    <w:link w:val="Overskrift6Teg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Sidehoved">
    <w:name w:val="header"/>
    <w:basedOn w:val="Normal"/>
    <w:link w:val="SidehovedTegn"/>
    <w:uiPriority w:val="99"/>
    <w:unhideWhenUsed/>
    <w:rsid w:val="00E618BF"/>
    <w:pPr>
      <w:tabs>
        <w:tab w:val="center" w:pos="4680"/>
        <w:tab w:val="right" w:pos="9360"/>
      </w:tabs>
      <w:spacing w:after="0" w:line="240" w:lineRule="auto"/>
    </w:pPr>
  </w:style>
  <w:style w:type="character" w:customStyle="1" w:styleId="SidehovedTegn">
    <w:name w:val="Sidehoved Tegn"/>
    <w:basedOn w:val="Standardskrifttypeiafsnit"/>
    <w:link w:val="Sidehoved"/>
    <w:uiPriority w:val="99"/>
    <w:rsid w:val="00E618BF"/>
  </w:style>
  <w:style w:type="paragraph" w:styleId="Sidefod">
    <w:name w:val="footer"/>
    <w:basedOn w:val="Normal"/>
    <w:link w:val="SidefodTegn"/>
    <w:uiPriority w:val="99"/>
    <w:unhideWhenUsed/>
    <w:rsid w:val="00E618BF"/>
    <w:pPr>
      <w:tabs>
        <w:tab w:val="center" w:pos="4680"/>
        <w:tab w:val="right" w:pos="9360"/>
      </w:tabs>
      <w:spacing w:after="0" w:line="240" w:lineRule="auto"/>
    </w:pPr>
  </w:style>
  <w:style w:type="character" w:customStyle="1" w:styleId="SidefodTegn">
    <w:name w:val="Sidefod Tegn"/>
    <w:basedOn w:val="Standardskrifttypeiafsnit"/>
    <w:link w:val="Sidefod"/>
    <w:uiPriority w:val="99"/>
    <w:rsid w:val="00E618BF"/>
  </w:style>
  <w:style w:type="paragraph" w:styleId="Ingenafstand">
    <w:name w:val="No Spacing"/>
    <w:uiPriority w:val="1"/>
    <w:qFormat/>
    <w:rsid w:val="00FC693F"/>
    <w:pPr>
      <w:spacing w:after="0" w:line="240" w:lineRule="auto"/>
    </w:pPr>
  </w:style>
  <w:style w:type="character" w:customStyle="1" w:styleId="Overskrift1Tegn">
    <w:name w:val="Overskrift 1 Tegn"/>
    <w:basedOn w:val="Standardskrifttypeiafsnit"/>
    <w:link w:val="Oversk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typeiafsnit"/>
    <w:link w:val="Overskrift2"/>
    <w:uiPriority w:val="9"/>
    <w:rsid w:val="00FC69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typeiafsnit"/>
    <w:link w:val="Overskrift3"/>
    <w:uiPriority w:val="9"/>
    <w:rsid w:val="00FC693F"/>
    <w:rPr>
      <w:rFonts w:asciiTheme="majorHAnsi" w:eastAsiaTheme="majorEastAsia" w:hAnsiTheme="majorHAnsi" w:cstheme="majorBidi"/>
      <w:b/>
      <w:bCs/>
      <w:color w:val="4F81BD" w:themeColor="accent1"/>
    </w:rPr>
  </w:style>
  <w:style w:type="paragraph" w:styleId="Titel">
    <w:name w:val="Title"/>
    <w:basedOn w:val="Normal"/>
    <w:next w:val="Normal"/>
    <w:link w:val="TitelTeg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32"/>
      <w:szCs w:val="52"/>
    </w:rPr>
  </w:style>
  <w:style w:type="character" w:customStyle="1" w:styleId="TitelTegn">
    <w:name w:val="Titel Tegn"/>
    <w:basedOn w:val="Standardskrifttypeiafsni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afsnit">
    <w:name w:val="List Paragraph"/>
    <w:basedOn w:val="Normal"/>
    <w:uiPriority w:val="34"/>
    <w:qFormat/>
    <w:rsid w:val="00FC693F"/>
    <w:pPr>
      <w:ind w:left="720"/>
      <w:contextualSpacing/>
    </w:pPr>
  </w:style>
  <w:style w:type="paragraph" w:styleId="Brdtekst">
    <w:name w:val="Body Text"/>
    <w:basedOn w:val="Normal"/>
    <w:link w:val="BrdtekstTegn"/>
    <w:uiPriority w:val="99"/>
    <w:unhideWhenUsed/>
    <w:rsid w:val="00AA1D8D"/>
    <w:pPr>
      <w:spacing w:after="120"/>
    </w:pPr>
  </w:style>
  <w:style w:type="character" w:customStyle="1" w:styleId="BrdtekstTegn">
    <w:name w:val="Brødtekst Tegn"/>
    <w:basedOn w:val="Standardskrifttypeiafsnit"/>
    <w:link w:val="Brdtekst"/>
    <w:uiPriority w:val="99"/>
    <w:rsid w:val="00AA1D8D"/>
  </w:style>
  <w:style w:type="paragraph" w:styleId="Brdtekst2">
    <w:name w:val="Body Text 2"/>
    <w:basedOn w:val="Normal"/>
    <w:link w:val="Brdtekst2Tegn"/>
    <w:uiPriority w:val="99"/>
    <w:unhideWhenUsed/>
    <w:rsid w:val="00AA1D8D"/>
    <w:pPr>
      <w:spacing w:after="120" w:line="480" w:lineRule="auto"/>
    </w:pPr>
  </w:style>
  <w:style w:type="character" w:customStyle="1" w:styleId="Brdtekst2Tegn">
    <w:name w:val="Brødtekst 2 Tegn"/>
    <w:basedOn w:val="Standardskrifttypeiafsnit"/>
    <w:link w:val="Brdtekst2"/>
    <w:uiPriority w:val="99"/>
    <w:rsid w:val="00AA1D8D"/>
  </w:style>
  <w:style w:type="paragraph" w:styleId="Brdtekst3">
    <w:name w:val="Body Text 3"/>
    <w:basedOn w:val="Normal"/>
    <w:link w:val="Brdtekst3Tegn"/>
    <w:uiPriority w:val="99"/>
    <w:unhideWhenUsed/>
    <w:rsid w:val="00AA1D8D"/>
    <w:pPr>
      <w:spacing w:after="120"/>
    </w:pPr>
    <w:rPr>
      <w:sz w:val="16"/>
      <w:szCs w:val="16"/>
    </w:rPr>
  </w:style>
  <w:style w:type="character" w:customStyle="1" w:styleId="Brdtekst3Tegn">
    <w:name w:val="Brødtekst 3 Tegn"/>
    <w:basedOn w:val="Standardskrifttypeiafsnit"/>
    <w:link w:val="Brdtekst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Opstilling-punkttegn">
    <w:name w:val="List Bullet"/>
    <w:basedOn w:val="Normal"/>
    <w:uiPriority w:val="99"/>
    <w:unhideWhenUsed/>
    <w:rsid w:val="00326F90"/>
    <w:pPr>
      <w:numPr>
        <w:numId w:val="1"/>
      </w:numPr>
      <w:contextualSpacing/>
    </w:pPr>
  </w:style>
  <w:style w:type="paragraph" w:styleId="Opstilling-punkttegn2">
    <w:name w:val="List Bullet 2"/>
    <w:basedOn w:val="Normal"/>
    <w:uiPriority w:val="99"/>
    <w:unhideWhenUsed/>
    <w:rsid w:val="00326F90"/>
    <w:pPr>
      <w:numPr>
        <w:numId w:val="2"/>
      </w:numPr>
      <w:contextualSpacing/>
    </w:pPr>
  </w:style>
  <w:style w:type="paragraph" w:styleId="Opstilling-punkttegn3">
    <w:name w:val="List Bullet 3"/>
    <w:basedOn w:val="Normal"/>
    <w:uiPriority w:val="99"/>
    <w:unhideWhenUsed/>
    <w:rsid w:val="00326F90"/>
    <w:pPr>
      <w:numPr>
        <w:numId w:val="3"/>
      </w:numPr>
      <w:contextualSpacing/>
    </w:pPr>
  </w:style>
  <w:style w:type="paragraph" w:styleId="Opstilling-talellerbogst">
    <w:name w:val="List Number"/>
    <w:basedOn w:val="Normal"/>
    <w:uiPriority w:val="99"/>
    <w:unhideWhenUsed/>
    <w:rsid w:val="00326F90"/>
    <w:pPr>
      <w:numPr>
        <w:numId w:val="5"/>
      </w:numPr>
      <w:contextualSpacing/>
    </w:pPr>
  </w:style>
  <w:style w:type="paragraph" w:styleId="Opstilling-talellerbogst2">
    <w:name w:val="List Number 2"/>
    <w:basedOn w:val="Normal"/>
    <w:uiPriority w:val="99"/>
    <w:unhideWhenUsed/>
    <w:rsid w:val="0029639D"/>
    <w:pPr>
      <w:numPr>
        <w:numId w:val="6"/>
      </w:numPr>
      <w:contextualSpacing/>
    </w:pPr>
  </w:style>
  <w:style w:type="paragraph" w:styleId="Opstilling-talellerbogst3">
    <w:name w:val="List Number 3"/>
    <w:basedOn w:val="Normal"/>
    <w:uiPriority w:val="99"/>
    <w:unhideWhenUsed/>
    <w:rsid w:val="0029639D"/>
    <w:pPr>
      <w:numPr>
        <w:numId w:val="7"/>
      </w:numPr>
      <w:contextualSpacing/>
    </w:pPr>
  </w:style>
  <w:style w:type="paragraph" w:styleId="Opstilling-forts">
    <w:name w:val="List Continue"/>
    <w:basedOn w:val="Normal"/>
    <w:uiPriority w:val="99"/>
    <w:unhideWhenUsed/>
    <w:rsid w:val="0029639D"/>
    <w:pPr>
      <w:spacing w:after="120"/>
      <w:ind w:left="360"/>
      <w:contextualSpacing/>
    </w:pPr>
  </w:style>
  <w:style w:type="paragraph" w:styleId="Opstilling-forts2">
    <w:name w:val="List Continue 2"/>
    <w:basedOn w:val="Normal"/>
    <w:uiPriority w:val="99"/>
    <w:unhideWhenUsed/>
    <w:rsid w:val="0029639D"/>
    <w:pPr>
      <w:spacing w:after="120"/>
      <w:ind w:left="720"/>
      <w:contextualSpacing/>
    </w:pPr>
  </w:style>
  <w:style w:type="paragraph" w:styleId="Opstilling-forts3">
    <w:name w:val="List Continue 3"/>
    <w:basedOn w:val="Normal"/>
    <w:uiPriority w:val="99"/>
    <w:unhideWhenUsed/>
    <w:rsid w:val="0029639D"/>
    <w:pPr>
      <w:spacing w:after="120"/>
      <w:ind w:left="1080"/>
      <w:contextualSpacing/>
    </w:pPr>
  </w:style>
  <w:style w:type="paragraph" w:styleId="Makrotekst">
    <w:name w:val="macro"/>
    <w:link w:val="MakrotekstTeg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kstTegn">
    <w:name w:val="Makrotekst Tegn"/>
    <w:basedOn w:val="Standardskrifttypeiafsnit"/>
    <w:link w:val="Makrotekst"/>
    <w:uiPriority w:val="99"/>
    <w:rsid w:val="0029639D"/>
    <w:rPr>
      <w:rFonts w:ascii="Courier" w:hAnsi="Courier"/>
      <w:sz w:val="20"/>
      <w:szCs w:val="20"/>
    </w:rPr>
  </w:style>
  <w:style w:type="paragraph" w:styleId="Citat">
    <w:name w:val="Quote"/>
    <w:basedOn w:val="Normal"/>
    <w:next w:val="Normal"/>
    <w:link w:val="CitatTegn"/>
    <w:uiPriority w:val="29"/>
    <w:qFormat/>
    <w:rsid w:val="00FC693F"/>
    <w:rPr>
      <w:i/>
      <w:iCs/>
      <w:color w:val="000000" w:themeColor="text1"/>
    </w:rPr>
  </w:style>
  <w:style w:type="character" w:customStyle="1" w:styleId="CitatTegn">
    <w:name w:val="Citat Tegn"/>
    <w:basedOn w:val="Standardskrifttypeiafsnit"/>
    <w:link w:val="Citat"/>
    <w:uiPriority w:val="29"/>
    <w:rsid w:val="00FC693F"/>
    <w:rPr>
      <w:i/>
      <w:iCs/>
      <w:color w:val="000000" w:themeColor="text1"/>
    </w:rPr>
  </w:style>
  <w:style w:type="character" w:customStyle="1" w:styleId="Overskrift4Tegn">
    <w:name w:val="Overskrift 4 Tegn"/>
    <w:basedOn w:val="Standardskrifttypeiafsnit"/>
    <w:link w:val="Overskrift4"/>
    <w:uiPriority w:val="9"/>
    <w:semiHidden/>
    <w:rsid w:val="00FC693F"/>
    <w:rPr>
      <w:rFonts w:asciiTheme="majorHAnsi" w:eastAsiaTheme="majorEastAsia" w:hAnsiTheme="majorHAnsi" w:cstheme="majorBidi"/>
      <w:b/>
      <w:bCs/>
      <w:i/>
      <w:iCs/>
      <w:color w:val="4F81BD" w:themeColor="accent1"/>
    </w:rPr>
  </w:style>
  <w:style w:type="character" w:customStyle="1" w:styleId="Overskrift5Tegn">
    <w:name w:val="Overskrift 5 Tegn"/>
    <w:basedOn w:val="Standardskrifttypeiafsnit"/>
    <w:link w:val="Overskrift5"/>
    <w:uiPriority w:val="9"/>
    <w:semiHidden/>
    <w:rsid w:val="00FC693F"/>
    <w:rPr>
      <w:rFonts w:asciiTheme="majorHAnsi" w:eastAsiaTheme="majorEastAsia" w:hAnsiTheme="majorHAnsi" w:cstheme="majorBidi"/>
      <w:color w:val="243F60" w:themeColor="accent1" w:themeShade="7F"/>
    </w:rPr>
  </w:style>
  <w:style w:type="character" w:customStyle="1" w:styleId="Overskrift6Tegn">
    <w:name w:val="Overskrift 6 Tegn"/>
    <w:basedOn w:val="Standardskrifttypeiafsnit"/>
    <w:link w:val="Overskrift6"/>
    <w:uiPriority w:val="9"/>
    <w:semiHidden/>
    <w:rsid w:val="00FC693F"/>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typeiafsnit"/>
    <w:link w:val="Overskrift7"/>
    <w:uiPriority w:val="9"/>
    <w:semiHidden/>
    <w:rsid w:val="00FC693F"/>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typeiafsnit"/>
    <w:link w:val="Overskrift8"/>
    <w:uiPriority w:val="9"/>
    <w:semiHidden/>
    <w:rsid w:val="00FC693F"/>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typeiafsnit"/>
    <w:link w:val="Oversk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illedtekst">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k">
    <w:name w:val="Strong"/>
    <w:basedOn w:val="Standardskrifttypeiafsnit"/>
    <w:uiPriority w:val="22"/>
    <w:qFormat/>
    <w:rsid w:val="00FC693F"/>
    <w:rPr>
      <w:b/>
      <w:bCs/>
    </w:rPr>
  </w:style>
  <w:style w:type="character" w:styleId="Fremhv">
    <w:name w:val="Emphasis"/>
    <w:basedOn w:val="Standardskrifttypeiafsnit"/>
    <w:uiPriority w:val="20"/>
    <w:qFormat/>
    <w:rsid w:val="00FC693F"/>
    <w:rPr>
      <w:i/>
      <w:iCs/>
    </w:rPr>
  </w:style>
  <w:style w:type="paragraph" w:styleId="Strktcitat">
    <w:name w:val="Intense Quote"/>
    <w:basedOn w:val="Normal"/>
    <w:next w:val="Normal"/>
    <w:link w:val="StrktcitatTeg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StrktcitatTegn">
    <w:name w:val="Stærkt citat Tegn"/>
    <w:basedOn w:val="Standardskrifttypeiafsnit"/>
    <w:link w:val="Strktcitat"/>
    <w:uiPriority w:val="30"/>
    <w:rsid w:val="00FC693F"/>
    <w:rPr>
      <w:b/>
      <w:bCs/>
      <w:i/>
      <w:iCs/>
      <w:color w:val="4F81BD" w:themeColor="accent1"/>
    </w:rPr>
  </w:style>
  <w:style w:type="character" w:styleId="Svagfremhvning">
    <w:name w:val="Subtle Emphasis"/>
    <w:basedOn w:val="Standardskrifttypeiafsnit"/>
    <w:uiPriority w:val="19"/>
    <w:qFormat/>
    <w:rsid w:val="00FC693F"/>
    <w:rPr>
      <w:i/>
      <w:iCs/>
      <w:color w:val="808080" w:themeColor="text1" w:themeTint="7F"/>
    </w:rPr>
  </w:style>
  <w:style w:type="character" w:styleId="Kraftigfremhvning">
    <w:name w:val="Intense Emphasis"/>
    <w:basedOn w:val="Standardskrifttypeiafsnit"/>
    <w:uiPriority w:val="21"/>
    <w:qFormat/>
    <w:rsid w:val="00FC693F"/>
    <w:rPr>
      <w:b/>
      <w:bCs/>
      <w:i/>
      <w:iCs/>
      <w:color w:val="4F81BD" w:themeColor="accent1"/>
    </w:rPr>
  </w:style>
  <w:style w:type="character" w:styleId="Svaghenvisning">
    <w:name w:val="Subtle Reference"/>
    <w:basedOn w:val="Standardskrifttypeiafsnit"/>
    <w:uiPriority w:val="31"/>
    <w:qFormat/>
    <w:rsid w:val="00FC693F"/>
    <w:rPr>
      <w:smallCaps/>
      <w:color w:val="C0504D" w:themeColor="accent2"/>
      <w:u w:val="single"/>
    </w:rPr>
  </w:style>
  <w:style w:type="character" w:styleId="Kraftighenvisning">
    <w:name w:val="Intense Reference"/>
    <w:basedOn w:val="Standardskrifttypeiafsnit"/>
    <w:uiPriority w:val="32"/>
    <w:qFormat/>
    <w:rsid w:val="00FC693F"/>
    <w:rPr>
      <w:b/>
      <w:bCs/>
      <w:smallCaps/>
      <w:color w:val="C0504D" w:themeColor="accent2"/>
      <w:spacing w:val="5"/>
      <w:u w:val="single"/>
    </w:rPr>
  </w:style>
  <w:style w:type="character" w:styleId="Bogenstitel">
    <w:name w:val="Book Title"/>
    <w:basedOn w:val="Standardskrifttypeiafsnit"/>
    <w:uiPriority w:val="33"/>
    <w:qFormat/>
    <w:rsid w:val="00FC693F"/>
    <w:rPr>
      <w:b/>
      <w:bCs/>
      <w:smallCaps/>
      <w:spacing w:val="5"/>
    </w:rPr>
  </w:style>
  <w:style w:type="paragraph" w:styleId="Overskrift">
    <w:name w:val="TOC Heading"/>
    <w:basedOn w:val="Overskrift1"/>
    <w:next w:val="Normal"/>
    <w:uiPriority w:val="39"/>
    <w:semiHidden/>
    <w:unhideWhenUsed/>
    <w:qFormat/>
    <w:rsid w:val="00FC693F"/>
    <w:pPr>
      <w:outlineLvl w:val="9"/>
    </w:pPr>
  </w:style>
  <w:style w:type="table" w:styleId="Tabel-Gitter">
    <w:name w:val="Table Grid"/>
    <w:basedOn w:val="Tabel-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ysskygge">
    <w:name w:val="Light Shading"/>
    <w:basedOn w:val="Tabel-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farve1">
    <w:name w:val="Light Shading Accent 1"/>
    <w:basedOn w:val="Tabel-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fremhvningsfarve2">
    <w:name w:val="Light Shading Accent 2"/>
    <w:basedOn w:val="Tabel-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fremhvningsfarve3">
    <w:name w:val="Light Shading Accent 3"/>
    <w:basedOn w:val="Tabel-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fremhvningsfarve4">
    <w:name w:val="Light Shading Accent 4"/>
    <w:basedOn w:val="Tabel-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fremhvningsfarve5">
    <w:name w:val="Light Shading Accent 5"/>
    <w:basedOn w:val="Tabel-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fremhvningsfarve6">
    <w:name w:val="Light Shading Accent 6"/>
    <w:basedOn w:val="Tabel-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liste">
    <w:name w:val="Light List"/>
    <w:basedOn w:val="Tabel-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farve1">
    <w:name w:val="Light List Accent 1"/>
    <w:basedOn w:val="Tabel-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fremhvningsfarve2">
    <w:name w:val="Light List Accent 2"/>
    <w:basedOn w:val="Tabel-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fremhvningsfarve3">
    <w:name w:val="Light List Accent 3"/>
    <w:basedOn w:val="Tabel-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fremhvningsfarve4">
    <w:name w:val="Light List Accent 4"/>
    <w:basedOn w:val="Tabel-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fremhvningsfarve5">
    <w:name w:val="Light List Accent 5"/>
    <w:basedOn w:val="Tabel-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fremhvningsfarve6">
    <w:name w:val="Light List Accent 6"/>
    <w:basedOn w:val="Tabel-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tgitter">
    <w:name w:val="Light Grid"/>
    <w:basedOn w:val="Tabel-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gitter-farve1">
    <w:name w:val="Light Grid Accent 1"/>
    <w:basedOn w:val="Tabel-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gitter-fremhvningsfarve2">
    <w:name w:val="Light Grid Accent 2"/>
    <w:basedOn w:val="Tabel-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gitter-fremhvningsfarve3">
    <w:name w:val="Light Grid Accent 3"/>
    <w:basedOn w:val="Tabel-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gitter-fremhvningsfarve4">
    <w:name w:val="Light Grid Accent 4"/>
    <w:basedOn w:val="Tabel-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gitter-fremhvningsfarve5">
    <w:name w:val="Light Grid Accent 5"/>
    <w:basedOn w:val="Tabel-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gitter-fremhvningsfarve6">
    <w:name w:val="Light Grid Accent 6"/>
    <w:basedOn w:val="Tabel-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kygge1">
    <w:name w:val="Medium Shading 1"/>
    <w:basedOn w:val="Tabel-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kygge1-farve1">
    <w:name w:val="Medium Shading 1 Accent 1"/>
    <w:basedOn w:val="Tabel-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kygge1-fremhvningsfarve2">
    <w:name w:val="Medium Shading 1 Accent 2"/>
    <w:basedOn w:val="Tabel-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kygge1-fremhvningsfarve3">
    <w:name w:val="Medium Shading 1 Accent 3"/>
    <w:basedOn w:val="Tabel-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kygge1-fremhvningsfarve4">
    <w:name w:val="Medium Shading 1 Accent 4"/>
    <w:basedOn w:val="Tabel-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kygge1-fremhvningsfarve5">
    <w:name w:val="Medium Shading 1 Accent 5"/>
    <w:basedOn w:val="Tabel-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kygge1-fremhvningsfarve6">
    <w:name w:val="Medium Shading 1 Accent 6"/>
    <w:basedOn w:val="Tabel-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kygge2">
    <w:name w:val="Medium Shading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arve1">
    <w:name w:val="Medium Shading 2 Accent 1"/>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2">
    <w:name w:val="Medium Shading 2 Accent 2"/>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3">
    <w:name w:val="Medium Shading 2 Accent 3"/>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4">
    <w:name w:val="Medium Shading 2 Accent 4"/>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5">
    <w:name w:val="Medium Shading 2 Accent 5"/>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kygge2-fremhvningsfarve6">
    <w:name w:val="Medium Shading 2 Accent 6"/>
    <w:basedOn w:val="Tabel-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e1">
    <w:name w:val="Medium List 1"/>
    <w:basedOn w:val="Tabel-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e1-farve1">
    <w:name w:val="Medium List 1 Accent 1"/>
    <w:basedOn w:val="Tabel-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e1-fremhvningsfarve2">
    <w:name w:val="Medium List 1 Accent 2"/>
    <w:basedOn w:val="Tabel-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e1-fremhvningsfarve3">
    <w:name w:val="Medium List 1 Accent 3"/>
    <w:basedOn w:val="Tabel-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e1-fremhvningsfarve4">
    <w:name w:val="Medium List 1 Accent 4"/>
    <w:basedOn w:val="Tabel-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e1-fremhvningsfarve5">
    <w:name w:val="Medium List 1 Accent 5"/>
    <w:basedOn w:val="Tabel-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e1-fremhvningsfarve6">
    <w:name w:val="Medium List 1 Accent 6"/>
    <w:basedOn w:val="Tabel-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e2">
    <w:name w:val="Medium Lis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1">
    <w:name w:val="Medium List 2 Accent 1"/>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2">
    <w:name w:val="Medium List 2 Accent 2"/>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3">
    <w:name w:val="Medium List 2 Accent 3"/>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4">
    <w:name w:val="Medium List 2 Accent 4"/>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5">
    <w:name w:val="Medium List 2 Accent 5"/>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e2-fremhvningsfarve6">
    <w:name w:val="Medium List 2 Accent 6"/>
    <w:basedOn w:val="Tabel-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itter1">
    <w:name w:val="Medium Grid 1"/>
    <w:basedOn w:val="Tabel-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itter1-fremhvningsfarve1">
    <w:name w:val="Medium Grid 1 Accent 1"/>
    <w:basedOn w:val="Tabel-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itter1-fremhvningsfarve2">
    <w:name w:val="Medium Grid 1 Accent 2"/>
    <w:basedOn w:val="Tabel-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itter1-fremhvningsfarve3">
    <w:name w:val="Medium Grid 1 Accent 3"/>
    <w:basedOn w:val="Tabel-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itter1-fremhvningsfarve4">
    <w:name w:val="Medium Grid 1 Accent 4"/>
    <w:basedOn w:val="Tabel-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itter1-fremhvningsfarve5">
    <w:name w:val="Medium Grid 1 Accent 5"/>
    <w:basedOn w:val="Tabel-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itter1-fremhvningsfarve6">
    <w:name w:val="Medium Grid 1 Accent 6"/>
    <w:basedOn w:val="Tabel-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itter2">
    <w:name w:val="Medium Grid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itter2-fremhvningsfarve1">
    <w:name w:val="Medium Grid 2 Accent 1"/>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itter2-fremhvningsfarve2">
    <w:name w:val="Medium Grid 2 Accent 2"/>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itter2-fremhvningsfarve3">
    <w:name w:val="Medium Grid 2 Accent 3"/>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itter2-fremhvningsfarve4">
    <w:name w:val="Medium Grid 2 Accent 4"/>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itter2-fremhvningsfarve5">
    <w:name w:val="Medium Grid 2 Accent 5"/>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itter2-fremhvningsfarve6">
    <w:name w:val="Medium Grid 2 Accent 6"/>
    <w:basedOn w:val="Tabel-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itter3">
    <w:name w:val="Medium Grid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itter3-fremhvningsfarve1">
    <w:name w:val="Medium Grid 3 Accent 1"/>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itter3-fremhvningsfarve2">
    <w:name w:val="Medium Grid 3 Accent 2"/>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itter3-fremhvningsfarve3">
    <w:name w:val="Medium Grid 3 Accent 3"/>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itter3-fremhvningsfarve4">
    <w:name w:val="Medium Grid 3 Accent 4"/>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itter3-fremhvningsfarve5">
    <w:name w:val="Medium Grid 3 Accent 5"/>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itter3-fremhvningsfarve6">
    <w:name w:val="Medium Grid 3 Accent 6"/>
    <w:basedOn w:val="Tabel-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rkliste">
    <w:name w:val="Dark List"/>
    <w:basedOn w:val="Tabel-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fremhvningsfarve1">
    <w:name w:val="Dark List Accent 1"/>
    <w:basedOn w:val="Tabel-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fremhvningsfarve2">
    <w:name w:val="Dark List Accent 2"/>
    <w:basedOn w:val="Tabel-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fremhvningsfarve3">
    <w:name w:val="Dark List Accent 3"/>
    <w:basedOn w:val="Tabel-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fremhvningsfarve4">
    <w:name w:val="Dark List Accent 4"/>
    <w:basedOn w:val="Tabel-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fremhvningsfarve5">
    <w:name w:val="Dark List Accent 5"/>
    <w:basedOn w:val="Tabel-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fremhvningsfarve6">
    <w:name w:val="Dark List Accent 6"/>
    <w:basedOn w:val="Tabel-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vetskygge">
    <w:name w:val="Colorful Shading"/>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vetskygge-fremhvningsfarve1">
    <w:name w:val="Colorful Shading Accent 1"/>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vetskygge-fremhvningsfarve2">
    <w:name w:val="Colorful Shading Accent 2"/>
    <w:basedOn w:val="Tabel-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vetskygge-fremhvningsfarve3">
    <w:name w:val="Colorful Shading Accent 3"/>
    <w:basedOn w:val="Tabel-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vetskygge-fremhvningsfarve4">
    <w:name w:val="Colorful Shading Accent 4"/>
    <w:basedOn w:val="Tabel-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vetskygge-fremhvningsfarve5">
    <w:name w:val="Colorful Shading Accent 5"/>
    <w:basedOn w:val="Tabel-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vetskygge-fremhvningsfarve6">
    <w:name w:val="Colorful Shading Accent 6"/>
    <w:basedOn w:val="Tabel-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vetliste">
    <w:name w:val="Colorful List"/>
    <w:basedOn w:val="Tabel-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vetliste-fremhvningsfarve1">
    <w:name w:val="Colorful List Accent 1"/>
    <w:basedOn w:val="Tabel-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vetliste-fremhvningsfarve2">
    <w:name w:val="Colorful List Accent 2"/>
    <w:basedOn w:val="Tabel-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vetliste-fremhvningsfarve3">
    <w:name w:val="Colorful List Accent 3"/>
    <w:basedOn w:val="Tabel-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vetliste-fremhvningsfarve4">
    <w:name w:val="Colorful List Accent 4"/>
    <w:basedOn w:val="Tabel-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vetliste-fremhvningsfarve5">
    <w:name w:val="Colorful List Accent 5"/>
    <w:basedOn w:val="Tabel-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vetliste-fremhvningsfarve6">
    <w:name w:val="Colorful List Accent 6"/>
    <w:basedOn w:val="Tabel-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vetgitter">
    <w:name w:val="Colorful Grid"/>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vetgitter-fremhvningsfarve1">
    <w:name w:val="Colorful Grid Accent 1"/>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vetgitter-fremhvningsfarve2">
    <w:name w:val="Colorful Grid Accent 2"/>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vetgitter-fremhvningsfarve3">
    <w:name w:val="Colorful Grid Accent 3"/>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vetgitter-fremhvningsfarve4">
    <w:name w:val="Colorful Grid Accent 4"/>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vetgitter-fremhvningsfarve5">
    <w:name w:val="Colorful Grid Accent 5"/>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vetgitter-fremhvningsfarve6">
    <w:name w:val="Colorful Grid Accent 6"/>
    <w:basedOn w:val="Tabel-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1644</Words>
  <Characters>10034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Anne Jensen</cp:lastModifiedBy>
  <cp:revision>2</cp:revision>
  <dcterms:created xsi:type="dcterms:W3CDTF">2026-04-25T13:19:00Z</dcterms:created>
  <dcterms:modified xsi:type="dcterms:W3CDTF">2026-04-25T13:19:00Z</dcterms:modified>
  <cp:category/>
</cp:coreProperties>
</file>