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jc w:val="center"/>
      </w:pPr>
      <w:r>
        <w:rPr>
          <w:rFonts w:ascii="Arial" w:cs="Arial" w:eastAsia="Arial" w:hAnsi="Arial"/>
          <w:b/>
          <w:bCs/>
          <w:color w:val="1A3A5C"/>
          <w:sz w:val="40"/>
          <w:szCs w:val="40"/>
        </w:rPr>
        <w:t xml:space="preserve">IE-002 CORRECTED</w:t>
      </w:r>
    </w:p>
    <w:p>
      <w:pPr>
        <w:spacing w:before="0" w:after="80"/>
        <w:jc w:val="center"/>
      </w:pPr>
      <w:r>
        <w:rPr>
          <w:rFonts w:ascii="Arial" w:cs="Arial" w:eastAsia="Arial" w:hAnsi="Arial"/>
          <w:b/>
          <w:bCs/>
          <w:color w:val="2A2A2A"/>
          <w:sz w:val="30"/>
          <w:szCs w:val="30"/>
        </w:rPr>
        <w:t xml:space="preserve">The Projection Asymmetry Principle:</w:t>
      </w:r>
    </w:p>
    <w:p>
      <w:pPr>
        <w:spacing w:before="0" w:after="160"/>
        <w:jc w:val="center"/>
      </w:pPr>
      <w:r>
        <w:rPr>
          <w:rFonts w:ascii="Arial" w:cs="Arial" w:eastAsia="Arial" w:hAnsi="Arial"/>
          <w:b w:val="false"/>
          <w:bCs w:val="false"/>
          <w:i/>
          <w:iCs/>
          <w:color w:val="444444"/>
          <w:sz w:val="26"/>
          <w:szCs w:val="26"/>
        </w:rPr>
        <w:t xml:space="preserve">What You Can Read Depends on Where You Stand When You Look</w:t>
      </w:r>
    </w:p>
    <w:p>
      <w:pPr>
        <w:spacing w:before="0" w:after="80"/>
        <w:jc w:val="center"/>
      </w:pPr>
      <w:r>
        <w:rPr>
          <w:rFonts w:ascii="Arial" w:cs="Arial" w:eastAsia="Arial" w:hAnsi="Arial"/>
          <w:b/>
          <w:bCs/>
          <w:sz w:val="26"/>
          <w:szCs w:val="26"/>
        </w:rPr>
        <w:t xml:space="preserve">James E. Dunn</w:t>
      </w:r>
    </w:p>
    <w:p>
      <w:pPr>
        <w:spacing w:before="0" w:after="80"/>
        <w:jc w:val="center"/>
      </w:pPr>
      <w:r>
        <w:rPr>
          <w:rFonts w:ascii="Arial" w:cs="Arial" w:eastAsia="Arial" w:hAnsi="Arial"/>
          <w:color w:val="555555"/>
          <w:sz w:val="22"/>
          <w:szCs w:val="22"/>
        </w:rPr>
        <w:t xml:space="preserve">Interpretive Architecture | 39 North LLC | March 2026</w:t>
      </w:r>
    </w:p>
    <w:p>
      <w:pPr>
        <w:spacing w:before="0" w:after="80"/>
        <w:jc w:val="center"/>
      </w:pPr>
      <w:r>
        <w:rPr>
          <w:rFonts w:ascii="Arial" w:cs="Arial" w:eastAsia="Arial" w:hAnsi="Arial"/>
          <w:i/>
          <w:iCs/>
          <w:color w:val="777777"/>
          <w:sz w:val="20"/>
          <w:szCs w:val="20"/>
        </w:rPr>
        <w:t xml:space="preserve">Zenodo | GCT Corpus Paper 50 | doi:10.5281/zenodo.19101879</w:t>
      </w:r>
    </w:p>
    <w:p>
      <w:pPr>
        <w:pBdr>
          <w:bottom w:val="single" w:color="1A3A5C" w:sz="4" w:space="1"/>
        </w:pBdr>
        <w:spacing w:before="200" w:after="200"/>
      </w:pPr>
    </w:p>
    <w:p>
      <w:pPr>
        <w:spacing w:before="160" w:after="80"/>
        <w:jc w:val="center"/>
      </w:pPr>
      <w:r>
        <w:rPr>
          <w:rFonts w:ascii="Arial" w:cs="Arial" w:eastAsia="Arial" w:hAnsi="Arial"/>
          <w:b/>
          <w:bCs/>
          <w:color w:val="1A3A5C"/>
          <w:sz w:val="24"/>
          <w:szCs w:val="24"/>
        </w:rPr>
        <w:t xml:space="preserve">Four Principles. Two Entrances. One Geometry.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Geometric Truth</w:t>
            </w:r>
          </w:p>
        </w:tc>
        <w:tc>
          <w:tcPr>
            <w:tcW w:type="dxa" w:w="468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Human Entry Point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Change is geometric, and is constant.</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Intuition can start here. That is not a bad thing.</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Asymmetry is universal by design.</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Complex problems without clear roadmaps to solutions.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The geometry always leaves a trace.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Symmetry is a fallacy.</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Intuition helps you find the third principle as this delta.</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Change is geometric, and is constant.</w:t>
            </w:r>
          </w:p>
        </w:tc>
      </w:tr>
    </w:tbl>
    <w:p>
      <w:pPr>
        <w:spacing w:before="80" w:after="80"/>
      </w:pPr>
    </w:p>
    <w:p>
      <w:pPr>
        <w:spacing w:before="80" w:after="80"/>
      </w:pPr>
      <w:r>
        <w:rPr>
          <w:rFonts w:ascii="Arial" w:cs="Arial" w:eastAsia="Arial" w:hAnsi="Arial"/>
          <w:i/>
          <w:iCs/>
          <w:color w:val="555555"/>
          <w:sz w:val="22"/>
          <w:szCs w:val="22"/>
        </w:rPr>
        <w:t xml:space="preserve">Any three lead you to the fourth. That is how the correction happened.</w:t>
      </w:r>
    </w:p>
    <w:p>
      <w:pPr>
        <w:pBdr>
          <w:bottom w:val="single" w:color="1A3A5C" w:sz="4" w:space="1"/>
        </w:pBdr>
        <w:spacing w:before="200" w:after="200"/>
      </w:pPr>
    </w:p>
    <w:p>
      <w:pPr>
        <w:pStyle w:val="Heading1"/>
        <w:spacing w:before="360" w:after="160"/>
      </w:pPr>
      <w:r>
        <w:rPr>
          <w:rFonts w:ascii="Arial" w:cs="Arial" w:eastAsia="Arial" w:hAnsi="Arial"/>
          <w:b/>
          <w:bCs/>
          <w:color w:val="1A3A5C"/>
          <w:sz w:val="28"/>
          <w:szCs w:val="28"/>
        </w:rPr>
        <w:t xml:space="preserve">Abstract</w:t>
      </w:r>
    </w:p>
    <w:p>
      <w:pPr>
        <w:spacing w:before="80" w:after="80"/>
      </w:pPr>
      <w:r>
        <w:rPr>
          <w:rFonts w:ascii="Arial" w:cs="Arial" w:eastAsia="Arial" w:hAnsi="Arial"/>
          <w:sz w:val="22"/>
          <w:szCs w:val="22"/>
        </w:rPr>
        <w:t xml:space="preserve">IE-002 was wrong. Not the intuition. The formula.</w:t>
      </w:r>
    </w:p>
    <w:p>
      <w:pPr>
        <w:spacing w:before="80" w:after="80"/>
      </w:pPr>
      <w:r>
        <w:rPr>
          <w:rFonts w:ascii="Arial" w:cs="Arial" w:eastAsia="Arial" w:hAnsi="Arial"/>
          <w:sz w:val="22"/>
          <w:szCs w:val="22"/>
        </w:rPr>
        <w:t xml:space="preserve">The original formulation - F = alpha x (R/r - 1) - was a static property computed from Kerr horizon geometry alone. It described the source. It said nothing about the observer. That is the error. The principle IE-002 was always reaching for is fundamentally observer-dependent. The same merger produces different mode ratios depending on where you are standing when you measure it.</w:t>
      </w:r>
    </w:p>
    <w:p>
      <w:pPr>
        <w:spacing w:before="80" w:after="80"/>
      </w:pPr>
      <w:r>
        <w:rPr>
          <w:rFonts w:ascii="Arial" w:cs="Arial" w:eastAsia="Arial" w:hAnsi="Arial"/>
          <w:sz w:val="22"/>
          <w:szCs w:val="22"/>
        </w:rPr>
        <w:t xml:space="preserve">The corrected IE-002 is not a measurement tool. It is a coordinate system.</w:t>
      </w:r>
    </w:p>
    <w:p>
      <w:pPr>
        <w:spacing w:before="80" w:after="80"/>
      </w:pPr>
      <w:r>
        <w:rPr>
          <w:rFonts w:ascii="Arial" w:cs="Arial" w:eastAsia="Arial" w:hAnsi="Arial"/>
          <w:sz w:val="22"/>
          <w:szCs w:val="22"/>
        </w:rPr>
        <w:t xml:space="preserve">Every coupled rotating system observed from any single vantage point decouples into a resonant face and a non-resonant face. The ratio between them encodes the source geometry. The delta between the observed ratio and the predicted intrinsic ratio encodes the observer's position relative to the source. That delta is a coordinate. It points to a convergence point that already exists in the data of every group studying the same event from a different angle.</w:t>
      </w:r>
    </w:p>
    <w:p>
      <w:pPr>
        <w:spacing w:before="80" w:after="80"/>
      </w:pPr>
      <w:r>
        <w:rPr>
          <w:rFonts w:ascii="Arial" w:cs="Arial" w:eastAsia="Arial" w:hAnsi="Arial"/>
          <w:sz w:val="22"/>
          <w:szCs w:val="22"/>
        </w:rPr>
        <w:t xml:space="preserve">The literature has named the lock. The known resonant structures in gravitational wave ringdown are well characterized - the (2,2) dominant mode, the quasinormal mode spectrum, the spin-weighted spherical harmonic decomposition. What the literature has not done is use the gyroscopic relationship between the resonant and non-resonant faces as the instrument that unlocks the coordinate. The (2,1) mode is not subdominant noise to be minimized. It is the other face of the same geometry. The unlock was always in the data. The coordinate system to read it was not.</w:t>
      </w:r>
    </w:p>
    <w:p>
      <w:pPr>
        <w:spacing w:before="80" w:after="80"/>
      </w:pPr>
      <w:r>
        <w:rPr>
          <w:rFonts w:ascii="Arial" w:cs="Arial" w:eastAsia="Arial" w:hAnsi="Arial"/>
          <w:sz w:val="22"/>
          <w:szCs w:val="22"/>
        </w:rPr>
        <w:t xml:space="preserve">The delta was found the same way the correction was found. The framework's own falsification methodology identified the place where the author stopped being neutral and started wanting a specific answer. IE-002 was reverse-engineered to complete a sequence. Seven months of cross-substrate testing held. The one forced element did not. The corpus rejected it.</w:t>
      </w:r>
    </w:p>
    <w:p>
      <w:pPr>
        <w:spacing w:before="80" w:after="80"/>
      </w:pPr>
      <w:r>
        <w:rPr>
          <w:rFonts w:ascii="Arial" w:cs="Arial" w:eastAsia="Arial" w:hAnsi="Arial"/>
          <w:sz w:val="22"/>
          <w:szCs w:val="22"/>
        </w:rPr>
        <w:t xml:space="preserve">The corrected formulation was already present across six papers before this paper named it. Paper 25 said it most directly: asymmetry is the observable. The universe is asymmetrical. It is a feature, not a flaw.</w:t>
      </w:r>
    </w:p>
    <w:p>
      <w:pPr>
        <w:spacing w:before="120" w:after="40"/>
      </w:pPr>
      <w:r>
        <w:rPr>
          <w:rFonts w:ascii="Arial" w:cs="Arial" w:eastAsia="Arial" w:hAnsi="Arial"/>
          <w:b/>
          <w:bCs/>
          <w:sz w:val="22"/>
          <w:szCs w:val="22"/>
        </w:rPr>
        <w:t xml:space="preserve">The four Inserted Elements are nested, not independent:</w:t>
      </w:r>
    </w:p>
    <w:p>
      <w:pPr>
        <w:pStyle w:val="ListParagraph"/>
        <w:numPr>
          <w:ilvl w:val="0"/>
          <w:numId w:val="2"/>
        </w:numPr>
        <w:spacing w:before="60" w:after="60"/>
      </w:pPr>
      <w:r>
        <w:rPr>
          <w:rFonts w:ascii="Arial" w:cs="Arial" w:eastAsia="Arial" w:hAnsi="Arial"/>
          <w:sz w:val="22"/>
          <w:szCs w:val="22"/>
        </w:rPr>
        <w:t xml:space="preserve">IE-001 - Zero is never zero. The floor.</w:t>
      </w:r>
    </w:p>
    <w:p>
      <w:pPr>
        <w:pStyle w:val="ListParagraph"/>
        <w:numPr>
          <w:ilvl w:val="0"/>
          <w:numId w:val="2"/>
        </w:numPr>
        <w:spacing w:before="60" w:after="60"/>
      </w:pPr>
      <w:r>
        <w:rPr>
          <w:rFonts w:ascii="Arial" w:cs="Arial" w:eastAsia="Arial" w:hAnsi="Arial"/>
          <w:sz w:val="22"/>
          <w:szCs w:val="22"/>
        </w:rPr>
        <w:t xml:space="preserve">IE-002 - What you can read depends on where you are standing. The coordinate system.</w:t>
      </w:r>
    </w:p>
    <w:p>
      <w:pPr>
        <w:pStyle w:val="ListParagraph"/>
        <w:numPr>
          <w:ilvl w:val="0"/>
          <w:numId w:val="2"/>
        </w:numPr>
        <w:spacing w:before="60" w:after="60"/>
      </w:pPr>
      <w:r>
        <w:rPr>
          <w:rFonts w:ascii="Arial" w:cs="Arial" w:eastAsia="Arial" w:hAnsi="Arial"/>
          <w:sz w:val="22"/>
          <w:szCs w:val="22"/>
        </w:rPr>
        <w:t xml:space="preserve">IE-003 - The geometry at the moment of irreversible commitment gets preserved permanently. The threshold crossing receipt.</w:t>
      </w:r>
    </w:p>
    <w:p>
      <w:pPr>
        <w:pStyle w:val="ListParagraph"/>
        <w:numPr>
          <w:ilvl w:val="0"/>
          <w:numId w:val="2"/>
        </w:numPr>
        <w:spacing w:before="60" w:after="60"/>
      </w:pPr>
      <w:r>
        <w:rPr>
          <w:rFonts w:ascii="Arial" w:cs="Arial" w:eastAsia="Arial" w:hAnsi="Arial"/>
          <w:sz w:val="22"/>
          <w:szCs w:val="22"/>
        </w:rPr>
        <w:t xml:space="preserve">IE-004 - When independent trajectories from completely different substrates converge on the same coordinate, something previously invisible becomes visible there. The convergence detector.</w:t>
      </w:r>
    </w:p>
    <w:p>
      <w:pPr>
        <w:spacing w:before="80" w:after="80"/>
      </w:pPr>
    </w:p>
    <w:p>
      <w:pPr>
        <w:spacing w:before="80" w:after="80"/>
      </w:pPr>
      <w:r>
        <w:rPr>
          <w:rFonts w:ascii="Arial" w:cs="Arial" w:eastAsia="Arial" w:hAnsi="Arial"/>
          <w:sz w:val="22"/>
          <w:szCs w:val="22"/>
        </w:rPr>
        <w:t xml:space="preserve">Any three lead you to the fourth if you follow them honestly. That is how the correction happened. One through three found two.</w:t>
      </w:r>
    </w:p>
    <w:p>
      <w:pPr>
        <w:spacing w:before="80" w:after="80"/>
      </w:pPr>
      <w:r>
        <w:rPr>
          <w:rFonts w:ascii="Arial" w:cs="Arial" w:eastAsia="Arial" w:hAnsi="Arial"/>
          <w:sz w:val="22"/>
          <w:szCs w:val="22"/>
        </w:rPr>
        <w:t xml:space="preserve">Direct application to gravitational wave astronomy requiring no acceptance of GCT: the predicted intrinsic mode ratio compared against the observed projected ratio provides an independent constraint on source inclination - potentially breaking the inclination-distance degeneracy limiting Hubble constant measurements from standard sirens. This is a standalone tool. It uses published SXS data, known spherical harmonic angular functions, and standard regression. The contribution is recognizing that the intrinsic mode ratio is predictable enough to make the delta informative.</w:t>
      </w:r>
    </w:p>
    <w:p>
      <w:pPr>
        <w:spacing w:before="80" w:after="80"/>
      </w:pPr>
      <w:r>
        <w:rPr>
          <w:rFonts w:ascii="Arial" w:cs="Arial" w:eastAsia="Arial" w:hAnsi="Arial"/>
          <w:sz w:val="22"/>
          <w:szCs w:val="22"/>
        </w:rPr>
        <w:t xml:space="preserve">Empirical validation: R-squared = 0.946 on 83 SXS simulations using mass_ratio + mass_ratio-squared. R-squared = 0.726 for intrinsic amp21/amp20 ratio prediction. Damping time ratio D(a) = 1 - tau_21/tau_20 outperforms original IE-002 on amp21_norm. All computed on published open data.</w:t>
      </w:r>
    </w:p>
    <w:p>
      <w:pPr>
        <w:spacing w:before="120" w:after="80"/>
      </w:pPr>
      <w:r>
        <w:rPr>
          <w:rFonts w:ascii="Arial" w:cs="Arial" w:eastAsia="Arial" w:hAnsi="Arial"/>
          <w:b/>
          <w:bCs/>
          <w:i/>
          <w:iCs/>
          <w:color w:val="1A3A5C"/>
          <w:sz w:val="22"/>
          <w:szCs w:val="22"/>
        </w:rPr>
        <w:t xml:space="preserve">The framework found its own alternate entrance. The geometry was always there.</w:t>
      </w:r>
    </w:p>
    <w:p>
      <w:pPr>
        <w:pBdr>
          <w:bottom w:val="single" w:color="1A3A5C" w:sz="4" w:space="1"/>
        </w:pBdr>
        <w:spacing w:before="200" w:after="200"/>
      </w:pPr>
    </w:p>
    <w:p>
      <w:pPr>
        <w:pStyle w:val="Heading1"/>
        <w:spacing w:before="360" w:after="160"/>
      </w:pPr>
      <w:r>
        <w:rPr>
          <w:rFonts w:ascii="Arial" w:cs="Arial" w:eastAsia="Arial" w:hAnsi="Arial"/>
          <w:b/>
          <w:bCs/>
          <w:color w:val="1A3A5C"/>
          <w:sz w:val="28"/>
          <w:szCs w:val="28"/>
        </w:rPr>
        <w:t xml:space="preserve">Section 0. Retraction of IE-002 = alpha x (R/r - 1)</w:t>
      </w:r>
    </w:p>
    <w:p>
      <w:pPr>
        <w:spacing w:before="80" w:after="80"/>
      </w:pPr>
      <w:r>
        <w:rPr>
          <w:rFonts w:ascii="Arial" w:cs="Arial" w:eastAsia="Arial" w:hAnsi="Arial"/>
          <w:sz w:val="22"/>
          <w:szCs w:val="22"/>
        </w:rPr>
        <w:t xml:space="preserve">The following formulation, published across Papers 38-41 and the GCT Appendix, is retracted:</w:t>
      </w:r>
    </w:p>
    <w:p>
      <w:pPr>
        <w:shd w:fill="FFF3CD" w:val="clear"/>
        <w:spacing w:before="120" w:after="80"/>
      </w:pPr>
      <w:r>
        <w:rPr>
          <w:rFonts w:ascii="Courier New" w:cs="Courier New" w:eastAsia="Courier New" w:hAnsi="Courier New"/>
          <w:color w:val="8B6508"/>
          <w:sz w:val="22"/>
          <w:szCs w:val="22"/>
        </w:rPr>
        <w:t xml:space="preserve">F = alpha x (R/r - 1), where R/r = sqrt(r+^2 + a^2)/r+ and alpha = sqrt(1 - a^2)</w:t>
      </w:r>
    </w:p>
    <w:p>
      <w:pPr>
        <w:spacing w:before="200" w:after="80"/>
      </w:pPr>
      <w:r>
        <w:rPr>
          <w:rFonts w:ascii="Arial" w:cs="Arial" w:eastAsia="Arial" w:hAnsi="Arial"/>
          <w:b/>
          <w:bCs/>
          <w:color w:val="2A2A2A"/>
          <w:sz w:val="22"/>
          <w:szCs w:val="22"/>
        </w:rPr>
        <w:t xml:space="preserve">Reason 1 - The formula was forced, not derived.</w:t>
      </w:r>
    </w:p>
    <w:p>
      <w:pPr>
        <w:spacing w:before="80" w:after="80"/>
      </w:pPr>
      <w:r>
        <w:rPr>
          <w:rFonts w:ascii="Arial" w:cs="Arial" w:eastAsia="Arial" w:hAnsi="Arial"/>
          <w:sz w:val="22"/>
          <w:szCs w:val="22"/>
        </w:rPr>
        <w:t xml:space="preserve">IE-001 was identified empirically. IE-003 and IE-004 were identified through physical reasoning. IE-002 was reverse-engineered to fill a gap in the sequence. The author recognized the position existed but imposed a formula rather than waiting for the empirical observation to emerge. The intuition was correct. The formalization was premature.</w:t>
      </w:r>
    </w:p>
    <w:p>
      <w:pPr>
        <w:spacing w:before="200" w:after="80"/>
      </w:pPr>
      <w:r>
        <w:rPr>
          <w:rFonts w:ascii="Arial" w:cs="Arial" w:eastAsia="Arial" w:hAnsi="Arial"/>
          <w:b/>
          <w:bCs/>
          <w:color w:val="2A2A2A"/>
          <w:sz w:val="22"/>
          <w:szCs w:val="22"/>
        </w:rPr>
        <w:t xml:space="preserve">Reason 2 - The R-squared = 0.917 result is real but not special.</w:t>
      </w:r>
    </w:p>
    <w:p>
      <w:pPr>
        <w:spacing w:before="80" w:after="80"/>
      </w:pPr>
      <w:r>
        <w:rPr>
          <w:rFonts w:ascii="Arial" w:cs="Arial" w:eastAsia="Arial" w:hAnsi="Arial"/>
          <w:sz w:val="22"/>
          <w:szCs w:val="22"/>
        </w:rPr>
        <w:t xml:space="preserve">The interaction model IE-002 x mass_ratio achieves R-squared_adj = 0.917 in predicting amp22_peak across 83 SXS simulations. However, mass_ratio + mass_ratio-squared achieves R-squared_adj = 0.946 with fewer parameters. A simple quadratic in mass ratio outperforms IE-002 while being simpler and requiring no geometric interpretation. Multiple arbitrary nonlinear functions of spin all achieve R-squared between 0.89 and 0.92. IE-002 is one of many possible parameterizations, not a uniquely preferred one.</w:t>
      </w:r>
    </w:p>
    <w:p>
      <w:pPr>
        <w:spacing w:before="200" w:after="80"/>
      </w:pPr>
      <w:r>
        <w:rPr>
          <w:rFonts w:ascii="Arial" w:cs="Arial" w:eastAsia="Arial" w:hAnsi="Arial"/>
          <w:b/>
          <w:bCs/>
          <w:color w:val="2A2A2A"/>
          <w:sz w:val="22"/>
          <w:szCs w:val="22"/>
        </w:rPr>
        <w:t xml:space="preserve">Reason 3 - IE-002 was defined as a source property. It must be an observer-source relationship.</w:t>
      </w:r>
    </w:p>
    <w:p>
      <w:pPr>
        <w:spacing w:before="80" w:after="80"/>
      </w:pPr>
      <w:r>
        <w:rPr>
          <w:rFonts w:ascii="Arial" w:cs="Arial" w:eastAsia="Arial" w:hAnsi="Arial"/>
          <w:sz w:val="22"/>
          <w:szCs w:val="22"/>
        </w:rPr>
        <w:t xml:space="preserve">The original formulation computed a scalar from the remnant black hole's Kerr geometry alone. It did not reference the observer's vantage point. The same merger produces different mode ratios depending on the observer's inclination angle relative to the source. A source-only formula cannot capture an observer-dependent principle. This is the fundamental error.</w:t>
      </w:r>
    </w:p>
    <w:p>
      <w:pPr>
        <w:pBdr>
          <w:bottom w:val="single" w:color="1A3A5C" w:sz="4" w:space="1"/>
        </w:pBdr>
        <w:spacing w:before="200" w:after="200"/>
      </w:pPr>
    </w:p>
    <w:p>
      <w:pPr>
        <w:pStyle w:val="Heading1"/>
        <w:spacing w:before="360" w:after="160"/>
      </w:pPr>
      <w:r>
        <w:rPr>
          <w:rFonts w:ascii="Arial" w:cs="Arial" w:eastAsia="Arial" w:hAnsi="Arial"/>
          <w:b/>
          <w:bCs/>
          <w:color w:val="1A3A5C"/>
          <w:sz w:val="28"/>
          <w:szCs w:val="28"/>
        </w:rPr>
        <w:t xml:space="preserve">Section 1. The Falsification Path</w:t>
      </w:r>
    </w:p>
    <w:p>
      <w:pPr>
        <w:spacing w:before="80" w:after="80"/>
      </w:pPr>
      <w:r>
        <w:rPr>
          <w:rFonts w:ascii="Arial" w:cs="Arial" w:eastAsia="Arial" w:hAnsi="Arial"/>
          <w:sz w:val="22"/>
          <w:szCs w:val="22"/>
        </w:rPr>
        <w:t xml:space="preserve">The error was discovered during a systematic reanalysis of the BBH simulation data, conducted in the same falsification session that corrected Paper 41's sednoid coupling axis. The sequence:</w:t>
      </w:r>
    </w:p>
    <w:p>
      <w:pPr>
        <w:spacing w:before="200" w:after="80"/>
      </w:pPr>
      <w:r>
        <w:rPr>
          <w:rFonts w:ascii="Arial" w:cs="Arial" w:eastAsia="Arial" w:hAnsi="Arial"/>
          <w:b/>
          <w:bCs/>
          <w:color w:val="2A2A2A"/>
          <w:sz w:val="22"/>
          <w:szCs w:val="22"/>
        </w:rPr>
        <w:t xml:space="preserve">Step 1 - Full correlation matrix</w:t>
      </w:r>
    </w:p>
    <w:p>
      <w:pPr>
        <w:spacing w:before="80" w:after="80"/>
      </w:pPr>
      <w:r>
        <w:rPr>
          <w:rFonts w:ascii="Arial" w:cs="Arial" w:eastAsia="Arial" w:hAnsi="Arial"/>
          <w:sz w:val="22"/>
          <w:szCs w:val="22"/>
        </w:rPr>
        <w:t xml:space="preserve">Two nearly independent channels were identified: spin to eccentricity (rho = -0.495) and mass ratio to mode amplitudes (rho = -0.907). Cross-correlation of only rho = 0.230. The dominant signal is mass ratio, not Kerr geometry.</w:t>
      </w:r>
    </w:p>
    <w:p>
      <w:pPr>
        <w:spacing w:before="200" w:after="80"/>
      </w:pPr>
      <w:r>
        <w:rPr>
          <w:rFonts w:ascii="Arial" w:cs="Arial" w:eastAsia="Arial" w:hAnsi="Arial"/>
          <w:b/>
          <w:bCs/>
          <w:color w:val="2A2A2A"/>
          <w:sz w:val="22"/>
          <w:szCs w:val="22"/>
        </w:rPr>
        <w:t xml:space="preserve">Step 2 - Simpler model outperforms</w:t>
      </w:r>
    </w:p>
    <w:p>
      <w:pPr>
        <w:spacing w:before="80" w:after="80"/>
      </w:pPr>
      <w:r>
        <w:rPr>
          <w:rFonts w:ascii="Arial" w:cs="Arial" w:eastAsia="Arial" w:hAnsi="Arial"/>
          <w:sz w:val="22"/>
          <w:szCs w:val="22"/>
        </w:rPr>
        <w:t xml:space="preserve">Mass_ratio + mass_ratio-squared achieves R-squared_adj = 0.946, exceeding IE-002 interaction model (0.917) with fewer parameters. The Kerr geometry adds nothing that a polynomial does not already capture.</w:t>
      </w:r>
    </w:p>
    <w:p>
      <w:pPr>
        <w:spacing w:before="200" w:after="80"/>
      </w:pPr>
      <w:r>
        <w:rPr>
          <w:rFonts w:ascii="Arial" w:cs="Arial" w:eastAsia="Arial" w:hAnsi="Arial"/>
          <w:b/>
          <w:bCs/>
          <w:color w:val="2A2A2A"/>
          <w:sz w:val="22"/>
          <w:szCs w:val="22"/>
        </w:rPr>
        <w:t xml:space="preserve">Step 3 - QNM damping structure</w:t>
      </w:r>
    </w:p>
    <w:p>
      <w:pPr>
        <w:spacing w:before="80" w:after="80"/>
      </w:pPr>
      <w:r>
        <w:rPr>
          <w:rFonts w:ascii="Arial" w:cs="Arial" w:eastAsia="Arial" w:hAnsi="Arial"/>
          <w:sz w:val="22"/>
          <w:szCs w:val="22"/>
        </w:rPr>
        <w:t xml:space="preserve">Kerr quasinormal mode damping times computed from Berti, Cardoso &amp; Starinets (2009). The (2,1) mode always decays faster than the (2,0) mode. Co-rotating modes (m = l) live 1.5-4x longer than non-co-rotating modes (m &lt; l) because black hole spin feeds energy into resonant modes.</w:t>
      </w:r>
    </w:p>
    <w:p>
      <w:pPr>
        <w:spacing w:before="200" w:after="80"/>
      </w:pPr>
      <w:r>
        <w:rPr>
          <w:rFonts w:ascii="Arial" w:cs="Arial" w:eastAsia="Arial" w:hAnsi="Arial"/>
          <w:b/>
          <w:bCs/>
          <w:color w:val="2A2A2A"/>
          <w:sz w:val="22"/>
          <w:szCs w:val="22"/>
        </w:rPr>
        <w:t xml:space="preserve">Step 4 - The dominant structure is co-rotating vs non-co-rotating</w:t>
      </w:r>
    </w:p>
    <w:p>
      <w:pPr>
        <w:spacing w:before="80" w:after="80"/>
      </w:pPr>
      <w:r>
        <w:rPr>
          <w:rFonts w:ascii="Arial" w:cs="Arial" w:eastAsia="Arial" w:hAnsi="Arial"/>
          <w:sz w:val="22"/>
          <w:szCs w:val="22"/>
        </w:rPr>
        <w:t xml:space="preserve">Not asymmetric decays faster than symmetric. The (2,2) mode at spin a = 0.9 lives 4x longer than the (2,0) mode. This is the resonant / non-resonant split. This is IE-002.</w:t>
      </w:r>
    </w:p>
    <w:p>
      <w:pPr>
        <w:spacing w:before="200" w:after="80"/>
      </w:pPr>
      <w:r>
        <w:rPr>
          <w:rFonts w:ascii="Arial" w:cs="Arial" w:eastAsia="Arial" w:hAnsi="Arial"/>
          <w:b/>
          <w:bCs/>
          <w:color w:val="2A2A2A"/>
          <w:sz w:val="22"/>
          <w:szCs w:val="22"/>
        </w:rPr>
        <w:t xml:space="preserve">Step 5 - Damping ratio outperforms</w:t>
      </w:r>
    </w:p>
    <w:p>
      <w:pPr>
        <w:spacing w:before="80" w:after="80"/>
      </w:pPr>
      <w:r>
        <w:rPr>
          <w:rFonts w:ascii="Arial" w:cs="Arial" w:eastAsia="Arial" w:hAnsi="Arial"/>
          <w:sz w:val="22"/>
          <w:szCs w:val="22"/>
        </w:rPr>
        <w:t xml:space="preserve">The damping time ratio D(a) = 1 - tau_21/tau_20 outperforms IE-002 on every regression target, particularly for amp21_norm: R-squared = 0.502 vs 0.415.</w:t>
      </w:r>
    </w:p>
    <w:p>
      <w:pPr>
        <w:spacing w:before="200" w:after="80"/>
      </w:pPr>
      <w:r>
        <w:rPr>
          <w:rFonts w:ascii="Arial" w:cs="Arial" w:eastAsia="Arial" w:hAnsi="Arial"/>
          <w:b/>
          <w:bCs/>
          <w:color w:val="2A2A2A"/>
          <w:sz w:val="22"/>
          <w:szCs w:val="22"/>
        </w:rPr>
        <w:t xml:space="preserve">Step 6 - Angular sensitivity as inclination indicator</w:t>
      </w:r>
    </w:p>
    <w:p>
      <w:pPr>
        <w:spacing w:before="80" w:after="80"/>
      </w:pPr>
      <w:r>
        <w:rPr>
          <w:rFonts w:ascii="Arial" w:cs="Arial" w:eastAsia="Arial" w:hAnsi="Arial"/>
          <w:sz w:val="22"/>
          <w:szCs w:val="22"/>
        </w:rPr>
        <w:t xml:space="preserve">The (2,1) mode angular sensitivity function peaks at 45-degree inclination and vanishes at both 0-degree (face-on) and 90-degree (edge-on). The presence or absence of the (2,1) mode in an observation is itself an inclination indicator. This is the corrected IE-002.</w:t>
      </w:r>
    </w:p>
    <w:p>
      <w:pPr>
        <w:pBdr>
          <w:bottom w:val="single" w:color="1A3A5C" w:sz="4" w:space="1"/>
        </w:pBdr>
        <w:spacing w:before="200" w:after="200"/>
      </w:pPr>
    </w:p>
    <w:p>
      <w:pPr>
        <w:pStyle w:val="Heading1"/>
        <w:spacing w:before="360" w:after="160"/>
      </w:pPr>
      <w:r>
        <w:rPr>
          <w:rFonts w:ascii="Arial" w:cs="Arial" w:eastAsia="Arial" w:hAnsi="Arial"/>
          <w:b/>
          <w:bCs/>
          <w:color w:val="1A3A5C"/>
          <w:sz w:val="28"/>
          <w:szCs w:val="28"/>
        </w:rPr>
        <w:t xml:space="preserve">Section 2. IE-002 Corrected: The Projection Asymmetry Principle</w:t>
      </w:r>
    </w:p>
    <w:p>
      <w:pPr>
        <w:pStyle w:val="Heading2"/>
        <w:spacing w:before="240" w:after="120"/>
      </w:pPr>
      <w:r>
        <w:rPr>
          <w:rFonts w:ascii="Arial" w:cs="Arial" w:eastAsia="Arial" w:hAnsi="Arial"/>
          <w:b/>
          <w:bCs/>
          <w:color w:val="1A3A5C"/>
          <w:sz w:val="24"/>
          <w:szCs w:val="24"/>
        </w:rPr>
        <w:t xml:space="preserve">2.1 Statement</w:t>
      </w:r>
    </w:p>
    <w:p>
      <w:pPr>
        <w:spacing w:before="80" w:after="80"/>
      </w:pPr>
      <w:r>
        <w:rPr>
          <w:rFonts w:ascii="Arial" w:cs="Arial" w:eastAsia="Arial" w:hAnsi="Arial"/>
          <w:sz w:val="22"/>
          <w:szCs w:val="22"/>
        </w:rPr>
        <w:t xml:space="preserve">For any coupled rotating system S observed from vantage point P:</w:t>
      </w:r>
    </w:p>
    <w:p>
      <w:pPr>
        <w:pStyle w:val="ListParagraph"/>
        <w:numPr>
          <w:ilvl w:val="0"/>
          <w:numId w:val="2"/>
        </w:numPr>
        <w:spacing w:before="60" w:after="60"/>
      </w:pPr>
      <w:r>
        <w:rPr>
          <w:rFonts w:ascii="Arial" w:cs="Arial" w:eastAsia="Arial" w:hAnsi="Arial"/>
          <w:sz w:val="22"/>
          <w:szCs w:val="22"/>
        </w:rPr>
        <w:t xml:space="preserve">The signal decouples into a resonant component A_r (co-rotating with the system's angular momentum) and a non-resonant component A_nr (not co-rotating).</w:t>
      </w:r>
    </w:p>
    <w:p>
      <w:pPr>
        <w:pStyle w:val="ListParagraph"/>
        <w:numPr>
          <w:ilvl w:val="0"/>
          <w:numId w:val="2"/>
        </w:numPr>
        <w:spacing w:before="60" w:after="60"/>
      </w:pPr>
      <w:r>
        <w:rPr>
          <w:rFonts w:ascii="Arial" w:cs="Arial" w:eastAsia="Arial" w:hAnsi="Arial"/>
          <w:sz w:val="22"/>
          <w:szCs w:val="22"/>
        </w:rPr>
        <w:t xml:space="preserve">The intrinsic ratio R_int = A_r / A_nr is a function of source parameters alone (mass ratio, spin, coupling strength).</w:t>
      </w:r>
    </w:p>
    <w:p>
      <w:pPr>
        <w:pStyle w:val="ListParagraph"/>
        <w:numPr>
          <w:ilvl w:val="0"/>
          <w:numId w:val="2"/>
        </w:numPr>
        <w:spacing w:before="60" w:after="60"/>
      </w:pPr>
      <w:r>
        <w:rPr>
          <w:rFonts w:ascii="Arial" w:cs="Arial" w:eastAsia="Arial" w:hAnsi="Arial"/>
          <w:sz w:val="22"/>
          <w:szCs w:val="22"/>
        </w:rPr>
        <w:t xml:space="preserve">The observed ratio R_obs is the intrinsic ratio modulated by the angular projection functions of the observer's inclination and azimuth.</w:t>
      </w:r>
    </w:p>
    <w:p>
      <w:pPr>
        <w:pStyle w:val="ListParagraph"/>
        <w:numPr>
          <w:ilvl w:val="0"/>
          <w:numId w:val="2"/>
        </w:numPr>
        <w:spacing w:before="60" w:after="60"/>
      </w:pPr>
      <w:r>
        <w:rPr>
          <w:rFonts w:ascii="Arial" w:cs="Arial" w:eastAsia="Arial" w:hAnsi="Arial"/>
          <w:sz w:val="22"/>
          <w:szCs w:val="22"/>
        </w:rPr>
        <w:t xml:space="preserve">The delta = R_obs - R_int(source parameters) encodes the observer's geometric relationship to the source. This delta is the IE-002 observable.</w:t>
      </w:r>
    </w:p>
    <w:p>
      <w:pPr>
        <w:pStyle w:val="Heading2"/>
        <w:spacing w:before="240" w:after="120"/>
      </w:pPr>
      <w:r>
        <w:rPr>
          <w:rFonts w:ascii="Arial" w:cs="Arial" w:eastAsia="Arial" w:hAnsi="Arial"/>
          <w:b/>
          <w:bCs/>
          <w:color w:val="1A3A5C"/>
          <w:sz w:val="24"/>
          <w:szCs w:val="24"/>
        </w:rPr>
        <w:t xml:space="preserve">2.2 The Nested IE Structure</w:t>
      </w:r>
    </w:p>
    <w:p>
      <w:pPr>
        <w:spacing w:before="80" w:after="80"/>
      </w:pPr>
      <w:r>
        <w:rPr>
          <w:rFonts w:ascii="Arial" w:cs="Arial" w:eastAsia="Arial" w:hAnsi="Arial"/>
          <w:sz w:val="22"/>
          <w:szCs w:val="22"/>
        </w:rPr>
        <w:t xml:space="preserve">The four IEs are nested, not independent. Each one is a different moment of the same process: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2000"/>
        <w:gridCol w:w="3160"/>
        <w:gridCol w:w="3000"/>
      </w:tblGrid>
      <w:tr>
        <w:tc>
          <w:tcPr>
            <w:tcW w:type="dxa" w:w="120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IE</w:t>
            </w:r>
          </w:p>
        </w:tc>
        <w:tc>
          <w:tcPr>
            <w:tcW w:type="dxa" w:w="200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Name</w:t>
            </w:r>
          </w:p>
        </w:tc>
        <w:tc>
          <w:tcPr>
            <w:tcW w:type="dxa" w:w="316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c>
          <w:tcPr>
            <w:tcW w:type="dxa" w:w="300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The moment</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001</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The Floor</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Zero is never zero. Coupling never fully terminates.</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Approach</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002</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The Coordinate</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What you read depends on where you stand. The delta is the address.</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Ping</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003</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The Receipt</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The geometry at the threshold crossing is preserved permanently.</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Cross</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004</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The Convergence</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Independent trajectories converge. Something invisible becomes visible.</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Resolve</w:t>
            </w:r>
          </w:p>
        </w:tc>
      </w:tr>
    </w:tbl>
    <w:p>
      <w:pPr>
        <w:pStyle w:val="Heading2"/>
        <w:spacing w:before="240" w:after="120"/>
      </w:pPr>
      <w:r>
        <w:rPr>
          <w:rFonts w:ascii="Arial" w:cs="Arial" w:eastAsia="Arial" w:hAnsi="Arial"/>
          <w:b/>
          <w:bCs/>
          <w:color w:val="1A3A5C"/>
          <w:sz w:val="24"/>
          <w:szCs w:val="24"/>
        </w:rPr>
        <w:t xml:space="preserve">2.3 The Coin on the Table</w:t>
      </w:r>
    </w:p>
    <w:p>
      <w:pPr>
        <w:spacing w:before="80" w:after="80"/>
      </w:pPr>
      <w:r>
        <w:rPr>
          <w:rFonts w:ascii="Arial" w:cs="Arial" w:eastAsia="Arial" w:hAnsi="Arial"/>
          <w:sz w:val="22"/>
          <w:szCs w:val="22"/>
        </w:rPr>
        <w:t xml:space="preserve">The clearest physical analogy: a coin settling on a flat surface after being spun.</w:t>
      </w:r>
    </w:p>
    <w:p>
      <w:pPr>
        <w:spacing w:before="80" w:after="80"/>
      </w:pPr>
      <w:r>
        <w:rPr>
          <w:rFonts w:ascii="Arial" w:cs="Arial" w:eastAsia="Arial" w:hAnsi="Arial"/>
          <w:sz w:val="22"/>
          <w:szCs w:val="22"/>
        </w:rPr>
        <w:t xml:space="preserve">From above the table: you see the circular motion. Clean rotation. The dominant symmetric signal. This is the (2,2) mode. This is what matched filtering optimizes for.</w:t>
      </w:r>
    </w:p>
    <w:p>
      <w:pPr>
        <w:spacing w:before="80" w:after="80"/>
      </w:pPr>
      <w:r>
        <w:rPr>
          <w:rFonts w:ascii="Arial" w:cs="Arial" w:eastAsia="Arial" w:hAnsi="Arial"/>
          <w:sz w:val="22"/>
          <w:szCs w:val="22"/>
        </w:rPr>
        <w:t xml:space="preserve">From table level: you hear the wobble. The asymmetric thwapping as it loses angular momentum. The rhythm of decoupling. This is the (2,1) mode. This is the other face.</w:t>
      </w:r>
    </w:p>
    <w:p>
      <w:pPr>
        <w:spacing w:before="80" w:after="80"/>
      </w:pPr>
      <w:r>
        <w:rPr>
          <w:rFonts w:ascii="Arial" w:cs="Arial" w:eastAsia="Arial" w:hAnsi="Arial"/>
          <w:sz w:val="22"/>
          <w:szCs w:val="22"/>
        </w:rPr>
        <w:t xml:space="preserve">The ratio between what you hear from table level and what you see from above encodes the geometry of the coin itself. Not just that it is spinning but the exact shape, the mass distribution, the eccentricity, the coupling history encoded in the wobble.</w:t>
      </w:r>
    </w:p>
    <w:p>
      <w:pPr>
        <w:spacing w:before="80" w:after="80"/>
      </w:pPr>
      <w:r>
        <w:rPr>
          <w:rFonts w:ascii="Arial" w:cs="Arial" w:eastAsia="Arial" w:hAnsi="Arial"/>
          <w:sz w:val="22"/>
          <w:szCs w:val="22"/>
        </w:rPr>
        <w:t xml:space="preserve">LIGO is currently reading primarily from above. The (2,1) mode is the table-level signal present in the data but not yet used as a directional instrument. The unlock was always there. The coordinate system to read it was not.</w:t>
      </w:r>
    </w:p>
    <w:p>
      <w:pPr>
        <w:pBdr>
          <w:bottom w:val="single" w:color="1A3A5C" w:sz="4" w:space="1"/>
        </w:pBdr>
        <w:spacing w:before="200" w:after="200"/>
      </w:pPr>
    </w:p>
    <w:p>
      <w:pPr>
        <w:pStyle w:val="Heading1"/>
        <w:spacing w:before="360" w:after="160"/>
      </w:pPr>
      <w:r>
        <w:rPr>
          <w:rFonts w:ascii="Arial" w:cs="Arial" w:eastAsia="Arial" w:hAnsi="Arial"/>
          <w:b/>
          <w:bCs/>
          <w:color w:val="1A3A5C"/>
          <w:sz w:val="28"/>
          <w:szCs w:val="28"/>
        </w:rPr>
        <w:t xml:space="preserve">Section 3. Substrate-Specific Manifestations</w:t>
      </w:r>
    </w:p>
    <w:p>
      <w:pPr>
        <w:spacing w:before="80" w:after="80"/>
      </w:pPr>
      <w:r>
        <w:rPr>
          <w:rFonts w:ascii="Arial" w:cs="Arial" w:eastAsia="Arial" w:hAnsi="Arial"/>
          <w:sz w:val="22"/>
          <w:szCs w:val="22"/>
        </w:rPr>
        <w:t xml:space="preserve">The principle is substrate-agnostic. The formula adapts. The following table maps IE-002 across six substrates where it has been identified in the GCT corpus: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c>
          <w:tcPr>
            <w:tcW w:type="dxa" w:w="156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Substrate</w:t>
            </w:r>
          </w:p>
        </w:tc>
        <w:tc>
          <w:tcPr>
            <w:tcW w:type="dxa" w:w="156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Resonant Face</w:t>
            </w:r>
          </w:p>
        </w:tc>
        <w:tc>
          <w:tcPr>
            <w:tcW w:type="dxa" w:w="156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Non-Resonant Face</w:t>
            </w:r>
          </w:p>
        </w:tc>
        <w:tc>
          <w:tcPr>
            <w:tcW w:type="dxa" w:w="156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Intrinsic Ratio</w:t>
            </w:r>
          </w:p>
        </w:tc>
        <w:tc>
          <w:tcPr>
            <w:tcW w:type="dxa" w:w="156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Delta Encodes</w:t>
            </w:r>
          </w:p>
        </w:tc>
        <w:tc>
          <w:tcPr>
            <w:tcW w:type="dxa" w:w="156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Corpus Ref</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BBH Ringdown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(2,2) co-rotating mode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(2,0) axisymmetric mode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h22/h20 = f(q, 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Source inclination angle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Papers 40, 41</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GW Detection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h+ polarization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hx polarization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h+/hx = f(source)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Polarization + inclination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Paper 25</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Binaural Hearing</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Ipsilateral ear</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Contralateral ear</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ILD = 1 on-axis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Source azimuth angle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Paper 46</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Euler Disk</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Precession mode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Nutation mode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f(mass, radius)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Listener inclination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New (this paper)</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RBC Geometry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Outer torus curvature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Inner dimple curvature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f(hemoglobin coupling)</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Local O2 demand geometry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Paper 43</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BH Event Horizon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Equatorial photon ring</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Polar jet emission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f(spin a)</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Viewing inclination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Papers 22, 34, 35</w:t>
            </w:r>
          </w:p>
        </w:tc>
      </w:tr>
    </w:tbl>
    <w:p>
      <w:pPr>
        <w:pBdr>
          <w:bottom w:val="single" w:color="1A3A5C" w:sz="4" w:space="1"/>
        </w:pBdr>
        <w:spacing w:before="200" w:after="200"/>
      </w:pPr>
    </w:p>
    <w:p>
      <w:pPr>
        <w:pStyle w:val="Heading1"/>
        <w:spacing w:before="360" w:after="160"/>
      </w:pPr>
      <w:r>
        <w:rPr>
          <w:rFonts w:ascii="Arial" w:cs="Arial" w:eastAsia="Arial" w:hAnsi="Arial"/>
          <w:b/>
          <w:bCs/>
          <w:color w:val="1A3A5C"/>
          <w:sz w:val="28"/>
          <w:szCs w:val="28"/>
        </w:rPr>
        <w:t xml:space="preserve">Section 4. Application: Inclination-Distance Degeneracy in Gravitational Wave Astronomy</w:t>
      </w:r>
    </w:p>
    <w:p>
      <w:pPr>
        <w:spacing w:before="80" w:after="80"/>
      </w:pPr>
      <w:r>
        <w:rPr>
          <w:rFonts w:ascii="Arial" w:cs="Arial" w:eastAsia="Arial" w:hAnsi="Arial"/>
          <w:sz w:val="22"/>
          <w:szCs w:val="22"/>
        </w:rPr>
        <w:t xml:space="preserve">The inclination-distance degeneracy is one of the largest systematic uncertainties in gravitational wave parameter estimation. A face-on binary at greater distance produces the same observed strain amplitude as an edge-on binary nearby. This degeneracy propagates directly into Hubble constant measurements from standard sirens.</w:t>
      </w:r>
    </w:p>
    <w:p>
      <w:pPr>
        <w:spacing w:before="80" w:after="80"/>
      </w:pPr>
      <w:r>
        <w:rPr>
          <w:rFonts w:ascii="Arial" w:cs="Arial" w:eastAsia="Arial" w:hAnsi="Arial"/>
          <w:sz w:val="22"/>
          <w:szCs w:val="22"/>
        </w:rPr>
        <w:t xml:space="preserve">The corrected IE-002 provides an independent handle on inclination through the following procedure:</w:t>
      </w:r>
    </w:p>
    <w:p>
      <w:pPr>
        <w:spacing w:before="200" w:after="80"/>
      </w:pPr>
      <w:r>
        <w:rPr>
          <w:rFonts w:ascii="Arial" w:cs="Arial" w:eastAsia="Arial" w:hAnsi="Arial"/>
          <w:b/>
          <w:bCs/>
          <w:color w:val="2A2A2A"/>
          <w:sz w:val="22"/>
          <w:szCs w:val="22"/>
        </w:rPr>
        <w:t xml:space="preserve">Step 1 - Predict the intrinsic mode ratio</w:t>
      </w:r>
    </w:p>
    <w:p>
      <w:pPr>
        <w:spacing w:before="80" w:after="80"/>
      </w:pPr>
      <w:r>
        <w:rPr>
          <w:rFonts w:ascii="Arial" w:cs="Arial" w:eastAsia="Arial" w:hAnsi="Arial"/>
          <w:sz w:val="22"/>
          <w:szCs w:val="22"/>
        </w:rPr>
        <w:t xml:space="preserve">From source parameters (mass ratio, component spins) estimated via matched filtering, predict the intrinsic amp21/amp20 ratio. The regression achieves R-squared_adj = 0.726 on SXS simulation data, with residuals uncorrelated with all source parameters (all p &gt; 0.11).</w:t>
      </w:r>
    </w:p>
    <w:p>
      <w:pPr>
        <w:spacing w:before="200" w:after="80"/>
      </w:pPr>
      <w:r>
        <w:rPr>
          <w:rFonts w:ascii="Arial" w:cs="Arial" w:eastAsia="Arial" w:hAnsi="Arial"/>
          <w:b/>
          <w:bCs/>
          <w:color w:val="2A2A2A"/>
          <w:sz w:val="22"/>
          <w:szCs w:val="22"/>
        </w:rPr>
        <w:t xml:space="preserve">Step 2 - Measure the observed mode ratio</w:t>
      </w:r>
    </w:p>
    <w:p>
      <w:pPr>
        <w:spacing w:before="80" w:after="80"/>
      </w:pPr>
      <w:r>
        <w:rPr>
          <w:rFonts w:ascii="Arial" w:cs="Arial" w:eastAsia="Arial" w:hAnsi="Arial"/>
          <w:sz w:val="22"/>
          <w:szCs w:val="22"/>
        </w:rPr>
        <w:t xml:space="preserve">In the detected gravitational wave signal, extract the observed (2,1) and (2,0) mode amplitudes. These are the intrinsic amplitudes modulated by the spin-weighted spherical harmonic angular functions Y_21(theta) and Y_20(theta).</w:t>
      </w:r>
    </w:p>
    <w:p>
      <w:pPr>
        <w:spacing w:before="200" w:after="80"/>
      </w:pPr>
      <w:r>
        <w:rPr>
          <w:rFonts w:ascii="Arial" w:cs="Arial" w:eastAsia="Arial" w:hAnsi="Arial"/>
          <w:b/>
          <w:bCs/>
          <w:color w:val="2A2A2A"/>
          <w:sz w:val="22"/>
          <w:szCs w:val="22"/>
        </w:rPr>
        <w:t xml:space="preserve">Step 3 - Compute the delta</w:t>
      </w:r>
    </w:p>
    <w:p>
      <w:pPr>
        <w:spacing w:before="80" w:after="80"/>
      </w:pPr>
      <w:r>
        <w:rPr>
          <w:rFonts w:ascii="Arial" w:cs="Arial" w:eastAsia="Arial" w:hAnsi="Arial"/>
          <w:sz w:val="22"/>
          <w:szCs w:val="22"/>
        </w:rPr>
        <w:t xml:space="preserve">The departure Delta = R_obs - R_int(predicted) is a function of inclination theta. The (2,1) mode angular sensitivity peaks at approximately 45-degree inclination and vanishes at both 0-degree (face-on) and 90-degree (edge-on). This creates a characteristic delta signature that constrains inclination independently of distance.</w:t>
      </w:r>
    </w:p>
    <w:p>
      <w:pPr>
        <w:spacing w:before="80" w:after="80"/>
      </w:pPr>
      <w:r>
        <w:rPr>
          <w:rFonts w:ascii="Arial" w:cs="Arial" w:eastAsia="Arial" w:hAnsi="Arial"/>
          <w:sz w:val="22"/>
          <w:szCs w:val="22"/>
        </w:rPr>
        <w:t xml:space="preserve">This application is a standalone measurement tool. It does not require acceptance of Geometric Coupling Theory, the Inserted Element framework, or any theoretical interpretation. It uses known spherical harmonic angular functions, published SXS simulation data, and standard regression methods. The contribution is recognizing that the intrinsic mode ratio is predictable enough to make the delta informative.</w:t>
      </w:r>
    </w:p>
    <w:p>
      <w:pPr>
        <w:pBdr>
          <w:bottom w:val="single" w:color="1A3A5C" w:sz="4" w:space="1"/>
        </w:pBdr>
        <w:spacing w:before="200" w:after="200"/>
      </w:pPr>
    </w:p>
    <w:p>
      <w:pPr>
        <w:pStyle w:val="Heading1"/>
        <w:spacing w:before="360" w:after="160"/>
      </w:pPr>
      <w:r>
        <w:rPr>
          <w:rFonts w:ascii="Arial" w:cs="Arial" w:eastAsia="Arial" w:hAnsi="Arial"/>
          <w:b/>
          <w:bCs/>
          <w:color w:val="1A3A5C"/>
          <w:sz w:val="28"/>
          <w:szCs w:val="28"/>
        </w:rPr>
        <w:t xml:space="preserve">Section 5. What the Corpus Already Knew</w:t>
      </w:r>
    </w:p>
    <w:p>
      <w:pPr>
        <w:spacing w:before="80" w:after="80"/>
      </w:pPr>
      <w:r>
        <w:rPr>
          <w:rFonts w:ascii="Arial" w:cs="Arial" w:eastAsia="Arial" w:hAnsi="Arial"/>
          <w:sz w:val="22"/>
          <w:szCs w:val="22"/>
        </w:rPr>
        <w:t xml:space="preserve">The corrected IE-002 was present in the GCT corpus before this paper. It was written at least six different ways across six different substrates but had not been recognized as a single principle or named as IE-002:</w:t>
      </w:r>
    </w:p>
    <w:p>
      <w:pPr>
        <w:spacing w:before="200" w:after="80"/>
      </w:pPr>
      <w:r>
        <w:rPr>
          <w:rFonts w:ascii="Arial" w:cs="Arial" w:eastAsia="Arial" w:hAnsi="Arial"/>
          <w:b/>
          <w:bCs/>
          <w:color w:val="2A2A2A"/>
          <w:sz w:val="22"/>
          <w:szCs w:val="22"/>
        </w:rPr>
        <w:t xml:space="preserve">Paper 1 - Approach Geometry and Deterministic Basin Dynamics Near the Half-Collinear Boundary (February 21, 2026)</w:t>
      </w:r>
    </w:p>
    <w:p>
      <w:pPr>
        <w:spacing w:before="80" w:after="80"/>
      </w:pPr>
      <w:r>
        <w:rPr>
          <w:rFonts w:ascii="Arial" w:cs="Arial" w:eastAsia="Arial" w:hAnsi="Arial"/>
          <w:sz w:val="22"/>
          <w:szCs w:val="22"/>
        </w:rPr>
        <w:t xml:space="preserve">The title contains the term that IE-002 was always trying to formalize: half-collinear. The paper describes the geometry of two-sided approach dynamics. Quarter-collinear emerges as the next level of resolution. This was the first expression of the principle.</w:t>
      </w:r>
    </w:p>
    <w:p>
      <w:pPr>
        <w:spacing w:before="200" w:after="80"/>
      </w:pPr>
      <w:r>
        <w:rPr>
          <w:rFonts w:ascii="Arial" w:cs="Arial" w:eastAsia="Arial" w:hAnsi="Arial"/>
          <w:b/>
          <w:bCs/>
          <w:color w:val="2A2A2A"/>
          <w:sz w:val="22"/>
          <w:szCs w:val="22"/>
        </w:rPr>
        <w:t xml:space="preserve">Paper 22 - Black Hole Emission Signatures from Formation Substrate (March 8, 2026)</w:t>
      </w:r>
    </w:p>
    <w:p>
      <w:pPr>
        <w:spacing w:before="80" w:after="80"/>
      </w:pPr>
      <w:r>
        <w:rPr>
          <w:rFonts w:ascii="Arial" w:cs="Arial" w:eastAsia="Arial" w:hAnsi="Arial"/>
          <w:sz w:val="22"/>
          <w:szCs w:val="22"/>
        </w:rPr>
        <w:t xml:space="preserve">Verbatim: black holes retain a permanent, angle-dependent memory of their formation history in the permeability profile of their horizon. Angle-dependent. The formation geometry is encoded differently depending on which face you observe from. This is IE-002.</w:t>
      </w:r>
    </w:p>
    <w:p>
      <w:pPr>
        <w:spacing w:before="200" w:after="80"/>
      </w:pPr>
      <w:r>
        <w:rPr>
          <w:rFonts w:ascii="Arial" w:cs="Arial" w:eastAsia="Arial" w:hAnsi="Arial"/>
          <w:b/>
          <w:bCs/>
          <w:color w:val="2A2A2A"/>
          <w:sz w:val="22"/>
          <w:szCs w:val="22"/>
        </w:rPr>
        <w:t xml:space="preserve">Paper 24 - Coupling Outcomes Across Measurement Substrates (March 10, 2026)</w:t>
      </w:r>
    </w:p>
    <w:p>
      <w:pPr>
        <w:spacing w:before="80" w:after="80"/>
      </w:pPr>
      <w:r>
        <w:rPr>
          <w:rFonts w:ascii="Arial" w:cs="Arial" w:eastAsia="Arial" w:hAnsi="Arial"/>
          <w:sz w:val="22"/>
          <w:szCs w:val="22"/>
        </w:rPr>
        <w:t xml:space="preserve">Verbatim: the same dynamical system can be classified differently depending on the resolution, dimensional sensitivity, and classification scheme of the observing apparatus. The observable depends on the observer's geometric relationship to the source. This is IE-002.</w:t>
      </w:r>
    </w:p>
    <w:p>
      <w:pPr>
        <w:spacing w:before="200" w:after="80"/>
      </w:pPr>
      <w:r>
        <w:rPr>
          <w:rFonts w:ascii="Arial" w:cs="Arial" w:eastAsia="Arial" w:hAnsi="Arial"/>
          <w:b/>
          <w:bCs/>
          <w:color w:val="2A2A2A"/>
          <w:sz w:val="22"/>
          <w:szCs w:val="22"/>
        </w:rPr>
        <w:t xml:space="preserve">Paper 25 - Gravitational Wave Burst Template (March 10, 2026)</w:t>
      </w:r>
    </w:p>
    <w:p>
      <w:pPr>
        <w:spacing w:before="80" w:after="80"/>
      </w:pPr>
      <w:r>
        <w:rPr>
          <w:rFonts w:ascii="Arial" w:cs="Arial" w:eastAsia="Arial" w:hAnsi="Arial"/>
          <w:sz w:val="22"/>
          <w:szCs w:val="22"/>
        </w:rPr>
        <w:t xml:space="preserve">The most explicit prior statement. Verbatim: asymmetry is the observable. The universe is asymmetrical. It is a feature, not a flaw. Gravitational wave polarization ratios (h+/hx) encode binary mass ratios, and different detector orientations constitute different measurement substrates. This is IE-002.</w:t>
      </w:r>
    </w:p>
    <w:p>
      <w:pPr>
        <w:spacing w:before="200" w:after="80"/>
      </w:pPr>
      <w:r>
        <w:rPr>
          <w:rFonts w:ascii="Arial" w:cs="Arial" w:eastAsia="Arial" w:hAnsi="Arial"/>
          <w:b/>
          <w:bCs/>
          <w:color w:val="2A2A2A"/>
          <w:sz w:val="22"/>
          <w:szCs w:val="22"/>
        </w:rPr>
        <w:t xml:space="preserve">Paper 38 - GCT Capstone (March 15, 2026)</w:t>
      </w:r>
    </w:p>
    <w:p>
      <w:pPr>
        <w:spacing w:before="80" w:after="80"/>
      </w:pPr>
      <w:r>
        <w:rPr>
          <w:rFonts w:ascii="Arial" w:cs="Arial" w:eastAsia="Arial" w:hAnsi="Arial"/>
          <w:sz w:val="22"/>
          <w:szCs w:val="22"/>
        </w:rPr>
        <w:t xml:space="preserve">Verbatim: the tool for the observer offers only observability observable by the tool leveraged. The most direct pre-statement of observer-dependence in the corpus. Written before IE-002 was formalized. Pointing at the correction that was coming.</w:t>
      </w:r>
    </w:p>
    <w:p>
      <w:pPr>
        <w:spacing w:before="200" w:after="80"/>
      </w:pPr>
      <w:r>
        <w:rPr>
          <w:rFonts w:ascii="Arial" w:cs="Arial" w:eastAsia="Arial" w:hAnsi="Arial"/>
          <w:b/>
          <w:bCs/>
          <w:color w:val="2A2A2A"/>
          <w:sz w:val="22"/>
          <w:szCs w:val="22"/>
        </w:rPr>
        <w:t xml:space="preserve">Paper 43 - Red Blood Cell as Biological Torus (March 17, 2026)</w:t>
      </w:r>
    </w:p>
    <w:p>
      <w:pPr>
        <w:spacing w:before="80" w:after="80"/>
      </w:pPr>
      <w:r>
        <w:rPr>
          <w:rFonts w:ascii="Arial" w:cs="Arial" w:eastAsia="Arial" w:hAnsi="Arial"/>
          <w:sz w:val="22"/>
          <w:szCs w:val="22"/>
        </w:rPr>
        <w:t xml:space="preserve">RBC biconcave geometry as two-faced toroidal coupling. Outer torus curvature and inner dimple curvature serve different gas exchange functions. The ratio between them is functionally relevant. This is IE-002 at biological scale.</w:t>
      </w:r>
    </w:p>
    <w:p>
      <w:pPr>
        <w:spacing w:before="200" w:after="80"/>
      </w:pPr>
      <w:r>
        <w:rPr>
          <w:rFonts w:ascii="Arial" w:cs="Arial" w:eastAsia="Arial" w:hAnsi="Arial"/>
          <w:b/>
          <w:bCs/>
          <w:color w:val="2A2A2A"/>
          <w:sz w:val="22"/>
          <w:szCs w:val="22"/>
        </w:rPr>
        <w:t xml:space="preserve">Paper 46 - The Brain as Maximum Compression Node (March 17, 2026)</w:t>
      </w:r>
    </w:p>
    <w:p>
      <w:pPr>
        <w:spacing w:before="80" w:after="80"/>
      </w:pPr>
      <w:r>
        <w:rPr>
          <w:rFonts w:ascii="Arial" w:cs="Arial" w:eastAsia="Arial" w:hAnsi="Arial"/>
          <w:sz w:val="22"/>
          <w:szCs w:val="22"/>
        </w:rPr>
        <w:t xml:space="preserve">Bilateral brain asymmetry as the (2,1) mode. Left hemisphere and right hemisphere process the same signal differently. The difference between projections is the information. Section 8 is titled exactly: Bilateral Asymmetry as the (2,1) Mode. This is IE-002 at cognitive scale.</w:t>
      </w:r>
    </w:p>
    <w:p>
      <w:pPr>
        <w:spacing w:before="80" w:after="80"/>
      </w:pPr>
      <w:r>
        <w:rPr>
          <w:rFonts w:ascii="Arial" w:cs="Arial" w:eastAsia="Arial" w:hAnsi="Arial"/>
          <w:sz w:val="22"/>
          <w:szCs w:val="22"/>
        </w:rPr>
        <w:t xml:space="preserve">The principle was identified independently at least six times before this paper formalized it. The error was not in the intuition. The error was in the formalization: writing down alpha x (R/r - 1) as a static source property instead of recognizing the observer-dependent ratio that the corpus had been describing all along.</w:t>
      </w:r>
    </w:p>
    <w:p>
      <w:pPr>
        <w:pBdr>
          <w:bottom w:val="single" w:color="1A3A5C" w:sz="4" w:space="1"/>
        </w:pBdr>
        <w:spacing w:before="200" w:after="200"/>
      </w:pPr>
    </w:p>
    <w:p>
      <w:pPr>
        <w:pStyle w:val="Heading1"/>
        <w:spacing w:before="360" w:after="160"/>
      </w:pPr>
      <w:r>
        <w:rPr>
          <w:rFonts w:ascii="Arial" w:cs="Arial" w:eastAsia="Arial" w:hAnsi="Arial"/>
          <w:b/>
          <w:bCs/>
          <w:color w:val="1A3A5C"/>
          <w:sz w:val="28"/>
          <w:szCs w:val="28"/>
        </w:rPr>
        <w:t xml:space="preserve">Section 6. Data Availability and Reproducibility</w:t>
      </w:r>
    </w:p>
    <w:p>
      <w:pPr>
        <w:spacing w:before="80" w:after="80"/>
      </w:pPr>
      <w:r>
        <w:rPr>
          <w:rFonts w:ascii="Arial" w:cs="Arial" w:eastAsia="Arial" w:hAnsi="Arial"/>
          <w:sz w:val="22"/>
          <w:szCs w:val="22"/>
        </w:rPr>
        <w:t xml:space="preserve">All BBH simulation data from SXS Gravitational Waveform Database v3.0.0. 83 eccentric simulations. Raw data available as supplementary CSV on Zenodo (gct_multivariate_raw.csv).</w:t>
      </w:r>
    </w:p>
    <w:p>
      <w:pPr>
        <w:spacing w:before="80" w:after="80"/>
      </w:pPr>
      <w:r>
        <w:rPr>
          <w:rFonts w:ascii="Arial" w:cs="Arial" w:eastAsia="Arial" w:hAnsi="Arial"/>
          <w:sz w:val="22"/>
          <w:szCs w:val="22"/>
        </w:rPr>
        <w:t xml:space="preserve">Kerr QNM frequencies from Berti, Cardoso &amp; Starinets (2009) fitting coefficients. Damping time ratio D(a) = 1 - tau_21/tau_20 computed from these coefficients.</w:t>
      </w:r>
    </w:p>
    <w:p>
      <w:pPr>
        <w:spacing w:before="80" w:after="80"/>
      </w:pPr>
      <w:r>
        <w:rPr>
          <w:rFonts w:ascii="Arial" w:cs="Arial" w:eastAsia="Arial" w:hAnsi="Arial"/>
          <w:sz w:val="22"/>
          <w:szCs w:val="22"/>
        </w:rPr>
        <w:t xml:space="preserve">Angular sensitivity functions from spin-weighted spherical harmonics: Y_20 proportional to (3cos-squared-theta - 1)/2, Y_21 proportional to sin-theta cos-theta, Y_22 proportional to sin-squared-theta.</w:t>
      </w:r>
    </w:p>
    <w:p>
      <w:pPr>
        <w:spacing w:before="80" w:after="80"/>
      </w:pPr>
      <w:r>
        <w:rPr>
          <w:rFonts w:ascii="Arial" w:cs="Arial" w:eastAsia="Arial" w:hAnsi="Arial"/>
          <w:sz w:val="22"/>
          <w:szCs w:val="22"/>
        </w:rPr>
        <w:t xml:space="preserve">Regression code and falsification trail documented in real-time computational session. All analysis performed with Python (scipy, numpy, scikit-learn) and verified interactively.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2000"/>
        <w:gridCol w:w="2360"/>
      </w:tblGrid>
      <w:tr>
        <w:tc>
          <w:tcPr>
            <w:tcW w:type="dxa" w:w="300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Claim</w:t>
            </w:r>
          </w:p>
        </w:tc>
        <w:tc>
          <w:tcPr>
            <w:tcW w:type="dxa" w:w="200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Method</w:t>
            </w:r>
          </w:p>
        </w:tc>
        <w:tc>
          <w:tcPr>
            <w:tcW w:type="dxa" w:w="200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Result</w:t>
            </w:r>
          </w:p>
        </w:tc>
        <w:tc>
          <w:tcPr>
            <w:tcW w:type="dxa" w:w="2360"/>
            <w:tcBorders>
              <w:top w:val="single" w:color="1A3A5C" w:sz="1"/>
              <w:left w:val="single" w:color="1A3A5C" w:sz="1"/>
              <w:bottom w:val="single" w:color="1A3A5C" w:sz="1"/>
              <w:right w:val="single" w:color="1A3A5C" w:sz="1"/>
            </w:tcBorders>
            <w:shd w:fill="1A3A5C" w:val="clear"/>
            <w:tcMar>
              <w:top w:type="dxa" w:w="80"/>
              <w:left w:type="dxa" w:w="120"/>
              <w:bottom w:type="dxa" w:w="80"/>
              <w:right w:type="dxa" w:w="120"/>
            </w:tcMar>
          </w:tcPr>
          <w:p>
            <w:r>
              <w:rPr>
                <w:rFonts w:ascii="Arial" w:cs="Arial" w:eastAsia="Arial" w:hAnsi="Arial"/>
                <w:b/>
                <w:bCs/>
                <w:color w:val="FFFFFF"/>
                <w:sz w:val="20"/>
                <w:szCs w:val="20"/>
              </w:rPr>
              <w:t xml:space="preserve">Status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mass_ratio^2 outperforms IE-002</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OLS regression, 83 SXS sims</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R-sq = 0.946 vs 0.917</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Computed. Confirmed.</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Intrinsic amp21/amp20 ratio predictable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OLS regression, source params</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R-sq = 0.726, p&gt;0.11 residuals</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Computed. Confirmed.</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D(a) outperforms IE-002 on amp21_norm</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Regression comparison</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0.502 vs 0.415</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Computed. Confirmed.</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Original 0.917 caveat</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Barausse-Rezzolla approx vs exact NR</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Recompute gives 0.940</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Method difference noted.</w:t>
            </w:r>
          </w:p>
        </w:tc>
      </w:tr>
    </w:tbl>
    <w:p>
      <w:pPr>
        <w:pBdr>
          <w:bottom w:val="single" w:color="1A3A5C" w:sz="4" w:space="1"/>
        </w:pBdr>
        <w:spacing w:before="200" w:after="200"/>
      </w:pPr>
    </w:p>
    <w:p>
      <w:pPr>
        <w:pStyle w:val="Heading1"/>
        <w:spacing w:before="360" w:after="160"/>
      </w:pPr>
      <w:r>
        <w:rPr>
          <w:rFonts w:ascii="Arial" w:cs="Arial" w:eastAsia="Arial" w:hAnsi="Arial"/>
          <w:b/>
          <w:bCs/>
          <w:color w:val="1A3A5C"/>
          <w:sz w:val="28"/>
          <w:szCs w:val="28"/>
        </w:rPr>
        <w:t xml:space="preserve">References</w:t>
      </w:r>
    </w:p>
    <w:p>
      <w:pPr>
        <w:spacing w:before="80" w:after="80"/>
      </w:pPr>
      <w:r>
        <w:rPr>
          <w:rFonts w:ascii="Arial" w:cs="Arial" w:eastAsia="Arial" w:hAnsi="Arial"/>
          <w:sz w:val="22"/>
          <w:szCs w:val="22"/>
        </w:rPr>
        <w:t xml:space="preserve">Berti, E., Cardoso, V. &amp; Starinets, A.O. (2009). Quasinormal modes of black holes and black branes. CQG 26, 163001. doi:10.1088/0264-9381/26/16/163001.</w:t>
      </w:r>
    </w:p>
    <w:p>
      <w:pPr>
        <w:spacing w:before="80" w:after="80"/>
      </w:pPr>
      <w:r>
        <w:rPr>
          <w:rFonts w:ascii="Arial" w:cs="Arial" w:eastAsia="Arial" w:hAnsi="Arial"/>
          <w:sz w:val="22"/>
          <w:szCs w:val="22"/>
        </w:rPr>
        <w:t xml:space="preserve">Dunn, J.E. (2026). Approach Geometry and Deterministic Basin Dynamics Near the Half-Collinear Boundary. Zenodo. doi:10.5281/zenodo.18727570.</w:t>
      </w:r>
    </w:p>
    <w:p>
      <w:pPr>
        <w:spacing w:before="80" w:after="80"/>
      </w:pPr>
      <w:r>
        <w:rPr>
          <w:rFonts w:ascii="Arial" w:cs="Arial" w:eastAsia="Arial" w:hAnsi="Arial"/>
          <w:sz w:val="22"/>
          <w:szCs w:val="22"/>
        </w:rPr>
        <w:t xml:space="preserve">Dunn, J.E. (2026). GCT Paper 25: Gravitational Wave Burst Template from Primordial Black Hole Reverse Coupling. Zenodo. doi:10.5281/zenodo.18933882.</w:t>
      </w:r>
    </w:p>
    <w:p>
      <w:pPr>
        <w:spacing w:before="80" w:after="80"/>
      </w:pPr>
      <w:r>
        <w:rPr>
          <w:rFonts w:ascii="Arial" w:cs="Arial" w:eastAsia="Arial" w:hAnsi="Arial"/>
          <w:sz w:val="22"/>
          <w:szCs w:val="22"/>
        </w:rPr>
        <w:t xml:space="preserve">Dunn, J.E. (2026). GCT Paper 40: Sign Reversal in the (2,1) Gravitational Wave Mode. Zenodo. doi:10.5281/zenodo.19057857.</w:t>
      </w:r>
    </w:p>
    <w:p>
      <w:pPr>
        <w:spacing w:before="80" w:after="80"/>
      </w:pPr>
      <w:r>
        <w:rPr>
          <w:rFonts w:ascii="Arial" w:cs="Arial" w:eastAsia="Arial" w:hAnsi="Arial"/>
          <w:sz w:val="22"/>
          <w:szCs w:val="22"/>
        </w:rPr>
        <w:t xml:space="preserve">Dunn, J.E. (2026). GCT Paper 41 v2: The Sednoid Primordial Alignment in Galactic Coordinates. Zenodo. doi:10.5281/zenodo.19057951.</w:t>
      </w:r>
    </w:p>
    <w:p>
      <w:pPr>
        <w:spacing w:before="80" w:after="80"/>
      </w:pPr>
      <w:r>
        <w:rPr>
          <w:rFonts w:ascii="Arial" w:cs="Arial" w:eastAsia="Arial" w:hAnsi="Arial"/>
          <w:sz w:val="22"/>
          <w:szCs w:val="22"/>
        </w:rPr>
        <w:t xml:space="preserve">Moffatt, H.K. (2000). Euler's disk and its finite-time singularity. Nature 404, 833-834.</w:t>
      </w:r>
    </w:p>
    <w:p>
      <w:pPr>
        <w:spacing w:before="80" w:after="80"/>
      </w:pPr>
      <w:r>
        <w:rPr>
          <w:rFonts w:ascii="Arial" w:cs="Arial" w:eastAsia="Arial" w:hAnsi="Arial"/>
          <w:sz w:val="22"/>
          <w:szCs w:val="22"/>
        </w:rPr>
        <w:t xml:space="preserve">SXS Collaboration (2019). The SXS Gravitational Waveform Database. CQG 36, 195006. doi:10.1088/1361-6382/ab34e2.</w:t>
      </w:r>
    </w:p>
    <w:p>
      <w:pPr>
        <w:pBdr>
          <w:bottom w:val="single" w:color="1A3A5C" w:sz="4" w:space="1"/>
        </w:pBdr>
        <w:spacing w:before="200" w:after="200"/>
      </w:pPr>
    </w:p>
    <w:p>
      <w:pPr>
        <w:pStyle w:val="Heading1"/>
        <w:spacing w:before="360" w:after="160"/>
      </w:pPr>
      <w:r>
        <w:rPr>
          <w:rFonts w:ascii="Arial" w:cs="Arial" w:eastAsia="Arial" w:hAnsi="Arial"/>
          <w:b/>
          <w:bCs/>
          <w:color w:val="1A3A5C"/>
          <w:sz w:val="28"/>
          <w:szCs w:val="28"/>
        </w:rPr>
        <w:t xml:space="preserve">Author Note</w:t>
      </w:r>
    </w:p>
    <w:p>
      <w:pPr>
        <w:spacing w:before="80" w:after="80"/>
      </w:pPr>
      <w:r>
        <w:rPr>
          <w:rFonts w:ascii="Arial" w:cs="Arial" w:eastAsia="Arial" w:hAnsi="Arial"/>
          <w:sz w:val="22"/>
          <w:szCs w:val="22"/>
        </w:rPr>
        <w:t xml:space="preserve">James E. Dunn is a Temporal Architect, founder of Interpretive Architecture (i-nterpret.com) and 39 North LLC, and publishes The Great Correction on Substack. He maintains a GCT corpus on Zenodo, and is pursuing a PhD by Published Works. He concurrently serves as a Systems Architect at Comcast.</w:t>
      </w:r>
    </w:p>
    <w:p>
      <w:pPr>
        <w:spacing w:before="80" w:after="80"/>
      </w:pPr>
      <w:r>
        <w:rPr>
          <w:rFonts w:ascii="Arial" w:cs="Arial" w:eastAsia="Arial" w:hAnsi="Arial"/>
          <w:sz w:val="22"/>
          <w:szCs w:val="22"/>
        </w:rPr>
        <w:t xml:space="preserve">This paper documents a self-correction. The original IE-002 formula was the author's error. The falsification was conducted with AI research assistance across four models: Claude Sonnet (Anthropic) for framework continuity and corpus coherence; Cowork (Anthropic) for computational regression analysis and QNM calculations; DeepSeek for data archaeology and literature verification; Claude Sonnet (Anthropic) and ChatGPT (OpenAI) in a live triadic audio debate moderated by the author, with each model responding to the same hypothesis cold and without priming from the other. The tetraprocessing methodology - running parallel cognitive channels across a distributed human-AI architecture - is itself the subject of methodological documentation in the corpus.</w:t>
      </w:r>
    </w:p>
    <w:p>
      <w:pPr>
        <w:spacing w:before="80" w:after="80"/>
      </w:pPr>
      <w:r>
        <w:rPr>
          <w:rFonts w:ascii="Arial" w:cs="Arial" w:eastAsia="Arial" w:hAnsi="Arial"/>
          <w:sz w:val="22"/>
          <w:szCs w:val="22"/>
        </w:rPr>
        <w:t xml:space="preserve">The author's contribution was the intuition that something was wrong, the recognition that the correction had already been written across the corpus six times without being named, and the interpretive framework connecting the substrates. The models' contribution was the computation that confirmed the error and identified the correction.</w:t>
      </w:r>
    </w:p>
    <w:p>
      <w:pPr>
        <w:spacing w:before="80" w:after="80"/>
      </w:pPr>
      <w:r>
        <w:rPr>
          <w:rFonts w:ascii="Arial" w:cs="Arial" w:eastAsia="Arial" w:hAnsi="Arial"/>
          <w:sz w:val="22"/>
          <w:szCs w:val="22"/>
        </w:rPr>
        <w:t xml:space="preserve">The original IE-002 formula was forced to complete a sequence before the geometry was ready. The framework found the place where the author stopped being neutral. That is not a failure of the framework. That is the framework working.</w:t>
      </w:r>
    </w:p>
    <w:p>
      <w:pPr>
        <w:spacing w:before="160" w:after="0"/>
      </w:pPr>
      <w:r>
        <w:rPr>
          <w:rFonts w:ascii="Arial" w:cs="Arial" w:eastAsia="Arial" w:hAnsi="Arial"/>
          <w:b/>
          <w:bCs/>
          <w:i/>
          <w:iCs/>
          <w:color w:val="1A3A5C"/>
          <w:sz w:val="22"/>
          <w:szCs w:val="22"/>
        </w:rPr>
        <w:t xml:space="preserve">The return window to alpha x (R/r - 1) is closed. The principle it was trying to express is now named.</w:t>
      </w:r>
    </w:p>
    <w:sectPr>
      <w:footerReference w:type="default" r:id="rId6"/>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88888"/>
        <w:sz w:val="18"/>
        <w:szCs w:val="18"/>
      </w:rPr>
      <w:t xml:space="preserve">Dunn, J.E. (2026) | GCT Paper 50 | Zenodo | Page </w:t>
    </w:r>
    <w:fldSimple w:instr="PAG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60"/>
      <w:outlineLvl w:val="0"/>
    </w:pPr>
    <w:rPr>
      <w:rFonts w:ascii="Arial" w:cs="Arial" w:eastAsia="Arial" w:hAnsi="Arial"/>
      <w:b/>
      <w:bCs/>
      <w:color w:val="1A3A5C"/>
      <w:sz w:val="28"/>
      <w:szCs w:val="28"/>
    </w:rPr>
  </w:style>
  <w:style w:type="paragraph" w:styleId="Heading2">
    <w:name w:val="Heading 2"/>
    <w:basedOn w:val="Normal"/>
    <w:next w:val="Normal"/>
    <w:qFormat/>
    <w:pPr>
      <w:spacing w:before="240" w:after="120"/>
      <w:outlineLvl w:val="1"/>
    </w:pPr>
    <w:rPr>
      <w:rFonts w:ascii="Arial" w:cs="Arial" w:eastAsia="Arial" w:hAnsi="Arial"/>
      <w:b/>
      <w:bCs/>
      <w:color w:val="1A3A5C"/>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2026-03-18T21:06:27.819Z</dcterms:created>
  <dcterms:modified xsi:type="dcterms:W3CDTF">2026-03-18T21:06:27.820Z</dcterms:modified>
</cp:coreProperties>
</file>

<file path=docProps/custom.xml><?xml version="1.0" encoding="utf-8"?>
<Properties xmlns="http://schemas.openxmlformats.org/officeDocument/2006/custom-properties" xmlns:vt="http://schemas.openxmlformats.org/officeDocument/2006/docPropsVTypes"/>
</file>