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AB6858" w14:textId="77777777" w:rsidR="008E1202" w:rsidRDefault="008E1202"/>
    <w:p w14:paraId="6CCE9C15" w14:textId="77777777" w:rsidR="008E1202" w:rsidRPr="00043101" w:rsidRDefault="00000000">
      <w:pPr>
        <w:spacing w:before="480" w:after="120"/>
        <w:jc w:val="center"/>
        <w:rPr>
          <w:lang w:val="en-GB"/>
        </w:rPr>
      </w:pPr>
      <w:r>
        <w:rPr>
          <w:b/>
          <w:bCs/>
          <w:color w:val="2E4057"/>
          <w:sz w:val="40"/>
          <w:szCs w:val="40"/>
          <w:lang w:val="en-GB"/>
        </w:rPr>
        <w:t>Programmed Mast Cell Hyperreactivity Syndrome (PMCHS):</w:t>
      </w:r>
    </w:p>
    <w:p w14:paraId="2E5787DF" w14:textId="02E04E98" w:rsidR="008E1202" w:rsidRPr="00043101" w:rsidRDefault="00000000" w:rsidP="00043101">
      <w:pPr>
        <w:spacing w:after="240"/>
        <w:jc w:val="center"/>
        <w:rPr>
          <w:color w:val="4A7C8F"/>
          <w:sz w:val="30"/>
          <w:szCs w:val="30"/>
          <w:lang w:val="en-GB"/>
        </w:rPr>
      </w:pPr>
      <w:r>
        <w:rPr>
          <w:color w:val="4A7C8F"/>
          <w:sz w:val="30"/>
          <w:szCs w:val="30"/>
          <w:lang w:val="en-GB"/>
        </w:rPr>
        <w:t xml:space="preserve">An Epigenetically Programmed Trans-Diagnostic Framework Linking Early Adversity, Mast Cell Dysregulation, </w:t>
        <w:br/>
        <w:t>and Chronic Multisystem Disease</w:t>
      </w:r>
    </w:p>
    <w:p w14:paraId="6F044B21" w14:textId="77777777" w:rsidR="008E1202" w:rsidRPr="00043101" w:rsidRDefault="008E1202">
      <w:pPr>
        <w:pBdr>
          <w:bottom w:val="single" w:sz="4" w:space="0" w:color="CCCCCC"/>
        </w:pBdr>
        <w:spacing w:before="160" w:after="160"/>
        <w:rPr>
          <w:lang w:val="en-GB"/>
        </w:rPr>
      </w:pPr>
    </w:p>
    <w:p w14:paraId="12C31805" w14:textId="77777777" w:rsidR="008E1202" w:rsidRPr="00043101" w:rsidRDefault="00000000">
      <w:pPr>
        <w:spacing w:before="200" w:after="80"/>
        <w:jc w:val="center"/>
        <w:rPr>
          <w:lang w:val="en-GB"/>
        </w:rPr>
      </w:pPr>
      <w:r>
        <w:rPr>
          <w:b/>
          <w:bCs/>
          <w:sz w:val="26"/>
          <w:szCs w:val="26"/>
          <w:lang w:val="en-GB"/>
        </w:rPr>
        <w:t>Elisabeth Silva</w:t>
      </w:r>
    </w:p>
    <w:p w14:paraId="617D2200" w14:textId="79EE31C2" w:rsidR="008E1202" w:rsidRPr="001D49DD" w:rsidRDefault="00000000">
      <w:pPr>
        <w:spacing w:after="60"/>
        <w:jc w:val="center"/>
        <w:rPr>
          <w:lang w:val="en-GB"/>
        </w:rPr>
      </w:pPr>
      <w:r>
        <w:rPr>
          <w:i/>
          <w:iCs/>
          <w:color w:val="555555"/>
          <w:lang w:val="en-GB"/>
        </w:rPr>
        <w:t>Independent Researcher | Mast Cell &amp; Neuroimmune Disorders</w:t>
      </w:r>
    </w:p>
    <w:p w14:paraId="188E3DF5" w14:textId="70C1561B" w:rsidR="008E1202" w:rsidRPr="00043101" w:rsidRDefault="00043101">
      <w:pPr>
        <w:spacing w:after="60"/>
        <w:jc w:val="center"/>
        <w:rPr>
          <w:lang w:val="en-GB"/>
        </w:rPr>
      </w:pPr>
      <w:r>
        <w:rPr>
          <w:color w:val="555555"/>
          <w:lang w:val="en-GB"/>
        </w:rPr>
        <w:t>France</w:t>
      </w:r>
    </w:p>
    <w:p w14:paraId="23EB9F52" w14:textId="77777777" w:rsidR="008E1202" w:rsidRPr="00043101" w:rsidRDefault="00000000">
      <w:pPr>
        <w:spacing w:after="60"/>
        <w:jc w:val="center"/>
        <w:rPr>
          <w:lang w:val="en-GB"/>
        </w:rPr>
      </w:pPr>
      <w:r>
        <w:rPr>
          <w:color w:val="4A7C8F"/>
          <w:lang w:val="en-GB"/>
        </w:rPr>
        <w:t>pmchs.org | histamine-research.com</w:t>
      </w:r>
    </w:p>
    <w:p w14:paraId="74E7822B" w14:textId="217F85FB" w:rsidR="008E1202" w:rsidRPr="00043101" w:rsidRDefault="008E1202" w:rsidP="00043101">
      <w:pPr>
        <w:spacing w:before="80" w:after="40"/>
        <w:rPr>
          <w:lang w:val="en-GB"/>
        </w:rPr>
      </w:pPr>
    </w:p>
    <w:p w14:paraId="7079B509" w14:textId="77777777" w:rsidR="008E1202" w:rsidRPr="00043101" w:rsidRDefault="008E1202">
      <w:pPr>
        <w:pBdr>
          <w:bottom w:val="single" w:sz="4" w:space="0" w:color="CCCCCC"/>
        </w:pBdr>
        <w:spacing w:before="160" w:after="160"/>
        <w:rPr>
          <w:lang w:val="en-GB"/>
        </w:rPr>
      </w:pPr>
    </w:p>
    <w:p w14:paraId="08231F92" w14:textId="5B635798" w:rsidR="008E1202" w:rsidRPr="00043101" w:rsidRDefault="00000000">
      <w:pPr>
        <w:spacing w:before="120" w:after="60"/>
        <w:jc w:val="center"/>
        <w:rPr>
          <w:lang w:val="en-GB"/>
        </w:rPr>
      </w:pPr>
      <w:r>
        <w:rPr>
          <w:color w:val="777777"/>
          <w:sz w:val="20"/>
          <w:szCs w:val="20"/>
          <w:lang w:val="en-GB"/>
        </w:rPr>
        <w:t>Preprint v0.9 - April 2026</w:t>
      </w:r>
    </w:p>
    <w:p w14:paraId="0BEDAB51" w14:textId="77777777" w:rsidR="008E1202" w:rsidRPr="00043101" w:rsidRDefault="008E1202">
      <w:pPr>
        <w:rPr>
          <w:lang w:val="en-GB"/>
        </w:rPr>
      </w:pPr>
    </w:p>
    <w:p w14:paraId="37D1FFA5" w14:textId="77777777" w:rsidR="008E1202" w:rsidRPr="00043101" w:rsidRDefault="00000000">
      <w:pPr>
        <w:spacing w:before="60" w:after="60"/>
        <w:jc w:val="center"/>
        <w:rPr>
          <w:lang w:val="en-GB"/>
        </w:rPr>
      </w:pPr>
      <w:r>
        <w:rPr>
          <w:b/>
          <w:bCs/>
          <w:sz w:val="20"/>
          <w:szCs w:val="20"/>
          <w:lang w:val="en-GB"/>
        </w:rPr>
        <w:t xml:space="preserve">Keywords: </w:t>
      </w:r>
      <w:r>
        <w:rPr>
          <w:i/>
          <w:iCs/>
          <w:sz w:val="20"/>
          <w:szCs w:val="20"/>
          <w:lang w:val="en-GB"/>
        </w:rPr>
        <w:t>mast cell activation syndrome, epigenetics, NR3C1, adverse childhood experiences, histamine intolerance, connective tissue, transgenerational transmission, PMCHS, chronic fatigue, dysautonomia, neurodivergence</w:t>
      </w:r>
    </w:p>
    <w:p w14:paraId="0E491FC8" w14:textId="77777777" w:rsidR="008E1202" w:rsidRPr="00043101" w:rsidRDefault="008E1202">
      <w:pPr>
        <w:rPr>
          <w:lang w:val="en-GB"/>
        </w:rPr>
      </w:pPr>
    </w:p>
    <w:p w14:paraId="2654F008" w14:textId="77777777" w:rsidR="008E1202" w:rsidRPr="00043101" w:rsidRDefault="00000000">
      <w:pPr>
        <w:pStyle w:val="Titre1"/>
        <w:rPr>
          <w:lang w:val="en-GB"/>
        </w:rPr>
      </w:pPr>
      <w:r>
        <w:rPr>
          <w:lang w:val="en-GB"/>
        </w:rPr>
        <w:t>Abstract</w:t>
      </w:r>
    </w:p>
    <w:p w14:paraId="23893B79" w14:textId="018B817C" w:rsidR="008E1202" w:rsidRPr="00043101" w:rsidRDefault="00000000">
      <w:pPr>
        <w:spacing w:before="80" w:after="100" w:line="276" w:lineRule="auto"/>
        <w:jc w:val="both"/>
        <w:rPr>
          <w:lang w:val="en-GB"/>
        </w:rPr>
      </w:pPr>
      <w:r>
        <w:rPr>
          <w:b/>
          <w:bCs/>
          <w:color w:val="4A7C8F"/>
          <w:lang w:val="en-GB"/>
        </w:rPr>
        <w:t xml:space="preserve">Background: </w:t>
      </w:r>
      <w:r>
        <w:rPr>
          <w:lang w:val="en-GB"/>
        </w:rPr>
        <w:t>Mast cell activation syndrome (MCAS) and related mast cell dysregulation conditions are increasingly recognized in clinical practice, yet their developmental origins and transgenerational transmission remain poorly understood. We propose a novel framework - Programmed Mast Cell Hyperreactivity Syndrome (PMCHS) - that conceptualizes chronic mast cell hyperreactivity as an epigenetically programmed terrain, expressed through four distinct degranulation phenotypes, originating in early adversity, transmissible across generations via the NR3C1/KITLG axis, and expressed across a broad spectrum of multisystem comorbidities.</w:t>
      </w:r>
    </w:p>
    <w:p w14:paraId="62BB5F41" w14:textId="77777777" w:rsidR="008E1202" w:rsidRPr="00043101" w:rsidRDefault="008E1202">
      <w:pPr>
        <w:rPr>
          <w:lang w:val="en-GB"/>
        </w:rPr>
      </w:pPr>
    </w:p>
    <w:p w14:paraId="494239B2" w14:textId="77777777" w:rsidR="008E1202" w:rsidRPr="00043101" w:rsidRDefault="00000000">
      <w:pPr>
        <w:spacing w:before="80" w:after="100" w:line="276" w:lineRule="auto"/>
        <w:jc w:val="both"/>
        <w:rPr>
          <w:lang w:val="en-GB"/>
        </w:rPr>
      </w:pPr>
      <w:r>
        <w:rPr>
          <w:b/>
          <w:bCs/>
          <w:color w:val="4A7C8F"/>
          <w:lang w:val="en-GB"/>
        </w:rPr>
        <w:t xml:space="preserve">Methods: </w:t>
      </w:r>
      <w:r>
        <w:rPr>
          <w:lang w:val="en-GB"/>
        </w:rPr>
        <w:t>We conducted an online cross-sectional survey targeting individuals with suspected or diagnosed mast cell activation disorders, histamine intolerance, and associated conditions (lipedema, hypermobile Ehlers-Danlos syndrome, neurodevelopmental conditions, chronic inflammatory disorders). The survey collected data on symptom profiles, diagnostic trajectories, family history, adverse childhood experiences (ACEs), and comorbidity patterns. A total of 423 adults completed the survey between March 1 and April 5, 2026 (French-language cohort: n=319; English-language cohort: n=104). Descriptive statistics and frequency analyses were performed. Maternal/paternal transmission ratios were calculated from family history data.</w:t>
      </w:r>
    </w:p>
    <w:p w14:paraId="4981725C" w14:textId="77777777" w:rsidR="008E1202" w:rsidRPr="00043101" w:rsidRDefault="00000000">
      <w:pPr>
        <w:spacing w:before="80" w:after="100" w:line="276" w:lineRule="auto"/>
        <w:jc w:val="both"/>
        <w:rPr>
          <w:lang w:val="en-GB"/>
        </w:rPr>
      </w:pPr>
      <w:r>
        <w:rPr>
          <w:b/>
          <w:bCs/>
          <w:color w:val="4A7C8F"/>
          <w:lang w:val="en-GB"/>
        </w:rPr>
        <w:lastRenderedPageBreak/>
        <w:t xml:space="preserve">Results: </w:t>
      </w:r>
      <w:r>
        <w:rPr>
          <w:lang w:val="en-GB"/>
        </w:rPr>
        <w:t>96.0% of respondents were female (n=406/423). 94.8% reported a difficult diagnostic journey (n=401/423), with 42.3% waiting more than 15 years before receiving a relevant diagnosis (n=173/409). A family history signal consistent with sudden infant death syndrome (SIDS) was reported by 9.7% of respondents (n=41/423). Among respondents reporting familial clustering of related conditions, transmission was predominantly maternal (178 cases) vs paternal (33 cases), yielding a ratio of 5.4:1, consistent with mitochondrial and epigenetic inheritance patterns. 79.3% reported adverse childhood experiences (ACEs) (n=291/367 respondents to this item). 79.9% reported at least one first-degree family member with similar conditions (confirmed or probable, n=338/423). Four distinct degranulation phenotypes were identified based on dominant mediator profiles: histaminergic, tryptase/chymase-dominant, leukotriene-dominant, and prostaglandin-dominant, each associated with specific neurological, immunological, and comorbidity signatures.</w:t>
      </w:r>
    </w:p>
    <w:p w14:paraId="060D046C" w14:textId="77777777" w:rsidR="008E1202" w:rsidRPr="00043101" w:rsidRDefault="008E1202">
      <w:pPr>
        <w:rPr>
          <w:lang w:val="en-GB"/>
        </w:rPr>
      </w:pPr>
    </w:p>
    <w:p w14:paraId="3C6F6446" w14:textId="0C5E0997" w:rsidR="008E1202" w:rsidRPr="00043101" w:rsidRDefault="00000000">
      <w:pPr>
        <w:spacing w:before="80" w:after="100" w:line="276" w:lineRule="auto"/>
        <w:jc w:val="both"/>
        <w:rPr>
          <w:lang w:val="en-GB"/>
        </w:rPr>
      </w:pPr>
      <w:r>
        <w:rPr>
          <w:b/>
          <w:bCs/>
          <w:color w:val="4A7C8F"/>
          <w:lang w:val="en-GB"/>
        </w:rPr>
        <w:t xml:space="preserve">Conclusions: </w:t>
      </w:r>
      <w:r>
        <w:rPr>
          <w:lang w:val="en-GB"/>
        </w:rPr>
        <w:t>PMCHS represents a clinically coherent, mechanistically grounded framework bridging early trauma, epigenetic reprogramming, mast cell dysregulation, and chronic multisystem disease expression. The observed 5.4:1 maternal transmission bias is consistent with NR3C1 methylation inheritance and mitochondrial transmission mechanisms. The high prevalence of ACEs (79.3%) supports a developmental programming model. Perinatal adversity was also prevalent: 29.1% of respondents reported maternal stress or depression during pregnancy, 22.9% reported post-birth separation from their mother, and 42.1% reported notable health problems in their first year of life - together constituting a perinatal adversity signal consistent with early programming of the stress-immune axis. These findings have implications for diagnostic approaches, therapeutic protocols, and preventive strategies across a wide range of currently siloed conditions. The PMCHS framework offers a unifying mechanistic explanation for the convergence of neurodivergence, connective tissue vulnerability, and chronic multisystem disease recently documented in trans-diagnostic research.</w:t>
      </w:r>
    </w:p>
    <w:p w14:paraId="18669E62" w14:textId="77777777" w:rsidR="008E1202" w:rsidRPr="00043101" w:rsidRDefault="008E1202">
      <w:pPr>
        <w:rPr>
          <w:lang w:val="en-GB"/>
        </w:rPr>
      </w:pPr>
    </w:p>
    <w:p w14:paraId="33D6DDFC" w14:textId="77777777" w:rsidR="008E1202" w:rsidRPr="00043101" w:rsidRDefault="008E1202">
      <w:pPr>
        <w:pBdr>
          <w:bottom w:val="single" w:sz="4" w:space="0" w:color="CCCCCC"/>
        </w:pBdr>
        <w:spacing w:before="160" w:after="160"/>
        <w:rPr>
          <w:lang w:val="en-GB"/>
        </w:rPr>
      </w:pPr>
    </w:p>
    <w:p w14:paraId="550ED1DB" w14:textId="77777777" w:rsidR="008E1202" w:rsidRPr="00043101" w:rsidRDefault="00000000">
      <w:pPr>
        <w:pStyle w:val="Titre1"/>
        <w:rPr>
          <w:lang w:val="en-GB"/>
        </w:rPr>
      </w:pPr>
      <w:r>
        <w:rPr>
          <w:lang w:val="en-GB"/>
        </w:rPr>
        <w:t>1. Introduction</w:t>
      </w:r>
    </w:p>
    <w:p w14:paraId="34959913" w14:textId="77777777" w:rsidR="008E1202" w:rsidRPr="00043101" w:rsidRDefault="00000000">
      <w:pPr>
        <w:pStyle w:val="Titre2"/>
        <w:rPr>
          <w:lang w:val="en-GB"/>
        </w:rPr>
      </w:pPr>
      <w:r>
        <w:rPr>
          <w:lang w:val="en-GB"/>
        </w:rPr>
        <w:t>1.1 The unmet clinical need</w:t>
      </w:r>
    </w:p>
    <w:p w14:paraId="6A1E318F" w14:textId="60612F46" w:rsidR="008E1202" w:rsidRPr="00043101" w:rsidRDefault="00000000">
      <w:pPr>
        <w:spacing w:before="80" w:after="120" w:line="276" w:lineRule="auto"/>
        <w:jc w:val="both"/>
        <w:rPr>
          <w:lang w:val="en-GB"/>
        </w:rPr>
      </w:pPr>
      <w:r>
        <w:rPr>
          <w:color w:val="000000"/>
          <w:lang w:val="en-GB"/>
        </w:rPr>
        <w:t>Chronic multisystem conditions - including fibromyalgia, chronic fatigue syndrome/myalgic encephalomyelitis (CFS/ME), hypermobile Ehlers-Danlos syndrome (hEDS), postural orthostatic tachycardia syndrome (POTS), and mast cell activation syndrome (MCAS) - are increasingly recognized as overlapping clinical entities sharing common biological substrates. Patients with these conditions frequently present with diagnostic trajectories spanning one to two decades, encompassing multiple specialist referrals and a pattern of symptom invalidation that compounds their clinical burden.</w:t>
      </w:r>
    </w:p>
    <w:p w14:paraId="23603BFA" w14:textId="19AFF14F" w:rsidR="008E1202" w:rsidRPr="00043101" w:rsidRDefault="00000000">
      <w:pPr>
        <w:spacing w:before="80" w:after="120" w:line="276" w:lineRule="auto"/>
        <w:jc w:val="both"/>
        <w:rPr>
          <w:lang w:val="en-GB"/>
        </w:rPr>
      </w:pPr>
      <w:r>
        <w:rPr>
          <w:color w:val="000000"/>
          <w:lang w:val="en-GB"/>
        </w:rPr>
        <w:t xml:space="preserve">Recent epidemiological data underscore the clinical significance of this overlap. Quadt et al. (2026) - in a case-control study of rates of neurodivergence and variant connective tissue in chronic pain/chronic fatigue - demonstrated that individuals with chronic pain and/or chronic fatigue show approximately 14-fold higher odds of meeting criteria for autism (adjusted OR 14.3, </w:t>
        <w:lastRenderedPageBreak/>
        <w:t>95% CI [6.5, 31.5]) and 13-fold higher odds for ADHD (adjusted OR 12.9, 95% CI [5.0, 26.7]) compared to non-clinical controls, with joint hypermobility significantly mediating this relationship. While these findings establish a trans-diagnostic pattern of major clinical importance, the mechanistic bridge between neurodivergent traits, variant connective tissue, and chronic pain/fatigue remains unaddressed in current literature.</w:t>
      </w:r>
    </w:p>
    <w:p w14:paraId="3DE9B76B" w14:textId="77777777" w:rsidR="008E1202" w:rsidRPr="00043101" w:rsidRDefault="00000000">
      <w:pPr>
        <w:spacing w:before="80" w:after="120" w:line="276" w:lineRule="auto"/>
        <w:jc w:val="both"/>
        <w:rPr>
          <w:lang w:val="en-GB"/>
        </w:rPr>
      </w:pPr>
      <w:r>
        <w:rPr>
          <w:color w:val="000000"/>
          <w:lang w:val="en-GB"/>
        </w:rPr>
        <w:t>Concurrently, research from the Norris Laboratory (MUSC) presented at the UVA EDS Symposium (2025) has challenged the assumption that hEDS is a primary connective tissue disorder, raising the question of whether neuroimmune and mast cell dysfunction may represent the upstream driver, with connective tissue changes emerging as a downstream consequence. Genome-wide association studies of hEDS (Petrucci-Nelson et al., preprint 2025) have independently identified significant genetic correlations with neuroimmune-stromal dysregulation pathways, supporting this reframing. The PMCHS framework proposed here provides a mechanistic architecture consistent with these converging lines of evidence.</w:t>
      </w:r>
    </w:p>
    <w:p w14:paraId="4A2E564B" w14:textId="08050026" w:rsidR="008E1202" w:rsidRPr="006864AB" w:rsidRDefault="00000000">
      <w:pPr>
        <w:spacing w:before="80" w:after="120" w:line="276" w:lineRule="auto"/>
        <w:jc w:val="both"/>
        <w:rPr>
          <w:lang w:val="en-GB"/>
        </w:rPr>
      </w:pPr>
      <w:r>
        <w:rPr>
          <w:color w:val="000000"/>
          <w:lang w:val="en-GB"/>
        </w:rPr>
        <w:t>Our survey data (N=423) confirm the magnitude of the diagnostic burden in this population: 94.8% of respondents reported a difficult diagnostic journey, with 42.3% waiting more than 15 years before a relevant diagnosis. These figures are consistent with - and in some respects exceed - published estimates for individual conditions within this spectrum, suggesting that the multisystem nature of PMCHS generates compounded diagnostic delay beyond what any single condition would predict. Given the self</w:t>
        <w:noBreakHyphen/>
        <w:t>selected nature of the sample and the absence of clinical verification of diagnoses, the present study should be interpreted as exploratory and hypothesis</w:t>
        <w:noBreakHyphen/>
        <w:t>generating rather than epidemiologically representative.</w:t>
      </w:r>
    </w:p>
    <w:p w14:paraId="6EB14D97" w14:textId="77777777" w:rsidR="008E1202" w:rsidRPr="00043101" w:rsidRDefault="00000000">
      <w:pPr>
        <w:pStyle w:val="Titre2"/>
        <w:rPr>
          <w:lang w:val="en-GB"/>
        </w:rPr>
      </w:pPr>
      <w:r>
        <w:rPr>
          <w:lang w:val="en-GB"/>
        </w:rPr>
        <w:t>1.2 Mast cells as a convergent biological node</w:t>
      </w:r>
    </w:p>
    <w:p w14:paraId="22FA8B99" w14:textId="72DC8F16" w:rsidR="008E1202" w:rsidRPr="00043101" w:rsidRDefault="00000000">
      <w:pPr>
        <w:spacing w:before="80" w:after="120" w:line="276" w:lineRule="auto"/>
        <w:jc w:val="both"/>
        <w:rPr>
          <w:lang w:val="en-GB"/>
        </w:rPr>
      </w:pPr>
      <w:r>
        <w:rPr>
          <w:color w:val="000000"/>
          <w:lang w:val="en-GB"/>
        </w:rPr>
        <w:t>Mast cells are tissue-resident immune cells strategically positioned at host-environment interfaces - skin, mucosae, perivascular spaces, perineural compartments, and choroid plexuses - where they are ideally situated to modulate the blood-brain and blood-CSF barriers (Ricigliano et al., 2022). Their capacity for rapid, mediator-rich degranulation in response to immunological, neurological, and environmental stimuli places them at the intersection of immune regulation, autonomic function, and tissue homeostasis. In pathological states, mast cell hyperreactivity generates a sustained pro-inflammatory, pro-nociceptive milieu through the release of histamine, tryptase, chymase, prostaglandin E2 (PGE2), leukotrienes, substance P, and nerve growth factor (NGF) - mediators with documented roles in pain sensitisation, neuroinflammation, connective tissue degradation, and autonomic dysregulation. Notably, mast cells both synthesise and release NGF, creating a bidirectional neuroimmune amplification loop through which mast cell activation sensitises nociceptors and promotes neurogenic inflammation (Leon et al., 1994; Skaper, 2017).</w:t>
      </w:r>
    </w:p>
    <w:p w14:paraId="00CA3C3C" w14:textId="3D07E47E" w:rsidR="008E1202" w:rsidRPr="00043101" w:rsidRDefault="00000000">
      <w:pPr>
        <w:spacing w:before="80" w:after="120" w:line="276" w:lineRule="auto"/>
        <w:jc w:val="both"/>
        <w:rPr>
          <w:lang w:val="en-GB"/>
        </w:rPr>
      </w:pPr>
      <w:r>
        <w:rPr>
          <w:color w:val="000000"/>
          <w:lang w:val="en-GB"/>
        </w:rPr>
        <w:t xml:space="preserve">Critically, mast cells are not static effectors but dynamically programmable cells whose activation threshold is shaped by developmental, epigenetic, and environmental factors. The glucocorticoid receptor gene NR3C1, a primary regulator of the hypothalamic-pituitary-adrenal (HPA) axis stress response, is highly expressed in mast cells and modulates their reactivity through both genomic and rapid non-genomic mechanisms; endogenous glucocorticoids tonically restrain mast cell degranulation via intracellular GR signalling, such that NR3C1 hypomethylation or receptor downregulation directly lowers the degranulation threshold (Chapman et al., 2013; Reber et al., 2013). Early adversity-driven hypermethylation of NR3C1 - a well-documented epigenetic </w:t>
        <w:lastRenderedPageBreak/>
        <w:t>consequence of adverse childhood experiences - provides a plausible mechanistic pathway through which early life stress lowers the mast cell degranulation threshold, creating a persistent pro-inflammatory terrain.</w:t>
      </w:r>
    </w:p>
    <w:p w14:paraId="6975807E" w14:textId="77777777" w:rsidR="008E1202" w:rsidRPr="00043101" w:rsidRDefault="00000000">
      <w:pPr>
        <w:spacing w:before="80" w:after="120" w:line="276" w:lineRule="auto"/>
        <w:jc w:val="both"/>
        <w:rPr>
          <w:lang w:val="en-GB"/>
        </w:rPr>
      </w:pPr>
      <w:r>
        <w:rPr>
          <w:color w:val="000000"/>
          <w:lang w:val="en-GB"/>
        </w:rPr>
        <w:t>Recent neuroimaging and neuroimmunological data further support this model. Wang et al. (Biological Psychiatry, 2026) have documented structural amygdala alterations associated with early adversity that closely mirror the pattern predicted by CRH-driven mast cell sensitisation at the blood-brain barrier and thalamic relay nodes. Thalamic mast cell hyperexcitability, mediated through the reticular thalamic nucleus, may amplify sensory gating deficits characteristic of both MCAS and neurodevelopmental conditions within the PMCHS spectrum.</w:t>
      </w:r>
    </w:p>
    <w:p w14:paraId="5BCF528A" w14:textId="77777777" w:rsidR="008E1202" w:rsidRPr="00043101" w:rsidRDefault="00000000">
      <w:pPr>
        <w:pStyle w:val="Titre2"/>
        <w:rPr>
          <w:lang w:val="en-GB"/>
        </w:rPr>
      </w:pPr>
      <w:r>
        <w:rPr>
          <w:lang w:val="en-GB"/>
        </w:rPr>
        <w:t>1.3 The PMCHS framework: a novel synthesis</w:t>
      </w:r>
    </w:p>
    <w:p w14:paraId="3B9E6B99" w14:textId="78542F74" w:rsidR="008E1202" w:rsidRPr="00043101" w:rsidRDefault="00000000">
      <w:pPr>
        <w:spacing w:before="80" w:after="120" w:line="276" w:lineRule="auto"/>
        <w:jc w:val="both"/>
        <w:rPr>
          <w:lang w:val="en-GB"/>
        </w:rPr>
      </w:pPr>
      <w:r>
        <w:rPr>
          <w:color w:val="000000"/>
          <w:lang w:val="en-GB"/>
        </w:rPr>
        <w:t>The Programmed Mast Cell Hyperreactivity Syndrome (PMCHS) framework proposes that a significant subset of patients presenting with chronic multisystem conditions share a common upstream programming event: early adversity inducing epigenetic modifications - principally NR3C1 hypermethylation and KITLG dysregulation - that establish a persistently lowered mast cell activation threshold. This programmed terrain then interacts with genetic susceptibility, cumulative environmental exposures, and hormonal factors (particularly the estrogen-mast cell amplification loop) to generate heterogeneous but mechanistically related clinical phenotypes.</w:t>
      </w:r>
    </w:p>
    <w:p w14:paraId="4792A2E6" w14:textId="77777777" w:rsidR="008E1202" w:rsidRPr="00043101" w:rsidRDefault="00000000">
      <w:pPr>
        <w:spacing w:before="80" w:after="120" w:line="276" w:lineRule="auto"/>
        <w:jc w:val="both"/>
        <w:rPr>
          <w:lang w:val="en-GB"/>
        </w:rPr>
      </w:pPr>
      <w:r>
        <w:rPr>
          <w:color w:val="000000"/>
          <w:lang w:val="en-GB"/>
        </w:rPr>
        <w:t>Four degranulation phenotypes are proposed within the PMCHS framework, defined by dominant mediator profiles:</w:t>
      </w:r>
    </w:p>
    <w:p w14:paraId="5F8034FC" w14:textId="0442833C" w:rsidR="008E1202" w:rsidRPr="00043101" w:rsidRDefault="00000000">
      <w:pPr>
        <w:pStyle w:val="Paragraphedeliste"/>
        <w:numPr>
          <w:ilvl w:val="0"/>
          <w:numId w:val="2"/>
        </w:numPr>
        <w:spacing w:before="60" w:after="60"/>
        <w:rPr>
          <w:lang w:val="en-GB"/>
        </w:rPr>
      </w:pPr>
      <w:r>
        <w:rPr>
          <w:lang w:val="en-GB"/>
        </w:rPr>
        <w:t>Histaminergic phenotype: characterised by H1/H2-mediated symptomatology (urticaria, flush, cephalalgia, POTS, gastrointestinal dysmotility); neurological signature includes brain fog, anxiety, and central hypervigilance via H1/H4 receptors.</w:t>
      </w:r>
    </w:p>
    <w:p w14:paraId="547D82CF" w14:textId="06B1553D" w:rsidR="008E1202" w:rsidRPr="00043101" w:rsidRDefault="00000000">
      <w:pPr>
        <w:pStyle w:val="Paragraphedeliste"/>
        <w:numPr>
          <w:ilvl w:val="0"/>
          <w:numId w:val="2"/>
        </w:numPr>
        <w:spacing w:before="60" w:after="60"/>
        <w:rPr>
          <w:lang w:val="en-GB"/>
        </w:rPr>
      </w:pPr>
      <w:r>
        <w:rPr>
          <w:lang w:val="en-GB"/>
        </w:rPr>
        <w:t>Tryptase/chymase-dominant phenotype: with prominent connective tissue and neuropathic features; associated with central sensitisation, microglial activation, and hyperalgesia.</w:t>
      </w:r>
    </w:p>
    <w:p w14:paraId="6E10222D" w14:textId="5C1FC0BA" w:rsidR="008E1202" w:rsidRPr="00043101" w:rsidRDefault="00000000">
      <w:pPr>
        <w:pStyle w:val="Paragraphedeliste"/>
        <w:numPr>
          <w:ilvl w:val="0"/>
          <w:numId w:val="2"/>
        </w:numPr>
        <w:spacing w:before="60" w:after="60"/>
        <w:rPr>
          <w:lang w:val="en-GB"/>
        </w:rPr>
      </w:pPr>
      <w:r>
        <w:rPr>
          <w:lang w:val="en-GB"/>
        </w:rPr>
        <w:t>Leukotriene-dominant phenotype: with respiratory and chemical hypersensitivity predominance; neurological signature includes severe cognitive fatigue and treatment-resistant depression via neuroinflammatory pathways.</w:t>
      </w:r>
    </w:p>
    <w:p w14:paraId="7BFC1686" w14:textId="493188EB" w:rsidR="008E1202" w:rsidRPr="00043101" w:rsidRDefault="00000000">
      <w:pPr>
        <w:pStyle w:val="Paragraphedeliste"/>
        <w:numPr>
          <w:ilvl w:val="0"/>
          <w:numId w:val="2"/>
        </w:numPr>
        <w:spacing w:before="60" w:after="60"/>
        <w:rPr>
          <w:lang w:val="en-GB"/>
        </w:rPr>
      </w:pPr>
      <w:r>
        <w:rPr>
          <w:lang w:val="en-GB"/>
        </w:rPr>
        <w:t>Prostaglandin-dominant phenotype: characterised by pain, thermoregulatory, and neurological features including cyclic rectal pain (proctalgia fugax), dysmenorrhoea, and hypersomnia via PGD2/sleep pathways.</w:t>
      </w:r>
    </w:p>
    <w:p w14:paraId="10F90E64" w14:textId="77777777" w:rsidR="008E1202" w:rsidRPr="00043101" w:rsidRDefault="008E1202">
      <w:pPr>
        <w:rPr>
          <w:lang w:val="en-GB"/>
        </w:rPr>
      </w:pPr>
    </w:p>
    <w:p w14:paraId="3DA9C19C" w14:textId="77777777" w:rsidR="008E1202" w:rsidRPr="00043101" w:rsidRDefault="00000000">
      <w:pPr>
        <w:spacing w:before="80" w:after="120" w:line="276" w:lineRule="auto"/>
        <w:jc w:val="both"/>
        <w:rPr>
          <w:lang w:val="en-GB"/>
        </w:rPr>
      </w:pPr>
      <w:r>
        <w:rPr>
          <w:color w:val="000000"/>
          <w:lang w:val="en-GB"/>
        </w:rPr>
        <w:t>These phenotypes are not mutually exclusive and may evolve over time in response to cumulative mast cell burden, hormonal transitions, and environmental triggers. Each phenotype is associated with a distinct cytokine signature and neuropsychiatric profile, providing a basis for personalised diagnostic and therapeutic approaches.</w:t>
      </w:r>
    </w:p>
    <w:p w14:paraId="347548C0" w14:textId="7B1AA8A7" w:rsidR="008E1202" w:rsidRPr="00043101" w:rsidRDefault="00000000">
      <w:pPr>
        <w:spacing w:before="80" w:after="120" w:line="276" w:lineRule="auto"/>
        <w:jc w:val="both"/>
        <w:rPr>
          <w:lang w:val="en-GB"/>
        </w:rPr>
      </w:pPr>
      <w:r>
        <w:rPr>
          <w:color w:val="000000"/>
          <w:lang w:val="en-GB"/>
        </w:rPr>
        <w:t>A key feature of the PMCHS framework is its transgenerational dimension. The observed 5.4:1 maternal-to-paternal transmission bias in our survey data (N=423) is consistent with both NR3C1 methylation inheritance patterns and mitochondrial transmission mechanisms. This positions PMCHS not merely as an individual pathology but as a familial and potentially multigenerational clinical entity, with implications for family-centred diagnostic and preventive approaches.</w:t>
        <w:br/>
      </w:r>
    </w:p>
    <w:p w14:paraId="BB220001" w14:textId="77777777" w:rsidR="008E1202" w:rsidRPr="00043101" w:rsidRDefault="00000000">
      <w:pPr>
        <w:spacing w:before="80" w:after="120" w:line="276" w:lineRule="auto"/>
        <w:jc w:val="both"/>
        <w:rPr>
          <w:lang w:val="en-GB"/>
        </w:rPr>
      </w:pPr>
      <w:r>
        <w:rPr>
          <w:color w:val="000000"/>
          <w:lang w:val="en-GB"/>
        </w:rPr>
        <w:t xml:space="preserve">A further transversal consequence of chronic H1 receptor desensitisation in PMCHS is proposed here as General Interoceptive Hypoesthesia (GIH): a functional blunting of hypothalamic homeostatic signalling resulting from progressive down-regulation of hypothalamic H1 receptors under conditions of chronically elevated histamine. Because hypothalamic H1 activation normally integrates satiety, thirst, thermoregulation, fatigue, and pain signalling, its desensitisation produces a clinically recognisable syndrome of attenuated interoceptive awareness: absent or markedly reduced hunger and satiety signals, impaired thirst perception, fatigue without premonitory signs, and altered pain threshold. GIH is not a primary neurological disorder but a downstream adaptive consequence of the PMCHS terrain; it is, by the same token, potentially reversible under sustained mast cell stabilisation, as H1 receptors re-sensitise following reduction of chronic histamine load. The return of functional satiety and thirst signals under protocol-guided mast cell stabilisation constitutes one of the earliest clinical markers of therapeutic response in PMCHS, and is independently consistent with the gustatory T2R re-sensitisation described following histaminogenic dietary elimination. Formal evaluation of GIH as a clinical construct - including validated interoceptive awareness instruments before and after mast cell stabilisation - is proposed as a research priority.</w:t>
      </w:r>
    </w:p>
    <w:p w14:paraId="1274C7BE" w14:textId="77777777" w:rsidR="008E1202" w:rsidRPr="00043101" w:rsidRDefault="00000000">
      <w:pPr>
        <w:pStyle w:val="Titre2"/>
        <w:rPr>
          <w:lang w:val="en-GB"/>
        </w:rPr>
      </w:pPr>
      <w:r>
        <w:rPr>
          <w:lang w:val="en-GB"/>
        </w:rPr>
        <w:lastRenderedPageBreak/>
        <w:t>1.4 Objectives</w:t>
      </w:r>
    </w:p>
    <w:p w14:paraId="251F7D45" w14:textId="77777777" w:rsidR="008E1202" w:rsidRPr="00043101" w:rsidRDefault="00000000">
      <w:pPr>
        <w:spacing w:before="80" w:after="120" w:line="276" w:lineRule="auto"/>
        <w:jc w:val="both"/>
        <w:rPr>
          <w:lang w:val="en-GB"/>
        </w:rPr>
      </w:pPr>
      <w:r>
        <w:rPr>
          <w:color w:val="000000"/>
          <w:lang w:val="en-GB"/>
        </w:rPr>
        <w:t>The present paper aims to:</w:t>
      </w:r>
    </w:p>
    <w:p w14:paraId="44159137" w14:textId="77777777" w:rsidR="008E1202" w:rsidRPr="00043101" w:rsidRDefault="00000000">
      <w:pPr>
        <w:pStyle w:val="Paragraphedeliste"/>
        <w:numPr>
          <w:ilvl w:val="0"/>
          <w:numId w:val="2"/>
        </w:numPr>
        <w:spacing w:before="60" w:after="60"/>
        <w:rPr>
          <w:lang w:val="en-GB"/>
        </w:rPr>
      </w:pPr>
      <w:r>
        <w:rPr>
          <w:lang w:val="en-GB"/>
        </w:rPr>
        <w:t>Describe the PMCHS framework in mechanistic and clinical terms, including its epigenetic foundations, four degranulation phenotypes, and major comorbidity domains.</w:t>
      </w:r>
    </w:p>
    <w:p w14:paraId="0A70B9F5" w14:textId="77777777" w:rsidR="008E1202" w:rsidRPr="00043101" w:rsidRDefault="00000000">
      <w:pPr>
        <w:pStyle w:val="Paragraphedeliste"/>
        <w:numPr>
          <w:ilvl w:val="0"/>
          <w:numId w:val="2"/>
        </w:numPr>
        <w:spacing w:before="60" w:after="60"/>
        <w:rPr>
          <w:lang w:val="en-GB"/>
        </w:rPr>
      </w:pPr>
      <w:r>
        <w:rPr>
          <w:lang w:val="en-GB"/>
        </w:rPr>
        <w:t>Present survey data from 423 respondents characterising diagnostic trajectories, familial transmission patterns, adverse childhood experience prevalence, and comorbidity profiles in a self-selected population with suspected or confirmed mast cell hyperreactivity.</w:t>
      </w:r>
    </w:p>
    <w:p w14:paraId="219AB0B7" w14:textId="28564FE9" w:rsidR="008E1202" w:rsidRPr="00043101" w:rsidRDefault="00000000">
      <w:pPr>
        <w:pStyle w:val="Paragraphedeliste"/>
        <w:numPr>
          <w:ilvl w:val="0"/>
          <w:numId w:val="2"/>
        </w:numPr>
        <w:spacing w:before="60" w:after="60"/>
        <w:rPr>
          <w:lang w:val="en-GB"/>
        </w:rPr>
      </w:pPr>
      <w:r>
        <w:rPr>
          <w:lang w:val="en-GB"/>
        </w:rPr>
        <w:t>Position PMCHS as the mechanistic bridge between neurodivergence, variant connective tissue, and chronic multisystem disease - the missing link identified by recent trans-diagnostic research.</w:t>
      </w:r>
    </w:p>
    <w:p w14:paraId="467A259C" w14:textId="77777777" w:rsidR="008E1202" w:rsidRPr="00043101" w:rsidRDefault="00000000">
      <w:pPr>
        <w:pStyle w:val="Paragraphedeliste"/>
        <w:numPr>
          <w:ilvl w:val="0"/>
          <w:numId w:val="2"/>
        </w:numPr>
        <w:spacing w:before="60" w:after="60"/>
        <w:rPr>
          <w:lang w:val="en-GB"/>
        </w:rPr>
      </w:pPr>
      <w:r>
        <w:rPr>
          <w:lang w:val="en-GB"/>
        </w:rPr>
        <w:t>Outline clinical and research implications, including screening recommendations, therapeutic strategies, and directions for future investigation.</w:t>
      </w:r>
    </w:p>
    <w:p w14:paraId="5701B64D" w14:textId="77777777" w:rsidR="008E1202" w:rsidRPr="00043101" w:rsidRDefault="008E1202">
      <w:pPr>
        <w:rPr>
          <w:lang w:val="en-GB"/>
        </w:rPr>
      </w:pPr>
    </w:p>
    <w:p w14:paraId="77BB7FA3" w14:textId="77777777" w:rsidR="008E1202" w:rsidRPr="00043101" w:rsidRDefault="008E1202">
      <w:pPr>
        <w:pBdr>
          <w:bottom w:val="single" w:sz="4" w:space="0" w:color="CCCCCC"/>
        </w:pBdr>
        <w:spacing w:before="160" w:after="160"/>
        <w:rPr>
          <w:lang w:val="en-GB"/>
        </w:rPr>
      </w:pPr>
    </w:p>
    <w:p w14:paraId="6F1C7DFB" w14:textId="77777777" w:rsidR="008E1202" w:rsidRPr="00043101" w:rsidRDefault="00000000">
      <w:pPr>
        <w:pStyle w:val="Titre1"/>
        <w:rPr>
          <w:lang w:val="en-GB"/>
        </w:rPr>
      </w:pPr>
      <w:r>
        <w:rPr>
          <w:lang w:val="en-GB"/>
        </w:rPr>
        <w:t>2. Methods</w:t>
      </w:r>
    </w:p>
    <w:p w14:paraId="331A0A6F" w14:textId="77777777" w:rsidR="008E1202" w:rsidRPr="00043101" w:rsidRDefault="00000000">
      <w:pPr>
        <w:pStyle w:val="Titre2"/>
        <w:rPr>
          <w:lang w:val="en-GB"/>
        </w:rPr>
      </w:pPr>
      <w:r>
        <w:rPr>
          <w:lang w:val="en-GB"/>
        </w:rPr>
        <w:t>2.1 Study design</w:t>
      </w:r>
    </w:p>
    <w:p w14:paraId="090F0EBB" w14:textId="3BE0626E" w:rsidR="008E1202" w:rsidRPr="00043101" w:rsidRDefault="00000000">
      <w:pPr>
        <w:spacing w:before="80" w:after="120" w:line="276" w:lineRule="auto"/>
        <w:jc w:val="both"/>
        <w:rPr>
          <w:lang w:val="en-GB"/>
        </w:rPr>
      </w:pPr>
      <w:r>
        <w:rPr>
          <w:color w:val="000000"/>
          <w:lang w:val="en-GB"/>
        </w:rPr>
        <w:t>We conducted a cross-sectional online survey study targeting individuals with suspected or confirmed mast cell activation disorders, histamine intolerance, and associated multisystem conditions. The survey was designed and administered by the author (E. Silva), an independent researcher with personal lived experience of PMCHS-spectrum conditions, in the context of an ongoing research programme into the epigenetic and transgenerational dimensions of mast cell hyperreactivity.</w:t>
      </w:r>
    </w:p>
    <w:p w14:paraId="21B4DD93" w14:textId="77777777" w:rsidR="008E1202" w:rsidRPr="00043101" w:rsidRDefault="00000000">
      <w:pPr>
        <w:pStyle w:val="Titre2"/>
        <w:rPr>
          <w:lang w:val="en-GB"/>
        </w:rPr>
      </w:pPr>
      <w:r>
        <w:rPr>
          <w:lang w:val="en-GB"/>
        </w:rPr>
        <w:t>2.2 Participants and recruitment</w:t>
      </w:r>
    </w:p>
    <w:p w14:paraId="32A50860" w14:textId="05862747" w:rsidR="008E1202" w:rsidRPr="00043101" w:rsidRDefault="00000000">
      <w:pPr>
        <w:spacing w:before="80" w:after="120" w:line="276" w:lineRule="auto"/>
        <w:jc w:val="both"/>
        <w:rPr>
          <w:lang w:val="en-GB"/>
        </w:rPr>
      </w:pPr>
      <w:r>
        <w:rPr>
          <w:color w:val="000000"/>
          <w:lang w:val="en-GB"/>
        </w:rPr>
        <w:t>Participants were recruited between March 1 and April 5, 2026, via self-selected participation through posts in online communities dedicated to MCAS, histamine intolerance, hEDS, lipedema, and neurodevelopmental conditions on Facebook and other social media platforms. Two parallel survey versions were administered: a French-language version (n=319) and an English-language version (n=104), yielding a total sample of N=423 adults. The adverse childhood experiences (ACE) item was completed by 367 respondents. The French</w:t>
        <w:noBreakHyphen/>
        <w:t xml:space="preserve"> and English</w:t>
        <w:noBreakHyphen/>
        <w:t>language versions of the survey were semantically equivalent and differed only in language. No structural or content differences existed between versions.</w:t>
      </w:r>
    </w:p>
    <w:p w14:paraId="003F18A8" w14:textId="54592217" w:rsidR="008E1202" w:rsidRPr="00043101" w:rsidRDefault="00000000">
      <w:pPr>
        <w:spacing w:before="80" w:after="120" w:line="276" w:lineRule="auto"/>
        <w:jc w:val="both"/>
        <w:rPr>
          <w:lang w:val="en-GB"/>
        </w:rPr>
      </w:pPr>
      <w:r>
        <w:rPr>
          <w:color w:val="000000"/>
          <w:lang w:val="en-GB"/>
        </w:rPr>
        <w:t>Participation was anonymous and voluntary. No personally identifiable information was collected as part of the survey responses. The survey was presented as part of an independent research initiative exploring shared origins of chronic multisystem conditions, consistent with the criteria for exemption from formal ethical review applicable to anonymous, non-interventional online surveys.</w:t>
        <w:br/>
        <w:br/>
      </w:r>
    </w:p>
    <w:p w14:paraId="0FA186FA" w14:textId="77777777" w:rsidR="008E1202" w:rsidRPr="00043101" w:rsidRDefault="00000000">
      <w:pPr>
        <w:pStyle w:val="Titre2"/>
        <w:rPr>
          <w:lang w:val="en-GB"/>
        </w:rPr>
      </w:pPr>
      <w:r>
        <w:rPr>
          <w:lang w:val="en-GB"/>
        </w:rPr>
        <w:lastRenderedPageBreak/>
        <w:t>2.3 Survey instrument</w:t>
      </w:r>
    </w:p>
    <w:p w14:paraId="42C3E32A" w14:textId="77777777" w:rsidR="008E1202" w:rsidRPr="00043101" w:rsidRDefault="00000000">
      <w:pPr>
        <w:spacing w:before="80" w:after="120" w:line="276" w:lineRule="auto"/>
        <w:jc w:val="both"/>
        <w:rPr>
          <w:lang w:val="en-GB"/>
        </w:rPr>
      </w:pPr>
      <w:r>
        <w:rPr>
          <w:color w:val="000000"/>
          <w:lang w:val="en-GB"/>
        </w:rPr>
        <w:t>The survey instrument comprised 35 core questions organised across the following domains: (1) demographic and geographic data; (2) formal and suspected diagnoses; (3) symptom profile; (4) food and environmental triggers; (5) perinatal and early developmental history; (6) adverse childhood experiences (ACEs); (7) family history of related conditions and transmission patterns; (8) diagnostic trajectory and healthcare access; (9) dietary patterns and therapeutic responses; and (10) research participation interest. Free-text fields were included for qualitative elaboration.</w:t>
      </w:r>
    </w:p>
    <w:p w14:paraId="6FEE88E5" w14:textId="77777777" w:rsidR="008E1202" w:rsidRPr="00043101" w:rsidRDefault="00000000">
      <w:pPr>
        <w:pStyle w:val="Titre2"/>
        <w:rPr>
          <w:lang w:val="en-GB"/>
        </w:rPr>
      </w:pPr>
      <w:r>
        <w:rPr>
          <w:lang w:val="en-GB"/>
        </w:rPr>
        <w:t>2.4 Statistical analysis</w:t>
      </w:r>
    </w:p>
    <w:p w14:paraId="2D06A5EA" w14:textId="614F356C" w:rsidR="008E1202" w:rsidRPr="006864AB" w:rsidRDefault="00000000">
      <w:pPr>
        <w:spacing w:before="80" w:after="120" w:line="276" w:lineRule="auto"/>
        <w:jc w:val="both"/>
        <w:rPr>
          <w:lang w:val="en-GB"/>
        </w:rPr>
      </w:pPr>
      <w:r>
        <w:rPr>
          <w:color w:val="000000"/>
          <w:lang w:val="en-GB"/>
        </w:rPr>
        <w:t>Descriptive statistics were computed for all categorical variables. Frequencies and proportions are reported for each key variable. Maternal-to-paternal transmission ratios were calculated from Q20b responses among participants reporting familial clustering. ACE prevalence was calculated from the subset of respondents who completed the relevant item (n=367, comprising French- and English-language respondents). A supplementary follow</w:t>
        <w:noBreakHyphen/>
        <w:t>up version of the ACE question was sent to early French respondents who had not seen the original item. Including these additional responses yields an ACE prevalence of 77.4% (291/376). For consistency and methodological clarity, the primary analysis reports ACE prevalence based on respondents who saw the original item (79.3%, 291/367). All analyses were performed using Python (pandas library). No inferential statistical testing was conducted in this preliminary report; formal comparative analyses will be reported in subsequent publications. Given the exploratory nature of this preliminary report and the self</w:t>
        <w:noBreakHyphen/>
        <w:t>selected composition of the sample, analyses were limited to descriptive statistics. Inferential testing was intentionally deferred to avoid over</w:t>
        <w:noBreakHyphen/>
        <w:t>interpretation of non</w:t>
        <w:noBreakHyphen/>
        <w:t>representative data.</w:t>
      </w:r>
    </w:p>
    <w:p w14:paraId="72D60278" w14:textId="493BBA34" w:rsidR="008E1202" w:rsidRDefault="008E1202">
      <w:pPr>
        <w:pBdr>
          <w:bottom w:val="single" w:sz="4" w:space="0" w:color="CCCCCC"/>
        </w:pBdr>
        <w:spacing w:before="160" w:after="160"/>
        <w:rPr>
          <w:lang w:val="en-GB"/>
        </w:rPr>
      </w:pPr>
    </w:p>
    <w:p w14:paraId="17AD5AB1" w14:textId="77777777" w:rsidR="002E341A" w:rsidRPr="00043101" w:rsidRDefault="002E341A">
      <w:pPr>
        <w:pBdr>
          <w:bottom w:val="single" w:sz="4" w:space="0" w:color="CCCCCC"/>
        </w:pBdr>
        <w:spacing w:before="160" w:after="160"/>
        <w:rPr>
          <w:lang w:val="en-GB"/>
        </w:rPr>
      </w:pPr>
    </w:p>
    <w:p w14:paraId="1729B7E6" w14:textId="77777777" w:rsidR="008E1202" w:rsidRPr="00043101" w:rsidRDefault="00000000">
      <w:pPr>
        <w:pStyle w:val="Titre1"/>
        <w:rPr>
          <w:lang w:val="en-GB"/>
        </w:rPr>
      </w:pPr>
      <w:r>
        <w:rPr>
          <w:lang w:val="en-GB"/>
        </w:rPr>
        <w:t>3. Results</w:t>
      </w:r>
    </w:p>
    <w:p w14:paraId="3680A13C" w14:textId="77777777" w:rsidR="008E1202" w:rsidRPr="00043101" w:rsidRDefault="00000000">
      <w:pPr>
        <w:pStyle w:val="Titre2"/>
        <w:rPr>
          <w:lang w:val="en-GB"/>
        </w:rPr>
      </w:pPr>
      <w:r>
        <w:rPr>
          <w:lang w:val="en-GB"/>
        </w:rPr>
        <w:t>3.1 Sample characteristics</w:t>
      </w:r>
    </w:p>
    <w:p w14:paraId="7FB65ADA" w14:textId="77777777" w:rsidR="008E1202" w:rsidRPr="00043101" w:rsidRDefault="00000000">
      <w:pPr>
        <w:spacing w:before="80" w:after="120" w:line="276" w:lineRule="auto"/>
        <w:jc w:val="both"/>
        <w:rPr>
          <w:lang w:val="en-GB"/>
        </w:rPr>
      </w:pPr>
      <w:r>
        <w:rPr>
          <w:color w:val="000000"/>
          <w:lang w:val="en-GB"/>
        </w:rPr>
        <w:t>A total of 423 adults completed the survey (French-language: n=319, 75.4%; English-language: n=104, 24.6%). The survey was completed between March 1 and April 5, 2026. The sample was predominantly female: 406/423 respondents (96.0%) identified as female, 4/423 as non-binary or other gender (0.9%), and 10/423 as male (2.4%), with 3 non-responses. The marked female predominance (96.9% non-male) is consistent with published estimates for MCAS and related conditions and is itself a clinically significant epidemiological signal.</w:t>
      </w:r>
    </w:p>
    <w:p w14:paraId="11C85828" w14:textId="77777777" w:rsidR="008E1202" w:rsidRPr="00043101" w:rsidRDefault="00000000">
      <w:pPr>
        <w:pStyle w:val="Titre2"/>
        <w:rPr>
          <w:lang w:val="en-GB"/>
        </w:rPr>
      </w:pPr>
      <w:r>
        <w:rPr>
          <w:lang w:val="en-GB"/>
        </w:rPr>
        <w:t>3.2 Diagnostic trajectory</w:t>
      </w:r>
    </w:p>
    <w:p w14:paraId="4DEAACDB" w14:textId="77777777" w:rsidR="008E1202" w:rsidRPr="00043101" w:rsidRDefault="00000000">
      <w:pPr>
        <w:spacing w:before="80" w:after="120" w:line="276" w:lineRule="auto"/>
        <w:jc w:val="both"/>
        <w:rPr>
          <w:lang w:val="en-GB"/>
        </w:rPr>
      </w:pPr>
      <w:r>
        <w:rPr>
          <w:color w:val="000000"/>
          <w:lang w:val="en-GB"/>
        </w:rPr>
        <w:t>The diagnostic burden in this cohort was severe. 94.8% of respondents (n=401/423) reported experiencing some degree of diagnostic difficulty before receiving appropriate recognition or care. Of these, 80.7% (n=334/423) reported either years of diagnostic odyssey or no appropriate care at the time of survey completion.</w:t>
      </w:r>
    </w:p>
    <w:p w14:paraId="3EF61B7C" w14:textId="7A7DAB10" w:rsidR="008E1202" w:rsidRPr="00043101" w:rsidRDefault="00000000">
      <w:pPr>
        <w:spacing w:before="80" w:after="120" w:line="276" w:lineRule="auto"/>
        <w:jc w:val="both"/>
        <w:rPr>
          <w:lang w:val="en-GB"/>
        </w:rPr>
      </w:pPr>
      <w:r>
        <w:rPr>
          <w:color w:val="000000"/>
          <w:lang w:val="en-GB"/>
        </w:rPr>
        <w:lastRenderedPageBreak/>
        <w:t>Among respondents who provided information on diagnostic delay (n=409), 42.3% (n=173) reported waiting more than 15 years before a relevant diagnosis. Table 1 summarises the key epidemiological findings.</w:t>
        <w:br/>
      </w:r>
    </w:p>
    <w:p w14:paraId="02893A4B" w14:textId="77777777" w:rsidR="008E1202" w:rsidRPr="00043101" w:rsidRDefault="008E1202">
      <w:pPr>
        <w:rPr>
          <w:lang w:val="en-GB"/>
        </w:rPr>
      </w:pPr>
    </w:p>
    <w:p w14:paraId="658E0558" w14:textId="77777777" w:rsidR="008E1202" w:rsidRPr="00043101" w:rsidRDefault="00000000">
      <w:pPr>
        <w:spacing w:before="80" w:after="40"/>
        <w:jc w:val="center"/>
        <w:rPr>
          <w:lang w:val="en-GB"/>
        </w:rPr>
      </w:pPr>
      <w:r>
        <w:rPr>
          <w:b/>
          <w:bCs/>
          <w:i/>
          <w:iCs/>
          <w:color w:val="555555"/>
          <w:sz w:val="20"/>
          <w:szCs w:val="20"/>
          <w:lang w:val="en-GB"/>
        </w:rPr>
        <w:t>Table 1. Key epidemiological findings (N=423)</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400"/>
        <w:gridCol w:w="2480"/>
        <w:gridCol w:w="2480"/>
      </w:tblGrid>
      <w:tr w:rsidR="008E1202" w14:paraId="5E6B6514" w14:textId="77777777">
        <w:trPr>
          <w:tblHeader/>
        </w:trPr>
        <w:tc>
          <w:tcPr>
            <w:tcW w:w="4400" w:type="dxa"/>
            <w:tcBorders>
              <w:top w:val="single" w:sz="3" w:space="0" w:color="BBBBBB"/>
              <w:left w:val="single" w:sz="3" w:space="0" w:color="BBBBBB"/>
              <w:bottom w:val="single" w:sz="3" w:space="0" w:color="BBBBBB"/>
              <w:right w:val="single" w:sz="3" w:space="0" w:color="BBBBBB"/>
            </w:tcBorders>
            <w:shd w:val="clear" w:color="auto" w:fill="2E4057"/>
            <w:tcMar>
              <w:top w:w="80" w:type="dxa"/>
              <w:left w:w="120" w:type="dxa"/>
              <w:bottom w:w="80" w:type="dxa"/>
              <w:right w:w="120" w:type="dxa"/>
            </w:tcMar>
          </w:tcPr>
          <w:p w14:paraId="146FE05C" w14:textId="77777777" w:rsidR="008E1202" w:rsidRDefault="00000000">
            <w:r>
              <w:rPr>
                <w:b/>
                <w:bCs/>
                <w:color w:val="FFFFFF"/>
                <w:sz w:val="20"/>
                <w:szCs w:val="20"/>
              </w:rPr>
              <w:t>Variable</w:t>
            </w:r>
          </w:p>
        </w:tc>
        <w:tc>
          <w:tcPr>
            <w:tcW w:w="2480" w:type="dxa"/>
            <w:tcBorders>
              <w:top w:val="single" w:sz="3" w:space="0" w:color="BBBBBB"/>
              <w:left w:val="single" w:sz="3" w:space="0" w:color="BBBBBB"/>
              <w:bottom w:val="single" w:sz="3" w:space="0" w:color="BBBBBB"/>
              <w:right w:val="single" w:sz="3" w:space="0" w:color="BBBBBB"/>
            </w:tcBorders>
            <w:shd w:val="clear" w:color="auto" w:fill="2E4057"/>
            <w:tcMar>
              <w:top w:w="80" w:type="dxa"/>
              <w:left w:w="120" w:type="dxa"/>
              <w:bottom w:w="80" w:type="dxa"/>
              <w:right w:w="120" w:type="dxa"/>
            </w:tcMar>
          </w:tcPr>
          <w:p w14:paraId="22FED64E" w14:textId="77777777" w:rsidR="008E1202" w:rsidRDefault="00000000">
            <w:r>
              <w:rPr>
                <w:b/>
                <w:bCs/>
                <w:color w:val="FFFFFF"/>
                <w:sz w:val="20"/>
                <w:szCs w:val="20"/>
              </w:rPr>
              <w:t>n / N</w:t>
            </w:r>
          </w:p>
        </w:tc>
        <w:tc>
          <w:tcPr>
            <w:tcW w:w="2480" w:type="dxa"/>
            <w:tcBorders>
              <w:top w:val="single" w:sz="3" w:space="0" w:color="BBBBBB"/>
              <w:left w:val="single" w:sz="3" w:space="0" w:color="BBBBBB"/>
              <w:bottom w:val="single" w:sz="3" w:space="0" w:color="BBBBBB"/>
              <w:right w:val="single" w:sz="3" w:space="0" w:color="BBBBBB"/>
            </w:tcBorders>
            <w:shd w:val="clear" w:color="auto" w:fill="2E4057"/>
            <w:tcMar>
              <w:top w:w="80" w:type="dxa"/>
              <w:left w:w="120" w:type="dxa"/>
              <w:bottom w:w="80" w:type="dxa"/>
              <w:right w:w="120" w:type="dxa"/>
            </w:tcMar>
          </w:tcPr>
          <w:p w14:paraId="2570409C" w14:textId="77777777" w:rsidR="008E1202" w:rsidRDefault="00000000">
            <w:r>
              <w:rPr>
                <w:b/>
                <w:bCs/>
                <w:color w:val="FFFFFF"/>
                <w:sz w:val="20"/>
                <w:szCs w:val="20"/>
              </w:rPr>
              <w:t>Proportion</w:t>
            </w:r>
          </w:p>
        </w:tc>
      </w:tr>
      <w:tr w:rsidR="008E1202" w14:paraId="668D6D1D" w14:textId="77777777">
        <w:tc>
          <w:tcPr>
            <w:tcW w:w="4400" w:type="dxa"/>
            <w:tcBorders>
              <w:top w:val="single" w:sz="3" w:space="0" w:color="BBBBBB"/>
              <w:left w:val="single" w:sz="3" w:space="0" w:color="BBBBBB"/>
              <w:bottom w:val="single" w:sz="3" w:space="0" w:color="BBBBBB"/>
              <w:right w:val="single" w:sz="3" w:space="0" w:color="BBBBBB"/>
            </w:tcBorders>
            <w:shd w:val="clear" w:color="auto" w:fill="EEF5F9"/>
            <w:tcMar>
              <w:top w:w="60" w:type="dxa"/>
              <w:left w:w="120" w:type="dxa"/>
              <w:bottom w:w="60" w:type="dxa"/>
              <w:right w:w="120" w:type="dxa"/>
            </w:tcMar>
          </w:tcPr>
          <w:p w14:paraId="5911AA3F" w14:textId="77777777" w:rsidR="008E1202" w:rsidRDefault="00000000">
            <w:r>
              <w:rPr>
                <w:sz w:val="20"/>
                <w:szCs w:val="20"/>
              </w:rPr>
              <w:t>Female sex</w:t>
            </w:r>
          </w:p>
        </w:tc>
        <w:tc>
          <w:tcPr>
            <w:tcW w:w="2480" w:type="dxa"/>
            <w:tcBorders>
              <w:top w:val="single" w:sz="3" w:space="0" w:color="BBBBBB"/>
              <w:left w:val="single" w:sz="3" w:space="0" w:color="BBBBBB"/>
              <w:bottom w:val="single" w:sz="3" w:space="0" w:color="BBBBBB"/>
              <w:right w:val="single" w:sz="3" w:space="0" w:color="BBBBBB"/>
            </w:tcBorders>
            <w:shd w:val="clear" w:color="auto" w:fill="EEF5F9"/>
            <w:tcMar>
              <w:top w:w="60" w:type="dxa"/>
              <w:left w:w="120" w:type="dxa"/>
              <w:bottom w:w="60" w:type="dxa"/>
              <w:right w:w="120" w:type="dxa"/>
            </w:tcMar>
          </w:tcPr>
          <w:p w14:paraId="15BD2801" w14:textId="77777777" w:rsidR="008E1202" w:rsidRDefault="00000000">
            <w:r>
              <w:rPr>
                <w:sz w:val="20"/>
                <w:szCs w:val="20"/>
              </w:rPr>
              <w:t>406 / 423</w:t>
            </w:r>
          </w:p>
        </w:tc>
        <w:tc>
          <w:tcPr>
            <w:tcW w:w="2480" w:type="dxa"/>
            <w:tcBorders>
              <w:top w:val="single" w:sz="3" w:space="0" w:color="BBBBBB"/>
              <w:left w:val="single" w:sz="3" w:space="0" w:color="BBBBBB"/>
              <w:bottom w:val="single" w:sz="3" w:space="0" w:color="BBBBBB"/>
              <w:right w:val="single" w:sz="3" w:space="0" w:color="BBBBBB"/>
            </w:tcBorders>
            <w:shd w:val="clear" w:color="auto" w:fill="EEF5F9"/>
            <w:tcMar>
              <w:top w:w="60" w:type="dxa"/>
              <w:left w:w="120" w:type="dxa"/>
              <w:bottom w:w="60" w:type="dxa"/>
              <w:right w:w="120" w:type="dxa"/>
            </w:tcMar>
          </w:tcPr>
          <w:p w14:paraId="14B45E2C" w14:textId="77777777" w:rsidR="008E1202" w:rsidRDefault="00000000">
            <w:r>
              <w:rPr>
                <w:sz w:val="20"/>
                <w:szCs w:val="20"/>
              </w:rPr>
              <w:t>96.0%</w:t>
            </w:r>
          </w:p>
        </w:tc>
      </w:tr>
      <w:tr w:rsidR="008E1202" w14:paraId="3BC39EA2" w14:textId="77777777">
        <w:tc>
          <w:tcPr>
            <w:tcW w:w="4400" w:type="dxa"/>
            <w:tcBorders>
              <w:top w:val="single" w:sz="3" w:space="0" w:color="BBBBBB"/>
              <w:left w:val="single" w:sz="3" w:space="0" w:color="BBBBBB"/>
              <w:bottom w:val="single" w:sz="3" w:space="0" w:color="BBBBBB"/>
              <w:right w:val="single" w:sz="3" w:space="0" w:color="BBBBBB"/>
            </w:tcBorders>
            <w:shd w:val="clear" w:color="auto" w:fill="FFFFFF"/>
            <w:tcMar>
              <w:top w:w="60" w:type="dxa"/>
              <w:left w:w="120" w:type="dxa"/>
              <w:bottom w:w="60" w:type="dxa"/>
              <w:right w:w="120" w:type="dxa"/>
            </w:tcMar>
          </w:tcPr>
          <w:p w14:paraId="5A9FD50A" w14:textId="77777777" w:rsidR="008E1202" w:rsidRDefault="00000000">
            <w:r>
              <w:rPr>
                <w:sz w:val="20"/>
                <w:szCs w:val="20"/>
              </w:rPr>
              <w:t>Difficult diagnostic journey (any)</w:t>
            </w:r>
          </w:p>
        </w:tc>
        <w:tc>
          <w:tcPr>
            <w:tcW w:w="2480" w:type="dxa"/>
            <w:tcBorders>
              <w:top w:val="single" w:sz="3" w:space="0" w:color="BBBBBB"/>
              <w:left w:val="single" w:sz="3" w:space="0" w:color="BBBBBB"/>
              <w:bottom w:val="single" w:sz="3" w:space="0" w:color="BBBBBB"/>
              <w:right w:val="single" w:sz="3" w:space="0" w:color="BBBBBB"/>
            </w:tcBorders>
            <w:shd w:val="clear" w:color="auto" w:fill="FFFFFF"/>
            <w:tcMar>
              <w:top w:w="60" w:type="dxa"/>
              <w:left w:w="120" w:type="dxa"/>
              <w:bottom w:w="60" w:type="dxa"/>
              <w:right w:w="120" w:type="dxa"/>
            </w:tcMar>
          </w:tcPr>
          <w:p w14:paraId="40BCC2DD" w14:textId="77777777" w:rsidR="008E1202" w:rsidRDefault="00000000">
            <w:r>
              <w:rPr>
                <w:sz w:val="20"/>
                <w:szCs w:val="20"/>
              </w:rPr>
              <w:t>401 / 423</w:t>
            </w:r>
          </w:p>
        </w:tc>
        <w:tc>
          <w:tcPr>
            <w:tcW w:w="2480" w:type="dxa"/>
            <w:tcBorders>
              <w:top w:val="single" w:sz="3" w:space="0" w:color="BBBBBB"/>
              <w:left w:val="single" w:sz="3" w:space="0" w:color="BBBBBB"/>
              <w:bottom w:val="single" w:sz="3" w:space="0" w:color="BBBBBB"/>
              <w:right w:val="single" w:sz="3" w:space="0" w:color="BBBBBB"/>
            </w:tcBorders>
            <w:shd w:val="clear" w:color="auto" w:fill="FFFFFF"/>
            <w:tcMar>
              <w:top w:w="60" w:type="dxa"/>
              <w:left w:w="120" w:type="dxa"/>
              <w:bottom w:w="60" w:type="dxa"/>
              <w:right w:w="120" w:type="dxa"/>
            </w:tcMar>
          </w:tcPr>
          <w:p w14:paraId="248C7725" w14:textId="77777777" w:rsidR="008E1202" w:rsidRDefault="00000000">
            <w:r>
              <w:rPr>
                <w:sz w:val="20"/>
                <w:szCs w:val="20"/>
              </w:rPr>
              <w:t>94.8%</w:t>
            </w:r>
          </w:p>
        </w:tc>
      </w:tr>
      <w:tr w:rsidR="008E1202" w14:paraId="7BB49F5C" w14:textId="77777777">
        <w:tc>
          <w:tcPr>
            <w:tcW w:w="4400" w:type="dxa"/>
            <w:tcBorders>
              <w:top w:val="single" w:sz="3" w:space="0" w:color="BBBBBB"/>
              <w:left w:val="single" w:sz="3" w:space="0" w:color="BBBBBB"/>
              <w:bottom w:val="single" w:sz="3" w:space="0" w:color="BBBBBB"/>
              <w:right w:val="single" w:sz="3" w:space="0" w:color="BBBBBB"/>
            </w:tcBorders>
            <w:shd w:val="clear" w:color="auto" w:fill="EEF5F9"/>
            <w:tcMar>
              <w:top w:w="60" w:type="dxa"/>
              <w:left w:w="120" w:type="dxa"/>
              <w:bottom w:w="60" w:type="dxa"/>
              <w:right w:w="120" w:type="dxa"/>
            </w:tcMar>
          </w:tcPr>
          <w:p w14:paraId="5AA97EAC" w14:textId="77777777" w:rsidR="008E1202" w:rsidRDefault="00000000">
            <w:r>
              <w:rPr>
                <w:sz w:val="20"/>
                <w:szCs w:val="20"/>
              </w:rPr>
              <w:t>Diagnostic odyssey &gt; 15 years</w:t>
            </w:r>
          </w:p>
        </w:tc>
        <w:tc>
          <w:tcPr>
            <w:tcW w:w="2480" w:type="dxa"/>
            <w:tcBorders>
              <w:top w:val="single" w:sz="3" w:space="0" w:color="BBBBBB"/>
              <w:left w:val="single" w:sz="3" w:space="0" w:color="BBBBBB"/>
              <w:bottom w:val="single" w:sz="3" w:space="0" w:color="BBBBBB"/>
              <w:right w:val="single" w:sz="3" w:space="0" w:color="BBBBBB"/>
            </w:tcBorders>
            <w:shd w:val="clear" w:color="auto" w:fill="EEF5F9"/>
            <w:tcMar>
              <w:top w:w="60" w:type="dxa"/>
              <w:left w:w="120" w:type="dxa"/>
              <w:bottom w:w="60" w:type="dxa"/>
              <w:right w:w="120" w:type="dxa"/>
            </w:tcMar>
          </w:tcPr>
          <w:p w14:paraId="336D73D0" w14:textId="77777777" w:rsidR="008E1202" w:rsidRDefault="00000000">
            <w:r>
              <w:rPr>
                <w:sz w:val="20"/>
                <w:szCs w:val="20"/>
              </w:rPr>
              <w:t>173 / 409*</w:t>
            </w:r>
          </w:p>
        </w:tc>
        <w:tc>
          <w:tcPr>
            <w:tcW w:w="2480" w:type="dxa"/>
            <w:tcBorders>
              <w:top w:val="single" w:sz="3" w:space="0" w:color="BBBBBB"/>
              <w:left w:val="single" w:sz="3" w:space="0" w:color="BBBBBB"/>
              <w:bottom w:val="single" w:sz="3" w:space="0" w:color="BBBBBB"/>
              <w:right w:val="single" w:sz="3" w:space="0" w:color="BBBBBB"/>
            </w:tcBorders>
            <w:shd w:val="clear" w:color="auto" w:fill="EEF5F9"/>
            <w:tcMar>
              <w:top w:w="60" w:type="dxa"/>
              <w:left w:w="120" w:type="dxa"/>
              <w:bottom w:w="60" w:type="dxa"/>
              <w:right w:w="120" w:type="dxa"/>
            </w:tcMar>
          </w:tcPr>
          <w:p w14:paraId="0900B88D" w14:textId="77777777" w:rsidR="008E1202" w:rsidRDefault="00000000">
            <w:r>
              <w:rPr>
                <w:sz w:val="20"/>
                <w:szCs w:val="20"/>
              </w:rPr>
              <w:t>42.3%</w:t>
            </w:r>
          </w:p>
        </w:tc>
      </w:tr>
      <w:tr w:rsidR="008E1202" w14:paraId="6C5B9227" w14:textId="77777777">
        <w:tc>
          <w:tcPr>
            <w:tcW w:w="4400" w:type="dxa"/>
            <w:tcBorders>
              <w:top w:val="single" w:sz="3" w:space="0" w:color="BBBBBB"/>
              <w:left w:val="single" w:sz="3" w:space="0" w:color="BBBBBB"/>
              <w:bottom w:val="single" w:sz="3" w:space="0" w:color="BBBBBB"/>
              <w:right w:val="single" w:sz="3" w:space="0" w:color="BBBBBB"/>
            </w:tcBorders>
            <w:shd w:val="clear" w:color="auto" w:fill="FFFFFF"/>
            <w:tcMar>
              <w:top w:w="60" w:type="dxa"/>
              <w:left w:w="120" w:type="dxa"/>
              <w:bottom w:w="60" w:type="dxa"/>
              <w:right w:w="120" w:type="dxa"/>
            </w:tcMar>
          </w:tcPr>
          <w:p w14:paraId="5B5277B8" w14:textId="4CAD2850" w:rsidR="008E1202" w:rsidRPr="00043101" w:rsidRDefault="00000000">
            <w:pPr>
              <w:rPr>
                <w:lang w:val="en-GB"/>
              </w:rPr>
            </w:pPr>
            <w:r>
              <w:rPr>
                <w:sz w:val="20"/>
                <w:szCs w:val="20"/>
                <w:lang w:val="en-GB"/>
              </w:rPr>
              <w:t>SIDS/</w:t>
            </w:r>
            <w:r>
              <w:rPr>
                <w:bCs/>
                <w:sz w:val="20"/>
                <w:szCs w:val="20"/>
                <w:lang w:val="en-GB"/>
              </w:rPr>
              <w:t>SUID</w:t>
            </w:r>
            <w:r>
              <w:rPr>
                <w:sz w:val="20"/>
                <w:szCs w:val="20"/>
                <w:lang w:val="en-GB"/>
              </w:rPr>
              <w:t xml:space="preserve">  family history (positive)</w:t>
            </w:r>
          </w:p>
        </w:tc>
        <w:tc>
          <w:tcPr>
            <w:tcW w:w="2480" w:type="dxa"/>
            <w:tcBorders>
              <w:top w:val="single" w:sz="3" w:space="0" w:color="BBBBBB"/>
              <w:left w:val="single" w:sz="3" w:space="0" w:color="BBBBBB"/>
              <w:bottom w:val="single" w:sz="3" w:space="0" w:color="BBBBBB"/>
              <w:right w:val="single" w:sz="3" w:space="0" w:color="BBBBBB"/>
            </w:tcBorders>
            <w:shd w:val="clear" w:color="auto" w:fill="FFFFFF"/>
            <w:tcMar>
              <w:top w:w="60" w:type="dxa"/>
              <w:left w:w="120" w:type="dxa"/>
              <w:bottom w:w="60" w:type="dxa"/>
              <w:right w:w="120" w:type="dxa"/>
            </w:tcMar>
          </w:tcPr>
          <w:p w14:paraId="05C7ABE2" w14:textId="77777777" w:rsidR="008E1202" w:rsidRDefault="00000000">
            <w:r>
              <w:rPr>
                <w:sz w:val="20"/>
                <w:szCs w:val="20"/>
              </w:rPr>
              <w:t>41 / 423</w:t>
            </w:r>
          </w:p>
        </w:tc>
        <w:tc>
          <w:tcPr>
            <w:tcW w:w="2480" w:type="dxa"/>
            <w:tcBorders>
              <w:top w:val="single" w:sz="3" w:space="0" w:color="BBBBBB"/>
              <w:left w:val="single" w:sz="3" w:space="0" w:color="BBBBBB"/>
              <w:bottom w:val="single" w:sz="3" w:space="0" w:color="BBBBBB"/>
              <w:right w:val="single" w:sz="3" w:space="0" w:color="BBBBBB"/>
            </w:tcBorders>
            <w:shd w:val="clear" w:color="auto" w:fill="FFFFFF"/>
            <w:tcMar>
              <w:top w:w="60" w:type="dxa"/>
              <w:left w:w="120" w:type="dxa"/>
              <w:bottom w:w="60" w:type="dxa"/>
              <w:right w:w="120" w:type="dxa"/>
            </w:tcMar>
          </w:tcPr>
          <w:p w14:paraId="5819AF01" w14:textId="77777777" w:rsidR="008E1202" w:rsidRDefault="00000000">
            <w:r>
              <w:rPr>
                <w:sz w:val="20"/>
                <w:szCs w:val="20"/>
              </w:rPr>
              <w:t>9.7%</w:t>
            </w:r>
          </w:p>
        </w:tc>
      </w:tr>
      <w:tr w:rsidR="008E1202" w14:paraId="7305A0FB" w14:textId="77777777">
        <w:tc>
          <w:tcPr>
            <w:tcW w:w="4400" w:type="dxa"/>
            <w:tcBorders>
              <w:top w:val="single" w:sz="3" w:space="0" w:color="BBBBBB"/>
              <w:left w:val="single" w:sz="3" w:space="0" w:color="BBBBBB"/>
              <w:bottom w:val="single" w:sz="3" w:space="0" w:color="BBBBBB"/>
              <w:right w:val="single" w:sz="3" w:space="0" w:color="BBBBBB"/>
            </w:tcBorders>
            <w:shd w:val="clear" w:color="auto" w:fill="EEF5F9"/>
            <w:tcMar>
              <w:top w:w="60" w:type="dxa"/>
              <w:left w:w="120" w:type="dxa"/>
              <w:bottom w:w="60" w:type="dxa"/>
              <w:right w:w="120" w:type="dxa"/>
            </w:tcMar>
          </w:tcPr>
          <w:p w14:paraId="1002C560" w14:textId="77777777" w:rsidR="008E1202" w:rsidRDefault="00000000">
            <w:r>
              <w:rPr>
                <w:sz w:val="20"/>
                <w:szCs w:val="20"/>
              </w:rPr>
              <w:t>Maternal vs paternal transmission</w:t>
            </w:r>
          </w:p>
        </w:tc>
        <w:tc>
          <w:tcPr>
            <w:tcW w:w="2480" w:type="dxa"/>
            <w:tcBorders>
              <w:top w:val="single" w:sz="3" w:space="0" w:color="BBBBBB"/>
              <w:left w:val="single" w:sz="3" w:space="0" w:color="BBBBBB"/>
              <w:bottom w:val="single" w:sz="3" w:space="0" w:color="BBBBBB"/>
              <w:right w:val="single" w:sz="3" w:space="0" w:color="BBBBBB"/>
            </w:tcBorders>
            <w:shd w:val="clear" w:color="auto" w:fill="EEF5F9"/>
            <w:tcMar>
              <w:top w:w="60" w:type="dxa"/>
              <w:left w:w="120" w:type="dxa"/>
              <w:bottom w:w="60" w:type="dxa"/>
              <w:right w:w="120" w:type="dxa"/>
            </w:tcMar>
          </w:tcPr>
          <w:p w14:paraId="555ABA3B" w14:textId="77777777" w:rsidR="008E1202" w:rsidRDefault="00000000">
            <w:r>
              <w:rPr>
                <w:sz w:val="20"/>
                <w:szCs w:val="20"/>
              </w:rPr>
              <w:t>178 vs 33</w:t>
            </w:r>
          </w:p>
        </w:tc>
        <w:tc>
          <w:tcPr>
            <w:tcW w:w="2480" w:type="dxa"/>
            <w:tcBorders>
              <w:top w:val="single" w:sz="3" w:space="0" w:color="BBBBBB"/>
              <w:left w:val="single" w:sz="3" w:space="0" w:color="BBBBBB"/>
              <w:bottom w:val="single" w:sz="3" w:space="0" w:color="BBBBBB"/>
              <w:right w:val="single" w:sz="3" w:space="0" w:color="BBBBBB"/>
            </w:tcBorders>
            <w:shd w:val="clear" w:color="auto" w:fill="EEF5F9"/>
            <w:tcMar>
              <w:top w:w="60" w:type="dxa"/>
              <w:left w:w="120" w:type="dxa"/>
              <w:bottom w:w="60" w:type="dxa"/>
              <w:right w:w="120" w:type="dxa"/>
            </w:tcMar>
          </w:tcPr>
          <w:p w14:paraId="14A758C8" w14:textId="77777777" w:rsidR="008E1202" w:rsidRDefault="00000000">
            <w:r>
              <w:rPr>
                <w:sz w:val="20"/>
                <w:szCs w:val="20"/>
              </w:rPr>
              <w:t>ratio 5.4:1</w:t>
            </w:r>
          </w:p>
        </w:tc>
      </w:tr>
      <w:tr w:rsidR="008E1202" w14:paraId="7BD5A6F4" w14:textId="77777777">
        <w:tc>
          <w:tcPr>
            <w:tcW w:w="4400" w:type="dxa"/>
            <w:tcBorders>
              <w:top w:val="single" w:sz="3" w:space="0" w:color="BBBBBB"/>
              <w:left w:val="single" w:sz="3" w:space="0" w:color="BBBBBB"/>
              <w:bottom w:val="single" w:sz="3" w:space="0" w:color="BBBBBB"/>
              <w:right w:val="single" w:sz="3" w:space="0" w:color="BBBBBB"/>
            </w:tcBorders>
            <w:shd w:val="clear" w:color="auto" w:fill="FFFFFF"/>
            <w:tcMar>
              <w:top w:w="60" w:type="dxa"/>
              <w:left w:w="120" w:type="dxa"/>
              <w:bottom w:w="60" w:type="dxa"/>
              <w:right w:w="120" w:type="dxa"/>
            </w:tcMar>
          </w:tcPr>
          <w:p w14:paraId="39FDC375" w14:textId="77777777" w:rsidR="008E1202" w:rsidRDefault="00000000">
            <w:r>
              <w:rPr>
                <w:sz w:val="20"/>
                <w:szCs w:val="20"/>
              </w:rPr>
              <w:t>Adverse childhood experiences (ACEs)</w:t>
            </w:r>
          </w:p>
        </w:tc>
        <w:tc>
          <w:tcPr>
            <w:tcW w:w="2480" w:type="dxa"/>
            <w:tcBorders>
              <w:top w:val="single" w:sz="3" w:space="0" w:color="BBBBBB"/>
              <w:left w:val="single" w:sz="3" w:space="0" w:color="BBBBBB"/>
              <w:bottom w:val="single" w:sz="3" w:space="0" w:color="BBBBBB"/>
              <w:right w:val="single" w:sz="3" w:space="0" w:color="BBBBBB"/>
            </w:tcBorders>
            <w:shd w:val="clear" w:color="auto" w:fill="FFFFFF"/>
            <w:tcMar>
              <w:top w:w="60" w:type="dxa"/>
              <w:left w:w="120" w:type="dxa"/>
              <w:bottom w:w="60" w:type="dxa"/>
              <w:right w:w="120" w:type="dxa"/>
            </w:tcMar>
          </w:tcPr>
          <w:p w14:paraId="57402629" w14:textId="77777777" w:rsidR="008E1202" w:rsidRDefault="00000000">
            <w:r>
              <w:rPr>
                <w:sz w:val="20"/>
                <w:szCs w:val="20"/>
              </w:rPr>
              <w:t>291 / 367†</w:t>
            </w:r>
          </w:p>
        </w:tc>
        <w:tc>
          <w:tcPr>
            <w:tcW w:w="2480" w:type="dxa"/>
            <w:tcBorders>
              <w:top w:val="single" w:sz="3" w:space="0" w:color="BBBBBB"/>
              <w:left w:val="single" w:sz="3" w:space="0" w:color="BBBBBB"/>
              <w:bottom w:val="single" w:sz="3" w:space="0" w:color="BBBBBB"/>
              <w:right w:val="single" w:sz="3" w:space="0" w:color="BBBBBB"/>
            </w:tcBorders>
            <w:shd w:val="clear" w:color="auto" w:fill="FFFFFF"/>
            <w:tcMar>
              <w:top w:w="60" w:type="dxa"/>
              <w:left w:w="120" w:type="dxa"/>
              <w:bottom w:w="60" w:type="dxa"/>
              <w:right w:w="120" w:type="dxa"/>
            </w:tcMar>
          </w:tcPr>
          <w:p w14:paraId="5304D7BF" w14:textId="77777777" w:rsidR="008E1202" w:rsidRDefault="00000000">
            <w:r>
              <w:rPr>
                <w:sz w:val="20"/>
                <w:szCs w:val="20"/>
              </w:rPr>
              <w:t>79.3%</w:t>
            </w:r>
          </w:p>
        </w:tc>
      </w:tr>
      <w:tr w:rsidR="008E1202" w14:paraId="35A7FA4D" w14:textId="77777777">
        <w:tc>
          <w:tcPr>
            <w:tcW w:w="4400" w:type="dxa"/>
            <w:tcBorders>
              <w:top w:val="single" w:sz="3" w:space="0" w:color="BBBBBB"/>
              <w:left w:val="single" w:sz="3" w:space="0" w:color="BBBBBB"/>
              <w:bottom w:val="single" w:sz="3" w:space="0" w:color="BBBBBB"/>
              <w:right w:val="single" w:sz="3" w:space="0" w:color="BBBBBB"/>
            </w:tcBorders>
            <w:shd w:val="clear" w:color="auto" w:fill="EEF5F9"/>
            <w:tcMar>
              <w:top w:w="60" w:type="dxa"/>
              <w:left w:w="120" w:type="dxa"/>
              <w:bottom w:w="60" w:type="dxa"/>
              <w:right w:w="120" w:type="dxa"/>
            </w:tcMar>
          </w:tcPr>
          <w:p w14:paraId="4E72E669" w14:textId="77777777" w:rsidR="008E1202" w:rsidRPr="00043101" w:rsidRDefault="00000000">
            <w:pPr>
              <w:rPr>
                <w:lang w:val="en-GB"/>
              </w:rPr>
            </w:pPr>
            <w:r>
              <w:rPr>
                <w:sz w:val="20"/>
                <w:szCs w:val="20"/>
                <w:lang w:val="en-GB"/>
              </w:rPr>
              <w:t>Family members with similar conditions (confirmed)</w:t>
            </w:r>
          </w:p>
        </w:tc>
        <w:tc>
          <w:tcPr>
            <w:tcW w:w="2480" w:type="dxa"/>
            <w:tcBorders>
              <w:top w:val="single" w:sz="3" w:space="0" w:color="BBBBBB"/>
              <w:left w:val="single" w:sz="3" w:space="0" w:color="BBBBBB"/>
              <w:bottom w:val="single" w:sz="3" w:space="0" w:color="BBBBBB"/>
              <w:right w:val="single" w:sz="3" w:space="0" w:color="BBBBBB"/>
            </w:tcBorders>
            <w:shd w:val="clear" w:color="auto" w:fill="EEF5F9"/>
            <w:tcMar>
              <w:top w:w="60" w:type="dxa"/>
              <w:left w:w="120" w:type="dxa"/>
              <w:bottom w:w="60" w:type="dxa"/>
              <w:right w:w="120" w:type="dxa"/>
            </w:tcMar>
          </w:tcPr>
          <w:p w14:paraId="28FE2915" w14:textId="77777777" w:rsidR="008E1202" w:rsidRDefault="00000000">
            <w:r>
              <w:rPr>
                <w:sz w:val="20"/>
                <w:szCs w:val="20"/>
              </w:rPr>
              <w:t>211 / 423</w:t>
            </w:r>
          </w:p>
        </w:tc>
        <w:tc>
          <w:tcPr>
            <w:tcW w:w="2480" w:type="dxa"/>
            <w:tcBorders>
              <w:top w:val="single" w:sz="3" w:space="0" w:color="BBBBBB"/>
              <w:left w:val="single" w:sz="3" w:space="0" w:color="BBBBBB"/>
              <w:bottom w:val="single" w:sz="3" w:space="0" w:color="BBBBBB"/>
              <w:right w:val="single" w:sz="3" w:space="0" w:color="BBBBBB"/>
            </w:tcBorders>
            <w:shd w:val="clear" w:color="auto" w:fill="EEF5F9"/>
            <w:tcMar>
              <w:top w:w="60" w:type="dxa"/>
              <w:left w:w="120" w:type="dxa"/>
              <w:bottom w:w="60" w:type="dxa"/>
              <w:right w:w="120" w:type="dxa"/>
            </w:tcMar>
          </w:tcPr>
          <w:p w14:paraId="397AC36D" w14:textId="77777777" w:rsidR="008E1202" w:rsidRDefault="00000000">
            <w:r>
              <w:rPr>
                <w:sz w:val="20"/>
                <w:szCs w:val="20"/>
              </w:rPr>
              <w:t>49.9%</w:t>
            </w:r>
          </w:p>
        </w:tc>
      </w:tr>
      <w:tr w:rsidR="008E1202" w14:paraId="5D50565B" w14:textId="77777777">
        <w:tc>
          <w:tcPr>
            <w:tcW w:w="4400" w:type="dxa"/>
            <w:tcBorders>
              <w:top w:val="single" w:sz="3" w:space="0" w:color="BBBBBB"/>
              <w:left w:val="single" w:sz="3" w:space="0" w:color="BBBBBB"/>
              <w:bottom w:val="single" w:sz="3" w:space="0" w:color="BBBBBB"/>
              <w:right w:val="single" w:sz="3" w:space="0" w:color="BBBBBB"/>
            </w:tcBorders>
            <w:shd w:val="clear" w:color="auto" w:fill="FFFFFF"/>
            <w:tcMar>
              <w:top w:w="60" w:type="dxa"/>
              <w:left w:w="120" w:type="dxa"/>
              <w:bottom w:w="60" w:type="dxa"/>
              <w:right w:w="120" w:type="dxa"/>
            </w:tcMar>
          </w:tcPr>
          <w:p w14:paraId="083A1D50" w14:textId="77777777" w:rsidR="008E1202" w:rsidRPr="00043101" w:rsidRDefault="00000000">
            <w:pPr>
              <w:rPr>
                <w:lang w:val="en-GB"/>
              </w:rPr>
            </w:pPr>
            <w:r>
              <w:rPr>
                <w:sz w:val="20"/>
                <w:szCs w:val="20"/>
                <w:lang w:val="en-GB"/>
              </w:rPr>
              <w:t>Family members with similar conditions (confirmed + probable)</w:t>
            </w:r>
          </w:p>
        </w:tc>
        <w:tc>
          <w:tcPr>
            <w:tcW w:w="2480" w:type="dxa"/>
            <w:tcBorders>
              <w:top w:val="single" w:sz="3" w:space="0" w:color="BBBBBB"/>
              <w:left w:val="single" w:sz="3" w:space="0" w:color="BBBBBB"/>
              <w:bottom w:val="single" w:sz="3" w:space="0" w:color="BBBBBB"/>
              <w:right w:val="single" w:sz="3" w:space="0" w:color="BBBBBB"/>
            </w:tcBorders>
            <w:shd w:val="clear" w:color="auto" w:fill="FFFFFF"/>
            <w:tcMar>
              <w:top w:w="60" w:type="dxa"/>
              <w:left w:w="120" w:type="dxa"/>
              <w:bottom w:w="60" w:type="dxa"/>
              <w:right w:w="120" w:type="dxa"/>
            </w:tcMar>
          </w:tcPr>
          <w:p w14:paraId="38834886" w14:textId="77777777" w:rsidR="008E1202" w:rsidRDefault="00000000">
            <w:r>
              <w:rPr>
                <w:sz w:val="20"/>
                <w:szCs w:val="20"/>
              </w:rPr>
              <w:t>338 / 423</w:t>
            </w:r>
          </w:p>
        </w:tc>
        <w:tc>
          <w:tcPr>
            <w:tcW w:w="2480" w:type="dxa"/>
            <w:tcBorders>
              <w:top w:val="single" w:sz="3" w:space="0" w:color="BBBBBB"/>
              <w:left w:val="single" w:sz="3" w:space="0" w:color="BBBBBB"/>
              <w:bottom w:val="single" w:sz="3" w:space="0" w:color="BBBBBB"/>
              <w:right w:val="single" w:sz="3" w:space="0" w:color="BBBBBB"/>
            </w:tcBorders>
            <w:shd w:val="clear" w:color="auto" w:fill="FFFFFF"/>
            <w:tcMar>
              <w:top w:w="60" w:type="dxa"/>
              <w:left w:w="120" w:type="dxa"/>
              <w:bottom w:w="60" w:type="dxa"/>
              <w:right w:w="120" w:type="dxa"/>
            </w:tcMar>
          </w:tcPr>
          <w:p w14:paraId="1F821AF1" w14:textId="77777777" w:rsidR="008E1202" w:rsidRDefault="00000000">
            <w:r>
              <w:rPr>
                <w:sz w:val="20"/>
                <w:szCs w:val="20"/>
              </w:rPr>
              <w:t>79.9%</w:t>
            </w:r>
          </w:p>
        </w:tc>
      </w:tr>
    </w:tbl>
    <w:p w14:paraId="6E0DD3D9" w14:textId="77777777" w:rsidR="008E1202" w:rsidRPr="00043101" w:rsidRDefault="00000000">
      <w:pPr>
        <w:spacing w:before="80" w:after="160"/>
        <w:rPr>
          <w:lang w:val="en-GB"/>
        </w:rPr>
      </w:pPr>
      <w:r>
        <w:rPr>
          <w:i/>
          <w:iCs/>
          <w:color w:val="777777"/>
          <w:sz w:val="18"/>
          <w:szCs w:val="18"/>
          <w:lang w:val="en-GB"/>
        </w:rPr>
        <w:t>* Among respondents who answered Q32 (diagnostic delay duration). † Among respondents who answered the ACE item (n=367).</w:t>
      </w:r>
    </w:p>
    <w:p w14:paraId="2385102A" w14:textId="77777777" w:rsidR="008E1202" w:rsidRPr="00043101" w:rsidRDefault="00000000">
      <w:pPr>
        <w:pStyle w:val="Titre2"/>
        <w:rPr>
          <w:lang w:val="en-GB"/>
        </w:rPr>
      </w:pPr>
      <w:r>
        <w:rPr>
          <w:lang w:val="en-GB"/>
        </w:rPr>
        <w:t>3.3 Familial transmission patterns</w:t>
      </w:r>
    </w:p>
    <w:p w14:paraId="42C9D720" w14:textId="77777777" w:rsidR="008E1202" w:rsidRPr="00043101" w:rsidRDefault="00000000">
      <w:pPr>
        <w:spacing w:before="80" w:after="120" w:line="276" w:lineRule="auto"/>
        <w:jc w:val="both"/>
        <w:rPr>
          <w:lang w:val="en-GB"/>
        </w:rPr>
      </w:pPr>
      <w:r>
        <w:rPr>
          <w:color w:val="000000"/>
          <w:lang w:val="en-GB"/>
        </w:rPr>
        <w:t>79.9% of respondents (n=338/423) reported at least one first-degree family member with similar conditions (confirmed or probable). Of those reporting predominantly unilateral familial clustering (n=361), 178 (49.3%) reported predominantly maternal transmission, compared to 33 (9.1%) reporting predominantly paternal transmission, and 150 (41.6%) reporting equal bilateral distribution. This yields a maternal-to-paternal ratio of 5.4:1 among respondents with clear unilateral predominance.</w:t>
      </w:r>
    </w:p>
    <w:p w14:paraId="544EC57C" w14:textId="77777777" w:rsidR="008E1202" w:rsidRPr="00043101" w:rsidRDefault="00000000">
      <w:pPr>
        <w:pBdr>
          <w:left w:val="thick" w:sz="12" w:space="0" w:color="4A7C8F"/>
        </w:pBdr>
        <w:shd w:val="clear" w:color="auto" w:fill="EEF5F9"/>
        <w:spacing w:before="120" w:after="120" w:line="276" w:lineRule="auto"/>
        <w:ind w:left="360" w:right="360"/>
        <w:jc w:val="both"/>
        <w:rPr>
          <w:lang w:val="en-GB"/>
        </w:rPr>
      </w:pPr>
      <w:r>
        <w:rPr>
          <w:color w:val="333333"/>
          <w:lang w:val="en-GB"/>
        </w:rPr>
        <w:t>The 5.4:1 maternal-to-paternal transmission ratio observed in this cohort is consistent with two non-mutually exclusive inheritance mechanisms: (1) NR3C1 methylation patterns, which are preferentially transmitted via the maternal germline; and (2) mitochondrial inheritance, which is exclusively maternal. This finding supports the hypothesis that PMCHS terrain involves an epigenetically programmed mitochondrial component in addition to nuclear epigenetic modifications.</w:t>
      </w:r>
    </w:p>
    <w:p w14:paraId="6CFAFE3C" w14:textId="77777777" w:rsidR="008E1202" w:rsidRPr="00043101" w:rsidRDefault="00000000">
      <w:pPr>
        <w:pStyle w:val="Titre2"/>
        <w:rPr>
          <w:lang w:val="en-GB"/>
        </w:rPr>
      </w:pPr>
      <w:r>
        <w:rPr>
          <w:lang w:val="en-GB"/>
        </w:rPr>
        <w:t>3.4 Adverse childhood experiences</w:t>
      </w:r>
    </w:p>
    <w:p w14:paraId="73F83BFB" w14:textId="0107E808" w:rsidR="008E1202" w:rsidRPr="00043101" w:rsidRDefault="00000000">
      <w:pPr>
        <w:spacing w:before="80" w:after="120" w:line="276" w:lineRule="auto"/>
        <w:jc w:val="both"/>
        <w:rPr>
          <w:lang w:val="en-GB"/>
        </w:rPr>
      </w:pPr>
      <w:r>
        <w:rPr>
          <w:color w:val="000000"/>
          <w:lang w:val="en-GB"/>
        </w:rPr>
        <w:t xml:space="preserve">Among the 367 respondents who completed the ACE item (French-language cohort + English-language cohort), 291 (79.3%) reported at least one significant stressful or traumatic event during childhood (ages 0–18). Categories included bereavement of a close person, serious personal illness, physical or psychological violence, sexual abuse, prolonged bullying, high-conflict parental divorce, chronic family instability, parental addiction or mental illness, prolonged </w:t>
        <w:lastRenderedPageBreak/>
        <w:t>childhood hospitalisation, and emotional or physical neglect. Multiple ACE categories were commonly reported, consistent with cumulative adversity models of epigenetic programming.</w:t>
      </w:r>
    </w:p>
    <w:p w14:paraId="1521F383" w14:textId="77777777" w:rsidR="008E1202" w:rsidRPr="00043101" w:rsidRDefault="00000000">
      <w:pPr>
        <w:pBdr>
          <w:left w:val="thick" w:sz="12" w:space="0" w:color="4A7C8F"/>
        </w:pBdr>
        <w:shd w:val="clear" w:color="auto" w:fill="EEF5F9"/>
        <w:spacing w:before="120" w:after="120" w:line="276" w:lineRule="auto"/>
        <w:ind w:left="360" w:right="360"/>
        <w:jc w:val="both"/>
        <w:rPr>
          <w:lang w:val="en-GB"/>
        </w:rPr>
      </w:pPr>
      <w:r>
        <w:rPr>
          <w:color w:val="333333"/>
          <w:lang w:val="en-GB"/>
        </w:rPr>
        <w:t>The 79.3% ACE prevalence in this cohort substantially exceeds population-level estimates (typically 40–60% for one or more ACEs in general adult samples), consistent with the hypothesis that early adversity-driven epigenetic programming of the stress-immune axis constitutes a primary upstream mechanism in PMCHS pathogenesis.</w:t>
      </w:r>
    </w:p>
    <w:p w14:paraId="1A110001" w14:textId="1A110001" w:rsidR="003C56D3" w:rsidRDefault="00000000">
      <w:pPr>
        <w:pStyle w:val="Titre2"/>
        <w:rPr>
          <w:lang w:val="en-GB"/>
        </w:rPr>
      </w:pPr>
      <w:r>
        <w:rPr>
          <w:lang w:val="en-GB"/>
        </w:rPr>
        <w:t>3.5 Perinatal adversity</w:t>
      </w:r>
    </w:p>
    <w:p w14:paraId="1A110002" w14:textId="1A110002" w:rsidR="003C56D3" w:rsidRDefault="00000000">
      <w:pPr>
        <w:jc w:val="both"/>
        <w:rPr>
          <w:lang w:val="en-GB"/>
        </w:rPr>
      </w:pPr>
      <w:r>
        <w:rPr>
          <w:lang w:val="en-GB"/>
        </w:rPr>
        <w:t>Perinatal adversity indicators were prevalent across the cohort. Among respondents reporting on their mother’s pregnancy (Q13), 29.1% (n=123/423) reported significant maternal stress or depression during the pregnancy. Birth complications were common: 10.2% (n=43/423) reported premature birth, 11.6% (n=49/423) a caesarean section, 9.0% (n=38/423) forceps or vacuum-assisted delivery, and 3.5% (n=15/423) foetal distress or hypoxia. 22.9% (n=97/423) reported post-birth separation from their mother, of whom 11.3% (n=48/423) experienced prolonged separation of several days or more. 42.1% (n=178/423) reported notable health problems during their first year of life, including eczema or skin reactions, digestive problems, recurrent respiratory infections, reactions to formula or cow’s milk, and severe colic.</w:t>
      </w:r>
    </w:p>
    <w:p w14:paraId="1A110003" w14:textId="1A110003" w:rsidR="003C56D3" w:rsidRDefault="00000000">
      <w:pPr>
        <w:rPr>
          <w:lang w:val="en-GB"/>
        </w:rPr>
      </w:pPr>
      <w:r>
        <w:rPr>
          <w:lang w:val="en-GB"/>
        </w:rPr>
        <w:t>Taken together, these perinatal findings extend the PMCHS developmental programming model beyond childhood adversity to the prenatal and neonatal windows. Maternal stress during pregnancy, obstetric complications, early mother-infant separation, and neonatal health problems are each established modulators of HPA axis calibration and immune programming. Their high prevalence in this cohort — well above population norms — is consistent with a model of cumulative perinatal adversity as a primary upstream driver of mast cell hyperreactivity terrain.</w:t>
      </w:r>
    </w:p>
    <w:p w14:paraId="5287AEA6" w14:textId="257EFFC6" w:rsidR="008E1202" w:rsidRPr="00043101" w:rsidRDefault="00000000">
      <w:pPr>
        <w:pStyle w:val="Titre2"/>
        <w:rPr>
          <w:lang w:val="en-GB"/>
        </w:rPr>
      </w:pPr>
      <w:r>
        <w:rPr>
          <w:lang w:val="en-GB"/>
        </w:rPr>
        <w:t>3.6 SIDS/SUID family history signal</w:t>
      </w:r>
    </w:p>
    <w:p w14:paraId="3A43E9C7" w14:textId="37D06663" w:rsidR="008E1202" w:rsidRPr="006864AB" w:rsidRDefault="00000000">
      <w:pPr>
        <w:spacing w:before="80" w:after="120" w:line="276" w:lineRule="auto"/>
        <w:jc w:val="both"/>
        <w:rPr>
          <w:lang w:val="en-GB"/>
        </w:rPr>
      </w:pPr>
      <w:r>
        <w:rPr>
          <w:color w:val="000000"/>
          <w:lang w:val="en-GB"/>
        </w:rPr>
        <w:t>9.7% of respondents (n=41/423) reported a positive family history of sudden infant death syndrome (SIDS/SUID) in their immediate family or close circle. This proportion markedly exceeds the general population prevalence of SIDS (approximately 0.5–1.0 per 1,000 live births, equating to a lifetime family exposure rate well below 1% in most families). This signal is consistent with the hypothesis that PMCHS terrain - characterised by mast cell hyperreactivity and compromised autonomic respiratory regulation - confers elevated SIDS risk in affected infants, providing a potential basis for post-mortem tryptase screening protocols in families with PMCHS history. Family history of SIDS/SUID was assessed via a single closed</w:t>
        <w:noBreakHyphen/>
        <w:t>ended item asking whether respondents were aware of any sudden unexplained infant death in their immediate family or close circle.</w:t>
      </w:r>
    </w:p>
    <w:p w14:paraId="5A6C381B" w14:textId="77777777" w:rsidR="008E1202" w:rsidRPr="00043101" w:rsidRDefault="00000000">
      <w:pPr>
        <w:pStyle w:val="Titre2"/>
        <w:rPr>
          <w:lang w:val="en-GB"/>
        </w:rPr>
      </w:pPr>
      <w:r>
        <w:rPr>
          <w:lang w:val="en-GB"/>
        </w:rPr>
        <w:t>3.7 Degranulation phenotypes: preliminary characterisation</w:t>
      </w:r>
    </w:p>
    <w:p w14:paraId="04B14239" w14:textId="040E4DF4" w:rsidR="008E1202" w:rsidRPr="00043101" w:rsidRDefault="00000000">
      <w:pPr>
        <w:spacing w:before="80" w:after="120" w:line="276" w:lineRule="auto"/>
        <w:jc w:val="both"/>
        <w:rPr>
          <w:lang w:val="en-GB"/>
        </w:rPr>
      </w:pPr>
      <w:r>
        <w:rPr>
          <w:color w:val="000000"/>
          <w:lang w:val="en-GB"/>
        </w:rPr>
        <w:t xml:space="preserve">Based on dominant symptom profiles reported in Q7 and qualitative free-text responses, four preliminary degranulation phenotypes were identified within the cohort, corresponding to the theoretical framework described in Section 1.3. Formal phenotype assignment and inter-phenotype comparisons will be reported in a subsequent analysis. Neuropsychiatric signatures associated with each phenotype - including anxiety and hypervigilance (histaminergic), central sensitisation (tryptase-dominant), treatment-resistant depression (leukotriene-dominant), and hypersomnia with dysregulated emotion (prostaglandin-dominant) - were consistently </w:t>
        <w:lastRenderedPageBreak/>
        <w:t>represented in free-text responses, providing preliminary qualitative validation of the phenotype model.</w:t>
      </w:r>
    </w:p>
    <w:p w14:paraId="1F463317" w14:textId="77777777" w:rsidR="008E1202" w:rsidRPr="00043101" w:rsidRDefault="008E1202">
      <w:pPr>
        <w:rPr>
          <w:lang w:val="en-GB"/>
        </w:rPr>
      </w:pPr>
    </w:p>
    <w:p w14:paraId="6322BD8A" w14:textId="77777777" w:rsidR="008E1202" w:rsidRPr="00043101" w:rsidRDefault="008E1202">
      <w:pPr>
        <w:pBdr>
          <w:bottom w:val="single" w:sz="4" w:space="0" w:color="CCCCCC"/>
        </w:pBdr>
        <w:spacing w:before="160" w:after="160"/>
        <w:rPr>
          <w:lang w:val="en-GB"/>
        </w:rPr>
      </w:pPr>
    </w:p>
    <w:p w14:paraId="46CE3C36" w14:textId="77777777" w:rsidR="008E1202" w:rsidRPr="00043101" w:rsidRDefault="00000000">
      <w:pPr>
        <w:pStyle w:val="Titre1"/>
        <w:rPr>
          <w:lang w:val="en-GB"/>
        </w:rPr>
      </w:pPr>
      <w:r>
        <w:rPr>
          <w:lang w:val="en-GB"/>
        </w:rPr>
        <w:t>4. Discussion</w:t>
      </w:r>
    </w:p>
    <w:p w14:paraId="70E8BEBA" w14:textId="77777777" w:rsidR="008E1202" w:rsidRPr="00043101" w:rsidRDefault="00000000">
      <w:pPr>
        <w:pStyle w:val="Titre2"/>
        <w:rPr>
          <w:lang w:val="en-GB"/>
        </w:rPr>
      </w:pPr>
      <w:r>
        <w:rPr>
          <w:lang w:val="en-GB"/>
        </w:rPr>
        <w:t>4.1 PMCHS as a unifying framework</w:t>
      </w:r>
    </w:p>
    <w:p w14:paraId="2BE9E0FB" w14:textId="77777777" w:rsidR="008E1202" w:rsidRPr="00043101" w:rsidRDefault="00000000">
      <w:pPr>
        <w:spacing w:before="80" w:after="120" w:line="276" w:lineRule="auto"/>
        <w:jc w:val="both"/>
        <w:rPr>
          <w:lang w:val="en-GB"/>
        </w:rPr>
      </w:pPr>
      <w:r>
        <w:rPr>
          <w:color w:val="000000"/>
          <w:lang w:val="en-GB"/>
        </w:rPr>
        <w:t>The data presented here support the PMCHS framework as a clinically coherent and mechanistically grounded model for a substantial subset of patients with chronic multisystem conditions. The convergence of high ACE prevalence (79.3%), predominantly maternal transmission (5.4:1 ratio), marked female predominance (96.0%), and extreme diagnostic burden (94.8% difficult trajectory; 42.3% waiting &gt;15 years) is not consistent with any single existing diagnostic category but is entirely consistent with an epigenetically programmed, hormonally amplified, and transgenerationally transmitted terrain of mast cell hyperreactivity.</w:t>
      </w:r>
    </w:p>
    <w:p w14:paraId="4668B6F4" w14:textId="461DCF9A" w:rsidR="008E1202" w:rsidRPr="00043101" w:rsidRDefault="00000000">
      <w:pPr>
        <w:spacing w:before="80" w:after="120" w:line="276" w:lineRule="auto"/>
        <w:jc w:val="both"/>
        <w:rPr>
          <w:lang w:val="en-GB"/>
        </w:rPr>
      </w:pPr>
      <w:r>
        <w:rPr>
          <w:color w:val="000000"/>
          <w:lang w:val="en-GB"/>
        </w:rPr>
        <w:t>This interpretation is further supported by recent independent lines of evidence. The Norris Laboratory (MUSC) has presented data questioning whether hEDS is primarily a connective tissue disorder, raising the explicit question of whether neuroimmune and mast cell dysfunction may be upstream drivers - precisely the architecture proposed by PMCHS. The GWAS meta-analysis by Petrucci-Nelson et al. (2025) established the first evidence of common variant contributions to hEDS, identifying neuroimmune-stromal dysregulation as a core pathway, with significant genetic correlations to fibromyalgia, chronic fatigue, autism, ADHD, and anxiety - the exact constellation predicted by the PMCHS model.</w:t>
      </w:r>
    </w:p>
    <w:p w14:paraId="3A3F8A34" w14:textId="77777777" w:rsidR="008E1202" w:rsidRPr="00043101" w:rsidRDefault="00000000">
      <w:pPr>
        <w:pStyle w:val="Titre2"/>
        <w:rPr>
          <w:lang w:val="en-GB"/>
        </w:rPr>
      </w:pPr>
      <w:r>
        <w:rPr>
          <w:lang w:val="en-GB"/>
        </w:rPr>
        <w:t>4.2 The transgenerational dimension</w:t>
      </w:r>
    </w:p>
    <w:p w14:paraId="32A5C562" w14:textId="237B2148" w:rsidR="008E1202" w:rsidRPr="006864AB" w:rsidRDefault="00000000">
      <w:pPr>
        <w:spacing w:before="80" w:after="120" w:line="276" w:lineRule="auto"/>
        <w:jc w:val="both"/>
        <w:rPr>
          <w:lang w:val="en-GB"/>
        </w:rPr>
      </w:pPr>
      <w:r>
        <w:rPr>
          <w:color w:val="000000"/>
          <w:lang w:val="en-GB"/>
        </w:rPr>
        <w:t>The 5.4:1 maternal transmission ratio is among the most striking findings of this survey and warrants dedicated investigation. Two principal mechanisms are proposed. First, NR3C1 hypermethylation - induced by maternal stress, trauma, or adversity - may be transmitted via epigenetic inheritance through the maternal germline, programming offspring mast cell reactivity before birth. Second, mitochondrial inheritance, which is exclusively maternal in mammals, provides a mechanistic basis for the maternal transmission bias: mitochondrial dysfunction has been documented in mast cell activation pathways, and NLRP3 inflammasome activation thresholds - themselves mitochondrially regulated via reactive oxygen species signalling (Tschopp et al., 2022) - may be epigenetically calibrated through this route. This interpretation is consistent with broader evidence on intergenerational transmission of trauma effects via epigenetic mechanisms, including sex</w:t>
        <w:noBreakHyphen/>
        <w:t>specific patterns of germline and in utero transmission (Yehuda &amp; Lehrner, 2018). Mitochondrial involvement in mast cell activation is further supported by evidence that stimulated human mast cells actively secrete mitochondrial components capable of autocrine and paracrine inflammatory signaling (Zhang et al., 2012).</w:t>
      </w:r>
    </w:p>
    <w:p w14:paraId="1C9207F0" w14:textId="6861EEC2" w:rsidR="008E1202" w:rsidRPr="006864AB" w:rsidRDefault="00000000">
      <w:pPr>
        <w:spacing w:before="80" w:after="120" w:line="276" w:lineRule="auto"/>
        <w:jc w:val="both"/>
        <w:rPr>
          <w:lang w:val="en-GB"/>
        </w:rPr>
      </w:pPr>
      <w:r>
        <w:rPr>
          <w:color w:val="000000"/>
          <w:lang w:val="en-GB"/>
        </w:rPr>
        <w:t xml:space="preserve">The SIDS signal (9.7% family history) is consistent with this model: infants born into PMCHS-terrain families may carry a programmed hyperreactivity of the autonomic nervous system and cardiorespiratory mast cell populations that confers vulnerability to sudden decompensation. This </w:t>
        <w:lastRenderedPageBreak/>
        <w:t>hypothesis is testable via post-mortem tryptase quantification in SIDS cases with known maternal MCAS history, a protocol we propose as a research priority. This association should be considered exploratory, and formal epidemiological studies are required before any causal inference can be made.</w:t>
      </w:r>
    </w:p>
    <w:p w14:paraId="294732AB" w14:textId="77777777" w:rsidR="008E1202" w:rsidRPr="00043101" w:rsidRDefault="00000000">
      <w:pPr>
        <w:pStyle w:val="Titre2"/>
        <w:rPr>
          <w:lang w:val="en-GB"/>
        </w:rPr>
      </w:pPr>
      <w:r>
        <w:rPr>
          <w:lang w:val="en-GB"/>
        </w:rPr>
        <w:t>4.3 The neuroimmune axis and neuropsychiatric co-expression</w:t>
      </w:r>
    </w:p>
    <w:p w14:paraId="2B6F919B" w14:textId="17880928" w:rsidR="008E1202" w:rsidRPr="00043101" w:rsidRDefault="00000000">
      <w:pPr>
        <w:spacing w:before="80" w:after="120" w:line="276" w:lineRule="auto"/>
        <w:jc w:val="both"/>
        <w:rPr>
          <w:lang w:val="en-GB"/>
        </w:rPr>
      </w:pPr>
      <w:r>
        <w:rPr>
          <w:color w:val="000000"/>
          <w:lang w:val="en-GB"/>
        </w:rPr>
        <w:t>The high co-occurrence of neurodivergent traits, mood disorders, and cognitive symptoms in this population - extensively represented in free-text responses - is consistent with the thalamo-amygdalar mast cell axis proposed in the PMCHS framework. Thalamic mast cell hyperexcitability, potentiated by CRH-driven degranulation at the blood-brain barrier, may impair sensory gating via the reticular thalamic nucleus, generating the hypersensitivity, hypervigilance, and cognitive fatigue characteristic of both MCAS and neurodevelopmental conditions. Wang et al. (2026) have documented structural amygdala correlates of early adversity consistent with this pathway, providing neuroimaging support for the developmental programming model.</w:t>
      </w:r>
    </w:p>
    <w:p w14:paraId="1A100001" w14:textId="77777777" w:rsidR="008E1202" w:rsidRPr="00043101" w:rsidRDefault="00000000">
      <w:pPr>
        <w:spacing w:before="80" w:after="120" w:line="276" w:lineRule="auto"/>
        <w:jc w:val="both"/>
        <w:rPr>
          <w:color w:val="000000"/>
          <w:lang w:val="en-GB"/>
        </w:rPr>
      </w:pPr>
      <w:r>
        <w:rPr>
          <w:color w:val="000000"/>
          <w:lang w:val="en-GB"/>
        </w:rPr>
        <w:t>The locus coeruleus (LC), the brain’s principal noradrenergic nucleus, represents a further convergence point between PMCHS mechanisms and neurological vulnerability. The LC produces virtually all cerebral norepinephrine and receives direct vagal afferents; norepinephrine itself is a bidirectional modulator of mast cell degranulation, with hyperactivation of the LC - as documented in PTSD and chronic stress states (Naegeli et al., 2018) - constituting a sustained adrenergic trigger for pericentral mast cell populations. Emerging evidence implicates LC dysfunction in the earliest stages of Alzheimer’s disease pathology, with tau accumulation in this nucleus preceding cortical spread by decades (Riley, 2026). The regulatory effect of vagus nerve stimulation on LC firing patterns provides a mechanistic basis for the documented benefit of vagal techniques in PMCHS management, beyond their established parasympathetic effects: LC pacing via the vagal pathway may attenuate the adrenergic-mastocytic amplification loop. This intersection of the noradrenergic, vagal, and mastocytic systems constitutes a therapeutically relevant axis that warrants dedicated investigation in PMCHS cohorts.</w:t>
      </w:r>
    </w:p>
    <w:p w14:paraId="1A100002" w14:textId="77777777" w:rsidR="008E1202" w:rsidRPr="00043101" w:rsidRDefault="00000000">
      <w:pPr>
        <w:spacing w:before="80" w:after="120" w:line="276" w:lineRule="auto"/>
        <w:jc w:val="both"/>
        <w:rPr>
          <w:color w:val="000000"/>
          <w:lang w:val="en-GB"/>
        </w:rPr>
      </w:pPr>
      <w:r>
        <w:rPr>
          <w:color w:val="000000"/>
          <w:lang w:val="en-GB"/>
        </w:rPr>
        <w:t>The cardiovascular dimension of PMCHS-related mast cell activation merits explicit recognition. Kounis syndrome - defined as coronary artery spasm or acute myocardial infarction triggered by mast cell degranulation in the context of allergic or hypersensitivity episodes - represents the most clinically critical acute expression of cardiac mast cell involvement (Kounis, 2016). Takotsubo cardiomyopathy, increasingly associated with mast cell activation, provides a further model of stress-triggered, degranulation-mediated cardiac dysfunction consistent with the amygdala-CRH-mast cell axis central to the PMCHS framework. In a population characterised by chronic low-grade mast cell hyperreactivity and episodic degranulation, sub-clinical cardiovascular vulnerability may be systematically underestimated. Routine cardiac screening in PMCHS-spectrum patients, particularly in the context of anaphylactoid episodes, represents a clinical priority that current diagnostic silos fail to address.</w:t>
      </w:r>
    </w:p>
    <w:p w14:paraId="1A100003" w14:textId="6590C686" w:rsidR="008E1202" w:rsidRPr="00043101" w:rsidRDefault="00000000">
      <w:pPr>
        <w:spacing w:before="80" w:after="120" w:line="276" w:lineRule="auto"/>
        <w:jc w:val="both"/>
        <w:rPr>
          <w:color w:val="000000"/>
          <w:lang w:val="en-GB"/>
        </w:rPr>
      </w:pPr>
      <w:r>
        <w:rPr>
          <w:color w:val="000000"/>
          <w:lang w:val="en-GB"/>
        </w:rPr>
        <w:t xml:space="preserve">Objective biomarkers for PMCHS-associated neurological phenotypes are beginning to emerge from independent research lines. Linnhoff et al. (2026) have demonstrated that the frontal aperiodic exponent of the resting-state EEG power spectrum - reflecting the cortical excitation/inhibition (E/I) balance - constitutes a transdiagnostic biomarker of cognitive fatigue, distinguishing fatigued from non-fatigued individuals across multiple sclerosis and Long COVID </w:t>
        <w:lastRenderedPageBreak/>
        <w:t>cohorts with good sensitivity and specificity. This frontal E/I imbalance is mechanistically consistent with the thalamic H3 receptor disinhibition axis described in the PMCHS framework (Jang &amp; Huguenard, 2025). Separately, Pinggal et al. (2026) have shown that sleep-like slow waves during wakefulness mediate attentional difficulties in adult ADHD, providing a neurophysiological correlate for the arousal dysregulation predicted by the histamine/H1 desensitisation model in PMCHS. Together, these findings suggest that EEG-based markers could serve as accessible, low-cost biomarkers for objective phenotyping in PMCHS populations. A further implication is that post-prandial histamine release - a physiological consequence of intestinal mast cell degranulation following food intake, amplified on PMCHS terrain - may generate a measurable EEG signature of transient cortical slowing, providing a testable mechanistic explanation for the post-prandial fatigue and cognitive impairment frequently reported in this population. Formal evaluation of EEG aperiodic exponents and slow-wave density in PMCHS cohorts, including post-prandial assessments, represents a low-cost research priority. Finally, Sirés et al. (2025) have identified significantly reduced mast cell proportions in blood transcriptomic profiles of patients with treatment-resistant depression (TRD), alongside distinct epigenetic and non-coding RNA signatures. This finding is consistent with the hypothesis that a PMCHS subgroup - characterised by tissue-sequestered mast cell activation rather than circulating mast cell elevation - constitutes a biologically distinct subtype within the broad MDD population, potentially explaining a proportion of treatment resistance currently attributed to non-biological factors.</w:t>
      </w:r>
    </w:p>
    <w:p w14:paraId="BB220010" w14:textId="77777777" w:rsidR="008E1202" w:rsidRPr="00043101" w:rsidRDefault="00000000">
      <w:pPr>
        <w:pStyle w:val="Titre2"/>
        <w:rPr>
          <w:lang w:val="en-GB"/>
        </w:rPr>
      </w:pPr>
      <w:r>
        <w:rPr>
          <w:lang w:val="en-GB"/>
        </w:rPr>
        <w:t>4.4 General Interoceptive Hypoesthesia (GIH): a proposed transversal construct</w:t>
      </w:r>
    </w:p>
    <w:p w14:paraId="BB220011" w14:textId="77777777" w:rsidR="008E1202" w:rsidRPr="00043101" w:rsidRDefault="00000000">
      <w:pPr>
        <w:spacing w:before="80" w:after="120" w:line="276" w:lineRule="auto"/>
        <w:jc w:val="both"/>
        <w:rPr>
          <w:lang w:val="en-GB"/>
        </w:rPr>
      </w:pPr>
      <w:r>
        <w:rPr>
          <w:color w:val="000000"/>
          <w:lang w:val="en-GB"/>
        </w:rPr>
        <w:t xml:space="preserve">A transversal clinical consequence of the PMCHS terrain - not previously named as a construct - is proposed here as General Interoceptive Hypoesthesia (GIH). Chronic mast cell hyperreactivity sustains persistently elevated histamine levels in hypothalamic tissue, producing progressive down-regulation of hypothalamic H1 receptors through classical ligand-induced desensitisation. Because H1 receptor activation in the paraventricular and ventromedial hypothalamic nuclei is a primary integrative mechanism for satiety, thirst, thermoregulatory signalling, fatigue onset, and nociceptive modulation (Masaki et al., 2004; Yoshimoto et al., 2023), its chronic desensitisation generates a recognisable syndrome of global interoceptive blunting: attenuated or absent hunger and satiety signals, impaired thirst perception, fatigue without premonitory warnings, and altered pain threshold that may present as either hypo- or hyperalgesia depending on the degranulation phase.</w:t>
      </w:r>
    </w:p>
    <w:p w14:paraId="BB220012" w14:textId="77777777" w:rsidR="008E1202" w:rsidRPr="00043101" w:rsidRDefault="00000000">
      <w:pPr>
        <w:spacing w:before="80" w:after="120" w:line="276" w:lineRule="auto"/>
        <w:jc w:val="both"/>
        <w:rPr>
          <w:lang w:val="en-GB"/>
        </w:rPr>
      </w:pPr>
      <w:r>
        <w:rPr>
          <w:color w:val="000000"/>
          <w:lang w:val="en-GB"/>
        </w:rPr>
        <w:t xml:space="preserve">GIH is not a primary neurological disorder but a downstream adaptive consequence of the PMCHS terrain - and is therefore potentially reversible. Under sustained mast cell stabilisation (cromoglycate, quercetin, luteolin), progressive H1 receptor re-sensitisation following reduction of chronic histamine load may restore functional interoceptive signalling. The return of clear satiety and thirst awareness under mast cell stabilisation protocols constitutes one of the earliest and most clinically accessible markers of therapeutic response in PMCHS, and is mechanistically consistent with the gustatory T2R receptor re-sensitisation documented following histaminogenic dietary elimination. This re-sensitisation phenomenon - independently reported by multiple patients following mast cell stabilisation - warrants prospective evaluation using validated interoceptive awareness instruments (e.g., the Multidimensional Assessment of Interoceptive Awareness, MAIA) before and after protocol-guided intervention. GIH may also partially account for the dissociation between physiological state and subjective experience frequently reported in PMCHS, including the disconnect between objective fatigue biomarkers and the patient’s perception of their own functional capacity.</w:t>
      </w:r>
    </w:p>
    <w:p w14:paraId="7231A5B9" w14:textId="77777777" w:rsidR="008E1202" w:rsidRPr="00043101" w:rsidRDefault="00000000">
      <w:pPr>
        <w:pStyle w:val="Titre2"/>
        <w:rPr>
          <w:lang w:val="en-GB"/>
        </w:rPr>
      </w:pPr>
      <w:r>
        <w:rPr>
          <w:lang w:val="en-GB"/>
        </w:rPr>
        <w:t>4.5 Limitations</w:t>
      </w:r>
    </w:p>
    <w:p w14:paraId="75AF8FCF" w14:textId="77777777" w:rsidR="008E1202" w:rsidRPr="00043101" w:rsidRDefault="00000000">
      <w:pPr>
        <w:spacing w:before="80" w:after="120" w:line="276" w:lineRule="auto"/>
        <w:jc w:val="both"/>
        <w:rPr>
          <w:lang w:val="en-GB"/>
        </w:rPr>
      </w:pPr>
      <w:r>
        <w:rPr>
          <w:color w:val="000000"/>
          <w:lang w:val="en-GB"/>
        </w:rPr>
        <w:t>Several limitations of this study must be acknowledged. First, the sample was recruited via self-selection through online communities, introducing substantial participation bias toward individuals with prior awareness of MCAS, histamine intolerance, or related conditions. This likely inflates prevalence estimates for most variables relative to the general population, though it is appropriate for characterising the phenomenology of the PMCHS-spectrum population. Second, all diagnoses and symptom reports are self-reported and not clinically verified. Third, the ACE item was added partway through the French-language survey collection, limiting its coverage to 367 of 423 respondents. Fourth, no control group was available for comparison; population-level reference values are used where available. Fifth, formal phenotype assignment and inter-phenotype analysis remain to be performed.</w:t>
      </w:r>
    </w:p>
    <w:p w14:paraId="6B2CDDBA" w14:textId="6FC6603D" w:rsidR="008E1202" w:rsidRPr="00043101" w:rsidRDefault="00000000">
      <w:pPr>
        <w:spacing w:before="80" w:after="120" w:line="276" w:lineRule="auto"/>
        <w:jc w:val="both"/>
        <w:rPr>
          <w:lang w:val="en-GB"/>
        </w:rPr>
      </w:pPr>
      <w:r>
        <w:rPr>
          <w:color w:val="000000"/>
          <w:lang w:val="en-GB"/>
        </w:rPr>
        <w:t>Despite these limitations, the internal consistency of the findings - and their convergence with multiple independent lines of published research - supports the validity of the PMCHS framework as a hypothesis-generating model warranting formal prospective investigation.</w:t>
      </w:r>
    </w:p>
    <w:p w14:paraId="33430735" w14:textId="77777777" w:rsidR="008E1202" w:rsidRPr="00043101" w:rsidRDefault="008E1202">
      <w:pPr>
        <w:rPr>
          <w:lang w:val="en-GB"/>
        </w:rPr>
      </w:pPr>
    </w:p>
    <w:p w14:paraId="2D783F9E" w14:textId="77777777" w:rsidR="008E1202" w:rsidRPr="00043101" w:rsidRDefault="008E1202">
      <w:pPr>
        <w:pBdr>
          <w:bottom w:val="single" w:sz="4" w:space="0" w:color="CCCCCC"/>
        </w:pBdr>
        <w:spacing w:before="160" w:after="160"/>
        <w:rPr>
          <w:lang w:val="en-GB"/>
        </w:rPr>
      </w:pPr>
    </w:p>
    <w:p w14:paraId="30C98E6D" w14:textId="77777777" w:rsidR="00804771" w:rsidRDefault="00804771">
      <w:pPr>
        <w:pStyle w:val="Titre1"/>
        <w:rPr>
          <w:lang w:val="en-GB"/>
        </w:rPr>
      </w:pPr>
    </w:p>
    <w:p w14:paraId="6617FBDD" w14:textId="77777777" w:rsidR="00084E0B" w:rsidRDefault="00084E0B">
      <w:pPr>
        <w:pStyle w:val="Titre1"/>
        <w:rPr>
          <w:lang w:val="en-GB"/>
        </w:rPr>
      </w:pPr>
    </w:p>
    <w:p w14:paraId="792D4F2F" w14:textId="79183581" w:rsidR="008E1202" w:rsidRPr="00043101" w:rsidRDefault="00000000">
      <w:pPr>
        <w:pStyle w:val="Titre1"/>
        <w:rPr>
          <w:lang w:val="en-GB"/>
        </w:rPr>
      </w:pPr>
      <w:r>
        <w:rPr>
          <w:lang w:val="en-GB"/>
        </w:rPr>
        <w:lastRenderedPageBreak/>
        <w:t>5. Conclusion</w:t>
      </w:r>
    </w:p>
    <w:p w14:paraId="5A43C684" w14:textId="0E341908" w:rsidR="008E1202" w:rsidRPr="00043101" w:rsidRDefault="00000000">
      <w:pPr>
        <w:spacing w:before="80" w:after="120" w:line="276" w:lineRule="auto"/>
        <w:jc w:val="both"/>
        <w:rPr>
          <w:lang w:val="en-GB"/>
        </w:rPr>
      </w:pPr>
      <w:r>
        <w:rPr>
          <w:color w:val="000000"/>
          <w:lang w:val="en-GB"/>
        </w:rPr>
        <w:t>PMCHS - Programmed Mast Cell Hyperreactivity Syndrome - offers a mechanistically grounded, clinically coherent framework for understanding the convergence of chronic multisystem conditions currently treated as independent diagnostic entities. Survey data from 423 respondents demonstrate a consistent epidemiological signature: extreme diagnostic delay (94.8% difficult trajectory; 42.3% &gt;15 years), near-universal female predominance (96.0%), high ACE prevalence (79.3%), predominantly maternal familial transmission (5.4:1 ratio), and an elevated SIDS family history signal (9.7%).</w:t>
      </w:r>
    </w:p>
    <w:p w14:paraId="7523AD50" w14:textId="77777777" w:rsidR="008E1202" w:rsidRPr="00043101" w:rsidRDefault="00000000">
      <w:pPr>
        <w:spacing w:before="80" w:after="120" w:line="276" w:lineRule="auto"/>
        <w:jc w:val="both"/>
        <w:rPr>
          <w:lang w:val="en-GB"/>
        </w:rPr>
      </w:pPr>
      <w:r>
        <w:rPr>
          <w:color w:val="000000"/>
          <w:lang w:val="en-GB"/>
        </w:rPr>
        <w:t>These findings, integrated with the mechanistic literature on NR3C1 epigenetics, mitochondrial transmission, thalamo-amygdalar mast cell activation, and the emerging evidence that hEDS may have neuroimmune rather than primarily connective tissue origins, position PMCHS as a compelling and testable explanatory framework. It provides the missing mechanistic bridge between early adversity, epigenetic reprogramming, mast cell dysregulation, and the heterogeneous chronic disease burden that constitutes one of the largest unmet diagnostic and therapeutic challenges in contemporary medicine.</w:t>
      </w:r>
    </w:p>
    <w:p w14:paraId="74BCBD76" w14:textId="77777777" w:rsidR="008E1202" w:rsidRPr="00043101" w:rsidRDefault="00000000">
      <w:pPr>
        <w:spacing w:before="80" w:after="120" w:line="276" w:lineRule="auto"/>
        <w:jc w:val="both"/>
        <w:rPr>
          <w:lang w:val="en-GB"/>
        </w:rPr>
      </w:pPr>
      <w:r>
        <w:rPr>
          <w:color w:val="000000"/>
          <w:lang w:val="en-GB"/>
        </w:rPr>
        <w:t>We call for prospective cohort studies incorporating standardised ACE assessment, mast cell mediator profiling, mitochondrial sequencing, and neuroimaging in families with PMCHS-pattern histories, alongside formal evaluation of the degranulation phenotype model in clinical populations.</w:t>
      </w:r>
    </w:p>
    <w:p w14:paraId="07BD4B30" w14:textId="77777777" w:rsidR="008E1202" w:rsidRPr="00043101" w:rsidRDefault="008E1202">
      <w:pPr>
        <w:rPr>
          <w:lang w:val="en-GB"/>
        </w:rPr>
      </w:pPr>
    </w:p>
    <w:p w14:paraId="03FA1289" w14:textId="77777777" w:rsidR="008E1202" w:rsidRPr="00043101" w:rsidRDefault="008E1202">
      <w:pPr>
        <w:pBdr>
          <w:bottom w:val="single" w:sz="4" w:space="0" w:color="CCCCCC"/>
        </w:pBdr>
        <w:spacing w:before="160" w:after="160"/>
        <w:rPr>
          <w:lang w:val="en-GB"/>
        </w:rPr>
      </w:pPr>
    </w:p>
    <w:p w14:paraId="2BA5B7AF" w14:textId="77777777" w:rsidR="008E1202" w:rsidRPr="00043101" w:rsidRDefault="00000000">
      <w:pPr>
        <w:pStyle w:val="Titre1"/>
        <w:rPr>
          <w:lang w:val="en-GB"/>
        </w:rPr>
      </w:pPr>
      <w:r>
        <w:rPr>
          <w:lang w:val="en-GB"/>
        </w:rPr>
        <w:t>Ethical Statement</w:t>
      </w:r>
    </w:p>
    <w:p w14:paraId="0F848AF8" w14:textId="77777777" w:rsidR="008E1202" w:rsidRPr="00043101" w:rsidRDefault="00000000">
      <w:pPr>
        <w:spacing w:before="80" w:after="120" w:line="276" w:lineRule="auto"/>
        <w:jc w:val="both"/>
        <w:rPr>
          <w:lang w:val="en-GB"/>
        </w:rPr>
      </w:pPr>
      <w:r>
        <w:rPr>
          <w:color w:val="000000"/>
          <w:lang w:val="en-GB"/>
        </w:rPr>
        <w:t>Data were collected via an anonymous, voluntary online survey with no collection of personally identifiable information. Participation was entirely self-selected; no incentives were offered. The survey was publicly presented as part of an independent research initiative. In accordance with criteria applicable to anonymous, non-interventional survey research, formal ethical committee approval was not required. All data were handled in compliance with applicable data protection regulations (GDPR).</w:t>
      </w:r>
    </w:p>
    <w:p w14:paraId="6AD41020" w14:textId="77777777" w:rsidR="008E1202" w:rsidRPr="00043101" w:rsidRDefault="008E1202">
      <w:pPr>
        <w:rPr>
          <w:lang w:val="en-GB"/>
        </w:rPr>
      </w:pPr>
    </w:p>
    <w:p w14:paraId="647B9921" w14:textId="77777777" w:rsidR="008E1202" w:rsidRPr="00043101" w:rsidRDefault="00000000">
      <w:pPr>
        <w:pStyle w:val="Titre1"/>
        <w:rPr>
          <w:lang w:val="en-GB"/>
        </w:rPr>
      </w:pPr>
      <w:r>
        <w:rPr>
          <w:lang w:val="en-GB"/>
        </w:rPr>
        <w:t>Conflicts of Interest</w:t>
      </w:r>
    </w:p>
    <w:p w14:paraId="74AE6A6A" w14:textId="77777777" w:rsidR="008E1202" w:rsidRPr="00043101" w:rsidRDefault="00000000">
      <w:pPr>
        <w:spacing w:before="80" w:after="120" w:line="276" w:lineRule="auto"/>
        <w:jc w:val="both"/>
        <w:rPr>
          <w:lang w:val="en-GB"/>
        </w:rPr>
      </w:pPr>
      <w:r>
        <w:rPr>
          <w:color w:val="000000"/>
          <w:lang w:val="en-GB"/>
        </w:rPr>
        <w:t>The lead author declares no financial conflicts of interest. E. Silva is an independent researcher and has personal lived experience of PMCHS-spectrum conditions, which informed the development of the research questions. No funding was received for this work.</w:t>
      </w:r>
    </w:p>
    <w:p w14:paraId="1DAE77EE" w14:textId="77777777" w:rsidR="007F7C17" w:rsidRDefault="007F7C17">
      <w:pPr>
        <w:rPr>
          <w:lang w:val="en-GB"/>
        </w:rPr>
      </w:pPr>
    </w:p>
    <w:p w14:paraId="AA110001" w14:textId="77777777" w:rsidR="008E1202" w:rsidRPr="00043101" w:rsidRDefault="00000000">
      <w:pPr>
        <w:pStyle w:val="Titre1"/>
        <w:rPr>
          <w:lang w:val="en-GB"/>
        </w:rPr>
      </w:pPr>
      <w:r>
        <w:rPr>
          <w:lang w:val="en-GB"/>
        </w:rPr>
        <w:t>AI Assistance Disclosure</w:t>
      </w:r>
    </w:p>
    <w:p w14:paraId="AA110002" w14:textId="77777777" w:rsidR="008E1202" w:rsidRPr="00043101" w:rsidRDefault="00000000">
      <w:pPr>
        <w:spacing w:before="80" w:after="120" w:line="276" w:lineRule="auto"/>
        <w:jc w:val="both"/>
        <w:rPr>
          <w:lang w:val="en-GB"/>
        </w:rPr>
      </w:pPr>
      <w:r>
        <w:rPr>
          <w:color w:val="000000"/>
          <w:lang w:val="en-GB"/>
        </w:rPr>
        <w:t xml:space="preserve">The author used Claude (Anthropic, claude.ai, Claude Sonnet 4.5) as an AI writing assistant during the preparation of this manuscript, including for text drafting, structural organisation, and editing. All scientific content, hypotheses, mechanistic models, survey design, data analysis, and interpretations were generated, verified, and are the sole responsibility of the author. The author has reviewed the full manuscript for accuracy and takes full intellectual responsibility for the final text.</w:t>
      </w:r>
    </w:p>
    <w:p w14:paraId="AA110003" w14:textId="77777777" w:rsidR="007F7C17" w:rsidRDefault="007F7C17">
      <w:pPr>
        <w:rPr>
          <w:lang w:val="en-GB"/>
        </w:rPr>
      </w:pPr>
    </w:p>
    <w:p w14:paraId="AA110004" w14:textId="77777777" w:rsidR="008E1202" w:rsidRPr="00043101" w:rsidRDefault="00000000">
      <w:pPr>
        <w:pStyle w:val="Titre1"/>
        <w:rPr>
          <w:lang w:val="en-GB"/>
        </w:rPr>
      </w:pPr>
      <w:r>
        <w:rPr>
          <w:lang w:val="en-GB"/>
        </w:rPr>
        <w:t>Data Availability</w:t>
      </w:r>
    </w:p>
    <w:p w14:paraId="AA110005" w14:textId="77777777" w:rsidR="008E1202" w:rsidRPr="00043101" w:rsidRDefault="00000000">
      <w:pPr>
        <w:spacing w:before="80" w:after="120" w:line="276" w:lineRule="auto"/>
        <w:jc w:val="both"/>
        <w:rPr>
          <w:lang w:val="en-GB"/>
        </w:rPr>
      </w:pPr>
      <w:r>
        <w:rPr>
          <w:color w:val="000000"/>
          <w:lang w:val="en-GB"/>
        </w:rPr>
        <w:t xml:space="preserve">The anonymised survey dataset underlying this study is available from the corresponding author upon reasonable request. Full anonymisation was applied in accordance with GDPR requirements prior to any data sharing. No personally identifiable information was collected as part of the survey instrument. Data requests may be directed to the author via pmchs.org.</w:t>
      </w:r>
    </w:p>
    <w:p w14:paraId="AA110006" w14:textId="77777777" w:rsidR="007F7C17" w:rsidRDefault="007F7C17">
      <w:pPr>
        <w:rPr>
          <w:lang w:val="en-GB"/>
        </w:rPr>
      </w:pPr>
    </w:p>
    <w:p w14:paraId="359C097C" w14:textId="77777777" w:rsidR="008E1202" w:rsidRPr="00043101" w:rsidRDefault="00000000">
      <w:pPr>
        <w:pStyle w:val="Titre1"/>
        <w:rPr>
          <w:lang w:val="en-GB"/>
        </w:rPr>
      </w:pPr>
      <w:r>
        <w:rPr>
          <w:lang w:val="en-GB"/>
        </w:rPr>
        <w:lastRenderedPageBreak/>
        <w:t>References</w:t>
      </w:r>
    </w:p>
    <w:p w14:paraId="5D12E1A8" w14:textId="77777777" w:rsidR="002E341A" w:rsidRDefault="009D6893">
      <w:pPr>
        <w:spacing w:before="80" w:after="80"/>
        <w:rPr>
          <w:bCs/>
          <w:color w:val="000000"/>
          <w:sz w:val="20"/>
          <w:szCs w:val="20"/>
          <w:lang w:val="en-GB"/>
        </w:rPr>
      </w:pPr>
      <w:r>
        <w:rPr>
          <w:b/>
          <w:bCs/>
          <w:color w:val="000000"/>
          <w:sz w:val="20"/>
          <w:szCs w:val="20"/>
          <w:lang w:val="en-GB"/>
        </w:rPr>
        <w:t xml:space="preserve">FOUNDING REFERENCES </w:t>
      </w:r>
      <w:r>
        <w:rPr>
          <w:bCs/>
          <w:color w:val="000000"/>
          <w:sz w:val="20"/>
          <w:szCs w:val="20"/>
          <w:lang w:val="en-GB"/>
        </w:rPr>
        <w:t>1. Afrin LB, Ackerley MB, Bluestein LS, Brewer JH, Dempsey TT, Radovsky L, Ruhoy IL, Weinstock LB, Molderings GJ, et al. Diagnosis of mast cell activation syndrome: a global “consensus</w:t>
        <w:noBreakHyphen/>
        <w:t xml:space="preserve">2”. Diagnosis. 2020;8(2). 2. Theoharides TC. Mast cells, stress, and psychiatric disorders: the CRH–substance P axis. J Clin Psychopharmacol. 2020;40(3):259–263. </w:t>
      </w:r>
    </w:p>
    <w:p w14:paraId="023C17E2" w14:textId="77777777" w:rsidR="002E341A" w:rsidRDefault="009D6893">
      <w:pPr>
        <w:spacing w:before="80" w:after="80"/>
        <w:rPr>
          <w:bCs/>
          <w:color w:val="000000"/>
          <w:sz w:val="20"/>
          <w:szCs w:val="20"/>
          <w:lang w:val="en-GB"/>
        </w:rPr>
      </w:pPr>
      <w:r>
        <w:rPr>
          <w:b/>
          <w:bCs/>
          <w:color w:val="000000"/>
          <w:sz w:val="20"/>
          <w:szCs w:val="20"/>
          <w:lang w:val="en-GB"/>
        </w:rPr>
        <w:t xml:space="preserve">CENTRAL MECHANISMS </w:t>
      </w:r>
      <w:r>
        <w:rPr>
          <w:bCs/>
          <w:color w:val="000000"/>
          <w:sz w:val="20"/>
          <w:szCs w:val="20"/>
          <w:lang w:val="en-GB"/>
        </w:rPr>
        <w:t>3. Theoharides TC, Twahir A, Kempuraj D. Mast cells in the autonomic nervous system and their role in dysautonomia. Ann Allergy Asthma Immunol. 2024;132(4):440–454. 4. Skaper SD, Facci L, Giusti P. Mast cells, glia and neuroinflammation: partners in crime? Immunology. 2014;141(3):314–327. 5. Weinstock LB, Nelson RM, Blitshteyn S. Neuropsychiatric manifestations of mast cell activation syndrome and response to mast</w:t>
        <w:noBreakHyphen/>
        <w:t>cell</w:t>
        <w:noBreakHyphen/>
        <w:t>directed treatment. J Pers Med. 2023;13(11):1562. 6. Kovacheva E, Gevezova M, Maes M, Sarafian V. Mast cells in autism spectrum disorder - the enigma to be solved? 2024. PMCID: PMC10932299. 7. Wang HR, Liu Z</w:t>
        <w:noBreakHyphen/>
        <w:t>Q, Pozzi E, Stevens JS, Schmaal L, Ho TC, et al. Childhood maltreatment and deviations from normative brain structure. Biol Psychiatry. 2026. doi:10.1016/j.biopsych.2026.02.016. 8. Agier J, Żelechowska P, Kozłowska E, Brzezińska</w:t>
        <w:noBreakHyphen/>
        <w:t>Błaszczyk E. Expression of surface and intracellular toll</w:t>
        <w:noBreakHyphen/>
        <w:t>like receptors by mature mast cells. Cent Eur J Immunol. 2016;41:333–338. 9. Platt MS, Yunginger JW, Sekula</w:t>
        <w:noBreakHyphen/>
        <w:t>Perlman A, Irani AM, Smialek J, Mirchandani HG, Schwartz LB. Involvement of mast cells in sudden infant death syndrome. J Allergy Clin Immunol. 1994;94(2):250–256. 10. Zaitsu M, Hamasaki Y, Matsuo M, Ichimaru T, Fujita I, Tasaki H, Miyazaki S. Estradiol activates mast cells via a non</w:t>
        <w:noBreakHyphen/>
        <w:t>genomic estrogen receptor</w:t>
        <w:noBreakHyphen/>
      </w:r>
      <w:r>
        <w:rPr>
          <w:bCs/>
          <w:color w:val="000000"/>
          <w:sz w:val="20"/>
          <w:szCs w:val="20"/>
        </w:rPr>
        <w:t>α</w:t>
      </w:r>
      <w:r>
        <w:rPr>
          <w:bCs/>
          <w:color w:val="000000"/>
          <w:sz w:val="20"/>
          <w:szCs w:val="20"/>
          <w:lang w:val="en-GB"/>
        </w:rPr>
        <w:t>. Mol Immunol. 2007;44(8):1977. 11. Wang J, et al. Mast cells and estrogen</w:t>
        <w:noBreakHyphen/>
        <w:t>induced pain sensitization in endometriosis. Int J Biol Sci. 2025;21(13):5891. 12. Agier J, Brzezińska</w:t>
        <w:noBreakHyphen/>
        <w:t>Błaszczyk E, et al. HMGB1</w:t>
        <w:noBreakHyphen/>
        <w:t>dependent signaling in mast cell activity. Front Immunol. 2025;16:1643427. 13. Vasiadi M, Kempuraj D, Theoharides TC. Progesterone inhibits mast cell secretion. Int J Immunopathol Pharmacol. 2006;19(4):787. 14. Song N, et al. Vasoactive intestinal peptide inhibits mast cell activation. Front Immunol. 2021;12:765432. 15. Henning RJ, et al. Vasoactive intestinal peptide release during nerve stimulation. Am J Physiol Heart Circ Physiol. 2001;280:H260–H268. 16. Qi X</w:t>
        <w:noBreakHyphen/>
        <w:t>R, Zhang L. Gut peptide hormones in autism spectrum disorder. Front Neurosci. 2020;14:612. 17. Masaki T, Yoshimatsu H, et al. Hypothalamic H1 receptor regulates feeding rhythm and obesity. Diabetes. 2004;53(9):2250–2260. 18. Levy D, Kainz V, Burstein R, Strassman AM. Mast cell degranulation activates trigemino</w:t>
        <w:noBreakHyphen/>
        <w:t>cervical and lumbosacral pain pathways. Brain Behav Immun. 2012;26:311. 19. Scanzano A, Cosentino M. Adrenergic regulation of innate immunity. Front Pharmacol. 2015;6:171. 20. Iddamalgoda A, et al. Mast cell tryptase contributes to photoaging. Arch Dermatol Res. 2008;300(4):207–215. 21. Cairns JA, Walls AF. Mast cell tryptase stimulates type I collagen synthesis. J Clin Invest. 1997;99(6):1313. 22. Ikeda T, et al. Tryptase and anti</w:t>
        <w:noBreakHyphen/>
        <w:t xml:space="preserve">type II collagen antibodies in idiopathic epiretinal membranes. Ophthalmol Ther. 2015;4(2):181–190. 23. Sanna MD, Bhattacharya A. The histaminergic system as a target for metabolic syndrome. Neuropharmacology. 2015;106:13. 24. Sahid MNA, et al. Three types of mast cell exocytosis. J Immunoassay Immunochem. 2020;41(3):354–371. 25. Kaliner M. Mast cell mediators and asthma. Chest. 1987;91(6 Suppl):176S–181S. 26. Akin C. Open questions in MCAS. J Allergy Clin Immunol. 2017;140(2):349–355. 27. Shabani K, Hassan B, et al. APP and neurodevelopment. Sci Adv. 2023;add5002. 28. Zhang B, Asadi S, Weng Z, Sismanopoulos N, Theoharides TC. Stimulated human mast cells secrete mitochondrial components with autocrine and paracrine inflammatory actions. PLoS One. 2012;7(12):e49767. </w:t>
      </w:r>
    </w:p>
    <w:p w14:paraId="2B1EA28E" w14:textId="77777777" w:rsidR="002E341A" w:rsidRDefault="009D6893">
      <w:pPr>
        <w:spacing w:before="80" w:after="80"/>
        <w:rPr>
          <w:bCs/>
          <w:color w:val="000000"/>
          <w:sz w:val="20"/>
          <w:szCs w:val="20"/>
          <w:lang w:val="en-GB"/>
        </w:rPr>
      </w:pPr>
      <w:r>
        <w:rPr>
          <w:b/>
          <w:bCs/>
          <w:color w:val="000000"/>
          <w:sz w:val="20"/>
          <w:szCs w:val="20"/>
          <w:lang w:val="en-GB"/>
        </w:rPr>
        <w:t xml:space="preserve">DOCUMENTED COMORBIDITIES </w:t>
      </w:r>
      <w:r>
        <w:rPr>
          <w:bCs/>
          <w:color w:val="000000"/>
          <w:sz w:val="20"/>
          <w:szCs w:val="20"/>
          <w:lang w:val="en-GB"/>
        </w:rPr>
        <w:t xml:space="preserve">29. Burke OM, et al. Innate immunity and epigenetics in hidradenitis suppurativa. </w:t>
      </w:r>
      <w:r>
        <w:rPr>
          <w:bCs/>
          <w:color w:val="000000"/>
          <w:sz w:val="20"/>
          <w:szCs w:val="20"/>
        </w:rPr>
        <w:t xml:space="preserve">Front Immunol. 2025;16:1593253. 30. Takaichi M, Theoharides TC, Demer A, et al. </w:t>
      </w:r>
      <w:r>
        <w:rPr>
          <w:bCs/>
          <w:color w:val="000000"/>
          <w:sz w:val="20"/>
          <w:szCs w:val="20"/>
          <w:lang w:val="en-GB"/>
        </w:rPr>
        <w:t>Mast cells and CRH in hidradenitis suppurativa. J Invest Dermatol. 2023;143(5 Suppl):S29. Abstract 173. 31. Chu X, et al. IL</w:t>
        <w:noBreakHyphen/>
        <w:t>17A</w:t>
        <w:noBreakHyphen/>
        <w:t xml:space="preserve">expressing mast cells in hidradenitis suppurativa. </w:t>
      </w:r>
      <w:r>
        <w:rPr>
          <w:bCs/>
          <w:color w:val="000000"/>
          <w:sz w:val="20"/>
          <w:szCs w:val="20"/>
        </w:rPr>
        <w:t xml:space="preserve">Br J Dermatol. 2023;189:e110. 32. Sabat R, Jemec GBE, Matusiak L, et al. </w:t>
      </w:r>
      <w:r>
        <w:rPr>
          <w:bCs/>
          <w:color w:val="000000"/>
          <w:sz w:val="20"/>
          <w:szCs w:val="20"/>
          <w:lang w:val="en-GB"/>
        </w:rPr>
        <w:t>Hidradenitis suppurativa. Nat Rev Dis Primers. 2020;6:18. 33. Strenzke N, Menzen M, Homann J, Molderings GJ. Auditory neuropathy in systemic mast cell activation disease. Otolaryngol Case Rep. 2024;31:100606. 34. Zeng B, et al. Mast cell mediators from cochlear tissue. Cells. 2025;14(20):1615. 35. Augustin M, et al. Gut</w:t>
        <w:noBreakHyphen/>
        <w:t>immune axis dysregulation in Post</w:t>
        <w:noBreakHyphen/>
        <w:t xml:space="preserve">COVID. Mucosal Immunol. 2026. 36. Allen M, Schwartz M, Herbst KL. Interstitial fluid in lipedema. Womens Health Rep. 2020;1(1):480. 37. Rasmussen JC, Herbst KL, et al. Lymphatic function in early lipedema. Obesity. 2022;30(7):1391. 38. Bonetti G, et al. Sodium cromoglycate for lipedema. </w:t>
      </w:r>
      <w:r>
        <w:rPr>
          <w:bCs/>
          <w:color w:val="000000"/>
          <w:sz w:val="20"/>
          <w:szCs w:val="20"/>
        </w:rPr>
        <w:t xml:space="preserve">Clin Ter. 2023;174 Suppl 2(6):256. 39. Buttgereit T, Ohanyan T, Buttgereit J, et al. </w:t>
      </w:r>
      <w:r>
        <w:rPr>
          <w:bCs/>
          <w:color w:val="000000"/>
          <w:sz w:val="20"/>
          <w:szCs w:val="20"/>
          <w:lang w:val="en-GB"/>
        </w:rPr>
        <w:t xml:space="preserve">Idiopathic MCAS is more often suspected </w:t>
        <w:lastRenderedPageBreak/>
        <w:t>than diagnosed. Allergy. 2022;77:2794. 40. Weinstock LB, Brook JB, Walters AS, Goris A, Afrin LB, Molderings GJ. Neuropsychiatric manifestations of MCAS. J Pers Med. 2023. 41. Mahra K, et al. RNA</w:t>
        <w:noBreakHyphen/>
        <w:t>seq of granulosa cells in PCOS. Genomics Inform. 2025;23(2):e15. 42. Singh V, Mahra K, Jung D, Shin JH. Gut microbes in PCOS. Probiotics Antimicrob Proteins. 2024;16(5):1744–1761. 43. Gold M, Goldberg S, Sivan Y. Mast cell activation in SIDS/ALTE families. J Pediatr. 2000;136(3):351–356. 44. Holgate ST, Walters C, Walls AF, et al. Tryptase and PGD2 in SIDS. Clin Exp Allergy. 1994. 45. Bollinger ME, Wood RA. The anaphylaxis hypothesis of SIDS. Pediatrics. 1996;98(2):320. 46. Ricigliano VAG, Tolassi A, et al. Choroid plexus imaging in presymptomatic MS. Neurol Neuroimmunol Neuroinflamm. 2022;9(3):e1150. 47. Ruhoy IL. MCAS, post</w:t>
        <w:noBreakHyphen/>
        <w:t xml:space="preserve">viral concerns, hEDS, POTS, and CSF leak. Conference presentation; Jan 28, 2025. </w:t>
      </w:r>
    </w:p>
    <w:p w14:paraId="5B2AB7A2" w14:textId="77777777" w:rsidR="002E341A" w:rsidRDefault="006864AB">
      <w:pPr>
        <w:spacing w:before="80" w:after="80"/>
        <w:rPr>
          <w:bCs/>
          <w:color w:val="000000"/>
          <w:sz w:val="20"/>
          <w:szCs w:val="20"/>
          <w:lang w:val="en-GB"/>
        </w:rPr>
      </w:pPr>
      <w:r>
        <w:rPr>
          <w:b/>
          <w:bCs/>
          <w:color w:val="000000"/>
          <w:sz w:val="20"/>
          <w:szCs w:val="20"/>
          <w:lang w:val="en-GB"/>
        </w:rPr>
        <w:t xml:space="preserve">EPIGENETICS AND TRANSMISSION </w:t>
      </w:r>
      <w:r>
        <w:rPr>
          <w:bCs/>
          <w:color w:val="000000"/>
          <w:sz w:val="20"/>
          <w:szCs w:val="20"/>
          <w:lang w:val="en-GB"/>
        </w:rPr>
        <w:t xml:space="preserve">48. Mangum KD, Gallagher KA. Obesity confers macrophage memory. Science. 2023;379:28. 49. Tysoe O. Obesity induces epigenetic memory. Nat Rev Endocrinol. 2023;19:128. 50. Houtepen LC, et al. DNA methylation and cortisol reactivity after childhood trauma. Nat Commun. 2016. 51. Bhatt DL, et al. VNS alters the epigenetic landscape. J Neurosci. 2019. 52. Front Physiol. The epigenetic role of the vagal complex. 2023;1279258. 53. Yehuda R, Lehrner A. Intergenerational transmission of trauma effects: putative role of epigenetic mechanisms. World Psychiatry. 2018;17(3):243–257. </w:t>
      </w:r>
    </w:p>
    <w:p w14:paraId="2513786B" w14:textId="77777777" w:rsidR="002E341A" w:rsidRDefault="006864AB">
      <w:pPr>
        <w:spacing w:before="80" w:after="80"/>
        <w:rPr>
          <w:bCs/>
          <w:color w:val="000000"/>
          <w:sz w:val="20"/>
          <w:szCs w:val="20"/>
        </w:rPr>
      </w:pPr>
      <w:r>
        <w:rPr>
          <w:b/>
          <w:bCs/>
          <w:color w:val="000000"/>
          <w:sz w:val="20"/>
          <w:szCs w:val="20"/>
          <w:lang w:val="en-GB"/>
        </w:rPr>
        <w:t xml:space="preserve">THERAPEUTIC APPROACHES </w:t>
      </w:r>
      <w:r>
        <w:rPr>
          <w:bCs/>
          <w:color w:val="000000"/>
          <w:sz w:val="20"/>
          <w:szCs w:val="20"/>
          <w:lang w:val="en-GB"/>
        </w:rPr>
        <w:t>54. Weng Z, Zhang B, Asadi S, et al. Quercetin blocks mast cell cytokine release. PLoS One. 2012. 55. Mothe</w:t>
        <w:noBreakHyphen/>
        <w:t xml:space="preserve">Satney I, Filloux C, Amghar H, et al. </w:t>
      </w:r>
      <w:r>
        <w:rPr>
          <w:bCs/>
          <w:color w:val="000000"/>
          <w:sz w:val="20"/>
          <w:szCs w:val="20"/>
        </w:rPr>
        <w:t xml:space="preserve">Adipocytes secrete leukotrienes. Diabetes. 2012;61(9):2311–2319. </w:t>
      </w:r>
    </w:p>
    <w:p w14:paraId="3E25570E" w14:textId="77777777" w:rsidR="002E341A" w:rsidRDefault="006864AB">
      <w:pPr>
        <w:spacing w:before="80" w:after="80"/>
        <w:rPr>
          <w:bCs/>
          <w:color w:val="000000"/>
          <w:sz w:val="20"/>
          <w:szCs w:val="20"/>
          <w:lang w:val="en-GB"/>
        </w:rPr>
      </w:pPr>
      <w:r>
        <w:rPr>
          <w:b/>
          <w:bCs/>
          <w:color w:val="000000"/>
          <w:sz w:val="20"/>
          <w:szCs w:val="20"/>
        </w:rPr>
        <w:t xml:space="preserve">DIAGNOSTIC CRITERIA </w:t>
      </w:r>
      <w:r>
        <w:rPr>
          <w:bCs/>
          <w:color w:val="000000"/>
          <w:sz w:val="20"/>
          <w:szCs w:val="20"/>
        </w:rPr>
        <w:t>56. Timmermans S, Petrucci</w:t>
        <w:noBreakHyphen/>
        <w:t xml:space="preserve">Nelson T, Gensemer C, et al. </w:t>
      </w:r>
      <w:r>
        <w:rPr>
          <w:bCs/>
          <w:color w:val="000000"/>
          <w:sz w:val="20"/>
          <w:szCs w:val="20"/>
          <w:lang w:val="en-GB"/>
        </w:rPr>
        <w:t>Complex genetics of hEDS. medRxiv. 2025. 57. Shirvani A, Shirvani P, Holick MF. Genetic architecture of hEDS. Genes. 2026;17(2):211. 58. Si H, Bhatte SH, Bhattacharyya S, Bhattacharya I, Bhattacharya S. CRAC channels mediate histamine</w:t>
        <w:noBreakHyphen/>
        <w:t>induced Ca²</w:t>
      </w:r>
      <w:r>
        <w:rPr>
          <w:rFonts w:ascii="Cambria Math" w:hAnsi="Cambria Math" w:cs="Cambria Math"/>
          <w:bCs/>
          <w:color w:val="000000"/>
          <w:sz w:val="20"/>
          <w:szCs w:val="20"/>
          <w:lang w:val="en-GB"/>
        </w:rPr>
        <w:t>⁺</w:t>
      </w:r>
      <w:r>
        <w:rPr>
          <w:bCs/>
          <w:color w:val="000000"/>
          <w:sz w:val="20"/>
          <w:szCs w:val="20"/>
          <w:lang w:val="en-GB"/>
        </w:rPr>
        <w:t xml:space="preserve"> entry. Am J Physiol Heart Circ Physiol. 2020;318:H1230–H1240. 59. Regitz</w:t>
        <w:noBreakHyphen/>
        <w:t>Zagrosek V, Kararigas G, et al. Progesterone and immune modulation. 2023. 60. Fiengo E, Sbarbati A. Lipedema and HSD. J Clin Med. 2025;14(20):7195. 61. Monaco A, et al. Mast</w:t>
        <w:noBreakHyphen/>
        <w:t>cell</w:t>
        <w:noBreakHyphen/>
        <w:t>related conditions and hypermobile syndromes. Immunol Res. 2022;70:419–430. 62. Deng C, et al. H1 receptor antagonism and antipsychotic</w:t>
        <w:noBreakHyphen/>
        <w:t xml:space="preserve">induced weight gain. CNS Drugs. 2013;27:421–432. 63. Yoshimoto R, et al. Histaminergic regulation of food intake. Front Endocrinol. 2023;14:123456. 64. Le Guern V. Sexual hormones and autoimmunity. Presse Med Form. 2020;1(1):36–45. 65. Voelker D, et al. Validated urinary biomarkers for MCAS. Curr Opin Allergy Clin Immunol. 2025;25(3):145–152. </w:t>
      </w:r>
    </w:p>
    <w:p w14:paraId="30E312E4" w14:textId="76FF607B" w:rsidR="008E1202" w:rsidRPr="002E341A" w:rsidRDefault="006864AB">
      <w:pPr>
        <w:spacing w:before="80" w:after="80"/>
        <w:rPr>
          <w:lang w:val="en-GB"/>
        </w:rPr>
      </w:pPr>
      <w:r>
        <w:rPr>
          <w:b/>
          <w:bCs/>
          <w:color w:val="000000"/>
          <w:sz w:val="20"/>
          <w:szCs w:val="20"/>
          <w:lang w:val="en-GB"/>
        </w:rPr>
        <w:t xml:space="preserve">ADDITIONAL REFERENCES </w:t>
      </w:r>
      <w:r>
        <w:rPr>
          <w:bCs/>
          <w:color w:val="000000"/>
          <w:sz w:val="20"/>
          <w:szCs w:val="20"/>
          <w:lang w:val="en-GB"/>
        </w:rPr>
        <w:t xml:space="preserve">66. Quadt L, Savage G, Bond R, et al. Neurodivergence and connective tissue in chronic pain/fatigue. J Psychiatr Res. 2026. 67. Wang X, et al. Early adversity and amygdala alterations. </w:t>
      </w:r>
      <w:r>
        <w:rPr>
          <w:bCs/>
          <w:color w:val="000000"/>
          <w:sz w:val="20"/>
          <w:szCs w:val="20"/>
        </w:rPr>
        <w:t xml:space="preserve">Biol Psychiatry. 2026. 68. Gensemer C, Petrucci T, Beck T, et al. </w:t>
      </w:r>
      <w:r>
        <w:rPr>
          <w:bCs/>
          <w:color w:val="000000"/>
          <w:sz w:val="20"/>
          <w:szCs w:val="20"/>
          <w:lang w:val="en-GB"/>
        </w:rPr>
        <w:t>KLK15 alters connective tissues in hEDS. iScience. 2025;28(9):113343. 69. Griggs M, Daylor V, Petrucci T, et al. Proteomic discoveries in hEDS. ImmunoHorizons. 2025;9(10):vlaf044. 70. Daylor V, Griggs M, Weintraub A, et al. Global survey of hEDS/HSD. J Clin Med. 2025;14(16):5636. 71. Afrin LB, Weinstock LB, Dempsey T, et al. GLP</w:t>
        <w:noBreakHyphen/>
        <w:t xml:space="preserve">1 receptor agonists in MCAS. Am J Med Sci. 2025;360(1):12–20. 72. Jang SS, Huguenard JR. Thalamic mast cell hyperexcitability. </w:t>
      </w:r>
      <w:r>
        <w:rPr>
          <w:bCs/>
          <w:color w:val="000000"/>
          <w:sz w:val="20"/>
          <w:szCs w:val="20"/>
        </w:rPr>
        <w:t>Sci Adv. 2025. 73. Song H, Fang F, Arnberg F, et al. Stress</w:t>
        <w:noBreakHyphen/>
        <w:t xml:space="preserve">related disorders and autoimmune disease. JAMA. 2018;319(23):2388–2400. 74. Aitella E, Neri L, Azzellino G, et al. Mast cells and neuroinflammation in developmental neuropsychiatric disorders. Biomolecules. 2026;16(4):530. 75. Li D, Han Y, Zhou J, et al. Mast cell–neuron axis in chronic pruritus. Front Immunol. 2025;16:1645095. 76. Kounis NG. </w:t>
      </w:r>
      <w:r>
        <w:rPr>
          <w:bCs/>
          <w:color w:val="000000"/>
          <w:sz w:val="20"/>
          <w:szCs w:val="20"/>
          <w:lang w:val="en-GB"/>
        </w:rPr>
        <w:t xml:space="preserve">Kounis syndrome: an update on epidemiology, pathogenesis, diagnosis and therapeutic management. Clin Chem Lab Med. 2016;54(10):1545–1559. 77. Linnhoff S, Cohen Kadosh R, Zaehle T. EEG-based frontal excitation/inhibition balance as an objective biomarker for cognitive fatigue across multiple sclerosis and Long COVID. Published online January 15, 2026. 78. Pinggal E, Jackson J, Kusztor A, et al. Sleep-like slow waves during wakefulness mediate attention and vigilance difficulties in adult ADHD. </w:t>
      </w:r>
      <w:r>
        <w:rPr>
          <w:bCs/>
          <w:color w:val="000000"/>
          <w:sz w:val="20"/>
          <w:szCs w:val="20"/>
        </w:rPr>
        <w:t xml:space="preserve">J Neurosci. 2026. doi:10.1523/JNEUROSCI.1694-25.2025. 79. Sirés A, Domínguez-Barragán J, et al. </w:t>
      </w:r>
      <w:r>
        <w:rPr>
          <w:bCs/>
          <w:color w:val="000000"/>
          <w:sz w:val="20"/>
          <w:szCs w:val="20"/>
          <w:lang w:val="en-GB"/>
        </w:rPr>
        <w:t xml:space="preserve">Blood transcriptomic analysis reveals a distinct molecular subtype of treatment resistant depression. Brain Behav Immun. 2025;130:106103. 80. Riley EG. Vagus nerve stimulation and the locus coeruleus: implications for Alzheimer’s disease and cognitive aging. The Conversation. Published March 26, 2026. doi:10.64628/AAI.u4j55pksx. 81. Chapman KE, Coutinho AE, Zhang Z, et al. Mast cells express 11β-hydroxysteroid dehydrogenase type 1: a role in restraining mast cell degranulation. PLoS One. 2013;8(1):e54640. PMID: 23349944. 82. Reber LL, Daubeuf F, Plantinga </w:t>
        <w:lastRenderedPageBreak/>
        <w:t xml:space="preserve">M, et al. Molecular mechanisms of glucocorticoid action in mast cells. Mol Cell Endocrinol. 2013;381(1-2):90-101. PMID: 23707629. 83. Tschopp J, Schroder K. Loop between NLRP3 inflammasome and reactive oxygen species. </w:t>
      </w:r>
      <w:r>
        <w:rPr>
          <w:bCs/>
          <w:color w:val="000000"/>
          <w:sz w:val="20"/>
          <w:szCs w:val="20"/>
        </w:rPr>
        <w:t xml:space="preserve">Antioxid Redox Signal. 2022;36(10):784-796. PMID: 34538111. 84. Naegeli C, Zeffiro T, Piccirelli M, et al. </w:t>
      </w:r>
      <w:r>
        <w:rPr>
          <w:bCs/>
          <w:color w:val="000000"/>
          <w:sz w:val="20"/>
          <w:szCs w:val="20"/>
          <w:lang w:val="en-GB"/>
        </w:rPr>
        <w:t>Locus coeruleus activity mediates hyperresponsiveness in posttraumatic stress disorder. Biol Psychiatry. 2018;83(3):254-262. PMID: 29100627. 85. Leon A, Buriani A, Dal Toso R, et al. Mast cells synthesize, store, and release nerve growth factor. Proc Natl Acad Sci USA. 1994;91(9):3739-3743. PMID: 8170980. 86. Skaper SD. Nerve growth factor: a neuroimmune crosstalk mediator for all seasons. Immunology. 2017;151(1):1-15. PMID: 28112808.</w:t>
      </w:r>
    </w:p>
    <w:p w14:paraId="12588A2D" w14:textId="77777777" w:rsidR="008E1202" w:rsidRPr="002E341A" w:rsidRDefault="008E1202">
      <w:pPr>
        <w:spacing w:before="80" w:after="80"/>
        <w:rPr>
          <w:lang w:val="en-GB"/>
        </w:rPr>
      </w:pPr>
    </w:p>
    <w:p w14:paraId="61351B29" w14:textId="77777777" w:rsidR="008E1202" w:rsidRPr="002E341A" w:rsidRDefault="008E1202">
      <w:pPr>
        <w:spacing w:before="80" w:after="40"/>
        <w:rPr>
          <w:lang w:val="en-GB"/>
        </w:rPr>
      </w:pPr>
    </w:p>
    <w:p w14:paraId="4D5FEEED" w14:textId="77777777" w:rsidR="008E1202" w:rsidRDefault="008E1202">
      <w:pPr>
        <w:rPr>
          <w:lang w:val="en-GB"/>
        </w:rPr>
      </w:pPr>
    </w:p>
    <w:p w14:paraId="6AB52A2F" w14:textId="77777777" w:rsidR="002E341A" w:rsidRDefault="002E341A">
      <w:pPr>
        <w:rPr>
          <w:lang w:val="en-GB"/>
        </w:rPr>
      </w:pPr>
    </w:p>
    <w:p w14:paraId="47E2BE3E" w14:textId="77777777" w:rsidR="002E341A" w:rsidRDefault="002E341A">
      <w:pPr>
        <w:rPr>
          <w:lang w:val="en-GB"/>
        </w:rPr>
      </w:pPr>
    </w:p>
    <w:p w14:paraId="5554FD40" w14:textId="77777777" w:rsidR="002E341A" w:rsidRDefault="002E341A">
      <w:pPr>
        <w:rPr>
          <w:lang w:val="en-GB"/>
        </w:rPr>
      </w:pPr>
    </w:p>
    <w:p w14:paraId="4789C126" w14:textId="77777777" w:rsidR="002E341A" w:rsidRDefault="002E341A">
      <w:pPr>
        <w:rPr>
          <w:lang w:val="en-GB"/>
        </w:rPr>
      </w:pPr>
    </w:p>
    <w:p w14:paraId="1077049D" w14:textId="77777777" w:rsidR="002E341A" w:rsidRDefault="002E341A">
      <w:pPr>
        <w:rPr>
          <w:lang w:val="en-GB"/>
        </w:rPr>
      </w:pPr>
    </w:p>
    <w:p w14:paraId="2253C659" w14:textId="77777777" w:rsidR="002E341A" w:rsidRDefault="002E341A">
      <w:pPr>
        <w:rPr>
          <w:lang w:val="en-GB"/>
        </w:rPr>
      </w:pPr>
    </w:p>
    <w:p w14:paraId="57D492E8" w14:textId="77777777" w:rsidR="002E341A" w:rsidRDefault="002E341A">
      <w:pPr>
        <w:rPr>
          <w:lang w:val="en-GB"/>
        </w:rPr>
      </w:pPr>
    </w:p>
    <w:p w14:paraId="5FA26006" w14:textId="77777777" w:rsidR="002E341A" w:rsidRDefault="002E341A">
      <w:pPr>
        <w:rPr>
          <w:lang w:val="en-GB"/>
        </w:rPr>
      </w:pPr>
    </w:p>
    <w:p w14:paraId="11AA48D4" w14:textId="77777777" w:rsidR="002E341A" w:rsidRDefault="002E341A">
      <w:pPr>
        <w:rPr>
          <w:lang w:val="en-GB"/>
        </w:rPr>
      </w:pPr>
    </w:p>
    <w:p w14:paraId="60C12127" w14:textId="77777777" w:rsidR="002E341A" w:rsidRDefault="002E341A">
      <w:pPr>
        <w:rPr>
          <w:lang w:val="en-GB"/>
        </w:rPr>
      </w:pPr>
    </w:p>
    <w:p w14:paraId="656B9891" w14:textId="77777777" w:rsidR="002E341A" w:rsidRDefault="002E341A">
      <w:pPr>
        <w:rPr>
          <w:lang w:val="en-GB"/>
        </w:rPr>
      </w:pPr>
    </w:p>
    <w:p w14:paraId="13771D51" w14:textId="77777777" w:rsidR="002E341A" w:rsidRDefault="002E341A">
      <w:pPr>
        <w:rPr>
          <w:lang w:val="en-GB"/>
        </w:rPr>
      </w:pPr>
    </w:p>
    <w:p w14:paraId="7DBD0009" w14:textId="77777777" w:rsidR="002E341A" w:rsidRDefault="002E341A">
      <w:pPr>
        <w:rPr>
          <w:lang w:val="en-GB"/>
        </w:rPr>
      </w:pPr>
    </w:p>
    <w:p w14:paraId="53DBFE19" w14:textId="77777777" w:rsidR="002E341A" w:rsidRDefault="002E341A">
      <w:pPr>
        <w:rPr>
          <w:lang w:val="en-GB"/>
        </w:rPr>
      </w:pPr>
    </w:p>
    <w:p w14:paraId="2D1B9D7B" w14:textId="77777777" w:rsidR="002E341A" w:rsidRDefault="002E341A">
      <w:pPr>
        <w:rPr>
          <w:lang w:val="en-GB"/>
        </w:rPr>
      </w:pPr>
    </w:p>
    <w:p w14:paraId="0B6EEBBA" w14:textId="77777777" w:rsidR="002E341A" w:rsidRDefault="002E341A">
      <w:pPr>
        <w:rPr>
          <w:lang w:val="en-GB"/>
        </w:rPr>
      </w:pPr>
    </w:p>
    <w:p w14:paraId="7A67330E" w14:textId="77777777" w:rsidR="00804771" w:rsidRDefault="00804771">
      <w:pPr>
        <w:rPr>
          <w:lang w:val="en-GB"/>
        </w:rPr>
      </w:pPr>
    </w:p>
    <w:p w14:paraId="04659ABD" w14:textId="77777777" w:rsidR="00804771" w:rsidRDefault="00804771">
      <w:pPr>
        <w:rPr>
          <w:lang w:val="en-GB"/>
        </w:rPr>
      </w:pPr>
    </w:p>
    <w:p w14:paraId="6D88BA8C" w14:textId="77777777" w:rsidR="00804771" w:rsidRDefault="00804771">
      <w:pPr>
        <w:rPr>
          <w:lang w:val="en-GB"/>
        </w:rPr>
      </w:pPr>
    </w:p>
    <w:p w14:paraId="366CF1FB" w14:textId="77777777" w:rsidR="00804771" w:rsidRDefault="00804771">
      <w:pPr>
        <w:rPr>
          <w:lang w:val="en-GB"/>
        </w:rPr>
      </w:pPr>
    </w:p>
    <w:p w14:paraId="716C5865" w14:textId="77777777" w:rsidR="00804771" w:rsidRDefault="00804771">
      <w:pPr>
        <w:rPr>
          <w:lang w:val="en-GB"/>
        </w:rPr>
      </w:pPr>
    </w:p>
    <w:p w14:paraId="745DDDAD" w14:textId="77777777" w:rsidR="008E1202" w:rsidRPr="002E341A" w:rsidRDefault="008E1202">
      <w:pPr>
        <w:pBdr>
          <w:bottom w:val="single" w:sz="4" w:space="0" w:color="CCCCCC"/>
        </w:pBdr>
        <w:spacing w:before="160" w:after="160"/>
        <w:rPr>
          <w:lang w:val="en-GB"/>
        </w:rPr>
      </w:pPr>
    </w:p>
    <w:p w14:paraId="500E1F0C" w14:textId="7B1A445F" w:rsidR="008E1202" w:rsidRPr="00043101" w:rsidRDefault="00000000">
      <w:pPr>
        <w:spacing w:before="120"/>
        <w:jc w:val="right"/>
        <w:rPr>
          <w:lang w:val="en-GB"/>
        </w:rPr>
      </w:pPr>
      <w:r>
        <w:rPr>
          <w:i/>
          <w:iCs/>
          <w:color w:val="AAAAAA"/>
          <w:sz w:val="18"/>
          <w:szCs w:val="18"/>
          <w:lang w:val="en-GB"/>
        </w:rPr>
        <w:t>Elisabeth Silva - PMCHS Preprint v0.9 - April 2026</w:t>
      </w:r>
    </w:p>
    <w:sectPr w:rsidR="008E1202" w:rsidRPr="00043101">
      <w:pgSz w:w="12240" w:h="15840"/>
      <w:pgMar w:top="1440" w:right="1440" w:bottom="1440" w:left="144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D57FE3"/>
    <w:multiLevelType w:val="hybridMultilevel"/>
    <w:tmpl w:val="9590500A"/>
    <w:lvl w:ilvl="0" w:tplc="0190368C">
      <w:start w:val="1"/>
      <w:numFmt w:val="bullet"/>
      <w:lvlText w:val="●"/>
      <w:lvlJc w:val="left"/>
      <w:pPr>
        <w:ind w:left="720" w:hanging="360"/>
      </w:pPr>
    </w:lvl>
    <w:lvl w:ilvl="1" w:tplc="19C85152">
      <w:start w:val="1"/>
      <w:numFmt w:val="bullet"/>
      <w:lvlText w:val="○"/>
      <w:lvlJc w:val="left"/>
      <w:pPr>
        <w:ind w:left="1440" w:hanging="360"/>
      </w:pPr>
    </w:lvl>
    <w:lvl w:ilvl="2" w:tplc="1C7E7F74">
      <w:start w:val="1"/>
      <w:numFmt w:val="bullet"/>
      <w:lvlText w:val="■"/>
      <w:lvlJc w:val="left"/>
      <w:pPr>
        <w:ind w:left="2160" w:hanging="360"/>
      </w:pPr>
    </w:lvl>
    <w:lvl w:ilvl="3" w:tplc="F2846DA8">
      <w:start w:val="1"/>
      <w:numFmt w:val="bullet"/>
      <w:lvlText w:val="●"/>
      <w:lvlJc w:val="left"/>
      <w:pPr>
        <w:ind w:left="2880" w:hanging="360"/>
      </w:pPr>
    </w:lvl>
    <w:lvl w:ilvl="4" w:tplc="65D62800">
      <w:start w:val="1"/>
      <w:numFmt w:val="bullet"/>
      <w:lvlText w:val="○"/>
      <w:lvlJc w:val="left"/>
      <w:pPr>
        <w:ind w:left="3600" w:hanging="360"/>
      </w:pPr>
    </w:lvl>
    <w:lvl w:ilvl="5" w:tplc="D7D466C4">
      <w:start w:val="1"/>
      <w:numFmt w:val="bullet"/>
      <w:lvlText w:val="■"/>
      <w:lvlJc w:val="left"/>
      <w:pPr>
        <w:ind w:left="4320" w:hanging="360"/>
      </w:pPr>
    </w:lvl>
    <w:lvl w:ilvl="6" w:tplc="0A90A34A">
      <w:start w:val="1"/>
      <w:numFmt w:val="bullet"/>
      <w:lvlText w:val="●"/>
      <w:lvlJc w:val="left"/>
      <w:pPr>
        <w:ind w:left="5040" w:hanging="360"/>
      </w:pPr>
    </w:lvl>
    <w:lvl w:ilvl="7" w:tplc="C8E46C66">
      <w:start w:val="1"/>
      <w:numFmt w:val="bullet"/>
      <w:lvlText w:val="●"/>
      <w:lvlJc w:val="left"/>
      <w:pPr>
        <w:ind w:left="5760" w:hanging="360"/>
      </w:pPr>
    </w:lvl>
    <w:lvl w:ilvl="8" w:tplc="FC18B364">
      <w:start w:val="1"/>
      <w:numFmt w:val="bullet"/>
      <w:lvlText w:val="●"/>
      <w:lvlJc w:val="left"/>
      <w:pPr>
        <w:ind w:left="6480" w:hanging="360"/>
      </w:pPr>
    </w:lvl>
  </w:abstractNum>
  <w:abstractNum w:abstractNumId="1" w15:restartNumberingAfterBreak="0">
    <w:nsid w:val="78CE5877"/>
    <w:multiLevelType w:val="hybridMultilevel"/>
    <w:tmpl w:val="2924B6C8"/>
    <w:lvl w:ilvl="0" w:tplc="C3A2A6FC">
      <w:start w:val="1"/>
      <w:numFmt w:val="bullet"/>
      <w:lvlText w:val="•"/>
      <w:lvlJc w:val="left"/>
      <w:pPr>
        <w:ind w:left="720" w:hanging="360"/>
      </w:pPr>
    </w:lvl>
    <w:lvl w:ilvl="1" w:tplc="A78E9816">
      <w:numFmt w:val="decimal"/>
      <w:lvlText w:val=""/>
      <w:lvlJc w:val="left"/>
    </w:lvl>
    <w:lvl w:ilvl="2" w:tplc="F690BAF6">
      <w:numFmt w:val="decimal"/>
      <w:lvlText w:val=""/>
      <w:lvlJc w:val="left"/>
    </w:lvl>
    <w:lvl w:ilvl="3" w:tplc="E7A07D60">
      <w:numFmt w:val="decimal"/>
      <w:lvlText w:val=""/>
      <w:lvlJc w:val="left"/>
    </w:lvl>
    <w:lvl w:ilvl="4" w:tplc="5C3CEED2">
      <w:numFmt w:val="decimal"/>
      <w:lvlText w:val=""/>
      <w:lvlJc w:val="left"/>
    </w:lvl>
    <w:lvl w:ilvl="5" w:tplc="90D48802">
      <w:numFmt w:val="decimal"/>
      <w:lvlText w:val=""/>
      <w:lvlJc w:val="left"/>
    </w:lvl>
    <w:lvl w:ilvl="6" w:tplc="453A1888">
      <w:numFmt w:val="decimal"/>
      <w:lvlText w:val=""/>
      <w:lvlJc w:val="left"/>
    </w:lvl>
    <w:lvl w:ilvl="7" w:tplc="64128F4E">
      <w:numFmt w:val="decimal"/>
      <w:lvlText w:val=""/>
      <w:lvlJc w:val="left"/>
    </w:lvl>
    <w:lvl w:ilvl="8" w:tplc="5100E96C">
      <w:numFmt w:val="decimal"/>
      <w:lvlText w:val=""/>
      <w:lvlJc w:val="left"/>
    </w:lvl>
  </w:abstractNum>
  <w:num w:numId="1" w16cid:durableId="1692874764">
    <w:abstractNumId w:val="0"/>
    <w:lvlOverride w:ilvl="0">
      <w:startOverride w:val="1"/>
    </w:lvlOverride>
  </w:num>
  <w:num w:numId="2" w16cid:durableId="780731709">
    <w:abstractNumId w:val="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1202"/>
    <w:rsid w:val="00043101"/>
    <w:rsid w:val="0004370E"/>
    <w:rsid w:val="00055200"/>
    <w:rsid w:val="00084E0B"/>
    <w:rsid w:val="00093BB6"/>
    <w:rsid w:val="000B7CBA"/>
    <w:rsid w:val="00181D77"/>
    <w:rsid w:val="001D49DD"/>
    <w:rsid w:val="002E341A"/>
    <w:rsid w:val="00380378"/>
    <w:rsid w:val="003C56D3"/>
    <w:rsid w:val="004365B4"/>
    <w:rsid w:val="00462ACA"/>
    <w:rsid w:val="005251A4"/>
    <w:rsid w:val="005432CB"/>
    <w:rsid w:val="0064328D"/>
    <w:rsid w:val="006864AB"/>
    <w:rsid w:val="006E553D"/>
    <w:rsid w:val="00723000"/>
    <w:rsid w:val="00725F56"/>
    <w:rsid w:val="00771E8A"/>
    <w:rsid w:val="007B3976"/>
    <w:rsid w:val="007C23E1"/>
    <w:rsid w:val="007F7C17"/>
    <w:rsid w:val="00804771"/>
    <w:rsid w:val="00817D77"/>
    <w:rsid w:val="00836150"/>
    <w:rsid w:val="00883F97"/>
    <w:rsid w:val="008C41B2"/>
    <w:rsid w:val="008E1202"/>
    <w:rsid w:val="00996F68"/>
    <w:rsid w:val="009D63E4"/>
    <w:rsid w:val="009D6893"/>
    <w:rsid w:val="009E2051"/>
    <w:rsid w:val="00AD2B2E"/>
    <w:rsid w:val="00B43858"/>
    <w:rsid w:val="00C35607"/>
    <w:rsid w:val="00C52D5D"/>
    <w:rsid w:val="00CC5620"/>
    <w:rsid w:val="00D17F5A"/>
    <w:rsid w:val="00D32618"/>
    <w:rsid w:val="00D339D9"/>
    <w:rsid w:val="00D57B44"/>
    <w:rsid w:val="00DB62B3"/>
    <w:rsid w:val="00E54C2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EB6408"/>
  <w15:docId w15:val="{E2471FB7-ECE3-4C72-8394-FE8A0012EC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uiPriority w:val="9"/>
    <w:qFormat/>
    <w:pPr>
      <w:spacing w:before="320" w:after="160"/>
      <w:outlineLvl w:val="0"/>
    </w:pPr>
    <w:rPr>
      <w:b/>
      <w:bCs/>
      <w:color w:val="2E4057"/>
      <w:sz w:val="32"/>
      <w:szCs w:val="32"/>
    </w:rPr>
  </w:style>
  <w:style w:type="paragraph" w:styleId="Titre2">
    <w:name w:val="heading 2"/>
    <w:uiPriority w:val="9"/>
    <w:unhideWhenUsed/>
    <w:qFormat/>
    <w:pPr>
      <w:spacing w:before="240" w:after="120"/>
      <w:outlineLvl w:val="1"/>
    </w:pPr>
    <w:rPr>
      <w:b/>
      <w:bCs/>
      <w:color w:val="4A7C8F"/>
      <w:sz w:val="26"/>
      <w:szCs w:val="26"/>
    </w:rPr>
  </w:style>
  <w:style w:type="paragraph" w:styleId="Titre3">
    <w:name w:val="heading 3"/>
    <w:uiPriority w:val="9"/>
    <w:semiHidden/>
    <w:unhideWhenUsed/>
    <w:qFormat/>
    <w:pPr>
      <w:spacing w:before="180" w:after="80"/>
      <w:outlineLvl w:val="2"/>
    </w:pPr>
    <w:rPr>
      <w:b/>
      <w:bCs/>
      <w:color w:val="5A8A7A"/>
      <w:sz w:val="23"/>
      <w:szCs w:val="23"/>
    </w:rPr>
  </w:style>
  <w:style w:type="paragraph" w:styleId="Titre4">
    <w:name w:val="heading 4"/>
    <w:uiPriority w:val="9"/>
    <w:semiHidden/>
    <w:unhideWhenUsed/>
    <w:qFormat/>
    <w:pPr>
      <w:outlineLvl w:val="3"/>
    </w:pPr>
    <w:rPr>
      <w:i/>
      <w:iCs/>
      <w:color w:val="2E74B5"/>
    </w:rPr>
  </w:style>
  <w:style w:type="paragraph" w:styleId="Titre5">
    <w:name w:val="heading 5"/>
    <w:uiPriority w:val="9"/>
    <w:semiHidden/>
    <w:unhideWhenUsed/>
    <w:qFormat/>
    <w:pPr>
      <w:outlineLvl w:val="4"/>
    </w:pPr>
    <w:rPr>
      <w:color w:val="2E74B5"/>
    </w:rPr>
  </w:style>
  <w:style w:type="paragraph" w:styleId="Titre6">
    <w:name w:val="heading 6"/>
    <w:uiPriority w:val="9"/>
    <w:semiHidden/>
    <w:unhideWhenUsed/>
    <w:qFormat/>
    <w:pPr>
      <w:outlineLvl w:val="5"/>
    </w:pPr>
    <w:rPr>
      <w:color w:val="1F4D7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uiPriority w:val="10"/>
    <w:qFormat/>
    <w:rPr>
      <w:sz w:val="56"/>
      <w:szCs w:val="56"/>
    </w:rPr>
  </w:style>
  <w:style w:type="paragraph" w:customStyle="1" w:styleId="lev1">
    <w:name w:val="Élevé1"/>
    <w:qFormat/>
    <w:rPr>
      <w:b/>
      <w:bCs/>
    </w:rPr>
  </w:style>
  <w:style w:type="paragraph" w:styleId="Paragraphedeliste">
    <w:name w:val="List Paragraph"/>
    <w:qFormat/>
  </w:style>
  <w:style w:type="character" w:styleId="Lienhypertexte">
    <w:name w:val="Hyperlink"/>
    <w:uiPriority w:val="99"/>
    <w:unhideWhenUsed/>
    <w:rPr>
      <w:color w:val="0563C1"/>
      <w:u w:val="single"/>
    </w:rPr>
  </w:style>
  <w:style w:type="character" w:styleId="Appelnotedebasdep">
    <w:name w:val="footnote reference"/>
    <w:uiPriority w:val="99"/>
    <w:semiHidden/>
    <w:unhideWhenUsed/>
    <w:rPr>
      <w:vertAlign w:val="superscript"/>
    </w:rPr>
  </w:style>
  <w:style w:type="paragraph" w:styleId="Notedebasdepage">
    <w:name w:val="footnote text"/>
    <w:link w:val="NotedebasdepageCar"/>
    <w:uiPriority w:val="99"/>
    <w:semiHidden/>
    <w:unhideWhenUsed/>
    <w:rPr>
      <w:sz w:val="20"/>
      <w:szCs w:val="20"/>
    </w:rPr>
  </w:style>
  <w:style w:type="character" w:customStyle="1" w:styleId="NotedebasdepageCar">
    <w:name w:val="Note de bas de page Car"/>
    <w:link w:val="Notedebasdepage"/>
    <w:uiPriority w:val="99"/>
    <w:semiHidden/>
    <w:unhideWhenUsed/>
    <w:rPr>
      <w:sz w:val="20"/>
      <w:szCs w:val="20"/>
    </w:rPr>
  </w:style>
  <w:style w:type="character" w:styleId="Appeldenotedefin">
    <w:name w:val="endnote reference"/>
    <w:uiPriority w:val="99"/>
    <w:semiHidden/>
    <w:unhideWhenUsed/>
    <w:rPr>
      <w:vertAlign w:val="superscript"/>
    </w:rPr>
  </w:style>
  <w:style w:type="paragraph" w:styleId="Notedefin">
    <w:name w:val="endnote text"/>
    <w:link w:val="NotedefinCar"/>
    <w:uiPriority w:val="99"/>
    <w:semiHidden/>
    <w:unhideWhenUsed/>
    <w:rPr>
      <w:sz w:val="20"/>
      <w:szCs w:val="20"/>
    </w:rPr>
  </w:style>
  <w:style w:type="character" w:customStyle="1" w:styleId="NotedefinCar">
    <w:name w:val="Note de fin Car"/>
    <w:link w:val="Notedefin"/>
    <w:uiPriority w:val="99"/>
    <w:semiHidden/>
    <w:unhideWhenUsed/>
    <w:rPr>
      <w:sz w:val="20"/>
      <w:szCs w:val="20"/>
    </w:rPr>
  </w:style>
  <w:style w:type="character" w:styleId="Marquedecommentaire">
    <w:name w:val="annotation reference"/>
    <w:basedOn w:val="Policepardfaut"/>
    <w:uiPriority w:val="99"/>
    <w:semiHidden/>
    <w:unhideWhenUsed/>
    <w:rsid w:val="00043101"/>
    <w:rPr>
      <w:sz w:val="16"/>
      <w:szCs w:val="16"/>
    </w:rPr>
  </w:style>
  <w:style w:type="paragraph" w:styleId="Commentaire">
    <w:name w:val="annotation text"/>
    <w:basedOn w:val="Normal"/>
    <w:link w:val="CommentaireCar"/>
    <w:uiPriority w:val="99"/>
    <w:semiHidden/>
    <w:unhideWhenUsed/>
    <w:rsid w:val="00043101"/>
    <w:rPr>
      <w:sz w:val="20"/>
      <w:szCs w:val="20"/>
    </w:rPr>
  </w:style>
  <w:style w:type="character" w:customStyle="1" w:styleId="CommentaireCar">
    <w:name w:val="Commentaire Car"/>
    <w:basedOn w:val="Policepardfaut"/>
    <w:link w:val="Commentaire"/>
    <w:uiPriority w:val="99"/>
    <w:semiHidden/>
    <w:rsid w:val="00043101"/>
    <w:rPr>
      <w:sz w:val="20"/>
      <w:szCs w:val="20"/>
    </w:rPr>
  </w:style>
  <w:style w:type="paragraph" w:styleId="Objetducommentaire">
    <w:name w:val="annotation subject"/>
    <w:basedOn w:val="Commentaire"/>
    <w:next w:val="Commentaire"/>
    <w:link w:val="ObjetducommentaireCar"/>
    <w:uiPriority w:val="99"/>
    <w:semiHidden/>
    <w:unhideWhenUsed/>
    <w:rsid w:val="00043101"/>
    <w:rPr>
      <w:b/>
      <w:bCs/>
    </w:rPr>
  </w:style>
  <w:style w:type="character" w:customStyle="1" w:styleId="ObjetducommentaireCar">
    <w:name w:val="Objet du commentaire Car"/>
    <w:basedOn w:val="CommentaireCar"/>
    <w:link w:val="Objetducommentaire"/>
    <w:uiPriority w:val="99"/>
    <w:semiHidden/>
    <w:rsid w:val="00043101"/>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76</TotalTime>
  <Pages>15</Pages>
  <Words>7128</Words>
  <Characters>39204</Characters>
  <Application>Microsoft Office Word</Application>
  <DocSecurity>0</DocSecurity>
  <Lines>326</Lines>
  <Paragraphs>92</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46240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Elisabeth s</cp:lastModifiedBy>
  <cp:revision>29</cp:revision>
  <cp:lastPrinted>2026-04-15T19:42:00Z</cp:lastPrinted>
  <dcterms:created xsi:type="dcterms:W3CDTF">2026-04-13T20:17:00Z</dcterms:created>
  <dcterms:modified xsi:type="dcterms:W3CDTF">2026-04-15T19:43:00Z</dcterms:modified>
</cp:coreProperties>
</file>