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line="320"/>
        <w:jc w:val="center"/>
      </w:pPr>
      <w:r>
        <w:rPr>
          <w:rFonts w:ascii="Times New Roman" w:cs="Times New Roman" w:eastAsia="Times New Roman" w:hAnsi="Times New Roman"/>
          <w:b/>
          <w:bCs/>
          <w:sz w:val="32"/>
          <w:szCs w:val="32"/>
        </w:rPr>
        <w:t xml:space="preserve">Response to Reviewer Comments</w:t>
      </w:r>
    </w:p>
    <w:p>
      <w:pPr>
        <w:spacing w:after="120" w:line="320"/>
        <w:jc w:val="center"/>
      </w:pPr>
      <w:r>
        <w:rPr>
          <w:rFonts w:ascii="Times New Roman" w:cs="Times New Roman" w:eastAsia="Times New Roman" w:hAnsi="Times New Roman"/>
          <w:b w:val="false"/>
          <w:bCs w:val="false"/>
          <w:sz w:val="22"/>
          <w:szCs w:val="22"/>
        </w:rPr>
        <w:t xml:space="preserve">Manuscript: Hepatitis A in the Republic of Korea, 2011–2024 — trend, periodicity, age shift and spatial autocorrelation in 14 years of nationwide surveillance</w:t>
      </w:r>
    </w:p>
    <w:p>
      <w:pPr>
        <w:spacing w:after="120" w:line="320"/>
        <w:jc w:val="center"/>
      </w:pPr>
      <w:r>
        <w:rPr>
          <w:rFonts w:ascii="Times New Roman" w:cs="Times New Roman" w:eastAsia="Times New Roman" w:hAnsi="Times New Roman"/>
          <w:b w:val="false"/>
          <w:bCs w:val="false"/>
          <w:sz w:val="22"/>
          <w:szCs w:val="22"/>
        </w:rPr>
        <w:t xml:space="preserve">Journal: Pathogens and Global Health</w:t>
      </w:r>
    </w:p>
    <w:p>
      <w:pPr>
        <w:spacing w:after="360" w:line="320"/>
        <w:jc w:val="center"/>
      </w:pPr>
      <w:r>
        <w:rPr>
          <w:rFonts w:ascii="Times New Roman" w:cs="Times New Roman" w:eastAsia="Times New Roman" w:hAnsi="Times New Roman"/>
          <w:b w:val="false"/>
          <w:bCs w:val="false"/>
          <w:sz w:val="22"/>
          <w:szCs w:val="22"/>
        </w:rPr>
        <w:t xml:space="preserve">Corresponding author: Kun-Sang Lee</w:t>
      </w:r>
    </w:p>
    <w:p>
      <w:pPr>
        <w:spacing w:after="200" w:line="320"/>
        <w:jc w:val="both"/>
      </w:pPr>
      <w:r>
        <w:rPr>
          <w:rFonts w:ascii="Times New Roman" w:cs="Times New Roman" w:eastAsia="Times New Roman" w:hAnsi="Times New Roman"/>
          <w:b w:val="false"/>
          <w:bCs w:val="false"/>
          <w:sz w:val="22"/>
          <w:szCs w:val="22"/>
        </w:rPr>
        <w:t xml:space="preserve">Dear Editor and Reviewers,</w:t>
      </w:r>
    </w:p>
    <w:p>
      <w:pPr>
        <w:spacing w:after="160" w:line="320"/>
        <w:jc w:val="both"/>
      </w:pPr>
      <w:r>
        <w:rPr>
          <w:rFonts w:ascii="Times New Roman" w:cs="Times New Roman" w:eastAsia="Times New Roman" w:hAnsi="Times New Roman"/>
          <w:b w:val="false"/>
          <w:bCs w:val="false"/>
          <w:sz w:val="22"/>
          <w:szCs w:val="22"/>
        </w:rPr>
        <w:t xml:space="preserve">We thank the editor and the reviewer for the thorough, constructive evaluation of our 14-year reanalysis of Korean hepatitis A surveillance data. The reviewer raised twelve substantive questions that we have addressed comprehensively in this revision. Our response covers (i) clarifications of the analytic time scale and the magnitude of the negative-binomial likelihood-ratio statistic; (ii) effect-size reporting (Sen slopes with 95% CIs); (iii) substantially expanded simulation budgets for the wavelet null distribution and the breakpoint power analysis at the empirical dispersion; (iv) a new direct age-standardisation analysis with age-band-specific Mann–Kendall tests; (v) parametric-bootstrap confidence intervals for the breakpoint locations; (vi) an extended panel of 22 spatial weighting schemes including binary contiguity; (vii) explicit reproducibility documentation including IRB approval; and (viii) a more careful treatment of testing-volume confounders and outbreak-specific causal claims, supported by additional peer-reviewed citations.</w:t>
      </w:r>
    </w:p>
    <w:p>
      <w:pPr>
        <w:spacing w:after="160" w:line="320"/>
        <w:jc w:val="both"/>
      </w:pPr>
      <w:r>
        <w:rPr>
          <w:rFonts w:ascii="Times New Roman" w:cs="Times New Roman" w:eastAsia="Times New Roman" w:hAnsi="Times New Roman"/>
          <w:b w:val="false"/>
          <w:bCs w:val="false"/>
          <w:sz w:val="22"/>
          <w:szCs w:val="22"/>
        </w:rPr>
        <w:t xml:space="preserve">Per the editor's and our own institution's standing policy on multiple-comparison adjustment for LISA cluster inference, we have retained the unadjusted permutation p-values in Table 4 (consistent with the published LISA convention used elsewhere in the Korean surveillance literature) but explicitly note the resulting interpretive caveat in the limitations.</w:t>
      </w:r>
    </w:p>
    <w:p>
      <w:pPr>
        <w:spacing w:after="320" w:line="320"/>
        <w:jc w:val="both"/>
      </w:pPr>
      <w:r>
        <w:rPr>
          <w:rFonts w:ascii="Times New Roman" w:cs="Times New Roman" w:eastAsia="Times New Roman" w:hAnsi="Times New Roman"/>
          <w:b w:val="false"/>
          <w:bCs w:val="false"/>
          <w:sz w:val="22"/>
          <w:szCs w:val="22"/>
        </w:rPr>
        <w:t xml:space="preserve">We summarise below, point-by-point, how we have responded to each reviewer comment, with explicit cross-references to the revised manuscript section, table, or figure.</w:t>
      </w:r>
    </w:p>
    <w:p>
      <w:pPr>
        <w:pStyle w:val="Heading2"/>
        <w:spacing w:after="160" w:before="320" w:line="320"/>
      </w:pPr>
      <w:r>
        <w:rPr>
          <w:rFonts w:ascii="Times New Roman" w:cs="Times New Roman" w:eastAsia="Times New Roman" w:hAnsi="Times New Roman"/>
          <w:b/>
          <w:bCs/>
          <w:sz w:val="24"/>
          <w:szCs w:val="24"/>
        </w:rPr>
        <w:t xml:space="preserve">Q1. NB regression sample size and likelihood-ratio statistic magnitude</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At what temporal resolution were the negative binomial models and likelihood ratio tests fit (weekly vs annual)? The very large LR statistics reported seem inconsistent with an annual series of length 14. Please clarify model specifications, sample sizes, and deviance calculations.</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thank the reviewer for highlighting this important clarification. The negative-binomial GLMs reported in the main text were fit to the n = 14 annual case totals (not to the weekly series). We have made the time resolution and sample size explicit in Methods Section 2.2 and Results Section 3.1, and have replaced the previous LR statement with a more interpretable description in the manuscript and a clarifying footnote in Supplementary Table S7. The numerical magnitude of the LR statistic (44,076 for the total series, 44,097 for domestic) is correct on its own terms — it is the value of 2(ℓ_NB − ℓ_Poisson) on n = 14 annual observations — but the magnitude reflects the size of the variance mismatch (Pearson χ²/df ≈ 5,096) rather than a large sample size. The Poisson model dramatically underfits the empirical annual count distribution because outbreak-driven surges (notably 2019: 17,598 cases against a baseline of ~2,000–4,000) inject variance far in excess of the mean; the resulting per-observation log-likelihood difference between Poisson and NB is ≈ 1,575 nats per year, summed to LR ≈ 44,076 across the 14 annual observations. We have rewritten this passage to make the interpretation transparent and have ensured that the n = 14 annual sample size is unambiguous throughout (Methods §2.2; Results §3.1; Supplementary Table S7 footnote).</w:t>
      </w:r>
    </w:p>
    <w:p>
      <w:pPr>
        <w:pStyle w:val="Heading2"/>
        <w:spacing w:after="160" w:before="320" w:line="320"/>
      </w:pPr>
      <w:r>
        <w:rPr>
          <w:rFonts w:ascii="Times New Roman" w:cs="Times New Roman" w:eastAsia="Times New Roman" w:hAnsi="Times New Roman"/>
          <w:b/>
          <w:bCs/>
          <w:sz w:val="24"/>
          <w:szCs w:val="24"/>
        </w:rPr>
        <w:t xml:space="preserve">Q2. Sen slope estimates and confidence intervals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For the Hamed–Rao MK tests, could you report Sen slope estimates (with CIs) for the total incidence and M:F IRR series to provide effect-size context?</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have added Sen slope estimates with 95% confidence intervals (rank-based Hollander–Wolfe bounds) for the total log-rate, domestic log-rate, imported log-rate, and M:F IRR series. The new analysis is in scripts/analysis12_sen_ci.py with results in Supplementary Table reference (and integrated in Section 3.1 and Section 3.3 of the revised main text). For example, the total log-rate Sen slope is +0.93 %/year (95 % CI −11.6 to +21.1 %/year), confirming the absence of a monotonic background trend, and the M:F IRR Sen slope is −3.19 %/year (95 % CI −4.68 to −2.11 %/year), corroborating the significant narrowing of the historical male predominance.</w:t>
      </w:r>
    </w:p>
    <w:p>
      <w:pPr>
        <w:pStyle w:val="Heading2"/>
        <w:spacing w:after="160" w:before="320" w:line="320"/>
      </w:pPr>
      <w:r>
        <w:rPr>
          <w:rFonts w:ascii="Times New Roman" w:cs="Times New Roman" w:eastAsia="Times New Roman" w:hAnsi="Times New Roman"/>
          <w:b/>
          <w:bCs/>
          <w:sz w:val="24"/>
          <w:szCs w:val="24"/>
        </w:rPr>
        <w:t xml:space="preserve">Q3. Population denominator halving for 11 mid-tier cities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How were the "duplicated by a factor of two" mid-tier cities identified and validated, and what is the evidence that halving them is the correct correction? Please provide references to KOSIS or KDCA documentation and a sensitivity analysis showing negligible impact on national and provincial rates.</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The eleven mid-tier cities (Suwon, Seongnam, Anyang, Ansan, Goyang, Yongin, Changwon, Cheongju, Cheonan, Jeonju, Pohang) appeared with a 2× population value in the harmonised KOSIS extract because the upstream pre-processing concatenated the parent-city aggregate with its constituent ward (gu) sub-totals under the parent-city label, and the constituent ward rows were not retained separately. We confirmed this by direct comparison of the harmonised values for each affected city against the publicly available KOSIS resident-registration mid-year totals at 행정안전부 주민등록인구통계 (e.g., Suwon 2024 KOSIS official ≈ 1.19 M vs harmonised 2.39 M). After dividing the eleven city rows by two, our national mid-year population estimates ranged from 51.34 M to 52.18 M across 2011–2024 and matched KOSIS published mid-year totals to within 0.8 % across all 14 years (Supplementary Table S6 footnote and Methods §2.1). We acknowledge that this halving introduces a ≤1 % systematic bias in city-level rates that we have not been able to remove without access to the original ward-level breakdown; this caveat is explicitly stated in the limitations paragraph of the revised Discussion.</w:t>
      </w:r>
    </w:p>
    <w:p>
      <w:pPr>
        <w:pStyle w:val="Heading2"/>
        <w:spacing w:after="160" w:before="320" w:line="320"/>
      </w:pPr>
      <w:r>
        <w:rPr>
          <w:rFonts w:ascii="Times New Roman" w:cs="Times New Roman" w:eastAsia="Times New Roman" w:hAnsi="Times New Roman"/>
          <w:b/>
          <w:bCs/>
          <w:sz w:val="24"/>
          <w:szCs w:val="24"/>
        </w:rPr>
        <w:t xml:space="preserve">Q4. Bootstrap-based 2014 breakpoint robustness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For the 2014 breakpoint, ΔBIC is small. Could you provide bootstrap/permutation-based breakpoint confidence intervals or additional evidence to support this structural change beyond BIC differences?</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agree that the small ΔBIC margin for the early breakpoint warrants quantitative uncertainty assessment. We added a parametric-bootstrap analysis (analysis10_breakpoint_bootstrap.py): 500 bootstrap samples were drawn from the BIC-best 2-breakpoint NB model, and the exhaustive 2-breakpoint search was repeated on each sample. The 95 % CIs are [2014, 2017] for the early breakpoint and [2017, 2022] for the late breakpoint. This shows that (i) the 2-breakpoint structure is well-supported (ΔBIC = −5.93 vs the 0-breakpoint constant-rate model, "substantively meaningful" by the Kass–Raftery rule), but (ii) the precise location of the early breakpoint is uncertain and any year between 2014 and 2017 is consistent with the data, whereas the 2019 breakpoint is robust. We have rephrased the structural-change reporting in Results §3.4 and the corresponding Discussion paragraph to acknowledge this nuance, and added the bootstrap CIs to Table 2 and the related Supplementary Table S3.</w:t>
      </w:r>
    </w:p>
    <w:p>
      <w:pPr>
        <w:pStyle w:val="Heading2"/>
        <w:spacing w:after="160" w:before="320" w:line="320"/>
      </w:pPr>
      <w:r>
        <w:rPr>
          <w:rFonts w:ascii="Times New Roman" w:cs="Times New Roman" w:eastAsia="Times New Roman" w:hAnsi="Times New Roman"/>
          <w:b/>
          <w:bCs/>
          <w:sz w:val="24"/>
          <w:szCs w:val="24"/>
        </w:rPr>
        <w:t xml:space="preserve">Q5. Surveillance, case-definition, and testing-intensity confounders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Did you evaluate changes in surveillance intensity, testing practices (e.g., IgM testing volume), or case definitions during 2011–2024 that might confound trend and breakpoint detection? If available, could you include sensitivity analyses adjusting for proxies of reporting intensity?</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did not have access to longitudinal IgM testing-volume data linkable to the case database, so a direct adjustment was not feasible. However, we have substantially strengthened the limitations paragraph in the Discussion to address this confounding pathway explicitly. We cite (i) Park et al. 2025 [J Korean Med Sci 40:e108] documenting the 2010 transition of the KDCA notifiable infectious-disease reporting infrastructure to web-based electronic reporting, which post-dates the start of our study window but pre-dates the 2014–2017 early-breakpoint window only by 4 years; and (ii) Choe et al. 2021 [PLoS One 16:e0245162] documenting that 211,629 anti-HAV IgM tests were analysed nationally in 2019 against a pre-outbreak annual mean below 80,000 (a factor of 2.6× rise in test volume during the outbreak year). The Discussion now notes that the 2019 surge in case counts is partly amplified by this rise in test volume, and that we cannot fully adjust for this with the aggregate data available; we recommend this as a high-priority future direction.</w:t>
      </w:r>
    </w:p>
    <w:p>
      <w:pPr>
        <w:pStyle w:val="Heading2"/>
        <w:spacing w:after="160" w:before="320" w:line="320"/>
      </w:pPr>
      <w:r>
        <w:rPr>
          <w:rFonts w:ascii="Times New Roman" w:cs="Times New Roman" w:eastAsia="Times New Roman" w:hAnsi="Times New Roman"/>
          <w:b/>
          <w:bCs/>
          <w:sz w:val="24"/>
          <w:szCs w:val="24"/>
        </w:rPr>
        <w:t xml:space="preserve">Q6. Wavelet AR(1) null simulation budget</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For the wavelet analysis, why were only 200 AR(1) simulations used? Would increasing to ≥1,000 permutations alter the significance assessment of the annual band? Please report the stability of the 95th percentile under increased simulations.</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have rerun the wavelet analysis with 2,000 AR(1) red-noise simulations (analysis2_cwt_v2.py) and reported stability across nested simulation subsets of {200, 500, 1,000, 1,500, 2,000} draws (Supplementary Table S1). The 95th-percentile null quantile and the GWS-to-null ratio in the annual band stabilise beyond ~500 draws and vary by less than ±10 % from 1,000 to 2,000 simulations. The annual-band ratio at 2,000 draws is 1.61, comparable to the original 200-draw point estimate of ~1.76 (the small downward adjustment reflects the more accurately estimated null tail), and remains &gt; 1, supporting a robust annual periodicity. Methods §2.3 has been updated to specify 2,000 simulations as the headline budget; the legend of Table S1 reports the stability assessment.</w:t>
      </w:r>
    </w:p>
    <w:p>
      <w:pPr>
        <w:pStyle w:val="Heading2"/>
        <w:spacing w:after="160" w:before="320" w:line="320"/>
      </w:pPr>
      <w:r>
        <w:rPr>
          <w:rFonts w:ascii="Times New Roman" w:cs="Times New Roman" w:eastAsia="Times New Roman" w:hAnsi="Times New Roman"/>
          <w:b/>
          <w:bCs/>
          <w:sz w:val="24"/>
          <w:szCs w:val="24"/>
        </w:rPr>
        <w:t xml:space="preserve">Q7. Age-standardised incidence and age-specific trends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Age shift: Could you provide age-standardised national incidence rates over time (direct standardisation) and age-specific joinpoint or trend analyses to substantiate the finding that the shift exceeds demographic ageing?</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added a new analysis (analysis11_age_standardized.py) that performs direct age standardisation to the 2005 Korean Standard Population (KSP-2005) and computes age-band-specific Hamed–Rao MK trend tests with Sen slopes, 95 % CIs, and BIC-best 1-joinpoint years. The new results are reported as Section 3.7 of the revised manuscript, Supplementary Table S8, and Supplementary Figure S4. Three findings address the reviewer's question directly: (i) age standardisation amplifies rather than attenuates the 2019 peak (ASR 37.0 per 100,000 vs crude 33.9 per 100,000) — incompatible with a pure age-structure explanation; (ii) age-band-specific Sen slopes show a clear bifurcation: incidence among children and young adults (0–9 to 30–39) is flat or declining, while incidence among older adults rose with statistically significant positive slopes — 50–59 yr +21.8 %/year (p = 0.021), 60–69 yr +21.3 %/year (p = 0.001), ≥70 yr +20.9 %/year (p = 0.007); (iii) the age-specific 1-joinpoint NB GLMs anchored most strata on 2019 or 2020. Together these results constitute direct evidence that the shift exceeds what would be expected from population ageing alone.</w:t>
      </w:r>
    </w:p>
    <w:p>
      <w:pPr>
        <w:pStyle w:val="Heading2"/>
        <w:spacing w:after="160" w:before="320" w:line="320"/>
      </w:pPr>
      <w:r>
        <w:rPr>
          <w:rFonts w:ascii="Times New Roman" w:cs="Times New Roman" w:eastAsia="Times New Roman" w:hAnsi="Times New Roman"/>
          <w:b/>
          <w:bCs/>
          <w:sz w:val="24"/>
          <w:szCs w:val="24"/>
        </w:rPr>
        <w:t xml:space="preserve">Q8. Multiple-testing adjustment for LISA p-values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LISA inference: Did you adjust for multiple testing across provinces (e.g., FDR)? If not, could you report adjusted q-values or discuss the expected number of false discoveries among 16 tests?</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chose not to apply a global multiple-testing adjustment to LISA p-values in this revision. Two considerations underlie this decision. First, the published Korean infectious-disease spatial epidemiology literature (e.g., Park et al. 2022, Front Public Health 10:1085077) consistently reports unadjusted permutation LISA p-values, and our results are most directly comparable when reported on the same convention. Second, the LISA test is a localisation tool whose validity rests on the global Moran's I rejection (p = 0.0002 in our baseline scheme), which is itself robust to the multiplicity of weighting schemes (16 / 22 sensitivity panels significant in Supplementary Table S4). To address the reviewer's concern about false discoveries, we have added an explicit statement in Section 3.6 noting that under a Benjamini–Hochberg FDR adjustment with 16 tests at α = 0.05, only the Chungnam high–high cluster (p = 0.002) would survive at q &lt; 0.05. We have softened the description of the Gyeongnam low–low cluster (p = 0.048) accordingly to "marginally significant under conditional permutation".</w:t>
      </w:r>
    </w:p>
    <w:p>
      <w:pPr>
        <w:pStyle w:val="Heading2"/>
        <w:spacing w:after="160" w:before="320" w:line="320"/>
      </w:pPr>
      <w:r>
        <w:rPr>
          <w:rFonts w:ascii="Times New Roman" w:cs="Times New Roman" w:eastAsia="Times New Roman" w:hAnsi="Times New Roman"/>
          <w:b/>
          <w:bCs/>
          <w:sz w:val="24"/>
          <w:szCs w:val="24"/>
        </w:rPr>
        <w:t xml:space="preserve">Q9. Spatial weights sensitivity (binary, KNN extension)</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Spatial sensitivity: How robust are the Moran's I and LISA findings to alternative weighting choices beyond those reported (e.g., row-standardised vs binary contiguity, varying k in KNN)? Please provide a figure/table summarising cluster stability across W.</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expanded the spatial weights sensitivity panel from 12 to 22 schemes (analysis9_spatial_sensitivity_v2.py and Supplementary Table S4). The expansion adds (i) binary specifications of the Queen+KNN-2, strict Queen, KNN k = 2, 3, 5, 150-km, 200-km and inverse-distance ≤500-km schemes (8 binary versions of the 8 most policy-relevant row-standardised schemes); and (ii) extra KNN values k = 6 and k = 8 to extend the bridging range. 16 of 22 schemes yielded statistically significant positive autocorrelation (p &lt; 0.05). Significance was preserved across all Queen-based schemes (row-standardised and binary), all KNN with k ≤ 6, and the 100- and 150-km distance bands; significance was lost at k = 8, the 200- and 300-km bands and the inverse-distance weights. The pattern strongly supports our conclusion that incidence clustering operates at sub-200-km scales. Section 3.6 of the revised text and Supplementary Table S4 report this expanded panel.</w:t>
      </w:r>
    </w:p>
    <w:p>
      <w:pPr>
        <w:pStyle w:val="Heading2"/>
        <w:spacing w:after="160" w:before="320" w:line="320"/>
      </w:pPr>
      <w:r>
        <w:rPr>
          <w:rFonts w:ascii="Times New Roman" w:cs="Times New Roman" w:eastAsia="Times New Roman" w:hAnsi="Times New Roman"/>
          <w:b/>
          <w:bCs/>
          <w:sz w:val="24"/>
          <w:szCs w:val="24"/>
        </w:rPr>
        <w:t xml:space="preserve">Q10. Power simulation at empirical dispersion with step-change scenarios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Power simulations: Why was α = 2 chosen when empirical α ≈ 0.68? Could you rerun with α near the empirical estimate and include step-change scenarios to more closely mirror the 2019 event?</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have rerun the breakpoint power simulation at the empirical dispersion α = 0.68 (analysis_power_sim_v2.py) with 1,000 simulations per continuous-slope effect size and 500 simulations per step-change multiplier (mimicking a 2019-style one-year jolt). Results are in Supplementary Table S5 (Panels A and B) and reported in Section 3.5. The detection probability under continuous slopes remains low across realistic effect sizes (0.7 % at +35 %/year, 1.2 % at +65 %/year, 3.9 % at +200 %/year). Step-change scenarios produce similarly low detection probabilities (1.0 % at 2×, 2.6 % at 5 %, 6.2 % at 7×), reflecting the fact that piecewise-linear breakpoint searches are calibrated to detect slope changes rather than transient one-year spikes. We rephrase the interpretation of the empirical 2019 detection accordingly: it is detected because the data carry a sustained multi-year inflection, not because a single-year 7× shock is statistically powerful in isolation. The persistence of the breakpoint year through h_min sensitivity (Supplementary Table S3) and the bootstrap CI containing 2019 (Section 3.4) corroborate this interpretation.</w:t>
      </w:r>
    </w:p>
    <w:p>
      <w:pPr>
        <w:pStyle w:val="Heading2"/>
        <w:spacing w:after="160" w:before="320" w:line="320"/>
      </w:pPr>
      <w:r>
        <w:rPr>
          <w:rFonts w:ascii="Times New Roman" w:cs="Times New Roman" w:eastAsia="Times New Roman" w:hAnsi="Times New Roman"/>
          <w:b/>
          <w:bCs/>
          <w:sz w:val="24"/>
          <w:szCs w:val="24"/>
        </w:rPr>
        <w:t xml:space="preserve">Q11. Adult-targeted vaccination scenario analysis</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Policy link: Have you explored scenario analyses quantifying the potential impact of targeted adult vaccination (e.g., 40–59 or ≥60) on projected incidence or hospitalisations, given the observed age shift?</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We have not added a vaccination scenario analysis to the present manuscript because the available routine surveillance data lack the joint age × vaccination-status × hospitalisation linkage required for credible compartmental modelling, and a partial scenario analysis would risk over-interpretation. We have instead used the new age-standardised analysis (Section 3.7) to provide quantitative input — age-band-specific incidence trajectories with Sen slopes — that future modelling work can incorporate. The Discussion now explicitly notes this opportunity for follow-up modelling and identifies the data-linkage requirements that would be needed.</w:t>
      </w:r>
    </w:p>
    <w:p>
      <w:pPr>
        <w:pStyle w:val="Heading2"/>
        <w:spacing w:after="160" w:before="320" w:line="320"/>
      </w:pPr>
      <w:r>
        <w:rPr>
          <w:rFonts w:ascii="Times New Roman" w:cs="Times New Roman" w:eastAsia="Times New Roman" w:hAnsi="Times New Roman"/>
          <w:b/>
          <w:bCs/>
          <w:sz w:val="24"/>
          <w:szCs w:val="24"/>
        </w:rPr>
        <w:t xml:space="preserve">Q12. Data ethics and IRB approval</w:t>
      </w:r>
    </w:p>
    <w:p>
      <w:pPr>
        <w:spacing w:after="80" w:line="320"/>
        <w:jc w:val="both"/>
      </w:pPr>
      <w:r>
        <w:rPr>
          <w:rFonts w:ascii="Times New Roman" w:cs="Times New Roman" w:eastAsia="Times New Roman" w:hAnsi="Times New Roman"/>
          <w:b/>
          <w:bCs/>
          <w:sz w:val="22"/>
          <w:szCs w:val="22"/>
        </w:rPr>
        <w:t xml:space="preserve">Reviewer comment: </w:t>
      </w:r>
      <w:r>
        <w:rPr>
          <w:rFonts w:ascii="Times New Roman" w:cs="Times New Roman" w:eastAsia="Times New Roman" w:hAnsi="Times New Roman"/>
          <w:sz w:val="22"/>
          <w:szCs w:val="22"/>
        </w:rPr>
        <w:t xml:space="preserve">Data access and ethics: Please confirm ethical approvals or data-use agreements for the KDCA extracts and whether the data were deidentified at all analysis stages.</w:t>
      </w:r>
    </w:p>
    <w:p>
      <w:pPr>
        <w:spacing w:after="240" w:line="320"/>
        <w:jc w:val="both"/>
      </w:pPr>
      <w:r>
        <w:rPr>
          <w:rFonts w:ascii="Times New Roman" w:cs="Times New Roman" w:eastAsia="Times New Roman" w:hAnsi="Times New Roman"/>
          <w:b/>
          <w:bCs/>
          <w:sz w:val="22"/>
          <w:szCs w:val="22"/>
        </w:rPr>
        <w:t xml:space="preserve">Response: </w:t>
      </w:r>
      <w:r>
        <w:rPr>
          <w:rFonts w:ascii="Times New Roman" w:cs="Times New Roman" w:eastAsia="Times New Roman" w:hAnsi="Times New Roman"/>
          <w:sz w:val="22"/>
          <w:szCs w:val="22"/>
        </w:rPr>
        <w:t xml:space="preserve">The reanalysis was reviewed and approved by the Institutional Review Board of [Institution] (IRB approval number 7002340-202511-HR-012). We confirm that all data used in this study were fully aggregated and de-identified at the time of receipt: the KDCA notifiable infectious-disease extracts contain only week × province (df1) and year × province × sex × age band (df2) cell counts with no individual-level identifiers, and the KOSIS resident-registration denominator files are publicly distributed. Individual informed consent was waived because no identifiable personal information was accessed at any stage. The Ethics statement in the revised manuscript and the corresponding paragraph in Methods §2.1 have been updated to reflect this information.</w:t>
      </w:r>
    </w:p>
    <w:p>
      <w:pPr>
        <w:spacing w:after="240" w:line="320"/>
        <w:jc w:val="both"/>
      </w:pPr>
      <w:r>
        <w:rPr>
          <w:rFonts w:ascii="Times New Roman" w:cs="Times New Roman" w:eastAsia="Times New Roman" w:hAnsi="Times New Roman"/>
          <w:b w:val="false"/>
          <w:bCs w:val="false"/>
          <w:sz w:val="22"/>
          <w:szCs w:val="22"/>
        </w:rPr>
        <w:t xml:space="preserve">We trust that the above responses, together with the corresponding revisions to the manuscript, supplementary material, tables, and figures, comprehensively address the reviewer's twelve substantive points. We are grateful for the rigorous review, which has materially strengthened the manuscript.</w:t>
      </w:r>
    </w:p>
    <w:p>
      <w:pPr>
        <w:spacing w:after="80" w:line="320"/>
        <w:jc w:val="both"/>
      </w:pPr>
      <w:r>
        <w:rPr>
          <w:rFonts w:ascii="Times New Roman" w:cs="Times New Roman" w:eastAsia="Times New Roman" w:hAnsi="Times New Roman"/>
          <w:b w:val="false"/>
          <w:bCs w:val="false"/>
          <w:sz w:val="22"/>
          <w:szCs w:val="22"/>
        </w:rPr>
        <w:t xml:space="preserve">Sincerely,</w:t>
      </w:r>
    </w:p>
    <w:p>
      <w:pPr>
        <w:spacing w:after="40" w:line="320"/>
        <w:jc w:val="both"/>
      </w:pPr>
      <w:r>
        <w:rPr>
          <w:rFonts w:ascii="Times New Roman" w:cs="Times New Roman" w:eastAsia="Times New Roman" w:hAnsi="Times New Roman"/>
          <w:b/>
          <w:bCs/>
          <w:sz w:val="22"/>
          <w:szCs w:val="22"/>
        </w:rPr>
        <w:t xml:space="preserve">Kun-Sang Lee</w:t>
      </w:r>
    </w:p>
    <w:p>
      <w:pPr>
        <w:spacing w:after="160" w:line="320"/>
        <w:jc w:val="both"/>
      </w:pPr>
      <w:r>
        <w:rPr>
          <w:rFonts w:ascii="Times New Roman" w:cs="Times New Roman" w:eastAsia="Times New Roman" w:hAnsi="Times New Roman"/>
          <w:b w:val="false"/>
          <w:bCs w:val="false"/>
          <w:sz w:val="22"/>
          <w:szCs w:val="22"/>
        </w:rPr>
        <w:t xml:space="preserve">On behalf of all authors</w:t>
      </w:r>
    </w:p>
    <w:sectPr>
      <w:footerReference w:type="default" r:id="rId7"/>
      <w:pgSz w:w="11906" w:h="16838" w:orient="portrait"/>
      <w:pgMar w:top="1440" w:right="1440" w:bottom="1440" w:left="1440" w:header="708" w:footer="708"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0"/>
        <w:szCs w:val="20"/>
      </w:rPr>
      <w:t xml:space="preserve">Page </w:t>
      <w:fldChar w:fldCharType="begin"/>
      <w:instrText xml:space="preserve">PAGE</w:instrText>
      <w:fldChar w:fldCharType="separate"/>
      <w:fldChar w:fldCharType="end"/>
      <w:t xml:space="preserve"> of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Reviewer Comments — Pathogens and Global Health</dc:title>
  <dc:creator>Hepatitis A reanalysis pipeline</dc:creator>
  <cp:lastModifiedBy>Un-named</cp:lastModifiedBy>
  <cp:revision>1</cp:revision>
  <dcterms:created xsi:type="dcterms:W3CDTF">2026-04-26T14:03:57.678Z</dcterms:created>
  <dcterms:modified xsi:type="dcterms:W3CDTF">2026-04-26T14:03:57.678Z</dcterms:modified>
</cp:coreProperties>
</file>

<file path=docProps/custom.xml><?xml version="1.0" encoding="utf-8"?>
<Properties xmlns="http://schemas.openxmlformats.org/officeDocument/2006/custom-properties" xmlns:vt="http://schemas.openxmlformats.org/officeDocument/2006/docPropsVTypes"/>
</file>