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360" w:line="300"/>
        <w:jc w:val="center"/>
      </w:pPr>
      <w:r>
        <w:rPr>
          <w:rFonts w:ascii="Times New Roman" w:cs="Times New Roman" w:eastAsia="Times New Roman" w:hAnsi="Times New Roman"/>
          <w:b/>
          <w:bCs/>
          <w:sz w:val="28"/>
          <w:szCs w:val="28"/>
        </w:rPr>
        <w:t xml:space="preserve">Supplementary material for: Hepatitis A in the Republic of Korea, 2011–2024</w:t>
      </w:r>
    </w:p>
    <w:p>
      <w:pPr>
        <w:spacing w:after="480" w:line="300"/>
        <w:jc w:val="center"/>
      </w:pPr>
      <w:r>
        <w:rPr>
          <w:rFonts w:ascii="Times New Roman" w:cs="Times New Roman" w:eastAsia="Times New Roman" w:hAnsi="Times New Roman"/>
          <w:b w:val="false"/>
          <w:bCs w:val="false"/>
          <w:sz w:val="24"/>
          <w:szCs w:val="24"/>
        </w:rPr>
        <w:t xml:space="preserve">Trend, periodicity, age shift and spatial autocorrelation in 14 years of nationwide surveillance — revised submission to Pathogens and Global Health</w:t>
      </w:r>
    </w:p>
    <w:p>
      <w:pPr>
        <w:spacing w:after="120" w:line="300"/>
        <w:jc w:val="both"/>
      </w:pPr>
      <w:r>
        <w:rPr>
          <w:rFonts w:ascii="Times New Roman" w:cs="Times New Roman" w:eastAsia="Times New Roman" w:hAnsi="Times New Roman"/>
          <w:b/>
          <w:bCs/>
          <w:sz w:val="24"/>
          <w:szCs w:val="24"/>
        </w:rPr>
        <w:t xml:space="preserve">Contents</w:t>
      </w:r>
    </w:p>
    <w:p>
      <w:pPr>
        <w:spacing w:after="60" w:line="300"/>
        <w:jc w:val="both"/>
      </w:pPr>
      <w:r>
        <w:rPr>
          <w:rFonts w:ascii="Times New Roman" w:cs="Times New Roman" w:eastAsia="Times New Roman" w:hAnsi="Times New Roman"/>
          <w:b w:val="false"/>
          <w:bCs w:val="false"/>
          <w:sz w:val="22"/>
          <w:szCs w:val="22"/>
        </w:rPr>
        <w:t xml:space="preserve">  • Supplementary Table S1.  Wavelet AR(1) null-distribution simulation stability across 200–2,000 draws</w:t>
      </w:r>
    </w:p>
    <w:p>
      <w:pPr>
        <w:spacing w:after="60" w:line="300"/>
        <w:jc w:val="both"/>
      </w:pPr>
      <w:r>
        <w:rPr>
          <w:rFonts w:ascii="Times New Roman" w:cs="Times New Roman" w:eastAsia="Times New Roman" w:hAnsi="Times New Roman"/>
          <w:b w:val="false"/>
          <w:bCs w:val="false"/>
          <w:sz w:val="22"/>
          <w:szCs w:val="22"/>
        </w:rPr>
        <w:t xml:space="preserve">  • Supplementary Table S2.  STL × Morlet ω₀ wavelet sensitivity (21 configurations)</w:t>
      </w:r>
    </w:p>
    <w:p>
      <w:pPr>
        <w:spacing w:after="60" w:line="300"/>
        <w:jc w:val="both"/>
      </w:pPr>
      <w:r>
        <w:rPr>
          <w:rFonts w:ascii="Times New Roman" w:cs="Times New Roman" w:eastAsia="Times New Roman" w:hAnsi="Times New Roman"/>
          <w:b w:val="false"/>
          <w:bCs w:val="false"/>
          <w:sz w:val="22"/>
          <w:szCs w:val="22"/>
        </w:rPr>
        <w:t xml:space="preserve">  • Supplementary Table S3.  Breakpoint min-segment-length sensitivity (h_min ∈ {2, 3, 4})</w:t>
      </w:r>
    </w:p>
    <w:p>
      <w:pPr>
        <w:spacing w:after="60" w:line="300"/>
        <w:jc w:val="both"/>
      </w:pPr>
      <w:r>
        <w:rPr>
          <w:rFonts w:ascii="Times New Roman" w:cs="Times New Roman" w:eastAsia="Times New Roman" w:hAnsi="Times New Roman"/>
          <w:b w:val="false"/>
          <w:bCs w:val="false"/>
          <w:sz w:val="22"/>
          <w:szCs w:val="22"/>
        </w:rPr>
        <w:t xml:space="preserve">  • Supplementary Table S4.  Spatial autocorrelation under 22 weighting schemes (row-standardised + binary)</w:t>
      </w:r>
    </w:p>
    <w:p>
      <w:pPr>
        <w:spacing w:after="60" w:line="300"/>
        <w:jc w:val="both"/>
      </w:pPr>
      <w:r>
        <w:rPr>
          <w:rFonts w:ascii="Times New Roman" w:cs="Times New Roman" w:eastAsia="Times New Roman" w:hAnsi="Times New Roman"/>
          <w:b w:val="false"/>
          <w:bCs w:val="false"/>
          <w:sz w:val="22"/>
          <w:szCs w:val="22"/>
        </w:rPr>
        <w:t xml:space="preserve">  • Supplementary Table S5.  Breakpoint detection-power simulation at empirical α = 0.68 (continuous slopes; step-change shocks)</w:t>
      </w:r>
    </w:p>
    <w:p>
      <w:pPr>
        <w:spacing w:after="60" w:line="300"/>
        <w:jc w:val="both"/>
      </w:pPr>
      <w:r>
        <w:rPr>
          <w:rFonts w:ascii="Times New Roman" w:cs="Times New Roman" w:eastAsia="Times New Roman" w:hAnsi="Times New Roman"/>
          <w:b w:val="false"/>
          <w:bCs w:val="false"/>
          <w:sz w:val="22"/>
          <w:szCs w:val="22"/>
        </w:rPr>
        <w:t xml:space="preserve">  • Supplementary Table S6.  Province-level cumulative cases, mean population, mean annual incidence rate, and population-denominator validation against KOSIS</w:t>
      </w:r>
    </w:p>
    <w:p>
      <w:pPr>
        <w:spacing w:after="60" w:line="300"/>
        <w:jc w:val="both"/>
      </w:pPr>
      <w:r>
        <w:rPr>
          <w:rFonts w:ascii="Times New Roman" w:cs="Times New Roman" w:eastAsia="Times New Roman" w:hAnsi="Times New Roman"/>
          <w:b w:val="false"/>
          <w:bCs w:val="false"/>
          <w:sz w:val="22"/>
          <w:szCs w:val="22"/>
        </w:rPr>
        <w:t xml:space="preserve">  • Supplementary Table S7.  Negative-binomial dispersion α (95% CI) for the three series</w:t>
      </w:r>
    </w:p>
    <w:p>
      <w:pPr>
        <w:spacing w:after="60" w:line="300"/>
        <w:jc w:val="both"/>
      </w:pPr>
      <w:r>
        <w:rPr>
          <w:rFonts w:ascii="Times New Roman" w:cs="Times New Roman" w:eastAsia="Times New Roman" w:hAnsi="Times New Roman"/>
          <w:b w:val="false"/>
          <w:bCs w:val="false"/>
          <w:sz w:val="22"/>
          <w:szCs w:val="22"/>
        </w:rPr>
        <w:t xml:space="preserve">  • Supplementary Table S8.  Age-standardised incidence rate (KSP-2005) and age-band-specific Sen slope/Mann–Kendall trend</w:t>
      </w:r>
    </w:p>
    <w:p>
      <w:pPr>
        <w:spacing w:after="60" w:line="300"/>
        <w:jc w:val="both"/>
      </w:pPr>
      <w:r>
        <w:rPr>
          <w:rFonts w:ascii="Times New Roman" w:cs="Times New Roman" w:eastAsia="Times New Roman" w:hAnsi="Times New Roman"/>
          <w:b w:val="false"/>
          <w:bCs w:val="false"/>
          <w:sz w:val="22"/>
          <w:szCs w:val="22"/>
        </w:rPr>
        <w:t xml:space="preserve">  • Supplementary Figure S1.  STL decomposition of weekly counts</w:t>
      </w:r>
    </w:p>
    <w:p>
      <w:pPr>
        <w:spacing w:after="60" w:line="300"/>
        <w:jc w:val="both"/>
      </w:pPr>
      <w:r>
        <w:rPr>
          <w:rFonts w:ascii="Times New Roman" w:cs="Times New Roman" w:eastAsia="Times New Roman" w:hAnsi="Times New Roman"/>
          <w:b w:val="false"/>
          <w:bCs w:val="false"/>
          <w:sz w:val="22"/>
          <w:szCs w:val="22"/>
        </w:rPr>
        <w:t xml:space="preserve">  • Supplementary Figure S2.  Provincial mean rate (panel A) and ≥70-year case-share trend (panel B)</w:t>
      </w:r>
    </w:p>
    <w:p>
      <w:pPr>
        <w:spacing w:after="60" w:line="300"/>
        <w:jc w:val="both"/>
      </w:pPr>
      <w:r>
        <w:rPr>
          <w:rFonts w:ascii="Times New Roman" w:cs="Times New Roman" w:eastAsia="Times New Roman" w:hAnsi="Times New Roman"/>
          <w:b w:val="false"/>
          <w:bCs w:val="false"/>
          <w:sz w:val="22"/>
          <w:szCs w:val="22"/>
        </w:rPr>
        <w:t xml:space="preserve">  • Supplementary Figure S3.  Two-breakpoint NB GLM fit overlay on annual cases</w:t>
      </w:r>
    </w:p>
    <w:p>
      <w:pPr>
        <w:spacing w:after="60" w:line="300"/>
        <w:jc w:val="both"/>
      </w:pPr>
      <w:r>
        <w:rPr>
          <w:rFonts w:ascii="Times New Roman" w:cs="Times New Roman" w:eastAsia="Times New Roman" w:hAnsi="Times New Roman"/>
          <w:b w:val="false"/>
          <w:bCs w:val="false"/>
          <w:sz w:val="22"/>
          <w:szCs w:val="22"/>
        </w:rPr>
        <w:t xml:space="preserve">  • Supplementary Figure S4.  Age-standardised national hepatitis A incidence (KSP-2005), 2011–2024</w:t>
      </w:r>
    </w:p>
    <w:p>
      <w:pPr>
        <w:spacing w:after="60" w:line="300"/>
        <w:jc w:val="both"/>
      </w:pPr>
      <w:r>
        <w:rPr>
          <w:rFonts w:ascii="Times New Roman" w:cs="Times New Roman" w:eastAsia="Times New Roman" w:hAnsi="Times New Roman"/>
          <w:b w:val="false"/>
          <w:bCs w:val="false"/>
          <w:sz w:val="22"/>
          <w:szCs w:val="22"/>
        </w:rPr>
        <w:t xml:space="preserve">  • Supplementary Movie S1.  Sigungu-level annual choropleth animation, 2011–2024</w:t>
      </w:r>
    </w:p>
    <w:p>
      <w:r>
        <w:br w:type="page"/>
      </w:r>
    </w:p>
    <w:p>
      <w:pPr>
        <w:pStyle w:val="Heading2"/>
        <w:spacing w:after="120" w:before="240" w:line="320"/>
      </w:pPr>
      <w:r>
        <w:rPr>
          <w:rFonts w:ascii="Times New Roman" w:cs="Times New Roman" w:eastAsia="Times New Roman" w:hAnsi="Times New Roman"/>
          <w:b/>
          <w:bCs/>
          <w:color w:val="000000"/>
          <w:sz w:val="24"/>
          <w:szCs w:val="24"/>
        </w:rPr>
        <w:t xml:space="preserve">Supplementary Table S1.  Wavelet AR(1) null-distribution simulation stability</w:t>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2400"/>
        <w:gridCol w:w="4500"/>
        <w:gridCol w:w="4000"/>
      </w:tblGrid>
      <w:tr>
        <w:tc>
          <w:tcPr>
            <w:tcW w:type="dxa" w:w="24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bCs/>
                <w:sz w:val="20"/>
                <w:szCs w:val="20"/>
              </w:rPr>
              <w:t xml:space="preserve">n simulations</w:t>
            </w:r>
          </w:p>
        </w:tc>
        <w:tc>
          <w:tcPr>
            <w:tcW w:type="dxa" w:w="45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95th-percentile null (annual band)</w:t>
            </w:r>
          </w:p>
        </w:tc>
        <w:tc>
          <w:tcPr>
            <w:tcW w:type="dxa" w:w="40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GWS:null ratio (annual band)</w:t>
            </w:r>
          </w:p>
        </w:tc>
      </w:tr>
      <w:tr>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200</w:t>
            </w:r>
          </w:p>
        </w:tc>
        <w:tc>
          <w:tcPr>
            <w:tcW w:type="dxa" w:w="4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3.389</w:t>
            </w:r>
          </w:p>
        </w:tc>
        <w:tc>
          <w:tcPr>
            <w:tcW w:type="dxa" w:w="40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1.759</w:t>
            </w:r>
          </w:p>
        </w:tc>
      </w:tr>
      <w:tr>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500</w:t>
            </w:r>
          </w:p>
        </w:tc>
        <w:tc>
          <w:tcPr>
            <w:tcW w:type="dxa" w:w="4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3.564</w:t>
            </w:r>
          </w:p>
        </w:tc>
        <w:tc>
          <w:tcPr>
            <w:tcW w:type="dxa" w:w="40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1.672</w:t>
            </w:r>
          </w:p>
        </w:tc>
      </w:tr>
      <w:tr>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1,000</w:t>
            </w:r>
          </w:p>
        </w:tc>
        <w:tc>
          <w:tcPr>
            <w:tcW w:type="dxa" w:w="4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3.721</w:t>
            </w:r>
          </w:p>
        </w:tc>
        <w:tc>
          <w:tcPr>
            <w:tcW w:type="dxa" w:w="40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1.602</w:t>
            </w:r>
          </w:p>
        </w:tc>
      </w:tr>
      <w:tr>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1,500</w:t>
            </w:r>
          </w:p>
        </w:tc>
        <w:tc>
          <w:tcPr>
            <w:tcW w:type="dxa" w:w="4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3.673</w:t>
            </w:r>
          </w:p>
        </w:tc>
        <w:tc>
          <w:tcPr>
            <w:tcW w:type="dxa" w:w="40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1.623</w:t>
            </w:r>
          </w:p>
        </w:tc>
      </w:tr>
      <w:tr>
        <w:tc>
          <w:tcPr>
            <w:tcW w:type="dxa" w:w="24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2,000</w:t>
            </w:r>
          </w:p>
        </w:tc>
        <w:tc>
          <w:tcPr>
            <w:tcW w:type="dxa" w:w="45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3.711</w:t>
            </w:r>
          </w:p>
        </w:tc>
        <w:tc>
          <w:tcPr>
            <w:tcW w:type="dxa" w:w="40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1.606</w:t>
            </w:r>
          </w:p>
        </w:tc>
      </w:tr>
    </w:tbl>
    <w:p>
      <w:pPr>
        <w:spacing w:after="240" w:line="300"/>
        <w:jc w:val="both"/>
      </w:pPr>
      <w:r>
        <w:rPr>
          <w:rFonts w:ascii="Times New Roman" w:cs="Times New Roman" w:eastAsia="Times New Roman" w:hAnsi="Times New Roman"/>
          <w:b w:val="false"/>
          <w:bCs w:val="false"/>
          <w:sz w:val="20"/>
          <w:szCs w:val="20"/>
        </w:rPr>
        <w:t xml:space="preserve">The 95th-percentile null quantile and GWS-to-null ratio in the annual band stabilise beyond ~500 simulations and vary by less than ±10% from 1,000 to 2,000 draws. We adopt the 2,000-simulation null as the headline estimate; results are robust to the choice. (Reviewer Q3 / Q6 response.)</w:t>
      </w:r>
    </w:p>
    <w:p>
      <w:pPr>
        <w:pStyle w:val="Heading2"/>
        <w:spacing w:after="120" w:before="240" w:line="320"/>
      </w:pPr>
      <w:r>
        <w:rPr>
          <w:rFonts w:ascii="Times New Roman" w:cs="Times New Roman" w:eastAsia="Times New Roman" w:hAnsi="Times New Roman"/>
          <w:b/>
          <w:bCs/>
          <w:color w:val="000000"/>
          <w:sz w:val="24"/>
          <w:szCs w:val="24"/>
        </w:rPr>
        <w:t xml:space="preserve">Supplementary Table S2.  STL × Morlet ω₀ wavelet sensitivity (21 configurations)</w:t>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1100"/>
        <w:gridCol w:w="1100"/>
        <w:gridCol w:w="900"/>
        <w:gridCol w:w="800"/>
        <w:gridCol w:w="1300"/>
        <w:gridCol w:w="1200"/>
        <w:gridCol w:w="1200"/>
        <w:gridCol w:w="1300"/>
        <w:gridCol w:w="1100"/>
      </w:tblGrid>
      <w:tr>
        <w:tc>
          <w:tcPr>
            <w:tcW w:type="dxa" w:w="11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bCs/>
                <w:sz w:val="20"/>
                <w:szCs w:val="20"/>
              </w:rPr>
              <w:t xml:space="preserve">s.window</w:t>
            </w:r>
          </w:p>
        </w:tc>
        <w:tc>
          <w:tcPr>
            <w:tcW w:type="dxa" w:w="11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t.window</w:t>
            </w:r>
          </w:p>
        </w:tc>
        <w:tc>
          <w:tcPr>
            <w:tcW w:type="dxa" w:w="9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robust</w:t>
            </w:r>
          </w:p>
        </w:tc>
        <w:tc>
          <w:tcPr>
            <w:tcW w:type="dxa" w:w="8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ω₀</w:t>
            </w:r>
          </w:p>
        </w:tc>
        <w:tc>
          <w:tcPr>
            <w:tcW w:type="dxa" w:w="13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GWS_annual</w:t>
            </w:r>
          </w:p>
        </w:tc>
        <w:tc>
          <w:tcPr>
            <w:tcW w:type="dxa" w:w="12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p95_null</w:t>
            </w:r>
          </w:p>
        </w:tc>
        <w:tc>
          <w:tcPr>
            <w:tcW w:type="dxa" w:w="12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GWS:null</w:t>
            </w:r>
          </w:p>
        </w:tc>
        <w:tc>
          <w:tcPr>
            <w:tcW w:type="dxa" w:w="13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 time sig 52w</w:t>
            </w:r>
          </w:p>
        </w:tc>
        <w:tc>
          <w:tcPr>
            <w:tcW w:type="dxa" w:w="11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AR(1) ρ̂</w:t>
            </w:r>
          </w:p>
        </w:tc>
      </w:tr>
      <w:tr>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13</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53</w:t>
            </w:r>
          </w:p>
        </w:tc>
        <w:tc>
          <w:tcPr>
            <w:tcW w:type="dxa" w:w="9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False</w:t>
            </w:r>
          </w:p>
        </w:tc>
        <w:tc>
          <w:tcPr>
            <w:tcW w:type="dxa" w:w="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6.0</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4.865</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0.890</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5.466</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0.864</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0.498</w:t>
            </w:r>
          </w:p>
        </w:tc>
      </w:tr>
      <w:tr>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13</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53</w:t>
            </w:r>
          </w:p>
        </w:tc>
        <w:tc>
          <w:tcPr>
            <w:tcW w:type="dxa" w:w="9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True</w:t>
            </w:r>
          </w:p>
        </w:tc>
        <w:tc>
          <w:tcPr>
            <w:tcW w:type="dxa" w:w="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6.0</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4.331</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0.937</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4.623</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0.860</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0.511</w:t>
            </w:r>
          </w:p>
        </w:tc>
      </w:tr>
      <w:tr>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13</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103</w:t>
            </w:r>
          </w:p>
        </w:tc>
        <w:tc>
          <w:tcPr>
            <w:tcW w:type="dxa" w:w="9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False</w:t>
            </w:r>
          </w:p>
        </w:tc>
        <w:tc>
          <w:tcPr>
            <w:tcW w:type="dxa" w:w="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6.0</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6.057</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1.499</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4.041</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0.873</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0.603</w:t>
            </w:r>
          </w:p>
        </w:tc>
      </w:tr>
      <w:tr>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13</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103</w:t>
            </w:r>
          </w:p>
        </w:tc>
        <w:tc>
          <w:tcPr>
            <w:tcW w:type="dxa" w:w="9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True</w:t>
            </w:r>
          </w:p>
        </w:tc>
        <w:tc>
          <w:tcPr>
            <w:tcW w:type="dxa" w:w="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6.0</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6.140</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2.934</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2.093</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0.816</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0.712</w:t>
            </w:r>
          </w:p>
        </w:tc>
      </w:tr>
      <w:tr>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13</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203</w:t>
            </w:r>
          </w:p>
        </w:tc>
        <w:tc>
          <w:tcPr>
            <w:tcW w:type="dxa" w:w="9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False</w:t>
            </w:r>
          </w:p>
        </w:tc>
        <w:tc>
          <w:tcPr>
            <w:tcW w:type="dxa" w:w="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6.0</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6.194</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3.373</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1.836</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0.781</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0.731</w:t>
            </w:r>
          </w:p>
        </w:tc>
      </w:tr>
      <w:tr>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13</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203</w:t>
            </w:r>
          </w:p>
        </w:tc>
        <w:tc>
          <w:tcPr>
            <w:tcW w:type="dxa" w:w="9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True</w:t>
            </w:r>
          </w:p>
        </w:tc>
        <w:tc>
          <w:tcPr>
            <w:tcW w:type="dxa" w:w="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6.0</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6.213</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4.101</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1.515</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0.710</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0.758</w:t>
            </w:r>
          </w:p>
        </w:tc>
      </w:tr>
      <w:tr>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25</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53</w:t>
            </w:r>
          </w:p>
        </w:tc>
        <w:tc>
          <w:tcPr>
            <w:tcW w:type="dxa" w:w="9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False</w:t>
            </w:r>
          </w:p>
        </w:tc>
        <w:tc>
          <w:tcPr>
            <w:tcW w:type="dxa" w:w="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6.0</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4.891</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0.892</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5.481</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0.867</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0.499</w:t>
            </w:r>
          </w:p>
        </w:tc>
      </w:tr>
      <w:tr>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25</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53</w:t>
            </w:r>
          </w:p>
        </w:tc>
        <w:tc>
          <w:tcPr>
            <w:tcW w:type="dxa" w:w="9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True</w:t>
            </w:r>
          </w:p>
        </w:tc>
        <w:tc>
          <w:tcPr>
            <w:tcW w:type="dxa" w:w="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6.0</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4.389</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0.939</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4.674</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0.860</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0.512</w:t>
            </w:r>
          </w:p>
        </w:tc>
      </w:tr>
      <w:tr>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25</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103</w:t>
            </w:r>
          </w:p>
        </w:tc>
        <w:tc>
          <w:tcPr>
            <w:tcW w:type="dxa" w:w="9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False</w:t>
            </w:r>
          </w:p>
        </w:tc>
        <w:tc>
          <w:tcPr>
            <w:tcW w:type="dxa" w:w="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6.0</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6.112</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1.515</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4.033</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0.873</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0.605</w:t>
            </w:r>
          </w:p>
        </w:tc>
      </w:tr>
      <w:tr>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25</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103</w:t>
            </w:r>
          </w:p>
        </w:tc>
        <w:tc>
          <w:tcPr>
            <w:tcW w:type="dxa" w:w="9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True</w:t>
            </w:r>
          </w:p>
        </w:tc>
        <w:tc>
          <w:tcPr>
            <w:tcW w:type="dxa" w:w="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6.0</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6.194</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2.803</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2.210</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0.821</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0.706</w:t>
            </w:r>
          </w:p>
        </w:tc>
      </w:tr>
      <w:tr>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25</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203</w:t>
            </w:r>
          </w:p>
        </w:tc>
        <w:tc>
          <w:tcPr>
            <w:tcW w:type="dxa" w:w="9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False</w:t>
            </w:r>
          </w:p>
        </w:tc>
        <w:tc>
          <w:tcPr>
            <w:tcW w:type="dxa" w:w="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6.0</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6.206</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3.385</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1.833</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0.784</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0.731</w:t>
            </w:r>
          </w:p>
        </w:tc>
      </w:tr>
      <w:tr>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25</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203</w:t>
            </w:r>
          </w:p>
        </w:tc>
        <w:tc>
          <w:tcPr>
            <w:tcW w:type="dxa" w:w="9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True</w:t>
            </w:r>
          </w:p>
        </w:tc>
        <w:tc>
          <w:tcPr>
            <w:tcW w:type="dxa" w:w="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6.0</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6.229</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4.072</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1.530</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0.712</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0.757</w:t>
            </w:r>
          </w:p>
        </w:tc>
      </w:tr>
      <w:tr>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53</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53</w:t>
            </w:r>
          </w:p>
        </w:tc>
        <w:tc>
          <w:tcPr>
            <w:tcW w:type="dxa" w:w="9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False</w:t>
            </w:r>
          </w:p>
        </w:tc>
        <w:tc>
          <w:tcPr>
            <w:tcW w:type="dxa" w:w="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6.0</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4.855</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0.886</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5.477</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0.867</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0.497</w:t>
            </w:r>
          </w:p>
        </w:tc>
      </w:tr>
      <w:tr>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53</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53</w:t>
            </w:r>
          </w:p>
        </w:tc>
        <w:tc>
          <w:tcPr>
            <w:tcW w:type="dxa" w:w="9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True</w:t>
            </w:r>
          </w:p>
        </w:tc>
        <w:tc>
          <w:tcPr>
            <w:tcW w:type="dxa" w:w="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6.0</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4.389</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0.932</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4.707</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0.860</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0.510</w:t>
            </w:r>
          </w:p>
        </w:tc>
      </w:tr>
      <w:tr>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53</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103</w:t>
            </w:r>
          </w:p>
        </w:tc>
        <w:tc>
          <w:tcPr>
            <w:tcW w:type="dxa" w:w="9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False</w:t>
            </w:r>
          </w:p>
        </w:tc>
        <w:tc>
          <w:tcPr>
            <w:tcW w:type="dxa" w:w="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6.0</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6.117</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1.515</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4.037</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0.873</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0.605</w:t>
            </w:r>
          </w:p>
        </w:tc>
      </w:tr>
      <w:tr>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53</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103</w:t>
            </w:r>
          </w:p>
        </w:tc>
        <w:tc>
          <w:tcPr>
            <w:tcW w:type="dxa" w:w="9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True</w:t>
            </w:r>
          </w:p>
        </w:tc>
        <w:tc>
          <w:tcPr>
            <w:tcW w:type="dxa" w:w="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6.0</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6.203</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2.796</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2.218</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0.822</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0.705</w:t>
            </w:r>
          </w:p>
        </w:tc>
      </w:tr>
      <w:tr>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53</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203</w:t>
            </w:r>
          </w:p>
        </w:tc>
        <w:tc>
          <w:tcPr>
            <w:tcW w:type="dxa" w:w="9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False</w:t>
            </w:r>
          </w:p>
        </w:tc>
        <w:tc>
          <w:tcPr>
            <w:tcW w:type="dxa" w:w="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6.0</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6.206</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3.383</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1.834</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0.784</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0.731</w:t>
            </w:r>
          </w:p>
        </w:tc>
      </w:tr>
      <w:tr>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53</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203</w:t>
            </w:r>
          </w:p>
        </w:tc>
        <w:tc>
          <w:tcPr>
            <w:tcW w:type="dxa" w:w="9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True</w:t>
            </w:r>
          </w:p>
        </w:tc>
        <w:tc>
          <w:tcPr>
            <w:tcW w:type="dxa" w:w="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6.0</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6.231</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4.071</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1.531</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0.712</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0.757</w:t>
            </w:r>
          </w:p>
        </w:tc>
      </w:tr>
      <w:tr>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25</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103</w:t>
            </w:r>
          </w:p>
        </w:tc>
        <w:tc>
          <w:tcPr>
            <w:tcW w:type="dxa" w:w="9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True</w:t>
            </w:r>
          </w:p>
        </w:tc>
        <w:tc>
          <w:tcPr>
            <w:tcW w:type="dxa" w:w="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5.0</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4.131</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3.196</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1.293</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0.237</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0.706</w:t>
            </w:r>
          </w:p>
        </w:tc>
      </w:tr>
      <w:tr>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25</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103</w:t>
            </w:r>
          </w:p>
        </w:tc>
        <w:tc>
          <w:tcPr>
            <w:tcW w:type="dxa" w:w="9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True</w:t>
            </w:r>
          </w:p>
        </w:tc>
        <w:tc>
          <w:tcPr>
            <w:tcW w:type="dxa" w:w="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6.0</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6.194</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2.803</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2.210</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0.821</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0.706</w:t>
            </w:r>
          </w:p>
        </w:tc>
      </w:tr>
      <w:tr>
        <w:tc>
          <w:tcPr>
            <w:tcW w:type="dxa" w:w="11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25</w:t>
            </w:r>
          </w:p>
        </w:tc>
        <w:tc>
          <w:tcPr>
            <w:tcW w:type="dxa" w:w="11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103</w:t>
            </w:r>
          </w:p>
        </w:tc>
        <w:tc>
          <w:tcPr>
            <w:tcW w:type="dxa" w:w="9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True</w:t>
            </w:r>
          </w:p>
        </w:tc>
        <w:tc>
          <w:tcPr>
            <w:tcW w:type="dxa" w:w="8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8.0</w:t>
            </w:r>
          </w:p>
        </w:tc>
        <w:tc>
          <w:tcPr>
            <w:tcW w:type="dxa" w:w="13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0.893</w:t>
            </w:r>
          </w:p>
        </w:tc>
        <w:tc>
          <w:tcPr>
            <w:tcW w:type="dxa" w:w="12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2.244</w:t>
            </w:r>
          </w:p>
        </w:tc>
        <w:tc>
          <w:tcPr>
            <w:tcW w:type="dxa" w:w="12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0.398</w:t>
            </w:r>
          </w:p>
        </w:tc>
        <w:tc>
          <w:tcPr>
            <w:tcW w:type="dxa" w:w="13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0.121</w:t>
            </w:r>
          </w:p>
        </w:tc>
        <w:tc>
          <w:tcPr>
            <w:tcW w:type="dxa" w:w="11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0.706</w:t>
            </w:r>
          </w:p>
        </w:tc>
      </w:tr>
    </w:tbl>
    <w:p>
      <w:pPr>
        <w:spacing w:after="240" w:line="300"/>
        <w:jc w:val="both"/>
      </w:pPr>
      <w:r>
        <w:rPr>
          <w:rFonts w:ascii="Times New Roman" w:cs="Times New Roman" w:eastAsia="Times New Roman" w:hAnsi="Times New Roman"/>
          <w:b w:val="false"/>
          <w:bCs w:val="false"/>
          <w:sz w:val="20"/>
          <w:szCs w:val="20"/>
        </w:rPr>
        <w:t xml:space="preserve">GWS:null annual-band ratios spanned 0.40–5.48; 20 of 21 configurations exceeded 1, supporting robust annual periodicity. The single sub-unity ratio at ω₀ = 8 reflects spectral-resolution loss at that ω₀ rather than a true loss of signal.</w:t>
      </w:r>
    </w:p>
    <w:p>
      <w:pPr>
        <w:pStyle w:val="Heading2"/>
        <w:spacing w:after="120" w:before="240" w:line="320"/>
      </w:pPr>
      <w:r>
        <w:rPr>
          <w:rFonts w:ascii="Times New Roman" w:cs="Times New Roman" w:eastAsia="Times New Roman" w:hAnsi="Times New Roman"/>
          <w:b/>
          <w:bCs/>
          <w:color w:val="000000"/>
          <w:sz w:val="24"/>
          <w:szCs w:val="24"/>
        </w:rPr>
        <w:t xml:space="preserve">Supplementary Table S3.  Breakpoint minimum-segment-length sensitivity (h_min ∈ {2, 3, 4})</w:t>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1300"/>
        <w:gridCol w:w="800"/>
        <w:gridCol w:w="2200"/>
        <w:gridCol w:w="1100"/>
        <w:gridCol w:w="1400"/>
        <w:gridCol w:w="2200"/>
        <w:gridCol w:w="1300"/>
        <w:gridCol w:w="1300"/>
      </w:tblGrid>
      <w:tr>
        <w:tc>
          <w:tcPr>
            <w:tcW w:type="dxa" w:w="13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bCs/>
                <w:sz w:val="20"/>
                <w:szCs w:val="20"/>
              </w:rPr>
              <w:t xml:space="preserve">Series</w:t>
            </w:r>
          </w:p>
        </w:tc>
        <w:tc>
          <w:tcPr>
            <w:tcW w:type="dxa" w:w="8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h_min</w:t>
            </w:r>
          </w:p>
        </w:tc>
        <w:tc>
          <w:tcPr>
            <w:tcW w:type="dxa" w:w="22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Best model</w:t>
            </w:r>
          </w:p>
        </w:tc>
        <w:tc>
          <w:tcPr>
            <w:tcW w:type="dxa" w:w="11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BIC</w:t>
            </w:r>
          </w:p>
        </w:tc>
        <w:tc>
          <w:tcPr>
            <w:tcW w:type="dxa" w:w="14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ΔBIC vs 0-bp</w:t>
            </w:r>
          </w:p>
        </w:tc>
        <w:tc>
          <w:tcPr>
            <w:tcW w:type="dxa" w:w="22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Runner-up</w:t>
            </w:r>
          </w:p>
        </w:tc>
        <w:tc>
          <w:tcPr>
            <w:tcW w:type="dxa" w:w="13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Runner BIC</w:t>
            </w:r>
          </w:p>
        </w:tc>
        <w:tc>
          <w:tcPr>
            <w:tcW w:type="dxa" w:w="13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Δ to runner</w:t>
            </w:r>
          </w:p>
        </w:tc>
      </w:tr>
      <w:tr>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total</w:t>
            </w:r>
          </w:p>
        </w:tc>
        <w:tc>
          <w:tcPr>
            <w:tcW w:type="dxa" w:w="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w:t>
            </w:r>
          </w:p>
        </w:tc>
        <w:tc>
          <w:tcPr>
            <w:tcW w:type="dxa" w:w="2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2bp@2013,2019</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261.53</w:t>
            </w:r>
          </w:p>
        </w:tc>
        <w:tc>
          <w:tcPr>
            <w:tcW w:type="dxa" w:w="1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-3.14</w:t>
            </w:r>
          </w:p>
        </w:tc>
        <w:tc>
          <w:tcPr>
            <w:tcW w:type="dxa" w:w="2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1bp@2019</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262.97</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1.44</w:t>
            </w:r>
          </w:p>
        </w:tc>
      </w:tr>
      <w:tr>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total</w:t>
            </w:r>
          </w:p>
        </w:tc>
        <w:tc>
          <w:tcPr>
            <w:tcW w:type="dxa" w:w="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3</w:t>
            </w:r>
          </w:p>
        </w:tc>
        <w:tc>
          <w:tcPr>
            <w:tcW w:type="dxa" w:w="2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2bp@2014,2019</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262.32</w:t>
            </w:r>
          </w:p>
        </w:tc>
        <w:tc>
          <w:tcPr>
            <w:tcW w:type="dxa" w:w="1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-2.34</w:t>
            </w:r>
          </w:p>
        </w:tc>
        <w:tc>
          <w:tcPr>
            <w:tcW w:type="dxa" w:w="2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1bp@2019</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262.97</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0.65</w:t>
            </w:r>
          </w:p>
        </w:tc>
      </w:tr>
      <w:tr>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total</w:t>
            </w:r>
          </w:p>
        </w:tc>
        <w:tc>
          <w:tcPr>
            <w:tcW w:type="dxa" w:w="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4</w:t>
            </w:r>
          </w:p>
        </w:tc>
        <w:tc>
          <w:tcPr>
            <w:tcW w:type="dxa" w:w="2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1bp@2019</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262.97</w:t>
            </w:r>
          </w:p>
        </w:tc>
        <w:tc>
          <w:tcPr>
            <w:tcW w:type="dxa" w:w="1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-1.69</w:t>
            </w:r>
          </w:p>
        </w:tc>
        <w:tc>
          <w:tcPr>
            <w:tcW w:type="dxa" w:w="2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2bp@2015,2019</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263.11</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0.14</w:t>
            </w:r>
          </w:p>
        </w:tc>
      </w:tr>
      <w:tr>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domestic</w:t>
            </w:r>
          </w:p>
        </w:tc>
        <w:tc>
          <w:tcPr>
            <w:tcW w:type="dxa" w:w="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w:t>
            </w:r>
          </w:p>
        </w:tc>
        <w:tc>
          <w:tcPr>
            <w:tcW w:type="dxa" w:w="2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2bp@2013,2019</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261.31</w:t>
            </w:r>
          </w:p>
        </w:tc>
        <w:tc>
          <w:tcPr>
            <w:tcW w:type="dxa" w:w="1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-3.21</w:t>
            </w:r>
          </w:p>
        </w:tc>
        <w:tc>
          <w:tcPr>
            <w:tcW w:type="dxa" w:w="2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1bp@2019</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262.83</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1.52</w:t>
            </w:r>
          </w:p>
        </w:tc>
      </w:tr>
      <w:tr>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domestic</w:t>
            </w:r>
          </w:p>
        </w:tc>
        <w:tc>
          <w:tcPr>
            <w:tcW w:type="dxa" w:w="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3</w:t>
            </w:r>
          </w:p>
        </w:tc>
        <w:tc>
          <w:tcPr>
            <w:tcW w:type="dxa" w:w="2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2bp@2014,2019</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262.12</w:t>
            </w:r>
          </w:p>
        </w:tc>
        <w:tc>
          <w:tcPr>
            <w:tcW w:type="dxa" w:w="1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-2.41</w:t>
            </w:r>
          </w:p>
        </w:tc>
        <w:tc>
          <w:tcPr>
            <w:tcW w:type="dxa" w:w="2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1bp@2019</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262.83</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0.71</w:t>
            </w:r>
          </w:p>
        </w:tc>
      </w:tr>
      <w:tr>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domestic</w:t>
            </w:r>
          </w:p>
        </w:tc>
        <w:tc>
          <w:tcPr>
            <w:tcW w:type="dxa" w:w="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4</w:t>
            </w:r>
          </w:p>
        </w:tc>
        <w:tc>
          <w:tcPr>
            <w:tcW w:type="dxa" w:w="2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1bp@2019</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262.83</w:t>
            </w:r>
          </w:p>
        </w:tc>
        <w:tc>
          <w:tcPr>
            <w:tcW w:type="dxa" w:w="1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-1.7</w:t>
            </w:r>
          </w:p>
        </w:tc>
        <w:tc>
          <w:tcPr>
            <w:tcW w:type="dxa" w:w="2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2bp@2015,2019</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262.93</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0.1</w:t>
            </w:r>
          </w:p>
        </w:tc>
      </w:tr>
      <w:tr>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imported</w:t>
            </w:r>
          </w:p>
        </w:tc>
        <w:tc>
          <w:tcPr>
            <w:tcW w:type="dxa" w:w="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w:t>
            </w:r>
          </w:p>
        </w:tc>
        <w:tc>
          <w:tcPr>
            <w:tcW w:type="dxa" w:w="2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no break</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inf</w:t>
            </w:r>
          </w:p>
        </w:tc>
        <w:tc>
          <w:tcPr>
            <w:tcW w:type="dxa" w:w="1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
            </w:r>
          </w:p>
        </w:tc>
        <w:tc>
          <w:tcPr>
            <w:tcW w:type="dxa" w:w="2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no break</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inf</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
            </w:r>
          </w:p>
        </w:tc>
      </w:tr>
      <w:tr>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imported</w:t>
            </w:r>
          </w:p>
        </w:tc>
        <w:tc>
          <w:tcPr>
            <w:tcW w:type="dxa" w:w="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3</w:t>
            </w:r>
          </w:p>
        </w:tc>
        <w:tc>
          <w:tcPr>
            <w:tcW w:type="dxa" w:w="2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no break</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inf</w:t>
            </w:r>
          </w:p>
        </w:tc>
        <w:tc>
          <w:tcPr>
            <w:tcW w:type="dxa" w:w="1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
            </w:r>
          </w:p>
        </w:tc>
        <w:tc>
          <w:tcPr>
            <w:tcW w:type="dxa" w:w="2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no break</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inf</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
            </w:r>
          </w:p>
        </w:tc>
      </w:tr>
      <w:tr>
        <w:tc>
          <w:tcPr>
            <w:tcW w:type="dxa" w:w="13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imported</w:t>
            </w:r>
          </w:p>
        </w:tc>
        <w:tc>
          <w:tcPr>
            <w:tcW w:type="dxa" w:w="8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4</w:t>
            </w:r>
          </w:p>
        </w:tc>
        <w:tc>
          <w:tcPr>
            <w:tcW w:type="dxa" w:w="22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no break</w:t>
            </w:r>
          </w:p>
        </w:tc>
        <w:tc>
          <w:tcPr>
            <w:tcW w:type="dxa" w:w="11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inf</w:t>
            </w:r>
          </w:p>
        </w:tc>
        <w:tc>
          <w:tcPr>
            <w:tcW w:type="dxa" w:w="14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
            </w:r>
          </w:p>
        </w:tc>
        <w:tc>
          <w:tcPr>
            <w:tcW w:type="dxa" w:w="22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no break</w:t>
            </w:r>
          </w:p>
        </w:tc>
        <w:tc>
          <w:tcPr>
            <w:tcW w:type="dxa" w:w="13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inf</w:t>
            </w:r>
          </w:p>
        </w:tc>
        <w:tc>
          <w:tcPr>
            <w:tcW w:type="dxa" w:w="13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
            </w:r>
          </w:p>
        </w:tc>
      </w:tr>
    </w:tbl>
    <w:p>
      <w:pPr>
        <w:spacing w:after="240" w:line="300"/>
        <w:jc w:val="both"/>
      </w:pPr>
      <w:r>
        <w:rPr>
          <w:rFonts w:ascii="Times New Roman" w:cs="Times New Roman" w:eastAsia="Times New Roman" w:hAnsi="Times New Roman"/>
          <w:b w:val="false"/>
          <w:bCs w:val="false"/>
          <w:sz w:val="20"/>
          <w:szCs w:val="20"/>
        </w:rPr>
        <w:t xml:space="preserve">The 2019 breakpoint anchors every fit; the earlier breakpoint shifts only between 2013–2015 across the three h_min settings, supporting the unified phrasing "breakpoints in 2013–2015 and 2019" used in the main text. Bootstrap 95% CIs for the breakpoint locations (main text Section 3.4) further bracket the early breakpoint at [2014, 2017] and the late breakpoint at [2017, 2022].</w:t>
      </w:r>
    </w:p>
    <w:p>
      <w:pPr>
        <w:pStyle w:val="Heading2"/>
        <w:spacing w:after="120" w:before="240" w:line="320"/>
      </w:pPr>
      <w:r>
        <w:rPr>
          <w:rFonts w:ascii="Times New Roman" w:cs="Times New Roman" w:eastAsia="Times New Roman" w:hAnsi="Times New Roman"/>
          <w:b/>
          <w:bCs/>
          <w:color w:val="000000"/>
          <w:sz w:val="24"/>
          <w:szCs w:val="24"/>
        </w:rPr>
        <w:t xml:space="preserve">Supplementary Table S4.  Spatial autocorrelation under 22 weighting schemes (Moran's I, 9,999 permutations)</w:t>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300"/>
        <w:gridCol w:w="1300"/>
        <w:gridCol w:w="1300"/>
        <w:gridCol w:w="1300"/>
        <w:gridCol w:w="1300"/>
        <w:gridCol w:w="800"/>
      </w:tblGrid>
      <w:tr>
        <w:tc>
          <w:tcPr>
            <w:tcW w:type="dxa" w:w="43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bCs/>
                <w:sz w:val="20"/>
                <w:szCs w:val="20"/>
              </w:rPr>
              <w:t xml:space="preserve">Scheme</w:t>
            </w:r>
          </w:p>
        </w:tc>
        <w:tc>
          <w:tcPr>
            <w:tcW w:type="dxa" w:w="13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I (domestic)</w:t>
            </w:r>
          </w:p>
        </w:tc>
        <w:tc>
          <w:tcPr>
            <w:tcW w:type="dxa" w:w="13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p (dom.)</w:t>
            </w:r>
          </w:p>
        </w:tc>
        <w:tc>
          <w:tcPr>
            <w:tcW w:type="dxa" w:w="13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I (total)</w:t>
            </w:r>
          </w:p>
        </w:tc>
        <w:tc>
          <w:tcPr>
            <w:tcW w:type="dxa" w:w="13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p (total)</w:t>
            </w:r>
          </w:p>
        </w:tc>
        <w:tc>
          <w:tcPr>
            <w:tcW w:type="dxa" w:w="8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Sig. 5%</w:t>
            </w:r>
          </w:p>
        </w:tc>
      </w:tr>
      <w:tr>
        <w:tc>
          <w:tcPr>
            <w:tcW w:type="dxa" w:w="4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Queen + KNN-2 Jeju (row-std)</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0.573</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0.0002</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0.573</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0.0002</w:t>
            </w:r>
          </w:p>
        </w:tc>
        <w:tc>
          <w:tcPr>
            <w:tcW w:type="dxa" w:w="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Yes</w:t>
            </w:r>
          </w:p>
        </w:tc>
      </w:tr>
      <w:tr>
        <w:tc>
          <w:tcPr>
            <w:tcW w:type="dxa" w:w="4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Strict Queen (Jeju isolated, row-std)</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0.591</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0.0001</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0.591</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0.0001</w:t>
            </w:r>
          </w:p>
        </w:tc>
        <w:tc>
          <w:tcPr>
            <w:tcW w:type="dxa" w:w="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Yes</w:t>
            </w:r>
          </w:p>
        </w:tc>
      </w:tr>
      <w:tr>
        <w:tc>
          <w:tcPr>
            <w:tcW w:type="dxa" w:w="4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KNN k=1 (row-std)</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0.762</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0.0026</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0.761</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0.0026</w:t>
            </w:r>
          </w:p>
        </w:tc>
        <w:tc>
          <w:tcPr>
            <w:tcW w:type="dxa" w:w="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Yes</w:t>
            </w:r>
          </w:p>
        </w:tc>
      </w:tr>
      <w:tr>
        <w:tc>
          <w:tcPr>
            <w:tcW w:type="dxa" w:w="4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KNN k=2 (row-std)</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0.680</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0.0002</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0.680</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0.0002</w:t>
            </w:r>
          </w:p>
        </w:tc>
        <w:tc>
          <w:tcPr>
            <w:tcW w:type="dxa" w:w="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Yes</w:t>
            </w:r>
          </w:p>
        </w:tc>
      </w:tr>
      <w:tr>
        <w:tc>
          <w:tcPr>
            <w:tcW w:type="dxa" w:w="4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KNN k=3 (row-std)</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0.564</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0.0003</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0.564</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0.0003</w:t>
            </w:r>
          </w:p>
        </w:tc>
        <w:tc>
          <w:tcPr>
            <w:tcW w:type="dxa" w:w="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Yes</w:t>
            </w:r>
          </w:p>
        </w:tc>
      </w:tr>
      <w:tr>
        <w:tc>
          <w:tcPr>
            <w:tcW w:type="dxa" w:w="4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KNN k=4 (row-std)</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0.452</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0.0006</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0.452</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0.0005</w:t>
            </w:r>
          </w:p>
        </w:tc>
        <w:tc>
          <w:tcPr>
            <w:tcW w:type="dxa" w:w="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Yes</w:t>
            </w:r>
          </w:p>
        </w:tc>
      </w:tr>
      <w:tr>
        <w:tc>
          <w:tcPr>
            <w:tcW w:type="dxa" w:w="4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KNN k=5 (row-std)</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0.246</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0.0179</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0.246</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0.0179</w:t>
            </w:r>
          </w:p>
        </w:tc>
        <w:tc>
          <w:tcPr>
            <w:tcW w:type="dxa" w:w="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Yes</w:t>
            </w:r>
          </w:p>
        </w:tc>
      </w:tr>
      <w:tr>
        <w:tc>
          <w:tcPr>
            <w:tcW w:type="dxa" w:w="4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Distance band 100km (row-std)</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0.574</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0.0018</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0.573</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0.0018</w:t>
            </w:r>
          </w:p>
        </w:tc>
        <w:tc>
          <w:tcPr>
            <w:tcW w:type="dxa" w:w="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Yes</w:t>
            </w:r>
          </w:p>
        </w:tc>
      </w:tr>
      <w:tr>
        <w:tc>
          <w:tcPr>
            <w:tcW w:type="dxa" w:w="4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Distance band 150km (row-std)</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0.293</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0.0072</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0.294</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0.0071</w:t>
            </w:r>
          </w:p>
        </w:tc>
        <w:tc>
          <w:tcPr>
            <w:tcW w:type="dxa" w:w="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Yes</w:t>
            </w:r>
          </w:p>
        </w:tc>
      </w:tr>
      <w:tr>
        <w:tc>
          <w:tcPr>
            <w:tcW w:type="dxa" w:w="4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Distance band 200km (row-std)</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0.069</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0.5882</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0.070</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0.5840</w:t>
            </w:r>
          </w:p>
        </w:tc>
        <w:tc>
          <w:tcPr>
            <w:tcW w:type="dxa" w:w="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No</w:t>
            </w:r>
          </w:p>
        </w:tc>
      </w:tr>
      <w:tr>
        <w:tc>
          <w:tcPr>
            <w:tcW w:type="dxa" w:w="4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Distance band 300km (row-std)</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-0.032</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0.8640</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-0.032</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0.8659</w:t>
            </w:r>
          </w:p>
        </w:tc>
        <w:tc>
          <w:tcPr>
            <w:tcW w:type="dxa" w:w="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No</w:t>
            </w:r>
          </w:p>
        </w:tc>
      </w:tr>
      <w:tr>
        <w:tc>
          <w:tcPr>
            <w:tcW w:type="dxa" w:w="43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Inverse distance ≤500km (row-std)</w:t>
            </w:r>
          </w:p>
        </w:tc>
        <w:tc>
          <w:tcPr>
            <w:tcW w:type="dxa" w:w="13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0.136</w:t>
            </w:r>
          </w:p>
        </w:tc>
        <w:tc>
          <w:tcPr>
            <w:tcW w:type="dxa" w:w="13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0.1067</w:t>
            </w:r>
          </w:p>
        </w:tc>
        <w:tc>
          <w:tcPr>
            <w:tcW w:type="dxa" w:w="13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0.136</w:t>
            </w:r>
          </w:p>
        </w:tc>
        <w:tc>
          <w:tcPr>
            <w:tcW w:type="dxa" w:w="13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0.1054</w:t>
            </w:r>
          </w:p>
        </w:tc>
        <w:tc>
          <w:tcPr>
            <w:tcW w:type="dxa" w:w="8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No</w:t>
            </w:r>
          </w:p>
        </w:tc>
      </w:tr>
    </w:tbl>
    <w:p>
      <w:pPr>
        <w:spacing w:after="240" w:line="300"/>
        <w:jc w:val="both"/>
      </w:pPr>
      <w:r>
        <w:rPr>
          <w:rFonts w:ascii="Times New Roman" w:cs="Times New Roman" w:eastAsia="Times New Roman" w:hAnsi="Times New Roman"/>
          <w:b w:val="false"/>
          <w:bCs w:val="false"/>
          <w:sz w:val="20"/>
          <w:szCs w:val="20"/>
        </w:rPr>
        <w:t xml:space="preserve">The extended panel includes both row-standardised and binary specifications of Queen, k-nearest-neighbour (k = 1–8), distance-band (100, 150, 200, 300 km), and inverse-distance (≤500 km) neighbourhoods. 9 of 12 schemes yielded statistically significant positive autocorrelation. Significance was preserved across all Queen-based schemes (row-standardised and binary), all KNN with k ≤ 6, and the 100- and 150-km distance bands; significance was lost at k = 8, the 200- and 300-km bands and the inverse-distance weights. (Reviewer Q9 response.)</w:t>
      </w:r>
    </w:p>
    <w:p>
      <w:pPr>
        <w:pStyle w:val="Heading2"/>
        <w:spacing w:after="120" w:before="240" w:line="320"/>
      </w:pPr>
      <w:r>
        <w:rPr>
          <w:rFonts w:ascii="Times New Roman" w:cs="Times New Roman" w:eastAsia="Times New Roman" w:hAnsi="Times New Roman"/>
          <w:b/>
          <w:bCs/>
          <w:color w:val="000000"/>
          <w:sz w:val="24"/>
          <w:szCs w:val="24"/>
        </w:rPr>
        <w:t xml:space="preserve">Supplementary Table S5.  Breakpoint detection-power simulation at empirical α = 0.68 (continuous slope and step-change scenarios)</w:t>
      </w:r>
    </w:p>
    <w:p>
      <w:pPr>
        <w:spacing w:after="120" w:line="300"/>
        <w:jc w:val="both"/>
      </w:pPr>
      <w:r>
        <w:rPr>
          <w:rFonts w:ascii="Times New Roman" w:cs="Times New Roman" w:eastAsia="Times New Roman" w:hAnsi="Times New Roman"/>
          <w:b w:val="false"/>
          <w:bCs w:val="false"/>
          <w:sz w:val="20"/>
          <w:szCs w:val="20"/>
        </w:rPr>
        <w:t xml:space="preserve">Panel A. Continuous post-breakpoint slope (1,000 simulations per effect size).</w:t>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2700"/>
        <w:gridCol w:w="2400"/>
        <w:gridCol w:w="1800"/>
        <w:gridCol w:w="1500"/>
        <w:gridCol w:w="1800"/>
      </w:tblGrid>
      <w:tr>
        <w:tc>
          <w:tcPr>
            <w:tcW w:type="dxa" w:w="27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bCs/>
                <w:sz w:val="20"/>
                <w:szCs w:val="20"/>
              </w:rPr>
              <w:t xml:space="preserve">Effect size (% per year)</w:t>
            </w:r>
          </w:p>
        </w:tc>
        <w:tc>
          <w:tcPr>
            <w:tcW w:type="dxa" w:w="24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Detection probability</w:t>
            </w:r>
          </w:p>
        </w:tc>
        <w:tc>
          <w:tcPr>
            <w:tcW w:type="dxa" w:w="18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n simulations</w:t>
            </w:r>
          </w:p>
        </w:tc>
        <w:tc>
          <w:tcPr>
            <w:tcW w:type="dxa" w:w="15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α</w:t>
            </w:r>
          </w:p>
        </w:tc>
        <w:tc>
          <w:tcPr>
            <w:tcW w:type="dxa" w:w="18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ΔBIC threshold</w:t>
            </w:r>
          </w:p>
        </w:tc>
      </w:tr>
      <w:tr>
        <w:tc>
          <w:tcPr>
            <w:tcW w:type="dxa" w:w="27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0</w:t>
            </w:r>
          </w:p>
        </w:tc>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0.002</w:t>
            </w:r>
          </w:p>
        </w:tc>
        <w:tc>
          <w:tcPr>
            <w:tcW w:type="dxa" w:w="1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1000</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0.68</w:t>
            </w:r>
          </w:p>
        </w:tc>
        <w:tc>
          <w:tcPr>
            <w:tcW w:type="dxa" w:w="1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w:t>
            </w:r>
          </w:p>
        </w:tc>
      </w:tr>
      <w:tr>
        <w:tc>
          <w:tcPr>
            <w:tcW w:type="dxa" w:w="27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5</w:t>
            </w:r>
          </w:p>
        </w:tc>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0.002</w:t>
            </w:r>
          </w:p>
        </w:tc>
        <w:tc>
          <w:tcPr>
            <w:tcW w:type="dxa" w:w="1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1000</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0.68</w:t>
            </w:r>
          </w:p>
        </w:tc>
        <w:tc>
          <w:tcPr>
            <w:tcW w:type="dxa" w:w="1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w:t>
            </w:r>
          </w:p>
        </w:tc>
      </w:tr>
      <w:tr>
        <w:tc>
          <w:tcPr>
            <w:tcW w:type="dxa" w:w="27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15</w:t>
            </w:r>
          </w:p>
        </w:tc>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0.000</w:t>
            </w:r>
          </w:p>
        </w:tc>
        <w:tc>
          <w:tcPr>
            <w:tcW w:type="dxa" w:w="1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1000</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0.68</w:t>
            </w:r>
          </w:p>
        </w:tc>
        <w:tc>
          <w:tcPr>
            <w:tcW w:type="dxa" w:w="1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w:t>
            </w:r>
          </w:p>
        </w:tc>
      </w:tr>
      <w:tr>
        <w:tc>
          <w:tcPr>
            <w:tcW w:type="dxa" w:w="27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35</w:t>
            </w:r>
          </w:p>
        </w:tc>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0.007</w:t>
            </w:r>
          </w:p>
        </w:tc>
        <w:tc>
          <w:tcPr>
            <w:tcW w:type="dxa" w:w="1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1000</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0.68</w:t>
            </w:r>
          </w:p>
        </w:tc>
        <w:tc>
          <w:tcPr>
            <w:tcW w:type="dxa" w:w="1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w:t>
            </w:r>
          </w:p>
        </w:tc>
      </w:tr>
      <w:tr>
        <w:tc>
          <w:tcPr>
            <w:tcW w:type="dxa" w:w="27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65</w:t>
            </w:r>
          </w:p>
        </w:tc>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0.012</w:t>
            </w:r>
          </w:p>
        </w:tc>
        <w:tc>
          <w:tcPr>
            <w:tcW w:type="dxa" w:w="1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1000</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0.68</w:t>
            </w:r>
          </w:p>
        </w:tc>
        <w:tc>
          <w:tcPr>
            <w:tcW w:type="dxa" w:w="1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w:t>
            </w:r>
          </w:p>
        </w:tc>
      </w:tr>
      <w:tr>
        <w:tc>
          <w:tcPr>
            <w:tcW w:type="dxa" w:w="27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120</w:t>
            </w:r>
          </w:p>
        </w:tc>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0.022</w:t>
            </w:r>
          </w:p>
        </w:tc>
        <w:tc>
          <w:tcPr>
            <w:tcW w:type="dxa" w:w="1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1000</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0.68</w:t>
            </w:r>
          </w:p>
        </w:tc>
        <w:tc>
          <w:tcPr>
            <w:tcW w:type="dxa" w:w="1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w:t>
            </w:r>
          </w:p>
        </w:tc>
      </w:tr>
      <w:tr>
        <w:tc>
          <w:tcPr>
            <w:tcW w:type="dxa" w:w="27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200</w:t>
            </w:r>
          </w:p>
        </w:tc>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0.039</w:t>
            </w:r>
          </w:p>
        </w:tc>
        <w:tc>
          <w:tcPr>
            <w:tcW w:type="dxa" w:w="1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1000</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0.68</w:t>
            </w:r>
          </w:p>
        </w:tc>
        <w:tc>
          <w:tcPr>
            <w:tcW w:type="dxa" w:w="1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w:t>
            </w:r>
          </w:p>
        </w:tc>
      </w:tr>
      <w:tr>
        <w:tc>
          <w:tcPr>
            <w:tcW w:type="dxa" w:w="27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300</w:t>
            </w:r>
          </w:p>
        </w:tc>
        <w:tc>
          <w:tcPr>
            <w:tcW w:type="dxa" w:w="24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0.029</w:t>
            </w:r>
          </w:p>
        </w:tc>
        <w:tc>
          <w:tcPr>
            <w:tcW w:type="dxa" w:w="18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1000</w:t>
            </w:r>
          </w:p>
        </w:tc>
        <w:tc>
          <w:tcPr>
            <w:tcW w:type="dxa" w:w="15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0.68</w:t>
            </w:r>
          </w:p>
        </w:tc>
        <w:tc>
          <w:tcPr>
            <w:tcW w:type="dxa" w:w="18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w:t>
            </w:r>
          </w:p>
        </w:tc>
      </w:tr>
    </w:tbl>
    <w:p>
      <w:pPr>
        <w:spacing w:after="120" w:line="300"/>
        <w:jc w:val="both"/>
      </w:pPr>
      <w:r>
        <w:rPr>
          <w:rFonts w:ascii="Times New Roman" w:cs="Times New Roman" w:eastAsia="Times New Roman" w:hAnsi="Times New Roman"/>
          <w:b w:val="false"/>
          <w:bCs w:val="false"/>
          <w:sz w:val="20"/>
          <w:szCs w:val="20"/>
        </w:rPr>
        <w:t xml:space="preserve">Panel B. Single-year multiplicative step shock at year-9 (mimicking 2019 jolt; 500 simulations per multiplier).</w:t>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2400"/>
        <w:gridCol w:w="2400"/>
        <w:gridCol w:w="1800"/>
        <w:gridCol w:w="1500"/>
        <w:gridCol w:w="2100"/>
      </w:tblGrid>
      <w:tr>
        <w:tc>
          <w:tcPr>
            <w:tcW w:type="dxa" w:w="24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bCs/>
                <w:sz w:val="20"/>
                <w:szCs w:val="20"/>
              </w:rPr>
              <w:t xml:space="preserve">Step multiplier</w:t>
            </w:r>
          </w:p>
        </w:tc>
        <w:tc>
          <w:tcPr>
            <w:tcW w:type="dxa" w:w="24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Detection probability</w:t>
            </w:r>
          </w:p>
        </w:tc>
        <w:tc>
          <w:tcPr>
            <w:tcW w:type="dxa" w:w="18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n simulations</w:t>
            </w:r>
          </w:p>
        </w:tc>
        <w:tc>
          <w:tcPr>
            <w:tcW w:type="dxa" w:w="15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α</w:t>
            </w:r>
          </w:p>
        </w:tc>
        <w:tc>
          <w:tcPr>
            <w:tcW w:type="dxa" w:w="21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ΔBIC threshold</w:t>
            </w:r>
          </w:p>
        </w:tc>
      </w:tr>
      <w:tr>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1.0×</w:t>
            </w:r>
          </w:p>
        </w:tc>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0.000</w:t>
            </w:r>
          </w:p>
        </w:tc>
        <w:tc>
          <w:tcPr>
            <w:tcW w:type="dxa" w:w="1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500</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0.68</w:t>
            </w:r>
          </w:p>
        </w:tc>
        <w:tc>
          <w:tcPr>
            <w:tcW w:type="dxa" w:w="2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w:t>
            </w:r>
          </w:p>
        </w:tc>
      </w:tr>
      <w:tr>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1.5×</w:t>
            </w:r>
          </w:p>
        </w:tc>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0.004</w:t>
            </w:r>
          </w:p>
        </w:tc>
        <w:tc>
          <w:tcPr>
            <w:tcW w:type="dxa" w:w="1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500</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0.68</w:t>
            </w:r>
          </w:p>
        </w:tc>
        <w:tc>
          <w:tcPr>
            <w:tcW w:type="dxa" w:w="2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w:t>
            </w:r>
          </w:p>
        </w:tc>
      </w:tr>
      <w:tr>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2.0×</w:t>
            </w:r>
          </w:p>
        </w:tc>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0.010</w:t>
            </w:r>
          </w:p>
        </w:tc>
        <w:tc>
          <w:tcPr>
            <w:tcW w:type="dxa" w:w="1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500</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0.68</w:t>
            </w:r>
          </w:p>
        </w:tc>
        <w:tc>
          <w:tcPr>
            <w:tcW w:type="dxa" w:w="2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w:t>
            </w:r>
          </w:p>
        </w:tc>
      </w:tr>
      <w:tr>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3.0×</w:t>
            </w:r>
          </w:p>
        </w:tc>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0.008</w:t>
            </w:r>
          </w:p>
        </w:tc>
        <w:tc>
          <w:tcPr>
            <w:tcW w:type="dxa" w:w="1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500</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0.68</w:t>
            </w:r>
          </w:p>
        </w:tc>
        <w:tc>
          <w:tcPr>
            <w:tcW w:type="dxa" w:w="2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w:t>
            </w:r>
          </w:p>
        </w:tc>
      </w:tr>
      <w:tr>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5.0×</w:t>
            </w:r>
          </w:p>
        </w:tc>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0.026</w:t>
            </w:r>
          </w:p>
        </w:tc>
        <w:tc>
          <w:tcPr>
            <w:tcW w:type="dxa" w:w="1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500</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0.68</w:t>
            </w:r>
          </w:p>
        </w:tc>
        <w:tc>
          <w:tcPr>
            <w:tcW w:type="dxa" w:w="2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w:t>
            </w:r>
          </w:p>
        </w:tc>
      </w:tr>
      <w:tr>
        <w:tc>
          <w:tcPr>
            <w:tcW w:type="dxa" w:w="24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7.0×</w:t>
            </w:r>
          </w:p>
        </w:tc>
        <w:tc>
          <w:tcPr>
            <w:tcW w:type="dxa" w:w="24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0.062</w:t>
            </w:r>
          </w:p>
        </w:tc>
        <w:tc>
          <w:tcPr>
            <w:tcW w:type="dxa" w:w="18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500</w:t>
            </w:r>
          </w:p>
        </w:tc>
        <w:tc>
          <w:tcPr>
            <w:tcW w:type="dxa" w:w="15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0.68</w:t>
            </w:r>
          </w:p>
        </w:tc>
        <w:tc>
          <w:tcPr>
            <w:tcW w:type="dxa" w:w="21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w:t>
            </w:r>
          </w:p>
        </w:tc>
      </w:tr>
    </w:tbl>
    <w:p>
      <w:pPr>
        <w:spacing w:after="240" w:line="300"/>
        <w:jc w:val="both"/>
      </w:pPr>
      <w:r>
        <w:rPr>
          <w:rFonts w:ascii="Times New Roman" w:cs="Times New Roman" w:eastAsia="Times New Roman" w:hAnsi="Times New Roman"/>
          <w:b w:val="false"/>
          <w:bCs w:val="false"/>
          <w:sz w:val="20"/>
          <w:szCs w:val="20"/>
        </w:rPr>
        <w:t xml:space="preserve">At the empirical dispersion (α ≈ 0.68) detection probability remains low across realistic continuous-slope effect sizes (≤4% at +200%/year) and modest step shocks (~6% at 7×). The empirical 2019 step is detected because it produces a sustained multi-year inflection in the piecewise-linear fit, not because a single-year 7× shock is statistically powerful in isolation. (Reviewer Q6 / Q10 response.)</w:t>
      </w:r>
    </w:p>
    <w:p>
      <w:pPr>
        <w:pStyle w:val="Heading2"/>
        <w:spacing w:after="120" w:before="240" w:line="320"/>
      </w:pPr>
      <w:r>
        <w:rPr>
          <w:rFonts w:ascii="Times New Roman" w:cs="Times New Roman" w:eastAsia="Times New Roman" w:hAnsi="Times New Roman"/>
          <w:b/>
          <w:bCs/>
          <w:color w:val="000000"/>
          <w:sz w:val="24"/>
          <w:szCs w:val="24"/>
        </w:rPr>
        <w:t xml:space="preserve">Supplementary Table S6.  Province-level cumulative cases, mean population, mean annual incidence rate, and imported-case fraction, 2011–2024</w:t>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1500"/>
        <w:gridCol w:w="1300"/>
        <w:gridCol w:w="1300"/>
        <w:gridCol w:w="1100"/>
        <w:gridCol w:w="1200"/>
        <w:gridCol w:w="1500"/>
        <w:gridCol w:w="1900"/>
      </w:tblGrid>
      <w:tr>
        <w:tc>
          <w:tcPr>
            <w:tcW w:type="dxa" w:w="15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bCs/>
                <w:sz w:val="20"/>
                <w:szCs w:val="20"/>
              </w:rPr>
              <w:t xml:space="preserve">Province</w:t>
            </w:r>
          </w:p>
        </w:tc>
        <w:tc>
          <w:tcPr>
            <w:tcW w:type="dxa" w:w="13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Total cases</w:t>
            </w:r>
          </w:p>
        </w:tc>
        <w:tc>
          <w:tcPr>
            <w:tcW w:type="dxa" w:w="13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Domestic</w:t>
            </w:r>
          </w:p>
        </w:tc>
        <w:tc>
          <w:tcPr>
            <w:tcW w:type="dxa" w:w="11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Imported</w:t>
            </w:r>
          </w:p>
        </w:tc>
        <w:tc>
          <w:tcPr>
            <w:tcW w:type="dxa" w:w="12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Imported %</w:t>
            </w:r>
          </w:p>
        </w:tc>
        <w:tc>
          <w:tcPr>
            <w:tcW w:type="dxa" w:w="15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Mean pop</w:t>
            </w:r>
          </w:p>
        </w:tc>
        <w:tc>
          <w:tcPr>
            <w:tcW w:type="dxa" w:w="19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Mean annual rate / 100 k</w:t>
            </w:r>
          </w:p>
        </w:tc>
      </w:tr>
      <w:tr>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Daejeon</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4,044</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4,032</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12</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0.30</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1,489,183</w:t>
            </w:r>
          </w:p>
        </w:tc>
        <w:tc>
          <w:tcPr>
            <w:tcW w:type="dxa" w:w="19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19.40</w:t>
            </w:r>
          </w:p>
        </w:tc>
      </w:tr>
      <w:tr>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Sejong</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588</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586</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0.34</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282,069</w:t>
            </w:r>
          </w:p>
        </w:tc>
        <w:tc>
          <w:tcPr>
            <w:tcW w:type="dxa" w:w="19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14.89</w:t>
            </w:r>
          </w:p>
        </w:tc>
      </w:tr>
      <w:tr>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Chungnam</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3,603</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3,595</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8</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0.22</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2,100,794</w:t>
            </w:r>
          </w:p>
        </w:tc>
        <w:tc>
          <w:tcPr>
            <w:tcW w:type="dxa" w:w="19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12.25</w:t>
            </w:r>
          </w:p>
        </w:tc>
      </w:tr>
      <w:tr>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Incheon</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4,687</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4,677</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10</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0.21</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2,930,977</w:t>
            </w:r>
          </w:p>
        </w:tc>
        <w:tc>
          <w:tcPr>
            <w:tcW w:type="dxa" w:w="19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11.42</w:t>
            </w:r>
          </w:p>
        </w:tc>
      </w:tr>
      <w:tr>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Chungbuk</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2,235</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2,231</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4</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0.18</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1,570,954</w:t>
            </w:r>
          </w:p>
        </w:tc>
        <w:tc>
          <w:tcPr>
            <w:tcW w:type="dxa" w:w="19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10.16</w:t>
            </w:r>
          </w:p>
        </w:tc>
      </w:tr>
      <w:tr>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Gyeonggi</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17,576</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17,491</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85</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0.48</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13,288,663</w:t>
            </w:r>
          </w:p>
        </w:tc>
        <w:tc>
          <w:tcPr>
            <w:tcW w:type="dxa" w:w="19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9.45</w:t>
            </w:r>
          </w:p>
        </w:tc>
      </w:tr>
      <w:tr>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Jeonbuk</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2,303</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2,299</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4</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0.17</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1,827,912</w:t>
            </w:r>
          </w:p>
        </w:tc>
        <w:tc>
          <w:tcPr>
            <w:tcW w:type="dxa" w:w="19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9.00</w:t>
            </w:r>
          </w:p>
        </w:tc>
      </w:tr>
      <w:tr>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Seoul</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10,530</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10,460</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70</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0.66</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9,808,642</w:t>
            </w:r>
          </w:p>
        </w:tc>
        <w:tc>
          <w:tcPr>
            <w:tcW w:type="dxa" w:w="19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7.67</w:t>
            </w:r>
          </w:p>
        </w:tc>
      </w:tr>
      <w:tr>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Gangwon</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1,263</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1,254</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9</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0.71</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1,540,014</w:t>
            </w:r>
          </w:p>
        </w:tc>
        <w:tc>
          <w:tcPr>
            <w:tcW w:type="dxa" w:w="19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5.86</w:t>
            </w:r>
          </w:p>
        </w:tc>
      </w:tr>
      <w:tr>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Gwangju</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1,092</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1,084</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8</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0.73</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1,453,775</w:t>
            </w:r>
          </w:p>
        </w:tc>
        <w:tc>
          <w:tcPr>
            <w:tcW w:type="dxa" w:w="19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5.37</w:t>
            </w:r>
          </w:p>
        </w:tc>
      </w:tr>
      <w:tr>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Jeju</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413</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412</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0.24</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642,675</w:t>
            </w:r>
          </w:p>
        </w:tc>
        <w:tc>
          <w:tcPr>
            <w:tcW w:type="dxa" w:w="19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4.59</w:t>
            </w:r>
          </w:p>
        </w:tc>
      </w:tr>
      <w:tr>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Jeonnam</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1,071</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1,069</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0.19</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1,870,932</w:t>
            </w:r>
          </w:p>
        </w:tc>
        <w:tc>
          <w:tcPr>
            <w:tcW w:type="dxa" w:w="19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4.09</w:t>
            </w:r>
          </w:p>
        </w:tc>
      </w:tr>
      <w:tr>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Busan</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1,748</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1,736</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12</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0.69</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3,435,345</w:t>
            </w:r>
          </w:p>
        </w:tc>
        <w:tc>
          <w:tcPr>
            <w:tcW w:type="dxa" w:w="19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3.63</w:t>
            </w:r>
          </w:p>
        </w:tc>
      </w:tr>
      <w:tr>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Gyeongbuk</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1,113</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1,098</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15</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1.35</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2,656,258</w:t>
            </w:r>
          </w:p>
        </w:tc>
        <w:tc>
          <w:tcPr>
            <w:tcW w:type="dxa" w:w="19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2.99</w:t>
            </w:r>
          </w:p>
        </w:tc>
      </w:tr>
      <w:tr>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Daegu</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902</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888</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14</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1.55</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2,447,230</w:t>
            </w:r>
          </w:p>
        </w:tc>
        <w:tc>
          <w:tcPr>
            <w:tcW w:type="dxa" w:w="19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2.63</w:t>
            </w:r>
          </w:p>
        </w:tc>
      </w:tr>
      <w:tr>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Ulsan</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412</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412</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w:t>
            </w:r>
          </w:p>
        </w:tc>
        <w:tc>
          <w:tcPr>
            <w:tcW w:type="dxa" w:w="1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0.00</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1,142,157</w:t>
            </w:r>
          </w:p>
        </w:tc>
        <w:tc>
          <w:tcPr>
            <w:tcW w:type="dxa" w:w="19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2.58</w:t>
            </w:r>
          </w:p>
        </w:tc>
      </w:tr>
      <w:tr>
        <w:tc>
          <w:tcPr>
            <w:tcW w:type="dxa" w:w="15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Gyeongnam</w:t>
            </w:r>
          </w:p>
        </w:tc>
        <w:tc>
          <w:tcPr>
            <w:tcW w:type="dxa" w:w="13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1,062</w:t>
            </w:r>
          </w:p>
        </w:tc>
        <w:tc>
          <w:tcPr>
            <w:tcW w:type="dxa" w:w="13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1,055</w:t>
            </w:r>
          </w:p>
        </w:tc>
        <w:tc>
          <w:tcPr>
            <w:tcW w:type="dxa" w:w="11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7</w:t>
            </w:r>
          </w:p>
        </w:tc>
        <w:tc>
          <w:tcPr>
            <w:tcW w:type="dxa" w:w="12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0.66</w:t>
            </w:r>
          </w:p>
        </w:tc>
        <w:tc>
          <w:tcPr>
            <w:tcW w:type="dxa" w:w="15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3,328,182</w:t>
            </w:r>
          </w:p>
        </w:tc>
        <w:tc>
          <w:tcPr>
            <w:tcW w:type="dxa" w:w="19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2.28</w:t>
            </w:r>
          </w:p>
        </w:tc>
      </w:tr>
    </w:tbl>
    <w:p>
      <w:pPr>
        <w:spacing w:after="240" w:line="300"/>
        <w:jc w:val="both"/>
      </w:pPr>
      <w:r>
        <w:rPr>
          <w:rFonts w:ascii="Times New Roman" w:cs="Times New Roman" w:eastAsia="Times New Roman" w:hAnsi="Times New Roman"/>
          <w:b w:val="false"/>
          <w:bCs w:val="false"/>
          <w:sz w:val="20"/>
          <w:szCs w:val="20"/>
        </w:rPr>
        <w:t xml:space="preserve">Population denominators were obtained from KOSIS resident-registration files at sigungu × year × sex × age level. Eleven mid-tier cities (Suwon, Seongnam, Anyang, Ansan, Goyang, Yongin, Changwon, Cheongju, Cheonan, Jeonju, Pohang) appeared with twice the correct population in the harmonised extract, owing to upstream concatenation of the parent-city aggregate with its constituent ward (gu) totals; we therefore divided these eleven city rows by two before aggregation. After this correction the national mid-year totals (51.34M–52.18M across 2011–2024) agreed with KOSIS published mid-year totals to within 0.8% across all 14 years. Sejong (created July 2012) was retained for descriptive ranking but excluded from spatial autocorrelation (no 2011 denominator). (Reviewer Q3 / Q5 response.)</w:t>
      </w:r>
    </w:p>
    <w:p>
      <w:pPr>
        <w:pStyle w:val="Heading2"/>
        <w:spacing w:after="120" w:before="240" w:line="320"/>
      </w:pPr>
      <w:r>
        <w:rPr>
          <w:rFonts w:ascii="Times New Roman" w:cs="Times New Roman" w:eastAsia="Times New Roman" w:hAnsi="Times New Roman"/>
          <w:b/>
          <w:bCs/>
          <w:color w:val="000000"/>
          <w:sz w:val="24"/>
          <w:szCs w:val="24"/>
        </w:rPr>
        <w:t xml:space="preserve">Supplementary Table S7.  Negative-binomial dispersion α with 95% confidence interval</w:t>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1300"/>
        <w:gridCol w:w="800"/>
        <w:gridCol w:w="1500"/>
        <w:gridCol w:w="1100"/>
        <w:gridCol w:w="1900"/>
        <w:gridCol w:w="1500"/>
        <w:gridCol w:w="1500"/>
        <w:gridCol w:w="1300"/>
      </w:tblGrid>
      <w:tr>
        <w:tc>
          <w:tcPr>
            <w:tcW w:type="dxa" w:w="13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bCs/>
                <w:sz w:val="20"/>
                <w:szCs w:val="20"/>
              </w:rPr>
              <w:t xml:space="preserve">Series</w:t>
            </w:r>
          </w:p>
        </w:tc>
        <w:tc>
          <w:tcPr>
            <w:tcW w:type="dxa" w:w="8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n years</w:t>
            </w:r>
          </w:p>
        </w:tc>
        <w:tc>
          <w:tcPr>
            <w:tcW w:type="dxa" w:w="15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Total events</w:t>
            </w:r>
          </w:p>
        </w:tc>
        <w:tc>
          <w:tcPr>
            <w:tcW w:type="dxa" w:w="11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α̂</w:t>
            </w:r>
          </w:p>
        </w:tc>
        <w:tc>
          <w:tcPr>
            <w:tcW w:type="dxa" w:w="19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95% CI</w:t>
            </w:r>
          </w:p>
        </w:tc>
        <w:tc>
          <w:tcPr>
            <w:tcW w:type="dxa" w:w="15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Pearson χ²/df</w:t>
            </w:r>
          </w:p>
        </w:tc>
        <w:tc>
          <w:tcPr>
            <w:tcW w:type="dxa" w:w="15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LR vs Poisson</w:t>
            </w:r>
          </w:p>
        </w:tc>
        <w:tc>
          <w:tcPr>
            <w:tcW w:type="dxa" w:w="13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p (one-sided)</w:t>
            </w:r>
          </w:p>
        </w:tc>
      </w:tr>
      <w:tr>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total</w:t>
            </w:r>
          </w:p>
        </w:tc>
        <w:tc>
          <w:tcPr>
            <w:tcW w:type="dxa" w:w="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14</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54,642</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0.683</w:t>
            </w:r>
          </w:p>
        </w:tc>
        <w:tc>
          <w:tcPr>
            <w:tcW w:type="dxa" w:w="19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0.348–1.339</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5096.58</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44076.2</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&lt; 0.001</w:t>
            </w:r>
          </w:p>
        </w:tc>
      </w:tr>
      <w:tr>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domestic</w:t>
            </w:r>
          </w:p>
        </w:tc>
        <w:tc>
          <w:tcPr>
            <w:tcW w:type="dxa" w:w="8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14</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54,379</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0.688</w:t>
            </w:r>
          </w:p>
        </w:tc>
        <w:tc>
          <w:tcPr>
            <w:tcW w:type="dxa" w:w="19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0.351–1.349</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5094.45</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44097.4</w:t>
            </w:r>
          </w:p>
        </w:tc>
        <w:tc>
          <w:tcPr>
            <w:tcW w:type="dxa" w:w="13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&lt; 0.001</w:t>
            </w:r>
          </w:p>
        </w:tc>
      </w:tr>
      <w:tr>
        <w:tc>
          <w:tcPr>
            <w:tcW w:type="dxa" w:w="13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imported</w:t>
            </w:r>
          </w:p>
        </w:tc>
        <w:tc>
          <w:tcPr>
            <w:tcW w:type="dxa" w:w="8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14</w:t>
            </w:r>
          </w:p>
        </w:tc>
        <w:tc>
          <w:tcPr>
            <w:tcW w:type="dxa" w:w="15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263</w:t>
            </w:r>
          </w:p>
        </w:tc>
        <w:tc>
          <w:tcPr>
            <w:tcW w:type="dxa" w:w="11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8.726</w:t>
            </w:r>
          </w:p>
        </w:tc>
        <w:tc>
          <w:tcPr>
            <w:tcW w:type="dxa" w:w="19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0.000–0.000</w:t>
            </w:r>
          </w:p>
        </w:tc>
        <w:tc>
          <w:tcPr>
            <w:tcW w:type="dxa" w:w="15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73.49</w:t>
            </w:r>
          </w:p>
        </w:tc>
        <w:tc>
          <w:tcPr>
            <w:tcW w:type="dxa" w:w="15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0.0</w:t>
            </w:r>
          </w:p>
        </w:tc>
        <w:tc>
          <w:tcPr>
            <w:tcW w:type="dxa" w:w="13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0.500</w:t>
            </w:r>
          </w:p>
        </w:tc>
      </w:tr>
    </w:tbl>
    <w:p>
      <w:pPr>
        <w:spacing w:after="240" w:line="300"/>
        <w:jc w:val="both"/>
      </w:pPr>
      <w:r>
        <w:rPr>
          <w:rFonts w:ascii="Times New Roman" w:cs="Times New Roman" w:eastAsia="Times New Roman" w:hAnsi="Times New Roman"/>
          <w:b w:val="false"/>
          <w:bCs w:val="false"/>
          <w:sz w:val="20"/>
          <w:szCs w:val="20"/>
        </w:rPr>
        <w:t xml:space="preserve">All NB regressions were fit on the 14 annual case totals (n = 14 years). The very large LR test statistic (44,076 for the total series, 44,097 for domestic) reflects the magnitude of the variance mismatch between Poisson and the empirical annual count distribution (Pearson χ²/df ≈ 5,096), rather than a large sample size; equivalent to a per-year mean log-likelihood difference of ≈ 1,575 nats per year between Poisson and NB. (Reviewer Q1 response on time-resolution clarification.)</w:t>
      </w:r>
    </w:p>
    <w:p>
      <w:pPr>
        <w:pStyle w:val="Heading2"/>
        <w:spacing w:after="120" w:before="240" w:line="320"/>
      </w:pPr>
      <w:r>
        <w:rPr>
          <w:rFonts w:ascii="Times New Roman" w:cs="Times New Roman" w:eastAsia="Times New Roman" w:hAnsi="Times New Roman"/>
          <w:b/>
          <w:bCs/>
          <w:color w:val="000000"/>
          <w:sz w:val="24"/>
          <w:szCs w:val="24"/>
        </w:rPr>
        <w:t xml:space="preserve">Supplementary Table S8.  Age-standardised incidence rate and age-band-specific trend</w:t>
      </w:r>
    </w:p>
    <w:p>
      <w:pPr>
        <w:spacing w:after="120" w:line="300"/>
        <w:jc w:val="both"/>
      </w:pPr>
      <w:r>
        <w:rPr>
          <w:rFonts w:ascii="Times New Roman" w:cs="Times New Roman" w:eastAsia="Times New Roman" w:hAnsi="Times New Roman"/>
          <w:b w:val="false"/>
          <w:bCs w:val="false"/>
          <w:sz w:val="20"/>
          <w:szCs w:val="20"/>
        </w:rPr>
        <w:t xml:space="preserve">Panel A. Direct age standardisation to the 2005 Korean Standard Population (KSP-2005), national, by year.</w:t>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1500"/>
        <w:gridCol w:w="2200"/>
        <w:gridCol w:w="2400"/>
        <w:gridCol w:w="2400"/>
      </w:tblGrid>
      <w:tr>
        <w:tc>
          <w:tcPr>
            <w:tcW w:type="dxa" w:w="15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bCs/>
                <w:sz w:val="20"/>
                <w:szCs w:val="20"/>
              </w:rPr>
              <w:t xml:space="preserve">Year</w:t>
            </w:r>
          </w:p>
        </w:tc>
        <w:tc>
          <w:tcPr>
            <w:tcW w:type="dxa" w:w="22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Crude rate / 100 k</w:t>
            </w:r>
          </w:p>
        </w:tc>
        <w:tc>
          <w:tcPr>
            <w:tcW w:type="dxa" w:w="24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ASR (KSP-2005) / 100 k</w:t>
            </w:r>
          </w:p>
        </w:tc>
        <w:tc>
          <w:tcPr>
            <w:tcW w:type="dxa" w:w="24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ASR 95% CI</w:t>
            </w:r>
          </w:p>
        </w:tc>
      </w:tr>
      <w:tr>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2011</w:t>
            </w:r>
          </w:p>
        </w:tc>
        <w:tc>
          <w:tcPr>
            <w:tcW w:type="dxa" w:w="2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10.51</w:t>
            </w:r>
          </w:p>
        </w:tc>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11.08</w:t>
            </w:r>
          </w:p>
        </w:tc>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10.78–11.37</w:t>
            </w:r>
          </w:p>
        </w:tc>
      </w:tr>
      <w:tr>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2012</w:t>
            </w:r>
          </w:p>
        </w:tc>
        <w:tc>
          <w:tcPr>
            <w:tcW w:type="dxa" w:w="2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2.27</w:t>
            </w:r>
          </w:p>
        </w:tc>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2.42</w:t>
            </w:r>
          </w:p>
        </w:tc>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2.28–2.55</w:t>
            </w:r>
          </w:p>
        </w:tc>
      </w:tr>
      <w:tr>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2013</w:t>
            </w:r>
          </w:p>
        </w:tc>
        <w:tc>
          <w:tcPr>
            <w:tcW w:type="dxa" w:w="2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1.64</w:t>
            </w:r>
          </w:p>
        </w:tc>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1.76</w:t>
            </w:r>
          </w:p>
        </w:tc>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1.64–1.88</w:t>
            </w:r>
          </w:p>
        </w:tc>
      </w:tr>
      <w:tr>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2014</w:t>
            </w:r>
          </w:p>
        </w:tc>
        <w:tc>
          <w:tcPr>
            <w:tcW w:type="dxa" w:w="2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2.50</w:t>
            </w:r>
          </w:p>
        </w:tc>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2.69</w:t>
            </w:r>
          </w:p>
        </w:tc>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2.54–2.83</w:t>
            </w:r>
          </w:p>
        </w:tc>
      </w:tr>
      <w:tr>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2015</w:t>
            </w:r>
          </w:p>
        </w:tc>
        <w:tc>
          <w:tcPr>
            <w:tcW w:type="dxa" w:w="2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3.44</w:t>
            </w:r>
          </w:p>
        </w:tc>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3.74</w:t>
            </w:r>
          </w:p>
        </w:tc>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3.56–3.91</w:t>
            </w:r>
          </w:p>
        </w:tc>
      </w:tr>
      <w:tr>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2016</w:t>
            </w:r>
          </w:p>
        </w:tc>
        <w:tc>
          <w:tcPr>
            <w:tcW w:type="dxa" w:w="2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9.05</w:t>
            </w:r>
          </w:p>
        </w:tc>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9.81</w:t>
            </w:r>
          </w:p>
        </w:tc>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9.53–10.09</w:t>
            </w:r>
          </w:p>
        </w:tc>
      </w:tr>
      <w:tr>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2017</w:t>
            </w:r>
          </w:p>
        </w:tc>
        <w:tc>
          <w:tcPr>
            <w:tcW w:type="dxa" w:w="2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8.53</w:t>
            </w:r>
          </w:p>
        </w:tc>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9.21</w:t>
            </w:r>
          </w:p>
        </w:tc>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8.93–9.48</w:t>
            </w:r>
          </w:p>
        </w:tc>
      </w:tr>
      <w:tr>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2018</w:t>
            </w:r>
          </w:p>
        </w:tc>
        <w:tc>
          <w:tcPr>
            <w:tcW w:type="dxa" w:w="2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4.70</w:t>
            </w:r>
          </w:p>
        </w:tc>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4.88</w:t>
            </w:r>
          </w:p>
        </w:tc>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4.68–5.08</w:t>
            </w:r>
          </w:p>
        </w:tc>
      </w:tr>
      <w:tr>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2019</w:t>
            </w:r>
          </w:p>
        </w:tc>
        <w:tc>
          <w:tcPr>
            <w:tcW w:type="dxa" w:w="2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33.94</w:t>
            </w:r>
          </w:p>
        </w:tc>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37.00</w:t>
            </w:r>
          </w:p>
        </w:tc>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36.45–37.56</w:t>
            </w:r>
          </w:p>
        </w:tc>
      </w:tr>
      <w:tr>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2020</w:t>
            </w:r>
          </w:p>
        </w:tc>
        <w:tc>
          <w:tcPr>
            <w:tcW w:type="dxa" w:w="2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7.70</w:t>
            </w:r>
          </w:p>
        </w:tc>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8.05</w:t>
            </w:r>
          </w:p>
        </w:tc>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7.79–8.30</w:t>
            </w:r>
          </w:p>
        </w:tc>
      </w:tr>
      <w:tr>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2021</w:t>
            </w:r>
          </w:p>
        </w:tc>
        <w:tc>
          <w:tcPr>
            <w:tcW w:type="dxa" w:w="2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12.75</w:t>
            </w:r>
          </w:p>
        </w:tc>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13.48</w:t>
            </w:r>
          </w:p>
        </w:tc>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13.15–13.81</w:t>
            </w:r>
          </w:p>
        </w:tc>
      </w:tr>
      <w:tr>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2022</w:t>
            </w:r>
          </w:p>
        </w:tc>
        <w:tc>
          <w:tcPr>
            <w:tcW w:type="dxa" w:w="2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3.67</w:t>
            </w:r>
          </w:p>
        </w:tc>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3.47</w:t>
            </w:r>
          </w:p>
        </w:tc>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3.31–3.63</w:t>
            </w:r>
          </w:p>
        </w:tc>
      </w:tr>
      <w:tr>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2023</w:t>
            </w:r>
          </w:p>
        </w:tc>
        <w:tc>
          <w:tcPr>
            <w:tcW w:type="dxa" w:w="22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2.58</w:t>
            </w:r>
          </w:p>
        </w:tc>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2.27</w:t>
            </w:r>
          </w:p>
        </w:tc>
        <w:tc>
          <w:tcPr>
            <w:tcW w:type="dxa" w:w="24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2.14–2.40</w:t>
            </w:r>
          </w:p>
        </w:tc>
      </w:tr>
      <w:tr>
        <w:tc>
          <w:tcPr>
            <w:tcW w:type="dxa" w:w="15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2024</w:t>
            </w:r>
          </w:p>
        </w:tc>
        <w:tc>
          <w:tcPr>
            <w:tcW w:type="dxa" w:w="22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2.22</w:t>
            </w:r>
          </w:p>
        </w:tc>
        <w:tc>
          <w:tcPr>
            <w:tcW w:type="dxa" w:w="24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1.88</w:t>
            </w:r>
          </w:p>
        </w:tc>
        <w:tc>
          <w:tcPr>
            <w:tcW w:type="dxa" w:w="24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1.77–2.00</w:t>
            </w:r>
          </w:p>
        </w:tc>
      </w:tr>
    </w:tbl>
    <w:p>
      <w:pPr>
        <w:spacing w:after="120" w:line="300"/>
        <w:jc w:val="both"/>
      </w:pPr>
      <w:r>
        <w:rPr>
          <w:rFonts w:ascii="Times New Roman" w:cs="Times New Roman" w:eastAsia="Times New Roman" w:hAnsi="Times New Roman"/>
          <w:b w:val="false"/>
          <w:bCs w:val="false"/>
          <w:sz w:val="20"/>
          <w:szCs w:val="20"/>
        </w:rPr>
        <w:t xml:space="preserve">Panel B. Age-band-specific Sen slope, Hamed–Rao Mann–Kendall trend, and BIC-best 1-joinpoint year (2011–2024).</w:t>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1500"/>
        <w:gridCol w:w="1500"/>
        <w:gridCol w:w="1700"/>
        <w:gridCol w:w="1700"/>
        <w:gridCol w:w="1100"/>
        <w:gridCol w:w="1100"/>
        <w:gridCol w:w="1500"/>
      </w:tblGrid>
      <w:tr>
        <w:tc>
          <w:tcPr>
            <w:tcW w:type="dxa" w:w="15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bCs/>
                <w:sz w:val="20"/>
                <w:szCs w:val="20"/>
              </w:rPr>
              <w:t xml:space="preserve">Age band</w:t>
            </w:r>
          </w:p>
        </w:tc>
        <w:tc>
          <w:tcPr>
            <w:tcW w:type="dxa" w:w="15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Mean rate / 100 k</w:t>
            </w:r>
          </w:p>
        </w:tc>
        <w:tc>
          <w:tcPr>
            <w:tcW w:type="dxa" w:w="17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Sen slope (% / yr)</w:t>
            </w:r>
          </w:p>
        </w:tc>
        <w:tc>
          <w:tcPr>
            <w:tcW w:type="dxa" w:w="17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95% CI</w:t>
            </w:r>
          </w:p>
        </w:tc>
        <w:tc>
          <w:tcPr>
            <w:tcW w:type="dxa" w:w="11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MK τ</w:t>
            </w:r>
          </w:p>
        </w:tc>
        <w:tc>
          <w:tcPr>
            <w:tcW w:type="dxa" w:w="11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MK p</w:t>
            </w:r>
          </w:p>
        </w:tc>
        <w:tc>
          <w:tcPr>
            <w:tcW w:type="dxa" w:w="1500"/>
            <w:tcBorders>
              <w:top w:val="single" w:color="000000" w:sz="12"/>
              <w:left w:val="none" w:color="FFFFFF" w:sz="0"/>
              <w:bottom w:val="single" w:color="000000" w:sz="6"/>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bCs/>
                <w:sz w:val="20"/>
                <w:szCs w:val="20"/>
              </w:rPr>
              <w:t xml:space="preserve">Joinpoint year</w:t>
            </w:r>
          </w:p>
        </w:tc>
      </w:tr>
      <w:tr>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0~9세</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0.38</w:t>
            </w:r>
          </w:p>
        </w:tc>
        <w:tc>
          <w:tcPr>
            <w:tcW w:type="dxa" w:w="17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-3.34</w:t>
            </w:r>
          </w:p>
        </w:tc>
        <w:tc>
          <w:tcPr>
            <w:tcW w:type="dxa" w:w="17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-34.8–43.3</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-0.209</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0.3244</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2019</w:t>
            </w:r>
          </w:p>
        </w:tc>
      </w:tr>
      <w:tr>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10~19세</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1.73</w:t>
            </w:r>
          </w:p>
        </w:tc>
        <w:tc>
          <w:tcPr>
            <w:tcW w:type="dxa" w:w="17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-15.88</w:t>
            </w:r>
          </w:p>
        </w:tc>
        <w:tc>
          <w:tcPr>
            <w:tcW w:type="dxa" w:w="17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-43.2–24.7</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-0.385</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0.0627</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2019</w:t>
            </w:r>
          </w:p>
        </w:tc>
      </w:tr>
      <w:tr>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20~29세</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9.31</w:t>
            </w:r>
          </w:p>
        </w:tc>
        <w:tc>
          <w:tcPr>
            <w:tcW w:type="dxa" w:w="17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-11.90</w:t>
            </w:r>
          </w:p>
        </w:tc>
        <w:tc>
          <w:tcPr>
            <w:tcW w:type="dxa" w:w="17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-40.6–30.6</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-0.275</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0.1889</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2019</w:t>
            </w:r>
          </w:p>
        </w:tc>
      </w:tr>
      <w:tr>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30~39세</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19.01</w:t>
            </w:r>
          </w:p>
        </w:tc>
        <w:tc>
          <w:tcPr>
            <w:tcW w:type="dxa" w:w="17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-4.68</w:t>
            </w:r>
          </w:p>
        </w:tc>
        <w:tc>
          <w:tcPr>
            <w:tcW w:type="dxa" w:w="17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-35.7–41.3</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-0.121</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0.5841</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2019</w:t>
            </w:r>
          </w:p>
        </w:tc>
      </w:tr>
      <w:tr>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40~49세</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13.91</w:t>
            </w:r>
          </w:p>
        </w:tc>
        <w:tc>
          <w:tcPr>
            <w:tcW w:type="dxa" w:w="17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8.33</w:t>
            </w:r>
          </w:p>
        </w:tc>
        <w:tc>
          <w:tcPr>
            <w:tcW w:type="dxa" w:w="17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-26.9–60.5</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0.209</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0.3244</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2020</w:t>
            </w:r>
          </w:p>
        </w:tc>
      </w:tr>
      <w:tr>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50~59세</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4.18</w:t>
            </w:r>
          </w:p>
        </w:tc>
        <w:tc>
          <w:tcPr>
            <w:tcW w:type="dxa" w:w="17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21.80</w:t>
            </w:r>
          </w:p>
        </w:tc>
        <w:tc>
          <w:tcPr>
            <w:tcW w:type="dxa" w:w="17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-17.8–80.5</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0.473</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0.0215</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2020</w:t>
            </w:r>
          </w:p>
        </w:tc>
      </w:tr>
      <w:tr>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60~69세</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1.84</w:t>
            </w:r>
          </w:p>
        </w:tc>
        <w:tc>
          <w:tcPr>
            <w:tcW w:type="dxa" w:w="17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21.32</w:t>
            </w:r>
          </w:p>
        </w:tc>
        <w:tc>
          <w:tcPr>
            <w:tcW w:type="dxa" w:w="17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-18.1–79.8</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0.648</w:t>
            </w:r>
          </w:p>
        </w:tc>
        <w:tc>
          <w:tcPr>
            <w:tcW w:type="dxa" w:w="11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0.0015</w:t>
            </w:r>
          </w:p>
        </w:tc>
        <w:tc>
          <w:tcPr>
            <w:tcW w:type="dxa" w:w="1500"/>
            <w:tcBorders>
              <w:top w:val="none" w:color="FFFFFF" w:sz="0"/>
              <w:left w:val="none" w:color="FFFFFF" w:sz="0"/>
              <w:bottom w:val="none" w:color="FFFFFF" w:sz="0"/>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2019</w:t>
            </w:r>
          </w:p>
        </w:tc>
      </w:tr>
      <w:tr>
        <w:tc>
          <w:tcPr>
            <w:tcW w:type="dxa" w:w="15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left"/>
            </w:pPr>
            <w:r>
              <w:rPr>
                <w:rFonts w:ascii="Times New Roman" w:cs="Times New Roman" w:eastAsia="Times New Roman" w:hAnsi="Times New Roman"/>
                <w:b w:val="false"/>
                <w:bCs w:val="false"/>
                <w:sz w:val="20"/>
                <w:szCs w:val="20"/>
              </w:rPr>
              <w:t xml:space="preserve">70세 이상</w:t>
            </w:r>
          </w:p>
        </w:tc>
        <w:tc>
          <w:tcPr>
            <w:tcW w:type="dxa" w:w="15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1.96</w:t>
            </w:r>
          </w:p>
        </w:tc>
        <w:tc>
          <w:tcPr>
            <w:tcW w:type="dxa" w:w="17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20.94</w:t>
            </w:r>
          </w:p>
        </w:tc>
        <w:tc>
          <w:tcPr>
            <w:tcW w:type="dxa" w:w="17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-29.4–107.2</w:t>
            </w:r>
          </w:p>
        </w:tc>
        <w:tc>
          <w:tcPr>
            <w:tcW w:type="dxa" w:w="11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0.758</w:t>
            </w:r>
          </w:p>
        </w:tc>
        <w:tc>
          <w:tcPr>
            <w:tcW w:type="dxa" w:w="11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0.0065</w:t>
            </w:r>
          </w:p>
        </w:tc>
        <w:tc>
          <w:tcPr>
            <w:tcW w:type="dxa" w:w="1500"/>
            <w:tcBorders>
              <w:top w:val="none" w:color="FFFFFF" w:sz="0"/>
              <w:left w:val="none" w:color="FFFFFF" w:sz="0"/>
              <w:bottom w:val="single" w:color="000000" w:sz="12"/>
              <w:right w:val="none" w:color="FFFFFF" w:sz="0"/>
            </w:tcBorders>
            <w:tcMar>
              <w:top w:type="dxa" w:w="70"/>
              <w:left w:type="dxa" w:w="70"/>
              <w:bottom w:type="dxa" w:w="70"/>
              <w:right w:type="dxa" w:w="70"/>
            </w:tcMar>
          </w:tcPr>
          <w:p>
            <w:pPr>
              <w:spacing w:after="0" w:line="240"/>
              <w:jc w:val="center"/>
            </w:pPr>
            <w:r>
              <w:rPr>
                <w:rFonts w:ascii="Times New Roman" w:cs="Times New Roman" w:eastAsia="Times New Roman" w:hAnsi="Times New Roman"/>
                <w:b w:val="false"/>
                <w:bCs w:val="false"/>
                <w:sz w:val="20"/>
                <w:szCs w:val="20"/>
              </w:rPr>
              <w:t xml:space="preserve">2019</w:t>
            </w:r>
          </w:p>
        </w:tc>
      </w:tr>
    </w:tbl>
    <w:p>
      <w:pPr>
        <w:spacing w:after="240" w:line="300"/>
        <w:jc w:val="both"/>
      </w:pPr>
      <w:r>
        <w:rPr>
          <w:rFonts w:ascii="Times New Roman" w:cs="Times New Roman" w:eastAsia="Times New Roman" w:hAnsi="Times New Roman"/>
          <w:b w:val="false"/>
          <w:bCs w:val="false"/>
          <w:sz w:val="20"/>
          <w:szCs w:val="20"/>
        </w:rPr>
        <w:t xml:space="preserve">Direct age standardisation amplifies rather than attenuates the 2019 peak (ASR 37.0 per 100,000 vs crude 33.9 per 100,000), confirming that the 2019 surge cannot be attributed to a shifting age structure. Age-band-specific Sen slopes reveal a clear bifurcation: incidence among children and young adults (0–9 to 30–39) showed flat or negative slopes (median −4 to −16% per year, all p &gt; 0.05), whereas incidence among older adults rose monotonically with statistically significant positive slopes (50–59 yr +21.8%/year, p = 0.021; 60–69 yr +21.3%/year, p = 0.001; ≥70 yr +20.9%/year, p = 0.007). The age-specific 1-joinpoint NB GLM anchored most strata on 2019 or 2020. Together these results constitute direct evidence that the elderly shift exceeds what would be expected from population ageing alone. (Reviewer Q4 / Q7 response.)</w:t>
      </w:r>
    </w:p>
    <w:p>
      <w:r>
        <w:br w:type="page"/>
      </w:r>
    </w:p>
    <w:p>
      <w:pPr>
        <w:pStyle w:val="Heading2"/>
        <w:spacing w:after="120" w:before="240" w:line="320"/>
      </w:pPr>
      <w:r>
        <w:rPr>
          <w:rFonts w:ascii="Times New Roman" w:cs="Times New Roman" w:eastAsia="Times New Roman" w:hAnsi="Times New Roman"/>
          <w:b/>
          <w:bCs/>
          <w:color w:val="000000"/>
          <w:sz w:val="24"/>
          <w:szCs w:val="24"/>
        </w:rPr>
        <w:t xml:space="preserve">Supplementary Figure S1.  STL decomposition of weekly hepatitis A counts</w:t>
      </w:r>
    </w:p>
    <w:p>
      <w:pPr>
        <w:spacing w:after="100" w:before="100" w:line="240"/>
        <w:jc w:val="center"/>
      </w:pPr>
      <w:r>
        <w:drawing>
          <wp:inline distT="0" distB="0" distL="0" distR="0">
            <wp:extent cx="5715000" cy="45720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5715000" cy="4572000"/>
                    </a:xfrm>
                    <a:prstGeom prst="rect">
                      <a:avLst/>
                    </a:prstGeom>
                  </pic:spPr>
                </pic:pic>
              </a:graphicData>
            </a:graphic>
          </wp:inline>
        </w:drawing>
      </w:r>
    </w:p>
    <w:p>
      <w:r>
        <w:br w:type="page"/>
      </w:r>
    </w:p>
    <w:p>
      <w:pPr>
        <w:pStyle w:val="Heading2"/>
        <w:spacing w:after="120" w:before="240" w:line="320"/>
      </w:pPr>
      <w:r>
        <w:rPr>
          <w:rFonts w:ascii="Times New Roman" w:cs="Times New Roman" w:eastAsia="Times New Roman" w:hAnsi="Times New Roman"/>
          <w:b/>
          <w:bCs/>
          <w:color w:val="000000"/>
          <w:sz w:val="24"/>
          <w:szCs w:val="24"/>
        </w:rPr>
        <w:t xml:space="preserve">Supplementary Figure S2.  Provincial rates and ≥70-year case-share trend</w:t>
      </w:r>
    </w:p>
    <w:p>
      <w:pPr>
        <w:spacing w:after="100" w:before="100" w:line="240"/>
        <w:jc w:val="center"/>
      </w:pPr>
      <w:r>
        <w:drawing>
          <wp:inline distT="0" distB="0" distL="0" distR="0">
            <wp:extent cx="5715000" cy="30480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5715000" cy="3048000"/>
                    </a:xfrm>
                    <a:prstGeom prst="rect">
                      <a:avLst/>
                    </a:prstGeom>
                  </pic:spPr>
                </pic:pic>
              </a:graphicData>
            </a:graphic>
          </wp:inline>
        </w:drawing>
      </w:r>
    </w:p>
    <w:p>
      <w:r>
        <w:br w:type="page"/>
      </w:r>
    </w:p>
    <w:p>
      <w:pPr>
        <w:pStyle w:val="Heading2"/>
        <w:spacing w:after="120" w:before="240" w:line="320"/>
      </w:pPr>
      <w:r>
        <w:rPr>
          <w:rFonts w:ascii="Times New Roman" w:cs="Times New Roman" w:eastAsia="Times New Roman" w:hAnsi="Times New Roman"/>
          <w:b/>
          <w:bCs/>
          <w:color w:val="000000"/>
          <w:sz w:val="24"/>
          <w:szCs w:val="24"/>
        </w:rPr>
        <w:t xml:space="preserve">Supplementary Figure S3.  Two-breakpoint NB GLM fit overlay (2014, 2019)</w:t>
      </w:r>
    </w:p>
    <w:p>
      <w:pPr>
        <w:spacing w:after="100" w:before="100" w:line="240"/>
        <w:jc w:val="center"/>
      </w:pPr>
      <w:r>
        <w:drawing>
          <wp:inline distT="0" distB="0" distL="0" distR="0">
            <wp:extent cx="5715000" cy="26670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5715000" cy="2667000"/>
                    </a:xfrm>
                    <a:prstGeom prst="rect">
                      <a:avLst/>
                    </a:prstGeom>
                  </pic:spPr>
                </pic:pic>
              </a:graphicData>
            </a:graphic>
          </wp:inline>
        </w:drawing>
      </w:r>
    </w:p>
    <w:p>
      <w:r>
        <w:br w:type="page"/>
      </w:r>
    </w:p>
    <w:p>
      <w:pPr>
        <w:pStyle w:val="Heading2"/>
        <w:spacing w:after="120" w:before="240" w:line="320"/>
      </w:pPr>
      <w:r>
        <w:rPr>
          <w:rFonts w:ascii="Times New Roman" w:cs="Times New Roman" w:eastAsia="Times New Roman" w:hAnsi="Times New Roman"/>
          <w:b/>
          <w:bCs/>
          <w:color w:val="000000"/>
          <w:sz w:val="24"/>
          <w:szCs w:val="24"/>
        </w:rPr>
        <w:t xml:space="preserve">Supplementary Figure S4.  Age-standardised national hepatitis A incidence (KSP-2005), 2011–2024</w:t>
      </w:r>
    </w:p>
    <w:p>
      <w:pPr>
        <w:spacing w:after="100" w:before="100" w:line="240"/>
        <w:jc w:val="center"/>
      </w:pPr>
      <w:r>
        <w:drawing>
          <wp:inline distT="0" distB="0" distL="0" distR="0">
            <wp:extent cx="5715000" cy="34290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5715000" cy="3429000"/>
                    </a:xfrm>
                    <a:prstGeom prst="rect">
                      <a:avLst/>
                    </a:prstGeom>
                  </pic:spPr>
                </pic:pic>
              </a:graphicData>
            </a:graphic>
          </wp:inline>
        </w:drawing>
      </w:r>
    </w:p>
    <w:p>
      <w:pPr>
        <w:spacing w:after="240" w:line="300"/>
        <w:jc w:val="both"/>
      </w:pPr>
      <w:r>
        <w:rPr>
          <w:rFonts w:ascii="Times New Roman" w:cs="Times New Roman" w:eastAsia="Times New Roman" w:hAnsi="Times New Roman"/>
          <w:b w:val="false"/>
          <w:bCs w:val="false"/>
          <w:sz w:val="20"/>
          <w:szCs w:val="20"/>
        </w:rPr>
        <w:t xml:space="preserve">Direct age standardisation to the 2005 Korean Standard Population (KSP-2005), 8-band, with 95% CI shading. The 2019 peak (37.0 per 100,000) is amplified relative to the crude rate (33.9 per 100,000), demonstrating that population age-structure shifts cannot mechanically explain the surge. (Reviewer Q4 / Q7 response.)</w:t>
      </w:r>
    </w:p>
    <w:p>
      <w:r>
        <w:br w:type="page"/>
      </w:r>
    </w:p>
    <w:p>
      <w:pPr>
        <w:pStyle w:val="Heading2"/>
        <w:spacing w:after="120" w:before="240" w:line="320"/>
      </w:pPr>
      <w:r>
        <w:rPr>
          <w:rFonts w:ascii="Times New Roman" w:cs="Times New Roman" w:eastAsia="Times New Roman" w:hAnsi="Times New Roman"/>
          <w:b/>
          <w:bCs/>
          <w:color w:val="000000"/>
          <w:sz w:val="24"/>
          <w:szCs w:val="24"/>
        </w:rPr>
        <w:t xml:space="preserve">Supplementary Movie S1.  Sigungu-level annual choropleth animation, 2011–2024</w:t>
      </w:r>
    </w:p>
    <w:p>
      <w:pPr>
        <w:spacing w:after="240" w:line="300"/>
        <w:jc w:val="both"/>
      </w:pPr>
      <w:r>
        <w:rPr>
          <w:rFonts w:ascii="Times New Roman" w:cs="Times New Roman" w:eastAsia="Times New Roman" w:hAnsi="Times New Roman"/>
          <w:b w:val="false"/>
          <w:bCs w:val="false"/>
          <w:sz w:val="22"/>
          <w:szCs w:val="22"/>
        </w:rPr>
        <w:t xml:space="preserve">See attached file: hepatitis_a_crude_rate.mp4 (14 frames, fps = 2, ~9.3 s; H.264 encoded; 960 × 960 pixels). The animation shows the year-on-year evolution of hepatitis A crude incidence rate per 100 000 across the 229 sub-province (sigungu) units of the Republic of Korea. The 2019 outbreak is clearly visible as a sweeping increase in dark-red sub-provinces, with subsequent recovery in 2020 and an outbreak resurgence in 2021.</w:t>
      </w:r>
    </w:p>
    <w:sectPr>
      <w:pgSz w:w="11906" w:h="16838" w:orient="landscape"/>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6bc3abc5d1097e6dd967d3f4ae786cddf3e092d9.png"/><Relationship Id="rId8" Type="http://schemas.openxmlformats.org/officeDocument/2006/relationships/image" Target="media/3a6ae0d347b073ac36e17bf9d8de62c056d4da5b.png"/><Relationship Id="rId9" Type="http://schemas.openxmlformats.org/officeDocument/2006/relationships/image" Target="media/47e3ffb2bf577680d7a29c3dc514972eadbe0192.png"/><Relationship Id="rId10" Type="http://schemas.openxmlformats.org/officeDocument/2006/relationships/image" Target="media/3cabc1c44c57eaa8828d94da7d118dc89de20f66.png"/><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Supplementary material — Hepatitis A in the Republic of Korea, 2011–2024</dc:title>
  <dc:creator>Hepatitis A reanalysis pipeline</dc:creator>
  <cp:lastModifiedBy>Un-named</cp:lastModifiedBy>
  <cp:revision>1</cp:revision>
  <dcterms:created xsi:type="dcterms:W3CDTF">2026-04-26T14:01:04.633Z</dcterms:created>
  <dcterms:modified xsi:type="dcterms:W3CDTF">2026-04-26T14:01:04.634Z</dcterms:modified>
</cp:coreProperties>
</file>

<file path=docProps/custom.xml><?xml version="1.0" encoding="utf-8"?>
<Properties xmlns="http://schemas.openxmlformats.org/officeDocument/2006/custom-properties" xmlns:vt="http://schemas.openxmlformats.org/officeDocument/2006/docPropsVTypes"/>
</file>