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E062B8" w14:textId="77777777" w:rsidR="003544EB" w:rsidRDefault="00000000">
      <w:pPr>
        <w:spacing w:after="120" w:line="480" w:lineRule="auto"/>
        <w:jc w:val="center"/>
      </w:pPr>
      <w:r>
        <w:rPr>
          <w:rFonts w:eastAsia="Times New Roman"/>
          <w:b/>
          <w:bCs/>
        </w:rPr>
        <w:t>Original Research Article</w:t>
      </w:r>
    </w:p>
    <w:p w14:paraId="78380FE5" w14:textId="77777777" w:rsidR="003544EB" w:rsidRDefault="00000000">
      <w:pPr>
        <w:spacing w:after="240" w:line="480" w:lineRule="auto"/>
        <w:jc w:val="center"/>
      </w:pPr>
      <w:r>
        <w:rPr>
          <w:rFonts w:eastAsia="Times New Roman"/>
          <w:b/>
          <w:bCs/>
          <w:sz w:val="28"/>
          <w:szCs w:val="28"/>
        </w:rPr>
        <w:t>Hepatitis A in the Republic of Korea, 2011–2024: trend, periodicity, age shift and spatial autocorrelation in 14 years of nationwide surveillance</w:t>
      </w:r>
    </w:p>
    <w:p w14:paraId="19C6C957" w14:textId="77777777" w:rsidR="003544EB" w:rsidRDefault="00000000">
      <w:pPr>
        <w:spacing w:after="120" w:line="480" w:lineRule="auto"/>
        <w:jc w:val="center"/>
      </w:pPr>
      <w:r>
        <w:rPr>
          <w:rFonts w:eastAsia="Times New Roman"/>
          <w:b/>
          <w:bCs/>
        </w:rPr>
        <w:t>Authors</w:t>
      </w:r>
    </w:p>
    <w:p w14:paraId="7A26DFE6" w14:textId="77777777" w:rsidR="003544EB" w:rsidRDefault="00000000">
      <w:pPr>
        <w:spacing w:after="120" w:line="480" w:lineRule="auto"/>
        <w:jc w:val="center"/>
      </w:pPr>
      <w:proofErr w:type="spellStart"/>
      <w:r>
        <w:rPr>
          <w:rFonts w:eastAsia="Times New Roman"/>
        </w:rPr>
        <w:t>Geonsang</w:t>
      </w:r>
      <w:proofErr w:type="spellEnd"/>
      <w:r>
        <w:rPr>
          <w:rFonts w:eastAsia="Times New Roman"/>
        </w:rPr>
        <w:t xml:space="preserve"> Lee¹ and </w:t>
      </w:r>
      <w:proofErr w:type="spellStart"/>
      <w:r>
        <w:rPr>
          <w:rFonts w:eastAsia="Times New Roman"/>
        </w:rPr>
        <w:t>Seongdae</w:t>
      </w:r>
      <w:proofErr w:type="spellEnd"/>
      <w:r>
        <w:rPr>
          <w:rFonts w:eastAsia="Times New Roman"/>
        </w:rPr>
        <w:t xml:space="preserve"> Kim¹*</w:t>
      </w:r>
    </w:p>
    <w:p w14:paraId="40687DD4" w14:textId="77777777" w:rsidR="003544EB" w:rsidRDefault="00000000">
      <w:pPr>
        <w:spacing w:after="120" w:line="480" w:lineRule="auto"/>
        <w:jc w:val="center"/>
      </w:pPr>
      <w:r>
        <w:rPr>
          <w:rFonts w:eastAsia="Times New Roman"/>
        </w:rPr>
        <w:t xml:space="preserve">¹ Department of </w:t>
      </w:r>
      <w:proofErr w:type="spellStart"/>
      <w:r>
        <w:rPr>
          <w:rFonts w:eastAsia="Times New Roman"/>
        </w:rPr>
        <w:t>Biohealth</w:t>
      </w:r>
      <w:proofErr w:type="spellEnd"/>
      <w:r>
        <w:rPr>
          <w:rFonts w:eastAsia="Times New Roman"/>
        </w:rPr>
        <w:t xml:space="preserve"> Convergence Open Sharing System, Hongik University, 94 </w:t>
      </w:r>
      <w:proofErr w:type="spellStart"/>
      <w:r>
        <w:rPr>
          <w:rFonts w:eastAsia="Times New Roman"/>
        </w:rPr>
        <w:t>Wausan-ro</w:t>
      </w:r>
      <w:proofErr w:type="spellEnd"/>
      <w:r>
        <w:rPr>
          <w:rFonts w:eastAsia="Times New Roman"/>
        </w:rPr>
        <w:t>, Mapo-</w:t>
      </w:r>
      <w:proofErr w:type="spellStart"/>
      <w:r>
        <w:rPr>
          <w:rFonts w:eastAsia="Times New Roman"/>
        </w:rPr>
        <w:t>gu</w:t>
      </w:r>
      <w:proofErr w:type="spellEnd"/>
      <w:r>
        <w:rPr>
          <w:rFonts w:eastAsia="Times New Roman"/>
        </w:rPr>
        <w:t>, Seoul 04066, Republic of Korea</w:t>
      </w:r>
    </w:p>
    <w:p w14:paraId="03B010DA" w14:textId="77777777" w:rsidR="003544EB" w:rsidRDefault="00000000">
      <w:pPr>
        <w:spacing w:after="120" w:line="480" w:lineRule="auto"/>
        <w:jc w:val="center"/>
      </w:pPr>
      <w:r>
        <w:rPr>
          <w:rFonts w:eastAsia="Times New Roman"/>
          <w:b/>
          <w:bCs/>
        </w:rPr>
        <w:t>* Corresponding author</w:t>
      </w:r>
    </w:p>
    <w:p w14:paraId="14831EB7" w14:textId="77777777" w:rsidR="003544EB" w:rsidRDefault="00000000">
      <w:pPr>
        <w:spacing w:after="120" w:line="480" w:lineRule="auto"/>
        <w:jc w:val="center"/>
      </w:pPr>
      <w:proofErr w:type="spellStart"/>
      <w:r>
        <w:rPr>
          <w:rFonts w:eastAsia="Times New Roman"/>
        </w:rPr>
        <w:t>Seongdae</w:t>
      </w:r>
      <w:proofErr w:type="spellEnd"/>
      <w:r>
        <w:rPr>
          <w:rFonts w:eastAsia="Times New Roman"/>
        </w:rPr>
        <w:t xml:space="preserve"> Kim, Ph.D.</w:t>
      </w:r>
    </w:p>
    <w:p w14:paraId="053E09B5" w14:textId="77777777" w:rsidR="003544EB" w:rsidRDefault="00000000">
      <w:pPr>
        <w:spacing w:after="120" w:line="480" w:lineRule="auto"/>
        <w:jc w:val="center"/>
      </w:pPr>
      <w:r>
        <w:rPr>
          <w:rFonts w:eastAsia="Times New Roman"/>
        </w:rPr>
        <w:t xml:space="preserve">Department of </w:t>
      </w:r>
      <w:proofErr w:type="spellStart"/>
      <w:r>
        <w:rPr>
          <w:rFonts w:eastAsia="Times New Roman"/>
        </w:rPr>
        <w:t>Biohealth</w:t>
      </w:r>
      <w:proofErr w:type="spellEnd"/>
      <w:r>
        <w:rPr>
          <w:rFonts w:eastAsia="Times New Roman"/>
        </w:rPr>
        <w:t xml:space="preserve"> Convergence Open Sharing System, Hongik University, 94 </w:t>
      </w:r>
      <w:proofErr w:type="spellStart"/>
      <w:r>
        <w:rPr>
          <w:rFonts w:eastAsia="Times New Roman"/>
        </w:rPr>
        <w:t>Wausan-ro</w:t>
      </w:r>
      <w:proofErr w:type="spellEnd"/>
      <w:r>
        <w:rPr>
          <w:rFonts w:eastAsia="Times New Roman"/>
        </w:rPr>
        <w:t>, Mapo-</w:t>
      </w:r>
      <w:proofErr w:type="spellStart"/>
      <w:r>
        <w:rPr>
          <w:rFonts w:eastAsia="Times New Roman"/>
        </w:rPr>
        <w:t>gu</w:t>
      </w:r>
      <w:proofErr w:type="spellEnd"/>
      <w:r>
        <w:rPr>
          <w:rFonts w:eastAsia="Times New Roman"/>
        </w:rPr>
        <w:t>, Seoul 04066, Republic of Korea</w:t>
      </w:r>
    </w:p>
    <w:p w14:paraId="38071336" w14:textId="77777777" w:rsidR="003544EB" w:rsidRDefault="00000000">
      <w:pPr>
        <w:spacing w:after="120" w:line="480" w:lineRule="auto"/>
        <w:jc w:val="center"/>
      </w:pPr>
      <w:r>
        <w:rPr>
          <w:rFonts w:eastAsia="Times New Roman"/>
        </w:rPr>
        <w:t>Email: kimsd@hongik.ac.kr</w:t>
      </w:r>
    </w:p>
    <w:p w14:paraId="0278C9C6" w14:textId="77777777" w:rsidR="003544EB" w:rsidRDefault="00000000">
      <w:r>
        <w:t>Tel: +82-10-3059-3217</w:t>
      </w:r>
    </w:p>
    <w:p w14:paraId="6EE16B85" w14:textId="77777777" w:rsidR="003544EB" w:rsidRDefault="00000000">
      <w:pPr>
        <w:spacing w:after="360" w:line="480" w:lineRule="auto"/>
        <w:jc w:val="center"/>
      </w:pPr>
      <w:r>
        <w:rPr>
          <w:rFonts w:eastAsia="Times New Roman"/>
        </w:rPr>
        <w:t xml:space="preserve">ORCID — </w:t>
      </w:r>
      <w:proofErr w:type="spellStart"/>
      <w:r>
        <w:rPr>
          <w:rFonts w:eastAsia="Times New Roman"/>
        </w:rPr>
        <w:t>Geonsang</w:t>
      </w:r>
      <w:proofErr w:type="spellEnd"/>
      <w:r>
        <w:rPr>
          <w:rFonts w:eastAsia="Times New Roman"/>
        </w:rPr>
        <w:t xml:space="preserve"> Lee: </w:t>
      </w:r>
      <w:proofErr w:type="gramStart"/>
      <w:r>
        <w:rPr>
          <w:rFonts w:eastAsia="Times New Roman"/>
        </w:rPr>
        <w:t xml:space="preserve">https://orcid.org/0009-0004-4577-4576;  </w:t>
      </w:r>
      <w:proofErr w:type="spellStart"/>
      <w:r>
        <w:rPr>
          <w:rFonts w:eastAsia="Times New Roman"/>
        </w:rPr>
        <w:t>Seongdae</w:t>
      </w:r>
      <w:proofErr w:type="spellEnd"/>
      <w:proofErr w:type="gramEnd"/>
      <w:r>
        <w:rPr>
          <w:rFonts w:eastAsia="Times New Roman"/>
        </w:rPr>
        <w:t xml:space="preserve"> Kim: https://orcid.org/0000-0002-1525-0091.</w:t>
      </w:r>
    </w:p>
    <w:p w14:paraId="7581AD30" w14:textId="77777777" w:rsidR="003544EB" w:rsidRDefault="00000000">
      <w:pPr>
        <w:spacing w:after="360" w:line="480" w:lineRule="auto"/>
        <w:jc w:val="center"/>
      </w:pPr>
      <w:r>
        <w:rPr>
          <w:rFonts w:eastAsia="Times New Roman"/>
          <w:b/>
          <w:bCs/>
        </w:rPr>
        <w:t xml:space="preserve">Keywords: </w:t>
      </w:r>
      <w:r>
        <w:rPr>
          <w:rFonts w:eastAsia="Times New Roman"/>
        </w:rPr>
        <w:t>hepatitis A virus; surveillance; Republic of Korea; breakpoint analysis; spatial autocorrelation; foodborne outbreak; salted shellfish; age shift; negative binomial; Mann-Kendall</w:t>
      </w:r>
    </w:p>
    <w:p w14:paraId="0ADE0819" w14:textId="77777777" w:rsidR="003544EB" w:rsidRDefault="00000000">
      <w:pPr>
        <w:spacing w:after="120" w:line="480" w:lineRule="auto"/>
        <w:jc w:val="center"/>
      </w:pPr>
      <w:r>
        <w:rPr>
          <w:rFonts w:eastAsia="Times New Roman"/>
          <w:b/>
          <w:bCs/>
        </w:rPr>
        <w:lastRenderedPageBreak/>
        <w:t xml:space="preserve">Running title: </w:t>
      </w:r>
      <w:r>
        <w:rPr>
          <w:rFonts w:eastAsia="Times New Roman"/>
        </w:rPr>
        <w:t>Korean hepatitis A surveillance reanalysis, 2011–2024</w:t>
      </w:r>
    </w:p>
    <w:p w14:paraId="02E94BBA" w14:textId="77777777" w:rsidR="003544EB" w:rsidRDefault="00000000">
      <w:r>
        <w:br w:type="page"/>
      </w:r>
    </w:p>
    <w:p w14:paraId="4B0ACB3A" w14:textId="77777777" w:rsidR="003544EB" w:rsidRDefault="00000000">
      <w:pPr>
        <w:pStyle w:val="1"/>
        <w:spacing w:before="240" w:after="160" w:line="480" w:lineRule="auto"/>
      </w:pPr>
      <w:r>
        <w:rPr>
          <w:rFonts w:eastAsia="Times New Roman"/>
          <w:b/>
          <w:bCs/>
          <w:color w:val="000000"/>
          <w:sz w:val="26"/>
          <w:szCs w:val="26"/>
        </w:rPr>
        <w:lastRenderedPageBreak/>
        <w:t>Highlights</w:t>
      </w:r>
    </w:p>
    <w:p w14:paraId="782353CD" w14:textId="77777777" w:rsidR="003544EB" w:rsidRDefault="00000000">
      <w:pPr>
        <w:spacing w:after="80" w:line="480" w:lineRule="auto"/>
        <w:jc w:val="both"/>
      </w:pPr>
      <w:r>
        <w:rPr>
          <w:rFonts w:eastAsia="Times New Roman"/>
        </w:rPr>
        <w:t>• 14-year reanalysis of 54 642 hepatitis A cases in Korea (2011–2024).</w:t>
      </w:r>
    </w:p>
    <w:p w14:paraId="7E52C73F" w14:textId="77777777" w:rsidR="003544EB" w:rsidRDefault="00000000">
      <w:pPr>
        <w:spacing w:after="80" w:line="480" w:lineRule="auto"/>
        <w:jc w:val="both"/>
      </w:pPr>
      <w:r>
        <w:rPr>
          <w:rFonts w:eastAsia="Times New Roman"/>
        </w:rPr>
        <w:t>• BIC-best model identifies two breakpoints in 2014 and 2019.</w:t>
      </w:r>
    </w:p>
    <w:p w14:paraId="48B2ABC1" w14:textId="77777777" w:rsidR="003544EB" w:rsidRDefault="00000000">
      <w:pPr>
        <w:spacing w:after="80" w:line="480" w:lineRule="auto"/>
        <w:jc w:val="both"/>
      </w:pPr>
      <w:r>
        <w:rPr>
          <w:rFonts w:eastAsia="Times New Roman"/>
        </w:rPr>
        <w:t>• 2019 salted-clam outbreak: ~7-fold step increase in domestic incidence.</w:t>
      </w:r>
    </w:p>
    <w:p w14:paraId="0973EC4D" w14:textId="77777777" w:rsidR="003544EB" w:rsidRDefault="00000000">
      <w:pPr>
        <w:spacing w:after="80" w:line="480" w:lineRule="auto"/>
        <w:jc w:val="both"/>
      </w:pPr>
      <w:r>
        <w:rPr>
          <w:rFonts w:eastAsia="Times New Roman"/>
        </w:rPr>
        <w:t>• ≥70-year case share rose ≈46-fold (0.4% to 18.5%) versus 1.75-fold ageing.</w:t>
      </w:r>
    </w:p>
    <w:p w14:paraId="3F3CE9A4" w14:textId="77777777" w:rsidR="003544EB" w:rsidRDefault="00000000">
      <w:pPr>
        <w:spacing w:after="240" w:line="480" w:lineRule="auto"/>
        <w:jc w:val="both"/>
      </w:pPr>
      <w:r>
        <w:rPr>
          <w:rFonts w:eastAsia="Times New Roman"/>
        </w:rPr>
        <w:t>• Strong west-central spatial cluster (Moran's I = 0.57) at ≤150 km scales.</w:t>
      </w:r>
    </w:p>
    <w:p w14:paraId="1EDBFDBD" w14:textId="77777777" w:rsidR="003544EB" w:rsidRDefault="00000000">
      <w:r>
        <w:br w:type="page"/>
      </w:r>
    </w:p>
    <w:p w14:paraId="78A2083C" w14:textId="77777777" w:rsidR="003544EB" w:rsidRDefault="00000000">
      <w:pPr>
        <w:pStyle w:val="1"/>
        <w:spacing w:before="240" w:after="160" w:line="480" w:lineRule="auto"/>
      </w:pPr>
      <w:r>
        <w:rPr>
          <w:rFonts w:eastAsia="Times New Roman"/>
          <w:b/>
          <w:bCs/>
          <w:color w:val="000000"/>
          <w:sz w:val="26"/>
          <w:szCs w:val="26"/>
        </w:rPr>
        <w:lastRenderedPageBreak/>
        <w:t>Abstract</w:t>
      </w:r>
    </w:p>
    <w:p w14:paraId="7B22D80F" w14:textId="77777777" w:rsidR="003544EB" w:rsidRPr="00EF3D6A" w:rsidRDefault="00000000">
      <w:pPr>
        <w:spacing w:after="120" w:line="480" w:lineRule="auto"/>
        <w:jc w:val="both"/>
      </w:pPr>
      <w:r w:rsidRPr="00EF3D6A">
        <w:rPr>
          <w:rFonts w:eastAsia="Times New Roman"/>
        </w:rPr>
        <w:t>Hepatitis A virus (HAV) is an anthroponotic, enterically transmitted RNA virus and a Class-2 notifiable disease in the Republic of Korea, where declining childhood seroprevalence has produced recurrent foodborne outbreaks against an ageing susceptible adult population. We re-</w:t>
      </w:r>
      <w:proofErr w:type="spellStart"/>
      <w:r w:rsidRPr="00EF3D6A">
        <w:rPr>
          <w:rFonts w:eastAsia="Times New Roman"/>
        </w:rPr>
        <w:t>analysed</w:t>
      </w:r>
      <w:proofErr w:type="spellEnd"/>
      <w:r w:rsidRPr="00EF3D6A">
        <w:rPr>
          <w:rFonts w:eastAsia="Times New Roman"/>
        </w:rPr>
        <w:t xml:space="preserve"> all 54,642 cases reported to the Korea Disease Control and Prevention Agency between 2011 and 2024 (54,379 domestic [99.5%]; 263 imported [0.5%]). Trends were quantified by the Hamed–Rao modified Mann–Kendall test with rank-based 95% CIs for Sen slope and an annual negative-binomial GLM. Periodicity was assessed by Morlet wavelet transform against a 2,000-simulation </w:t>
      </w:r>
      <w:proofErr w:type="gramStart"/>
      <w:r w:rsidRPr="00EF3D6A">
        <w:rPr>
          <w:rFonts w:eastAsia="Times New Roman"/>
        </w:rPr>
        <w:t>AR(</w:t>
      </w:r>
      <w:proofErr w:type="gramEnd"/>
      <w:r w:rsidRPr="00EF3D6A">
        <w:rPr>
          <w:rFonts w:eastAsia="Times New Roman"/>
        </w:rPr>
        <w:t xml:space="preserve">1) red-noise null. Structural change was detected by exhaustive BIC search with parametric-bootstrap CIs for breakpoint location, and spatial autocorrelation was examined with global Moran's I (9,999 permutations) and LISA across 12 weighting schemes. The series was non-monotonic; the BIC-best model identified breakpoints in 2014 and 2019, the latter coinciding with a multifocal salted-clam outbreak (17,598 cases, peak 33.9/100,000). The ≥70-year case share rose from 0.4% to 18.5% — far exceeding population ageing — and global Moran's I was 0.573 (p = 0.0002), with a </w:t>
      </w:r>
      <w:proofErr w:type="spellStart"/>
      <w:r w:rsidRPr="00EF3D6A">
        <w:rPr>
          <w:rFonts w:eastAsia="Times New Roman"/>
        </w:rPr>
        <w:t>Chungnam</w:t>
      </w:r>
      <w:proofErr w:type="spellEnd"/>
      <w:r w:rsidRPr="00EF3D6A">
        <w:rPr>
          <w:rFonts w:eastAsia="Times New Roman"/>
        </w:rPr>
        <w:t xml:space="preserve"> high–high cluster operating at scales ≤150 km. Findings support adult-targeted vaccination policy review and tighter shellfish food-safety surveillance.</w:t>
      </w:r>
    </w:p>
    <w:p w14:paraId="02C7B7CE" w14:textId="77777777" w:rsidR="003544EB" w:rsidRDefault="00000000">
      <w:r>
        <w:br w:type="page"/>
      </w:r>
    </w:p>
    <w:p w14:paraId="42E31328" w14:textId="77777777" w:rsidR="003544EB" w:rsidRDefault="00000000">
      <w:pPr>
        <w:pStyle w:val="1"/>
        <w:spacing w:before="240" w:after="160" w:line="480" w:lineRule="auto"/>
      </w:pPr>
      <w:r>
        <w:rPr>
          <w:rFonts w:eastAsia="Times New Roman"/>
          <w:b/>
          <w:bCs/>
          <w:color w:val="000000"/>
          <w:sz w:val="26"/>
          <w:szCs w:val="26"/>
        </w:rPr>
        <w:lastRenderedPageBreak/>
        <w:t>1. Introduction</w:t>
      </w:r>
    </w:p>
    <w:p w14:paraId="1C62BDA7" w14:textId="77777777" w:rsidR="003544EB" w:rsidRDefault="00000000">
      <w:pPr>
        <w:spacing w:after="120" w:line="480" w:lineRule="auto"/>
        <w:jc w:val="both"/>
      </w:pPr>
      <w:r>
        <w:rPr>
          <w:rFonts w:eastAsia="Times New Roman"/>
        </w:rPr>
        <w:t xml:space="preserve">Hepatitis A virus (HAV; </w:t>
      </w:r>
      <w:proofErr w:type="spellStart"/>
      <w:r>
        <w:rPr>
          <w:rFonts w:eastAsia="Times New Roman"/>
        </w:rPr>
        <w:t>Hepatovirus</w:t>
      </w:r>
      <w:proofErr w:type="spellEnd"/>
      <w:r>
        <w:rPr>
          <w:rFonts w:eastAsia="Times New Roman"/>
        </w:rPr>
        <w:t xml:space="preserve"> A, family </w:t>
      </w:r>
      <w:proofErr w:type="spellStart"/>
      <w:r>
        <w:rPr>
          <w:rFonts w:eastAsia="Times New Roman"/>
        </w:rPr>
        <w:t>Picornaviridae</w:t>
      </w:r>
      <w:proofErr w:type="spellEnd"/>
      <w:r>
        <w:rPr>
          <w:rFonts w:eastAsia="Times New Roman"/>
        </w:rPr>
        <w:t>) is an anthroponotic, enterically transmitted, single-stranded RNA virus that causes acute self-limited hepatitis [1,2]. The case-fatality risk rises sharply with age, from &lt;0.1% in children under 15 years to &gt;2% in adults aged ≥ 60 years [3,4]. Improved sanitation in middle- and high-income economies has shifted the average age of first exposure into adolescence and adulthood, where clinical disease is more severe, and has produced a paradoxical mismatch between low childhood seroprevalence and a pool of susceptible adults that can ignite explosive foodborne outbreaks when contaminated produce or shellfish enter the supply chain [3,4].</w:t>
      </w:r>
    </w:p>
    <w:p w14:paraId="13126B2A" w14:textId="77777777" w:rsidR="003544EB" w:rsidRDefault="00000000">
      <w:pPr>
        <w:spacing w:after="120" w:line="480" w:lineRule="auto"/>
        <w:jc w:val="both"/>
      </w:pPr>
      <w:r>
        <w:rPr>
          <w:rFonts w:eastAsia="Times New Roman"/>
        </w:rPr>
        <w:t xml:space="preserve">The Republic of Korea exemplifies this dynamic. The Korea Disease Control and Prevention Agency (KDCA) </w:t>
      </w:r>
      <w:proofErr w:type="gramStart"/>
      <w:r>
        <w:rPr>
          <w:rFonts w:eastAsia="Times New Roman"/>
        </w:rPr>
        <w:t>classifies</w:t>
      </w:r>
      <w:proofErr w:type="gramEnd"/>
      <w:r>
        <w:rPr>
          <w:rFonts w:eastAsia="Times New Roman"/>
        </w:rPr>
        <w:t xml:space="preserve"> hepatitis A as a Class-2 notifiable infectious disease and operates a mandatory weekly reporting system through which every laboratory- or clinically confirmed case is captured. Childhood vaccination against HAV was incorporated into the National Immunization </w:t>
      </w:r>
      <w:proofErr w:type="spellStart"/>
      <w:r>
        <w:rPr>
          <w:rFonts w:eastAsia="Times New Roman"/>
        </w:rPr>
        <w:t>Programme</w:t>
      </w:r>
      <w:proofErr w:type="spellEnd"/>
      <w:r>
        <w:rPr>
          <w:rFonts w:eastAsia="Times New Roman"/>
        </w:rPr>
        <w:t xml:space="preserve"> in 2015 [5,6]. Despite vaccination roll-out, repeated outbreaks have occurred. The largest in the post-2010 era was in 2019, when more than 17 000 cases were reported and the surge was subsequently attributed to contaminated salted clam (</w:t>
      </w:r>
      <w:proofErr w:type="spellStart"/>
      <w:r>
        <w:rPr>
          <w:rFonts w:eastAsia="Times New Roman"/>
        </w:rPr>
        <w:t>jogaejeot</w:t>
      </w:r>
      <w:proofErr w:type="spellEnd"/>
      <w:r>
        <w:rPr>
          <w:rFonts w:eastAsia="Times New Roman"/>
        </w:rPr>
        <w:t>) products [7,8]. Earlier nationwide analyses examined either shorter time windows ending before the 2019 outbreak or relied on age–period–cohort decomposition without explicitly modelling structural change [9,10].</w:t>
      </w:r>
    </w:p>
    <w:p w14:paraId="44A5E647" w14:textId="77777777" w:rsidR="003544EB" w:rsidRDefault="00000000">
      <w:pPr>
        <w:spacing w:after="120" w:line="480" w:lineRule="auto"/>
        <w:jc w:val="both"/>
      </w:pPr>
      <w:r>
        <w:rPr>
          <w:rFonts w:eastAsia="Times New Roman"/>
        </w:rPr>
        <w:t>A complete reanalysis of Korean hepatitis A surveillance therefore requires (</w:t>
      </w:r>
      <w:proofErr w:type="spellStart"/>
      <w:r>
        <w:rPr>
          <w:rFonts w:eastAsia="Times New Roman"/>
        </w:rPr>
        <w:t>i</w:t>
      </w:r>
      <w:proofErr w:type="spellEnd"/>
      <w:r>
        <w:rPr>
          <w:rFonts w:eastAsia="Times New Roman"/>
        </w:rPr>
        <w:t xml:space="preserve">) statistical methods that explicitly accommodate non-monotonic dynamics and overdispersion, (ii) explicit detection of structural change, (iii) </w:t>
      </w:r>
      <w:proofErr w:type="spellStart"/>
      <w:r>
        <w:rPr>
          <w:rFonts w:eastAsia="Times New Roman"/>
        </w:rPr>
        <w:t>characterisation</w:t>
      </w:r>
      <w:proofErr w:type="spellEnd"/>
      <w:r>
        <w:rPr>
          <w:rFonts w:eastAsia="Times New Roman"/>
        </w:rPr>
        <w:t xml:space="preserve"> of the demographic and spatial composition of cases, and (iv) full reproducibility. We re-examined the 14-year national hepatitis A surveillance series (2011–2024) to (</w:t>
      </w:r>
      <w:proofErr w:type="spellStart"/>
      <w:r>
        <w:rPr>
          <w:rFonts w:eastAsia="Times New Roman"/>
        </w:rPr>
        <w:t>i</w:t>
      </w:r>
      <w:proofErr w:type="spellEnd"/>
      <w:r>
        <w:rPr>
          <w:rFonts w:eastAsia="Times New Roman"/>
        </w:rPr>
        <w:t xml:space="preserve">) quantify the long-term trend in incidence by </w:t>
      </w:r>
      <w:r>
        <w:rPr>
          <w:rFonts w:eastAsia="Times New Roman"/>
        </w:rPr>
        <w:lastRenderedPageBreak/>
        <w:t xml:space="preserve">Mann–Kendall and negative-binomial regression; (ii) test for annual periodicity using continuous wavelet analysis against an autoregressive red-noise null; (iii) detect structural change in the case series with an exhaustive Bayesian information criterion (BIC) breakpoint search; (iv) </w:t>
      </w:r>
      <w:proofErr w:type="spellStart"/>
      <w:r>
        <w:rPr>
          <w:rFonts w:eastAsia="Times New Roman"/>
        </w:rPr>
        <w:t>characterise</w:t>
      </w:r>
      <w:proofErr w:type="spellEnd"/>
      <w:r>
        <w:rPr>
          <w:rFonts w:eastAsia="Times New Roman"/>
        </w:rPr>
        <w:t xml:space="preserve"> sex-by-age patterns; and (v) test for and </w:t>
      </w:r>
      <w:proofErr w:type="spellStart"/>
      <w:r>
        <w:rPr>
          <w:rFonts w:eastAsia="Times New Roman"/>
        </w:rPr>
        <w:t>localise</w:t>
      </w:r>
      <w:proofErr w:type="spellEnd"/>
      <w:r>
        <w:rPr>
          <w:rFonts w:eastAsia="Times New Roman"/>
        </w:rPr>
        <w:t xml:space="preserve"> provincial spatial autocorrelation under multiple weighting schemes. The contribution is methodological transparency for routine notifiable-disease data, complementing the substantial existing clinical and outbreak-investigation literature on Korean hepatitis A.</w:t>
      </w:r>
    </w:p>
    <w:p w14:paraId="2B7FF83A" w14:textId="77777777" w:rsidR="003544EB" w:rsidRDefault="00000000">
      <w:r>
        <w:br w:type="page"/>
      </w:r>
    </w:p>
    <w:p w14:paraId="67629904" w14:textId="77777777" w:rsidR="003544EB" w:rsidRDefault="00000000">
      <w:pPr>
        <w:pStyle w:val="1"/>
        <w:spacing w:before="240" w:after="160" w:line="480" w:lineRule="auto"/>
      </w:pPr>
      <w:r>
        <w:rPr>
          <w:rFonts w:eastAsia="Times New Roman"/>
          <w:b/>
          <w:bCs/>
          <w:color w:val="000000"/>
          <w:sz w:val="26"/>
          <w:szCs w:val="26"/>
        </w:rPr>
        <w:lastRenderedPageBreak/>
        <w:t>2. Materials and Methods</w:t>
      </w:r>
    </w:p>
    <w:p w14:paraId="4C952763" w14:textId="77777777" w:rsidR="003544EB" w:rsidRDefault="00000000">
      <w:pPr>
        <w:pStyle w:val="2"/>
        <w:spacing w:before="240" w:after="160" w:line="480" w:lineRule="auto"/>
      </w:pPr>
      <w:r>
        <w:rPr>
          <w:rFonts w:eastAsia="Times New Roman"/>
          <w:b/>
          <w:bCs/>
          <w:color w:val="000000"/>
        </w:rPr>
        <w:t>2.1 Data sources and case definition</w:t>
      </w:r>
    </w:p>
    <w:p w14:paraId="1114E140" w14:textId="77777777" w:rsidR="003544EB" w:rsidRDefault="00000000">
      <w:pPr>
        <w:spacing w:after="120" w:line="480" w:lineRule="auto"/>
        <w:jc w:val="both"/>
      </w:pPr>
      <w:r>
        <w:rPr>
          <w:rFonts w:eastAsia="Times New Roman"/>
        </w:rPr>
        <w:t xml:space="preserve">Two </w:t>
      </w:r>
      <w:proofErr w:type="spellStart"/>
      <w:r>
        <w:rPr>
          <w:rFonts w:eastAsia="Times New Roman"/>
        </w:rPr>
        <w:t>harmonised</w:t>
      </w:r>
      <w:proofErr w:type="spellEnd"/>
      <w:r>
        <w:rPr>
          <w:rFonts w:eastAsia="Times New Roman"/>
        </w:rPr>
        <w:t xml:space="preserve"> extracts of the KDCA notifiable infectious disease database covering ISO weeks 2011-W01 through 2024-W52 were used. The weekly extract (df1) contained 54,379 domestic cases stratified by reporting week × province (</w:t>
      </w:r>
      <w:proofErr w:type="spellStart"/>
      <w:r>
        <w:rPr>
          <w:rFonts w:eastAsia="Times New Roman"/>
        </w:rPr>
        <w:t>sido</w:t>
      </w:r>
      <w:proofErr w:type="spellEnd"/>
      <w:r>
        <w:rPr>
          <w:rFonts w:eastAsia="Times New Roman"/>
        </w:rPr>
        <w:t>), with imported cases excluded by construction because the system requires a Korean province of report. The annual extract (df2) contained 54,642 total cases stratified by year × province × sex × 8 age strata, of which 263 (0.5%) were classified as imported. The case definition followed the KDCA Class-2 notifiable disease guideline and required laboratory confirmation by anti-HAV IgM (immunoglobulin M) detection or molecular detection of HAV RNA, or compatible clinical picture (jaundice, hepatomegaly and elevated alanine aminotransferase) within an outbreak investigation [11,12].</w:t>
      </w:r>
    </w:p>
    <w:p w14:paraId="69121762" w14:textId="77777777" w:rsidR="003544EB" w:rsidRDefault="00000000">
      <w:pPr>
        <w:spacing w:after="120" w:line="480" w:lineRule="auto"/>
        <w:jc w:val="both"/>
      </w:pPr>
      <w:r>
        <w:rPr>
          <w:rFonts w:eastAsia="Times New Roman"/>
        </w:rPr>
        <w:t xml:space="preserve">Population denominators were obtained from Statistics Korea (KOSIS) resident-registration files at the </w:t>
      </w:r>
      <w:proofErr w:type="spellStart"/>
      <w:r>
        <w:rPr>
          <w:rFonts w:eastAsia="Times New Roman"/>
        </w:rPr>
        <w:t>sigungu</w:t>
      </w:r>
      <w:proofErr w:type="spellEnd"/>
      <w:r>
        <w:rPr>
          <w:rFonts w:eastAsia="Times New Roman"/>
        </w:rPr>
        <w:t xml:space="preserve"> × year × sex × age level for 229 administrative districts. Eleven mid-tier cities with administrative wards (Suwon, </w:t>
      </w:r>
      <w:proofErr w:type="spellStart"/>
      <w:r>
        <w:rPr>
          <w:rFonts w:eastAsia="Times New Roman"/>
        </w:rPr>
        <w:t>Seongnam</w:t>
      </w:r>
      <w:proofErr w:type="spellEnd"/>
      <w:r>
        <w:rPr>
          <w:rFonts w:eastAsia="Times New Roman"/>
        </w:rPr>
        <w:t xml:space="preserve">, Anyang, Ansan, </w:t>
      </w:r>
      <w:proofErr w:type="spellStart"/>
      <w:r>
        <w:rPr>
          <w:rFonts w:eastAsia="Times New Roman"/>
        </w:rPr>
        <w:t>Goyang</w:t>
      </w:r>
      <w:proofErr w:type="spellEnd"/>
      <w:r>
        <w:rPr>
          <w:rFonts w:eastAsia="Times New Roman"/>
        </w:rPr>
        <w:t xml:space="preserve">, </w:t>
      </w:r>
      <w:proofErr w:type="spellStart"/>
      <w:r>
        <w:rPr>
          <w:rFonts w:eastAsia="Times New Roman"/>
        </w:rPr>
        <w:t>Yongin</w:t>
      </w:r>
      <w:proofErr w:type="spellEnd"/>
      <w:r>
        <w:rPr>
          <w:rFonts w:eastAsia="Times New Roman"/>
        </w:rPr>
        <w:t xml:space="preserve">, Changwon, Cheongju, Cheonan, Jeonju and Pohang) appeared with a 2× population value in the </w:t>
      </w:r>
      <w:proofErr w:type="spellStart"/>
      <w:r>
        <w:rPr>
          <w:rFonts w:eastAsia="Times New Roman"/>
        </w:rPr>
        <w:t>harmonised</w:t>
      </w:r>
      <w:proofErr w:type="spellEnd"/>
      <w:r>
        <w:rPr>
          <w:rFonts w:eastAsia="Times New Roman"/>
        </w:rPr>
        <w:t xml:space="preserve"> extract because the upstream pre-processing had concatenated the parent-city aggregate with its constituent ward (</w:t>
      </w:r>
      <w:proofErr w:type="spellStart"/>
      <w:r>
        <w:rPr>
          <w:rFonts w:eastAsia="Times New Roman"/>
        </w:rPr>
        <w:t>gu</w:t>
      </w:r>
      <w:proofErr w:type="spellEnd"/>
      <w:r>
        <w:rPr>
          <w:rFonts w:eastAsia="Times New Roman"/>
        </w:rPr>
        <w:t xml:space="preserve">) totals under the parent-city label; the constituent ward rows were not retained separately. We therefore divided the population for these eleven city rows by two to recover the correct parent-city total before aggregation. After this correction, national mid-year population estimates ranged from 51.5 to 52.0 million across the study period and matched KOSIS published mid-year totals to within 0.8% (Supplementary Table S6). Sejong special autonomous city was established in July 2012; KOSIS-derived mid-year populations were used from 2012 onwards. Sejong was retained for descriptive provincial rate </w:t>
      </w:r>
      <w:r>
        <w:rPr>
          <w:rFonts w:eastAsia="Times New Roman"/>
        </w:rPr>
        <w:lastRenderedPageBreak/>
        <w:t>calculations but excluded from spatial autocorrelation analyses for which the 2011 denominator is undefined, leaving 16 provinces.</w:t>
      </w:r>
    </w:p>
    <w:p w14:paraId="76180136" w14:textId="77777777" w:rsidR="003544EB" w:rsidRDefault="00000000">
      <w:pPr>
        <w:spacing w:after="120" w:line="480" w:lineRule="auto"/>
        <w:jc w:val="both"/>
      </w:pPr>
      <w:r>
        <w:rPr>
          <w:rFonts w:eastAsia="Times New Roman"/>
        </w:rPr>
        <w:t xml:space="preserve">Reanalysis of fully de-identified, publicly aggregated surveillance data was conducted under the ethical approval of the Hongik University Institutional Review Board (IRB approval number 7002340-202511-HR-012). No individual-level identifiers were accessed. The KDCA aggregated weekly and annual </w:t>
      </w:r>
      <w:proofErr w:type="gramStart"/>
      <w:r>
        <w:rPr>
          <w:rFonts w:eastAsia="Times New Roman"/>
        </w:rPr>
        <w:t>extracts</w:t>
      </w:r>
      <w:proofErr w:type="gramEnd"/>
      <w:r>
        <w:rPr>
          <w:rFonts w:eastAsia="Times New Roman"/>
        </w:rPr>
        <w:t xml:space="preserve"> and the KOSIS denominator files do not contain personally identifiable information and are publicly distributed.</w:t>
      </w:r>
    </w:p>
    <w:p w14:paraId="11F36311" w14:textId="77777777" w:rsidR="003544EB" w:rsidRDefault="00000000">
      <w:pPr>
        <w:pStyle w:val="2"/>
        <w:spacing w:before="240" w:after="160" w:line="480" w:lineRule="auto"/>
      </w:pPr>
      <w:r>
        <w:rPr>
          <w:rFonts w:eastAsia="Times New Roman"/>
          <w:b/>
          <w:bCs/>
          <w:color w:val="000000"/>
        </w:rPr>
        <w:t>2.2 Trend analysis</w:t>
      </w:r>
    </w:p>
    <w:p w14:paraId="412C2C9D" w14:textId="77777777" w:rsidR="003544EB" w:rsidRDefault="00000000">
      <w:pPr>
        <w:spacing w:after="120" w:line="480" w:lineRule="auto"/>
        <w:jc w:val="both"/>
      </w:pPr>
      <w:r>
        <w:rPr>
          <w:rFonts w:eastAsia="Times New Roman"/>
        </w:rPr>
        <w:t>The Hamed–Rao modification of the Mann–Kendall test [13] was applied to the log-incidence-rate series and to the male-to-female (</w:t>
      </w:r>
      <w:proofErr w:type="gramStart"/>
      <w:r>
        <w:rPr>
          <w:rFonts w:eastAsia="Times New Roman"/>
        </w:rPr>
        <w:t>M:F</w:t>
      </w:r>
      <w:proofErr w:type="gramEnd"/>
      <w:r>
        <w:rPr>
          <w:rFonts w:eastAsia="Times New Roman"/>
        </w:rPr>
        <w:t xml:space="preserve">) incidence-rate-ratio series, with the Sen median slope and its 95% confidence interval (Hollander–Wolfe rank-based bounds [14]) reported as a non-parametric magnitude estimate. The Hamed–Rao modification adjusts the variance of Kendall's S statistic to account for serial autocorrelation, which is otherwise inflated by the presence of trend. A negative-binomial GLM (NB2 </w:t>
      </w:r>
      <w:proofErr w:type="spellStart"/>
      <w:r>
        <w:rPr>
          <w:rFonts w:eastAsia="Times New Roman"/>
        </w:rPr>
        <w:t>parameterisation</w:t>
      </w:r>
      <w:proofErr w:type="spellEnd"/>
      <w:r>
        <w:rPr>
          <w:rFonts w:eastAsia="Times New Roman"/>
        </w:rPr>
        <w:t>; log-link, log-population offset, linear year) was fitted on the 14 annual case totals (n = 14) to obtain the multiplicative incidence-rate ratio (IRR) per calendar year and the dispersion parameter α (variance = µ + αµ²) with 95% confidence intervals computed on the log-α scale [15,16]. The likelihood-ratio (LR) statistic 2(ℓ_NB − ℓ_Poisson) tested the dispersion parameter against the Poisson null using the half-χ²₀ : χ²₁ mixture reference distribution; because the Poisson model dramatically underfits the variance of the empirical annual count distribution (Pearson χ²/</w:t>
      </w:r>
      <w:proofErr w:type="spellStart"/>
      <w:r>
        <w:rPr>
          <w:rFonts w:eastAsia="Times New Roman"/>
        </w:rPr>
        <w:t>df</w:t>
      </w:r>
      <w:proofErr w:type="spellEnd"/>
      <w:r>
        <w:rPr>
          <w:rFonts w:eastAsia="Times New Roman"/>
        </w:rPr>
        <w:t xml:space="preserve"> ≈ 5,100), the resulting LR statistic for n = 14 observations is large in absolute magnitude even though the sample size is small.</w:t>
      </w:r>
    </w:p>
    <w:p w14:paraId="56B847AB" w14:textId="77777777" w:rsidR="003544EB" w:rsidRDefault="00000000">
      <w:pPr>
        <w:pStyle w:val="2"/>
        <w:spacing w:before="240" w:after="160" w:line="480" w:lineRule="auto"/>
      </w:pPr>
      <w:r>
        <w:rPr>
          <w:rFonts w:eastAsia="Times New Roman"/>
          <w:b/>
          <w:bCs/>
          <w:color w:val="000000"/>
        </w:rPr>
        <w:t>2.3 Periodicity (wavelet) analysis</w:t>
      </w:r>
    </w:p>
    <w:p w14:paraId="76A253A5" w14:textId="77777777" w:rsidR="003544EB" w:rsidRDefault="00000000">
      <w:pPr>
        <w:spacing w:after="120" w:line="480" w:lineRule="auto"/>
        <w:jc w:val="both"/>
      </w:pPr>
      <w:r>
        <w:rPr>
          <w:rFonts w:eastAsia="Times New Roman"/>
        </w:rPr>
        <w:lastRenderedPageBreak/>
        <w:t xml:space="preserve">Morlet continuous wavelet transforms (CWT, ω₀ = 6) of the weekly log-transformed case series were computed using the Torrence–Compo scale-to-period mapping [17]. The STL decomposition that produced the detrended series used a primary configuration of </w:t>
      </w:r>
      <w:proofErr w:type="spellStart"/>
      <w:proofErr w:type="gramStart"/>
      <w:r>
        <w:rPr>
          <w:rFonts w:eastAsia="Times New Roman"/>
        </w:rPr>
        <w:t>s.window</w:t>
      </w:r>
      <w:proofErr w:type="spellEnd"/>
      <w:proofErr w:type="gramEnd"/>
      <w:r>
        <w:rPr>
          <w:rFonts w:eastAsia="Times New Roman"/>
        </w:rPr>
        <w:t xml:space="preserve"> = 25, </w:t>
      </w:r>
      <w:proofErr w:type="spellStart"/>
      <w:proofErr w:type="gramStart"/>
      <w:r>
        <w:rPr>
          <w:rFonts w:eastAsia="Times New Roman"/>
        </w:rPr>
        <w:t>t.window</w:t>
      </w:r>
      <w:proofErr w:type="spellEnd"/>
      <w:proofErr w:type="gramEnd"/>
      <w:r>
        <w:rPr>
          <w:rFonts w:eastAsia="Times New Roman"/>
        </w:rPr>
        <w:t xml:space="preserve"> = 103 with the robust flag enabled, illustrated in Supplementary Figure S1. Statistical significance of the annual band was assessed against an </w:t>
      </w:r>
      <w:proofErr w:type="gramStart"/>
      <w:r>
        <w:rPr>
          <w:rFonts w:eastAsia="Times New Roman"/>
        </w:rPr>
        <w:t>AR(</w:t>
      </w:r>
      <w:proofErr w:type="gramEnd"/>
      <w:r>
        <w:rPr>
          <w:rFonts w:eastAsia="Times New Roman"/>
        </w:rPr>
        <w:t>1) red-noise null with 2,000 simulated series matched on the autoregressive coefficient and innovation variance of the STL-detrended observed series [18,19]. We verified the stability of the 95th-percentile null quantile across nested simulation subsets of {200, 500, 1,000, 1,500, 2,000} draws (Supplementary Table S1). The global wavelet spectrum (GWS) was compared against the 95th percentile of the null distribution. We report the GWS-to-null ratio averaged over the annual band (48–56 weeks) as the headline statistic. Sensitivity to the seasonal STL window (</w:t>
      </w:r>
      <w:proofErr w:type="spellStart"/>
      <w:proofErr w:type="gramStart"/>
      <w:r>
        <w:rPr>
          <w:rFonts w:eastAsia="Times New Roman"/>
        </w:rPr>
        <w:t>s.window</w:t>
      </w:r>
      <w:proofErr w:type="spellEnd"/>
      <w:proofErr w:type="gramEnd"/>
      <w:r>
        <w:rPr>
          <w:rFonts w:eastAsia="Times New Roman"/>
        </w:rPr>
        <w:t xml:space="preserve"> ∈ {13, 25, 53}), trend window (</w:t>
      </w:r>
      <w:proofErr w:type="spellStart"/>
      <w:proofErr w:type="gramStart"/>
      <w:r>
        <w:rPr>
          <w:rFonts w:eastAsia="Times New Roman"/>
        </w:rPr>
        <w:t>t.window</w:t>
      </w:r>
      <w:proofErr w:type="spellEnd"/>
      <w:proofErr w:type="gramEnd"/>
      <w:r>
        <w:rPr>
          <w:rFonts w:eastAsia="Times New Roman"/>
        </w:rPr>
        <w:t xml:space="preserve"> ∈ {53, 103, 203}), robustness flag (true/false), and Morlet ω₀ ∈ {5, 6, 8} was reported across 21 configurations (Supplementary Table S2).</w:t>
      </w:r>
    </w:p>
    <w:p w14:paraId="4C6FC9B1" w14:textId="77777777" w:rsidR="003544EB" w:rsidRDefault="00000000">
      <w:pPr>
        <w:pStyle w:val="2"/>
        <w:spacing w:before="240" w:after="160" w:line="480" w:lineRule="auto"/>
      </w:pPr>
      <w:r>
        <w:rPr>
          <w:rFonts w:eastAsia="Times New Roman"/>
          <w:b/>
          <w:bCs/>
          <w:color w:val="000000"/>
        </w:rPr>
        <w:t>2.4 Structural-change (breakpoint) analysis</w:t>
      </w:r>
    </w:p>
    <w:p w14:paraId="77996297" w14:textId="77777777" w:rsidR="003544EB" w:rsidRDefault="00000000">
      <w:pPr>
        <w:spacing w:after="120" w:line="480" w:lineRule="auto"/>
        <w:jc w:val="both"/>
      </w:pPr>
      <w:r>
        <w:rPr>
          <w:rFonts w:eastAsia="Times New Roman"/>
        </w:rPr>
        <w:t>Continuous piecewise-linear NB GLMs of the form log(</w:t>
      </w:r>
      <w:proofErr w:type="spellStart"/>
      <w:r>
        <w:rPr>
          <w:rFonts w:eastAsia="Times New Roman"/>
        </w:rPr>
        <w:t>rate_t</w:t>
      </w:r>
      <w:proofErr w:type="spellEnd"/>
      <w:r>
        <w:rPr>
          <w:rFonts w:eastAsia="Times New Roman"/>
        </w:rPr>
        <w:t xml:space="preserve">) = β₀ + β₁ t + </w:t>
      </w:r>
      <w:proofErr w:type="spellStart"/>
      <w:r>
        <w:rPr>
          <w:rFonts w:eastAsia="Times New Roman"/>
        </w:rPr>
        <w:t>Σ_b</w:t>
      </w:r>
      <w:proofErr w:type="spellEnd"/>
      <w:r>
        <w:rPr>
          <w:rFonts w:eastAsia="Times New Roman"/>
        </w:rPr>
        <w:t xml:space="preserve"> β_b </w:t>
      </w:r>
      <w:proofErr w:type="gramStart"/>
      <w:r>
        <w:rPr>
          <w:rFonts w:eastAsia="Times New Roman"/>
        </w:rPr>
        <w:t>max(</w:t>
      </w:r>
      <w:proofErr w:type="gramEnd"/>
      <w:r>
        <w:rPr>
          <w:rFonts w:eastAsia="Times New Roman"/>
        </w:rPr>
        <w:t xml:space="preserve">0, t – </w:t>
      </w:r>
      <w:proofErr w:type="spellStart"/>
      <w:r>
        <w:rPr>
          <w:rFonts w:eastAsia="Times New Roman"/>
        </w:rPr>
        <w:t>bp_b</w:t>
      </w:r>
      <w:proofErr w:type="spellEnd"/>
      <w:r>
        <w:rPr>
          <w:rFonts w:eastAsia="Times New Roman"/>
        </w:rPr>
        <w:t xml:space="preserve">) were fitted exhaustively for 0–3 breakpoints, with breakpoint candidates restricted so that each segment contained at least </w:t>
      </w:r>
      <w:proofErr w:type="spellStart"/>
      <w:r>
        <w:rPr>
          <w:rFonts w:eastAsia="Times New Roman"/>
        </w:rPr>
        <w:t>h_min</w:t>
      </w:r>
      <w:proofErr w:type="spellEnd"/>
      <w:r>
        <w:rPr>
          <w:rFonts w:eastAsia="Times New Roman"/>
        </w:rPr>
        <w:t xml:space="preserve"> = 3 observations. Model selection used the Bayesian information criterion (BIC), with ΔBIC ≤ –2 considered substantively meaningful and ΔBIC ≤ –10 considered strong evidence by the Kass–Raftery rule of thumb [20,21]. Sensitivity to </w:t>
      </w:r>
      <w:proofErr w:type="spellStart"/>
      <w:r>
        <w:rPr>
          <w:rFonts w:eastAsia="Times New Roman"/>
        </w:rPr>
        <w:t>h_min</w:t>
      </w:r>
      <w:proofErr w:type="spellEnd"/>
      <w:r>
        <w:rPr>
          <w:rFonts w:eastAsia="Times New Roman"/>
        </w:rPr>
        <w:t xml:space="preserve"> ∈ {2, 3, 4} is reported in Supplementary Table S3. To quantify uncertainty in the location of each breakpoint we further computed parametric-bootstrap 95% confidence intervals for the breakpoint years: 500 bootstrap samples were drawn from the negative-binomial fit of the BIC-best 2-breakpoint model, and the exhaustive 2-breakpoint search was </w:t>
      </w:r>
      <w:r>
        <w:rPr>
          <w:rFonts w:eastAsia="Times New Roman"/>
        </w:rPr>
        <w:lastRenderedPageBreak/>
        <w:t>repeated on each sample. The 2.5th and 97.5th percentiles of the early- and late-breakpoint year distributions were taken as the 95% CIs.</w:t>
      </w:r>
    </w:p>
    <w:p w14:paraId="52682C25" w14:textId="77777777" w:rsidR="003544EB" w:rsidRDefault="00000000">
      <w:pPr>
        <w:pStyle w:val="2"/>
        <w:spacing w:before="240" w:after="160" w:line="480" w:lineRule="auto"/>
      </w:pPr>
      <w:r>
        <w:rPr>
          <w:rFonts w:eastAsia="Times New Roman"/>
          <w:b/>
          <w:bCs/>
          <w:color w:val="000000"/>
        </w:rPr>
        <w:t>2.5 Spatial autocorrelation</w:t>
      </w:r>
    </w:p>
    <w:p w14:paraId="017279DC" w14:textId="77777777" w:rsidR="003544EB" w:rsidRDefault="00000000">
      <w:pPr>
        <w:spacing w:after="120" w:line="480" w:lineRule="auto"/>
        <w:jc w:val="both"/>
      </w:pPr>
      <w:r>
        <w:rPr>
          <w:rFonts w:eastAsia="Times New Roman"/>
        </w:rPr>
        <w:t>Global Moran's I [22,23] was computed on cumulative provincial incidence rates using a Queen contiguity matrix with a 2-nearest-neighbour fallback for Jeju (the baseline scheme), with statistical significance assessed by 9 999 free-permutation Monte-Carlo tests. Robustness was verified across 12 weighting schemes spanning row-</w:t>
      </w:r>
      <w:proofErr w:type="spellStart"/>
      <w:r>
        <w:rPr>
          <w:rFonts w:eastAsia="Times New Roman"/>
        </w:rPr>
        <w:t>standardised</w:t>
      </w:r>
      <w:proofErr w:type="spellEnd"/>
      <w:r>
        <w:rPr>
          <w:rFonts w:eastAsia="Times New Roman"/>
        </w:rPr>
        <w:t xml:space="preserve"> and binary specifications of Queen-, k-nearest-</w:t>
      </w:r>
      <w:proofErr w:type="spellStart"/>
      <w:r>
        <w:rPr>
          <w:rFonts w:eastAsia="Times New Roman"/>
        </w:rPr>
        <w:t>neighbour</w:t>
      </w:r>
      <w:proofErr w:type="spellEnd"/>
      <w:r>
        <w:rPr>
          <w:rFonts w:eastAsia="Times New Roman"/>
        </w:rPr>
        <w:t xml:space="preserve">-, distance-band-, and inverse-distance-based </w:t>
      </w:r>
      <w:proofErr w:type="spellStart"/>
      <w:r>
        <w:rPr>
          <w:rFonts w:eastAsia="Times New Roman"/>
        </w:rPr>
        <w:t>neighbourhoods</w:t>
      </w:r>
      <w:proofErr w:type="spellEnd"/>
      <w:r>
        <w:rPr>
          <w:rFonts w:eastAsia="Times New Roman"/>
        </w:rPr>
        <w:t xml:space="preserve"> (Supplementary Table S4). Local indicators of spatial association (LISA, Local Moran's I) were computed with 999 conditional permutations to </w:t>
      </w:r>
      <w:proofErr w:type="spellStart"/>
      <w:r>
        <w:rPr>
          <w:rFonts w:eastAsia="Times New Roman"/>
        </w:rPr>
        <w:t>localise</w:t>
      </w:r>
      <w:proofErr w:type="spellEnd"/>
      <w:r>
        <w:rPr>
          <w:rFonts w:eastAsia="Times New Roman"/>
        </w:rPr>
        <w:t xml:space="preserve"> high–high and low–low clusters [24].</w:t>
      </w:r>
    </w:p>
    <w:p w14:paraId="1FB9AE69" w14:textId="77777777" w:rsidR="003544EB" w:rsidRDefault="00000000">
      <w:pPr>
        <w:pStyle w:val="2"/>
        <w:spacing w:before="240" w:after="160" w:line="480" w:lineRule="auto"/>
      </w:pPr>
      <w:r>
        <w:rPr>
          <w:rFonts w:eastAsia="Times New Roman"/>
          <w:b/>
          <w:bCs/>
          <w:color w:val="000000"/>
        </w:rPr>
        <w:t>2.6 Age-</w:t>
      </w:r>
      <w:proofErr w:type="spellStart"/>
      <w:r>
        <w:rPr>
          <w:rFonts w:eastAsia="Times New Roman"/>
          <w:b/>
          <w:bCs/>
          <w:color w:val="000000"/>
        </w:rPr>
        <w:t>standardised</w:t>
      </w:r>
      <w:proofErr w:type="spellEnd"/>
      <w:r>
        <w:rPr>
          <w:rFonts w:eastAsia="Times New Roman"/>
          <w:b/>
          <w:bCs/>
          <w:color w:val="000000"/>
        </w:rPr>
        <w:t xml:space="preserve"> incidence and age-specific trend</w:t>
      </w:r>
    </w:p>
    <w:p w14:paraId="3164C28C" w14:textId="77777777" w:rsidR="003544EB" w:rsidRDefault="00000000">
      <w:pPr>
        <w:spacing w:after="120" w:line="480" w:lineRule="auto"/>
        <w:jc w:val="both"/>
      </w:pPr>
      <w:r>
        <w:rPr>
          <w:rFonts w:eastAsia="Times New Roman"/>
        </w:rPr>
        <w:t xml:space="preserve">Direct age </w:t>
      </w:r>
      <w:proofErr w:type="spellStart"/>
      <w:r>
        <w:rPr>
          <w:rFonts w:eastAsia="Times New Roman"/>
        </w:rPr>
        <w:t>standardisation</w:t>
      </w:r>
      <w:proofErr w:type="spellEnd"/>
      <w:r>
        <w:rPr>
          <w:rFonts w:eastAsia="Times New Roman"/>
        </w:rPr>
        <w:t xml:space="preserve"> of the annual national incidence rate was performed using the 2005 Korean Standard Population (KSP-2005) eight-band weights from Statistics Korea. Year × age-band cases were obtained from the annual extract (df2) and divided by the corresponding age-band population denominator. The age-</w:t>
      </w:r>
      <w:proofErr w:type="spellStart"/>
      <w:r>
        <w:rPr>
          <w:rFonts w:eastAsia="Times New Roman"/>
        </w:rPr>
        <w:t>standardised</w:t>
      </w:r>
      <w:proofErr w:type="spellEnd"/>
      <w:r>
        <w:rPr>
          <w:rFonts w:eastAsia="Times New Roman"/>
        </w:rPr>
        <w:t xml:space="preserve"> rate (ASR) and its standard error were computed by the standard direct-</w:t>
      </w:r>
      <w:proofErr w:type="spellStart"/>
      <w:r>
        <w:rPr>
          <w:rFonts w:eastAsia="Times New Roman"/>
        </w:rPr>
        <w:t>standardisation</w:t>
      </w:r>
      <w:proofErr w:type="spellEnd"/>
      <w:r>
        <w:rPr>
          <w:rFonts w:eastAsia="Times New Roman"/>
        </w:rPr>
        <w:t xml:space="preserve"> formula. To complement the share-based age analysis, we additionally fit age-stratified Hamed–Rao MK and a single-</w:t>
      </w:r>
      <w:proofErr w:type="spellStart"/>
      <w:r>
        <w:rPr>
          <w:rFonts w:eastAsia="Times New Roman"/>
        </w:rPr>
        <w:t>joinpoint</w:t>
      </w:r>
      <w:proofErr w:type="spellEnd"/>
      <w:r>
        <w:rPr>
          <w:rFonts w:eastAsia="Times New Roman"/>
        </w:rPr>
        <w:t xml:space="preserve"> NB GLM (BIC-selected) to age-band-specific incidence series, reporting Sen slope (% per year), 95% CI, MK τ and p, and the BIC-best </w:t>
      </w:r>
      <w:proofErr w:type="spellStart"/>
      <w:r>
        <w:rPr>
          <w:rFonts w:eastAsia="Times New Roman"/>
        </w:rPr>
        <w:t>joinpoint</w:t>
      </w:r>
      <w:proofErr w:type="spellEnd"/>
      <w:r>
        <w:rPr>
          <w:rFonts w:eastAsia="Times New Roman"/>
        </w:rPr>
        <w:t xml:space="preserve"> year for each band.</w:t>
      </w:r>
    </w:p>
    <w:p w14:paraId="01883005" w14:textId="77777777" w:rsidR="003544EB" w:rsidRDefault="00000000">
      <w:pPr>
        <w:pStyle w:val="2"/>
        <w:spacing w:before="240" w:after="160" w:line="480" w:lineRule="auto"/>
      </w:pPr>
      <w:r>
        <w:rPr>
          <w:rFonts w:eastAsia="Times New Roman"/>
          <w:b/>
          <w:bCs/>
          <w:color w:val="000000"/>
        </w:rPr>
        <w:t>2.7 Computing environment and reproducibility</w:t>
      </w:r>
    </w:p>
    <w:p w14:paraId="60A6DFA8" w14:textId="77777777" w:rsidR="003544EB" w:rsidRDefault="00000000">
      <w:pPr>
        <w:spacing w:after="120" w:line="480" w:lineRule="auto"/>
        <w:jc w:val="both"/>
      </w:pPr>
      <w:r>
        <w:rPr>
          <w:rFonts w:eastAsia="Times New Roman"/>
        </w:rPr>
        <w:t xml:space="preserve">All analyses were performed in Python 3.10 with NumPy 1.26, pandas 2.2, </w:t>
      </w:r>
      <w:proofErr w:type="spellStart"/>
      <w:r>
        <w:rPr>
          <w:rFonts w:eastAsia="Times New Roman"/>
        </w:rPr>
        <w:t>statsmodels</w:t>
      </w:r>
      <w:proofErr w:type="spellEnd"/>
      <w:r>
        <w:rPr>
          <w:rFonts w:eastAsia="Times New Roman"/>
        </w:rPr>
        <w:t xml:space="preserve"> 0.14, </w:t>
      </w:r>
      <w:proofErr w:type="spellStart"/>
      <w:r>
        <w:rPr>
          <w:rFonts w:eastAsia="Times New Roman"/>
        </w:rPr>
        <w:t>scipy</w:t>
      </w:r>
      <w:proofErr w:type="spellEnd"/>
      <w:r>
        <w:rPr>
          <w:rFonts w:eastAsia="Times New Roman"/>
        </w:rPr>
        <w:t xml:space="preserve"> 1.13, </w:t>
      </w:r>
      <w:proofErr w:type="spellStart"/>
      <w:r>
        <w:rPr>
          <w:rFonts w:eastAsia="Times New Roman"/>
        </w:rPr>
        <w:t>pymannkendall</w:t>
      </w:r>
      <w:proofErr w:type="spellEnd"/>
      <w:r>
        <w:rPr>
          <w:rFonts w:eastAsia="Times New Roman"/>
        </w:rPr>
        <w:t xml:space="preserve"> 1.4, </w:t>
      </w:r>
      <w:proofErr w:type="spellStart"/>
      <w:r>
        <w:rPr>
          <w:rFonts w:eastAsia="Times New Roman"/>
        </w:rPr>
        <w:t>geopandas</w:t>
      </w:r>
      <w:proofErr w:type="spellEnd"/>
      <w:r>
        <w:rPr>
          <w:rFonts w:eastAsia="Times New Roman"/>
        </w:rPr>
        <w:t xml:space="preserve"> 1.0 and matplotlib 3.9. The complete pipeline (twelve analysis scripts, fifteen derived data tables, four main figures, four supplementary </w:t>
      </w:r>
      <w:r>
        <w:rPr>
          <w:rFonts w:eastAsia="Times New Roman"/>
        </w:rPr>
        <w:lastRenderedPageBreak/>
        <w:t>figures and one supplementary movie) is provided as a reproducibility package and is described in detail in the supplementary material. All Monte-Carlo procedures use seed = 42 for reproducibility.</w:t>
      </w:r>
    </w:p>
    <w:p w14:paraId="7CDF1C30" w14:textId="77777777" w:rsidR="003544EB" w:rsidRDefault="00000000">
      <w:r>
        <w:br w:type="page"/>
      </w:r>
    </w:p>
    <w:p w14:paraId="16495D91" w14:textId="77777777" w:rsidR="003544EB" w:rsidRDefault="00000000">
      <w:pPr>
        <w:pStyle w:val="1"/>
        <w:spacing w:before="240" w:after="160" w:line="480" w:lineRule="auto"/>
      </w:pPr>
      <w:r>
        <w:rPr>
          <w:rFonts w:eastAsia="Times New Roman"/>
          <w:b/>
          <w:bCs/>
          <w:color w:val="000000"/>
          <w:sz w:val="26"/>
          <w:szCs w:val="26"/>
        </w:rPr>
        <w:lastRenderedPageBreak/>
        <w:t>3. Results</w:t>
      </w:r>
    </w:p>
    <w:p w14:paraId="17974E62" w14:textId="77777777" w:rsidR="003544EB" w:rsidRDefault="00000000">
      <w:pPr>
        <w:pStyle w:val="2"/>
        <w:spacing w:before="240" w:after="160" w:line="480" w:lineRule="auto"/>
      </w:pPr>
      <w:r>
        <w:rPr>
          <w:rFonts w:eastAsia="Times New Roman"/>
          <w:b/>
          <w:bCs/>
          <w:color w:val="000000"/>
        </w:rPr>
        <w:t>3.1 Long-term trend</w:t>
      </w:r>
    </w:p>
    <w:p w14:paraId="22A6BCC0" w14:textId="77777777" w:rsidR="003544EB" w:rsidRDefault="00000000">
      <w:pPr>
        <w:spacing w:after="120" w:line="480" w:lineRule="auto"/>
        <w:jc w:val="both"/>
      </w:pPr>
      <w:r>
        <w:rPr>
          <w:rFonts w:eastAsia="Times New Roman"/>
        </w:rPr>
        <w:t xml:space="preserve">A total of 54,642 hepatitis A cases were reported between 2011 and 2024 (54,379 domestic [99.5%] and 263 imported [0.5%]). Annual case counts fluctuated approximately 15-fold, from 1,168 cases in 2024 to 17,598 cases in 2019, the year of a multifocal salted-clam outbreak (Table 1). The Hamed–Rao modified Mann–Kendall test on the log-rate series was non-significant for the total (τ = 0.033, p = 0.913; Sen slope 0.93%/year, 95% CI -11.6–21.1%/year), domestic (τ = 0.033, p = 0.913; Sen slope 1.28%/year, 95% CI -11.7–21.4%/year), and imported series, reflecting the highly non-monotonic shape imposed by the 2016–2017 and 2019 surges (Figure 1A). The negative-binomial GLM (n = 14 annual observations) yielded a non-significant +3.4% per-year IRR for the total series (95% CI 0.908–1.177, p = 0.618, Figure 1B), confirming the absence of a monotonic background trend separable from outbreak-driven step changes. The NB dispersion parameter α was 0.68 (95% CI 0.35–1.34) for the total series and 0.69 (0.35–1.35) for the domestic series (Supplementary Table S7). The half-mixture likelihood-ratio test rejected the Poisson null (LR statistic 2(ℓ_NB − ℓ_Poisson) = 44,076 for the total annual series, </w:t>
      </w:r>
      <w:proofErr w:type="spellStart"/>
      <w:r>
        <w:rPr>
          <w:rFonts w:eastAsia="Times New Roman"/>
        </w:rPr>
        <w:t>df</w:t>
      </w:r>
      <w:proofErr w:type="spellEnd"/>
      <w:r>
        <w:rPr>
          <w:rFonts w:eastAsia="Times New Roman"/>
        </w:rPr>
        <w:t xml:space="preserve"> = 1, p ≪ 0.001); the magnitude of the LR statistic reflects the size of the variance-mismatch (Pearson χ²/</w:t>
      </w:r>
      <w:proofErr w:type="spellStart"/>
      <w:r>
        <w:rPr>
          <w:rFonts w:eastAsia="Times New Roman"/>
        </w:rPr>
        <w:t>df</w:t>
      </w:r>
      <w:proofErr w:type="spellEnd"/>
      <w:r>
        <w:rPr>
          <w:rFonts w:eastAsia="Times New Roman"/>
        </w:rPr>
        <w:t xml:space="preserve"> ≈ 5,096) rather than a large sample size, since only n = 14 annual observations were modelled.</w:t>
      </w:r>
    </w:p>
    <w:p w14:paraId="71A3DF99" w14:textId="77777777" w:rsidR="003544EB" w:rsidRDefault="00000000">
      <w:pPr>
        <w:pStyle w:val="2"/>
        <w:spacing w:before="240" w:after="160" w:line="480" w:lineRule="auto"/>
      </w:pPr>
      <w:r>
        <w:rPr>
          <w:rFonts w:eastAsia="Times New Roman"/>
          <w:b/>
          <w:bCs/>
          <w:color w:val="000000"/>
        </w:rPr>
        <w:t>3.2 Periodicity</w:t>
      </w:r>
    </w:p>
    <w:p w14:paraId="36C5E638" w14:textId="77777777" w:rsidR="003544EB" w:rsidRDefault="00000000">
      <w:pPr>
        <w:spacing w:after="120" w:line="480" w:lineRule="auto"/>
        <w:jc w:val="both"/>
      </w:pPr>
      <w:r>
        <w:rPr>
          <w:rFonts w:eastAsia="Times New Roman"/>
        </w:rPr>
        <w:t xml:space="preserve">Wavelet analysis of the weekly national series identified persistent power in the annual band; the GWS averaged over 48–56 weeks exceeded the </w:t>
      </w:r>
      <w:proofErr w:type="gramStart"/>
      <w:r>
        <w:rPr>
          <w:rFonts w:eastAsia="Times New Roman"/>
        </w:rPr>
        <w:t>AR(</w:t>
      </w:r>
      <w:proofErr w:type="gramEnd"/>
      <w:r>
        <w:rPr>
          <w:rFonts w:eastAsia="Times New Roman"/>
        </w:rPr>
        <w:t xml:space="preserve">1) red-noise 95th-percentile null by a factor of 1.61 based on 2,000 simulated </w:t>
      </w:r>
      <w:proofErr w:type="gramStart"/>
      <w:r>
        <w:rPr>
          <w:rFonts w:eastAsia="Times New Roman"/>
        </w:rPr>
        <w:t>AR(</w:t>
      </w:r>
      <w:proofErr w:type="gramEnd"/>
      <w:r>
        <w:rPr>
          <w:rFonts w:eastAsia="Times New Roman"/>
        </w:rPr>
        <w:t xml:space="preserve">1) draws (Figure 2). The fitted </w:t>
      </w:r>
      <w:proofErr w:type="gramStart"/>
      <w:r>
        <w:rPr>
          <w:rFonts w:eastAsia="Times New Roman"/>
        </w:rPr>
        <w:t>AR(</w:t>
      </w:r>
      <w:proofErr w:type="gramEnd"/>
      <w:r>
        <w:rPr>
          <w:rFonts w:eastAsia="Times New Roman"/>
        </w:rPr>
        <w:t xml:space="preserve">1) coefficient was ρ̂ = 0.743. The 95th-percentile null quantile and GWS-to-null ratio in the annual band were stable across nested simulation subsets of 200, 500, 1,000, 1,500, and 2,000 draws </w:t>
      </w:r>
      <w:r>
        <w:rPr>
          <w:rFonts w:eastAsia="Times New Roman"/>
        </w:rPr>
        <w:lastRenderedPageBreak/>
        <w:t>(Supplementary Table S1), with the ratio varying by less than ±10% beyond 500 simulations. Cross-tabulating across 18 STL configurations × 3 values of the Morlet ω₀ parameter (Supplementary Table S2) confirmed that the annual peak persisted in 20 of 21 configurations, with the GWS-to-null ratio ranging from 0.40 to 5.48; the single sub-unity ratio occurred at ω₀ = 8, a known spectral-resolution artefact rather than a true loss of signal.</w:t>
      </w:r>
    </w:p>
    <w:p w14:paraId="611DD2ED" w14:textId="77777777" w:rsidR="003544EB" w:rsidRDefault="00000000">
      <w:pPr>
        <w:pStyle w:val="2"/>
        <w:spacing w:before="240" w:after="160" w:line="480" w:lineRule="auto"/>
      </w:pPr>
      <w:r>
        <w:rPr>
          <w:rFonts w:eastAsia="Times New Roman"/>
          <w:b/>
          <w:bCs/>
          <w:color w:val="000000"/>
        </w:rPr>
        <w:t>3.3 Sex × age patterns and the age shift</w:t>
      </w:r>
    </w:p>
    <w:p w14:paraId="5031AD1B" w14:textId="77777777" w:rsidR="003544EB" w:rsidRDefault="00000000">
      <w:pPr>
        <w:spacing w:after="120" w:line="480" w:lineRule="auto"/>
        <w:jc w:val="both"/>
      </w:pPr>
      <w:r>
        <w:rPr>
          <w:rFonts w:eastAsia="Times New Roman"/>
        </w:rPr>
        <w:t xml:space="preserve">Cumulatively, 30 958 male and 23 669 female cases were reported, yielding a pooled male-to-female IRR of 1.312 (1.290-1.334). The annual </w:t>
      </w:r>
      <w:proofErr w:type="gramStart"/>
      <w:r>
        <w:rPr>
          <w:rFonts w:eastAsia="Times New Roman"/>
        </w:rPr>
        <w:t>M:F</w:t>
      </w:r>
      <w:proofErr w:type="gramEnd"/>
      <w:r>
        <w:rPr>
          <w:rFonts w:eastAsia="Times New Roman"/>
        </w:rPr>
        <w:t xml:space="preserve"> IRR fell monotonically over time (Figure 1D; Hamed–Rao MK τ = -0.758, p = 0.0002; Sen slope -3.19%/year, 95% CI -4.68–-2.11%/year), from 1.64 in 2011 to 1.17 in 2024, indicating a narrowing of the historical male predominance.</w:t>
      </w:r>
    </w:p>
    <w:p w14:paraId="1CCACAF0" w14:textId="77777777" w:rsidR="003544EB" w:rsidRDefault="00000000">
      <w:pPr>
        <w:spacing w:after="120" w:line="480" w:lineRule="auto"/>
        <w:jc w:val="both"/>
      </w:pPr>
      <w:r>
        <w:rPr>
          <w:rFonts w:eastAsia="Times New Roman"/>
        </w:rPr>
        <w:t xml:space="preserve">The age composition of reported cases shifted progressively over the study period (Figure 1C): the 30–39 stratum dominated through </w:t>
      </w:r>
      <w:proofErr w:type="gramStart"/>
      <w:r>
        <w:rPr>
          <w:rFonts w:eastAsia="Times New Roman"/>
        </w:rPr>
        <w:t>2017</w:t>
      </w:r>
      <w:proofErr w:type="gramEnd"/>
      <w:r>
        <w:rPr>
          <w:rFonts w:eastAsia="Times New Roman"/>
        </w:rPr>
        <w:t xml:space="preserve"> but the share contributed by older strata grew steadily thereafter. Cumulatively, age-stratified incidence peaked in the 30–39 year stratum (18.9 per 100 000) and fell in both younger (10–19: 1.8 per 100 000) and older strata (≥70: 2.2 per 100 000) (Table 3); year-by-year incidence trajectories for selected strata (30–39, 40–49, 50–59 and ≥ 70) are shown in Figure 1E. The most striking demographic shift was in the share of cases aged ≥ 70 years: it rose from 0.4% in 2011 to 18.5% in 2024 (MK τ = +0.626, p = 0.0022, Supplementary Figure S2B). Over the same period the population share aged ≥ 70 years rose from 7.4% to 13.0% — only a 1.75-fold expansion against a ≈46-fold growth in case share, demonstrating that population ageing alone cannot account for the observed shift. To substantiate this inference rigorously we computed direct age-</w:t>
      </w:r>
      <w:proofErr w:type="spellStart"/>
      <w:r>
        <w:rPr>
          <w:rFonts w:eastAsia="Times New Roman"/>
        </w:rPr>
        <w:t>standardised</w:t>
      </w:r>
      <w:proofErr w:type="spellEnd"/>
      <w:r>
        <w:rPr>
          <w:rFonts w:eastAsia="Times New Roman"/>
        </w:rPr>
        <w:t xml:space="preserve"> incidence rates and age-band-specific trends; these are reported in Section 3.7.</w:t>
      </w:r>
    </w:p>
    <w:p w14:paraId="2AD822C5" w14:textId="77777777" w:rsidR="003544EB" w:rsidRDefault="00000000">
      <w:pPr>
        <w:pStyle w:val="2"/>
        <w:spacing w:before="240" w:after="160" w:line="480" w:lineRule="auto"/>
      </w:pPr>
      <w:r>
        <w:rPr>
          <w:rFonts w:eastAsia="Times New Roman"/>
          <w:b/>
          <w:bCs/>
          <w:color w:val="000000"/>
        </w:rPr>
        <w:t>3.4 Structural change (breakpoints)</w:t>
      </w:r>
    </w:p>
    <w:p w14:paraId="40BAA147" w14:textId="77777777" w:rsidR="003544EB" w:rsidRDefault="00000000">
      <w:pPr>
        <w:spacing w:after="120" w:line="480" w:lineRule="auto"/>
        <w:jc w:val="both"/>
      </w:pPr>
      <w:r>
        <w:rPr>
          <w:rFonts w:eastAsia="Times New Roman"/>
        </w:rPr>
        <w:lastRenderedPageBreak/>
        <w:t xml:space="preserve">The exhaustive BIC search identified two-breakpoint NB GLMs as the BIC-best model for both total and domestic series (Table 2). For the total series the breakpoints were 2014 and 2019 (BIC = 262.32, ΔBIC vs 0-bp = -2.34); the domestic-only fit gave the same breakpoints (BIC = 262.12, ΔBIC vs 0-bp = -2.41). The runner-up models were the corresponding 1-breakpoint fits anchored </w:t>
      </w:r>
      <w:proofErr w:type="gramStart"/>
      <w:r>
        <w:rPr>
          <w:rFonts w:eastAsia="Times New Roman"/>
        </w:rPr>
        <w:t>on</w:t>
      </w:r>
      <w:proofErr w:type="gramEnd"/>
      <w:r>
        <w:rPr>
          <w:rFonts w:eastAsia="Times New Roman"/>
        </w:rPr>
        <w:t xml:space="preserve"> 2019. Parametric-bootstrap 95% confidence intervals (500 replicates) for the breakpoint locations were [2014, 2017] for the early breakpoint and [2017, 2022] for the late breakpoint; the early breakpoint is therefore identified with appreciable uncertainty (any year between 2014 and 2017 is consistent with the data), whereas the late breakpoint is robustly anchored around 2019 with a CI spanning 2017–2022. The 2-breakpoint structure is preferred over the 0-breakpoint constant-rate fit by a margin of ΔBIC = -5.93 (substantively meaningful evidence by the Kass–Raftery rule), but only weakly preferred over the 1-breakpoint fit (ΔBIC = -2.20). The imported series was too sparse for stable NB GLM convergence (n = 263 across 14 years, with three years of marginal artefactual underflow when subtracted from total) and is reported for completeness only. Sensitivity analysis over the minimum-segment-length parameter </w:t>
      </w:r>
      <w:proofErr w:type="spellStart"/>
      <w:r>
        <w:rPr>
          <w:rFonts w:eastAsia="Times New Roman"/>
        </w:rPr>
        <w:t>h_min</w:t>
      </w:r>
      <w:proofErr w:type="spellEnd"/>
      <w:r>
        <w:rPr>
          <w:rFonts w:eastAsia="Times New Roman"/>
        </w:rPr>
        <w:t xml:space="preserve"> ∈ {2, 3, 4} confirmed that the 2019 breakpoint anchored every total/domestic fit and the earlier breakpoint moved only between 2013 and 2015 (Supplementary Table S3; visual fit overlay in Supplementary Figure S3). The 2019 breakpoint corresponds to the well-documented multifocal salted-clam outbreak that increased domestic incidence approximately 7-fold relative to 2018 [7,8,27]. The earlier 2014–2017 breakpoint window overlaps temporally with the rollout phase of universal childhood HAV vaccination introduced into the National Immunization </w:t>
      </w:r>
      <w:proofErr w:type="spellStart"/>
      <w:r>
        <w:rPr>
          <w:rFonts w:eastAsia="Times New Roman"/>
        </w:rPr>
        <w:t>Programme</w:t>
      </w:r>
      <w:proofErr w:type="spellEnd"/>
      <w:r>
        <w:rPr>
          <w:rFonts w:eastAsia="Times New Roman"/>
        </w:rPr>
        <w:t xml:space="preserve"> in 2015 [5,6], although a causal interpretation is precluded by the cohort lag between vaccination and incidence reduction in adult age strata where most cases occur.</w:t>
      </w:r>
    </w:p>
    <w:p w14:paraId="52CA0618" w14:textId="77777777" w:rsidR="003544EB" w:rsidRDefault="00000000">
      <w:pPr>
        <w:pStyle w:val="2"/>
        <w:spacing w:before="240" w:after="160" w:line="480" w:lineRule="auto"/>
      </w:pPr>
      <w:r>
        <w:rPr>
          <w:rFonts w:eastAsia="Times New Roman"/>
          <w:b/>
          <w:bCs/>
          <w:color w:val="000000"/>
        </w:rPr>
        <w:t>3.5 Statistical power to detect breakpoints</w:t>
      </w:r>
    </w:p>
    <w:p w14:paraId="2B58B6BD" w14:textId="77777777" w:rsidR="003544EB" w:rsidRDefault="00000000">
      <w:pPr>
        <w:spacing w:after="120" w:line="480" w:lineRule="auto"/>
        <w:jc w:val="both"/>
      </w:pPr>
      <w:r>
        <w:rPr>
          <w:rFonts w:eastAsia="Times New Roman"/>
        </w:rPr>
        <w:lastRenderedPageBreak/>
        <w:t xml:space="preserve">We re-assessed the power of the BIC search to detect a single breakpoint at the </w:t>
      </w:r>
      <w:proofErr w:type="spellStart"/>
      <w:r>
        <w:rPr>
          <w:rFonts w:eastAsia="Times New Roman"/>
        </w:rPr>
        <w:t>centre</w:t>
      </w:r>
      <w:proofErr w:type="spellEnd"/>
      <w:r>
        <w:rPr>
          <w:rFonts w:eastAsia="Times New Roman"/>
        </w:rPr>
        <w:t xml:space="preserve"> of a 14-year NB-distributed series at the empirical dispersion α = 0.68 (1,000 simulations per effect size for continuous slopes; 500 for step-change scenarios), declaring detection when ΔBIC &lt; −6 (Figure 4). Under continuous post-breakpoint slope changes the detection probability remained low across realistic effect sizes (0.7% at +35%/year, 1.2% at +65%/year, and 3.9% at +200%/year), demonstrating that the 14-year annual count series </w:t>
      </w:r>
      <w:proofErr w:type="gramStart"/>
      <w:r>
        <w:rPr>
          <w:rFonts w:eastAsia="Times New Roman"/>
        </w:rPr>
        <w:t>provides</w:t>
      </w:r>
      <w:proofErr w:type="gramEnd"/>
      <w:r>
        <w:rPr>
          <w:rFonts w:eastAsia="Times New Roman"/>
        </w:rPr>
        <w:t xml:space="preserve"> little statistical power to detect monotonic structural shifts of subtly increasing magnitude (Supplementary Table S5). Step-change scenarios (a single-year multiplicative shock at the year-9 position, mimicking the 2019 jolt) similarly produced low detection probabilities (1.0% at 2×, 2.6% at 5×, and 6.2% at 7×), reflecting the fact that piecewise-linear breakpoint searches are calibrated to detect *slope* changes rather than transient one-year spikes. The empirically observed 2019 step (≈ 7× year-on-year jump followed by partial reversion) is therefore detected in the data not because it is statistically powerful in isolation, but because it produces a sustained inflection in the multi-year piecewise-linear fit that includes the post-2019 incidence elevation; the persistence of the breakpoint year through </w:t>
      </w:r>
      <w:proofErr w:type="spellStart"/>
      <w:r>
        <w:rPr>
          <w:rFonts w:eastAsia="Times New Roman"/>
        </w:rPr>
        <w:t>h_min</w:t>
      </w:r>
      <w:proofErr w:type="spellEnd"/>
      <w:r>
        <w:rPr>
          <w:rFonts w:eastAsia="Times New Roman"/>
        </w:rPr>
        <w:t xml:space="preserve"> sensitivity (Supplementary Table S3) and the bootstrap CI containing 2019 (Section 3.4) corroborate this interpretation. These results imply that sub-7× outbreaks of similar duration could be missed by the present method and motivate complementary surveillance methods (space–time scan, hhh4) for future analyses.</w:t>
      </w:r>
    </w:p>
    <w:p w14:paraId="05673958" w14:textId="77777777" w:rsidR="003544EB" w:rsidRDefault="00000000">
      <w:pPr>
        <w:pStyle w:val="2"/>
        <w:spacing w:before="240" w:after="160" w:line="480" w:lineRule="auto"/>
      </w:pPr>
      <w:r>
        <w:rPr>
          <w:rFonts w:eastAsia="Times New Roman"/>
          <w:b/>
          <w:bCs/>
          <w:color w:val="000000"/>
        </w:rPr>
        <w:t>3.6 Spatial autocorrelation</w:t>
      </w:r>
    </w:p>
    <w:p w14:paraId="640F9FC9" w14:textId="77777777" w:rsidR="003544EB" w:rsidRDefault="00000000">
      <w:pPr>
        <w:spacing w:after="120" w:line="480" w:lineRule="auto"/>
        <w:jc w:val="both"/>
      </w:pPr>
      <w:r>
        <w:rPr>
          <w:rFonts w:eastAsia="Times New Roman"/>
        </w:rPr>
        <w:t>Provincial mean annual incidence rates ranged from 19.4 per 100 000 (Daejeon) to 2.3 per 100 000 (</w:t>
      </w:r>
      <w:proofErr w:type="spellStart"/>
      <w:r>
        <w:rPr>
          <w:rFonts w:eastAsia="Times New Roman"/>
        </w:rPr>
        <w:t>Gyeongnam</w:t>
      </w:r>
      <w:proofErr w:type="spellEnd"/>
      <w:r>
        <w:rPr>
          <w:rFonts w:eastAsia="Times New Roman"/>
        </w:rPr>
        <w:t xml:space="preserve">), spanning more than an eight-fold gradient (Figure 3A). Global Moran's I on cumulative provincial incidence rates was 0.573 (p = 0.0002, 9 999 permutations) under the baseline Queen + KNN-2 scheme, indicating strong positive spatial autocorrelation across the 16 </w:t>
      </w:r>
      <w:proofErr w:type="spellStart"/>
      <w:r>
        <w:rPr>
          <w:rFonts w:eastAsia="Times New Roman"/>
        </w:rPr>
        <w:t>analysed</w:t>
      </w:r>
      <w:proofErr w:type="spellEnd"/>
      <w:r>
        <w:rPr>
          <w:rFonts w:eastAsia="Times New Roman"/>
        </w:rPr>
        <w:t xml:space="preserve"> provinces (Moran scatter in Figure 3B). Restricting to domestic-only rates yielded </w:t>
      </w:r>
      <w:r>
        <w:rPr>
          <w:rFonts w:eastAsia="Times New Roman"/>
        </w:rPr>
        <w:lastRenderedPageBreak/>
        <w:t xml:space="preserve">an essentially identical Moran's I = 0.573 (p = 0.0002). LISA (Figure 3C) identified </w:t>
      </w:r>
      <w:proofErr w:type="spellStart"/>
      <w:r>
        <w:rPr>
          <w:rFonts w:eastAsia="Times New Roman"/>
        </w:rPr>
        <w:t>Chungnam</w:t>
      </w:r>
      <w:proofErr w:type="spellEnd"/>
      <w:r>
        <w:rPr>
          <w:rFonts w:eastAsia="Times New Roman"/>
        </w:rPr>
        <w:t xml:space="preserve"> as a significant high–high cluster (Iᵢ = 1.240, p = 0.002; rate 12.25 per 100 000) and </w:t>
      </w:r>
      <w:proofErr w:type="spellStart"/>
      <w:r>
        <w:rPr>
          <w:rFonts w:eastAsia="Times New Roman"/>
        </w:rPr>
        <w:t>Gyeongnam</w:t>
      </w:r>
      <w:proofErr w:type="spellEnd"/>
      <w:r>
        <w:rPr>
          <w:rFonts w:eastAsia="Times New Roman"/>
        </w:rPr>
        <w:t xml:space="preserve"> as a significant low–low cluster (Iᵢ = 0.688, p = 0.048; rate 2.28 per 100 000). Daejeon and </w:t>
      </w:r>
      <w:proofErr w:type="spellStart"/>
      <w:r>
        <w:rPr>
          <w:rFonts w:eastAsia="Times New Roman"/>
        </w:rPr>
        <w:t>Chungbuk</w:t>
      </w:r>
      <w:proofErr w:type="spellEnd"/>
      <w:r>
        <w:rPr>
          <w:rFonts w:eastAsia="Times New Roman"/>
        </w:rPr>
        <w:t xml:space="preserve"> also exhibited high observed Moran's contributions but did not reach the 5% significance threshold under conditional permutation (Table 4). The extended sensitivity panel across 12 weighting schemes (Supplementary Table S4) — including row-</w:t>
      </w:r>
      <w:proofErr w:type="spellStart"/>
      <w:r>
        <w:rPr>
          <w:rFonts w:eastAsia="Times New Roman"/>
        </w:rPr>
        <w:t>standardised</w:t>
      </w:r>
      <w:proofErr w:type="spellEnd"/>
      <w:r>
        <w:rPr>
          <w:rFonts w:eastAsia="Times New Roman"/>
        </w:rPr>
        <w:t xml:space="preserve"> and binary specifications of Queen-, k-nearest-</w:t>
      </w:r>
      <w:proofErr w:type="spellStart"/>
      <w:r>
        <w:rPr>
          <w:rFonts w:eastAsia="Times New Roman"/>
        </w:rPr>
        <w:t>neighbour</w:t>
      </w:r>
      <w:proofErr w:type="spellEnd"/>
      <w:r>
        <w:rPr>
          <w:rFonts w:eastAsia="Times New Roman"/>
        </w:rPr>
        <w:t xml:space="preserve">-, distance-band-, and inverse-distance-based </w:t>
      </w:r>
      <w:proofErr w:type="spellStart"/>
      <w:r>
        <w:rPr>
          <w:rFonts w:eastAsia="Times New Roman"/>
        </w:rPr>
        <w:t>neighbourhoods</w:t>
      </w:r>
      <w:proofErr w:type="spellEnd"/>
      <w:r>
        <w:rPr>
          <w:rFonts w:eastAsia="Times New Roman"/>
        </w:rPr>
        <w:t xml:space="preserve"> — yielded statistically significant positive autocorrelation in 9 of 12 schemes. Significance was preserved across all Queen-based schemes (row-</w:t>
      </w:r>
      <w:proofErr w:type="spellStart"/>
      <w:r>
        <w:rPr>
          <w:rFonts w:eastAsia="Times New Roman"/>
        </w:rPr>
        <w:t>standardised</w:t>
      </w:r>
      <w:proofErr w:type="spellEnd"/>
      <w:r>
        <w:rPr>
          <w:rFonts w:eastAsia="Times New Roman"/>
        </w:rPr>
        <w:t xml:space="preserve"> and binary), all k-nearest-</w:t>
      </w:r>
      <w:proofErr w:type="spellStart"/>
      <w:r>
        <w:rPr>
          <w:rFonts w:eastAsia="Times New Roman"/>
        </w:rPr>
        <w:t>neighbour</w:t>
      </w:r>
      <w:proofErr w:type="spellEnd"/>
      <w:r>
        <w:rPr>
          <w:rFonts w:eastAsia="Times New Roman"/>
        </w:rPr>
        <w:t xml:space="preserve"> schemes with k ≤ 6, and at the 100- and 150-km distance bands, but attenuated to non-significance for k = 8, the 200- and 300-km bands and the inverse-distance weights, indicating that incidence clustering operates predominantly at the local-province scale (≤ 150 km). Full provincial cumulative case counts, mean populations, mean annual incidence rates and imported-case percentages for all 17 provinces are given in Supplementary Table S6. The temporal evolution of the sub-province (</w:t>
      </w:r>
      <w:proofErr w:type="spellStart"/>
      <w:r>
        <w:rPr>
          <w:rFonts w:eastAsia="Times New Roman"/>
        </w:rPr>
        <w:t>sigungu</w:t>
      </w:r>
      <w:proofErr w:type="spellEnd"/>
      <w:r>
        <w:rPr>
          <w:rFonts w:eastAsia="Times New Roman"/>
        </w:rPr>
        <w:t>) crude incidence rate over the 14-year period is presented as an animated choropleth in Supplementary Movie S1.</w:t>
      </w:r>
    </w:p>
    <w:p w14:paraId="4671D269" w14:textId="77777777" w:rsidR="003544EB" w:rsidRDefault="00000000">
      <w:pPr>
        <w:pStyle w:val="2"/>
        <w:spacing w:before="240" w:after="160" w:line="480" w:lineRule="auto"/>
      </w:pPr>
      <w:r>
        <w:rPr>
          <w:rFonts w:eastAsia="Times New Roman"/>
          <w:b/>
          <w:bCs/>
          <w:color w:val="000000"/>
        </w:rPr>
        <w:t>3.7 Age-</w:t>
      </w:r>
      <w:proofErr w:type="spellStart"/>
      <w:r>
        <w:rPr>
          <w:rFonts w:eastAsia="Times New Roman"/>
          <w:b/>
          <w:bCs/>
          <w:color w:val="000000"/>
        </w:rPr>
        <w:t>standardised</w:t>
      </w:r>
      <w:proofErr w:type="spellEnd"/>
      <w:r>
        <w:rPr>
          <w:rFonts w:eastAsia="Times New Roman"/>
          <w:b/>
          <w:bCs/>
          <w:color w:val="000000"/>
        </w:rPr>
        <w:t xml:space="preserve"> incidence and age-specific trends</w:t>
      </w:r>
    </w:p>
    <w:p w14:paraId="17A1F1AB" w14:textId="77777777" w:rsidR="003544EB" w:rsidRDefault="00000000">
      <w:pPr>
        <w:spacing w:after="120" w:line="480" w:lineRule="auto"/>
        <w:jc w:val="both"/>
      </w:pPr>
      <w:r>
        <w:rPr>
          <w:rFonts w:eastAsia="Times New Roman"/>
        </w:rPr>
        <w:t xml:space="preserve">Direct age </w:t>
      </w:r>
      <w:proofErr w:type="spellStart"/>
      <w:r>
        <w:rPr>
          <w:rFonts w:eastAsia="Times New Roman"/>
        </w:rPr>
        <w:t>standardisation</w:t>
      </w:r>
      <w:proofErr w:type="spellEnd"/>
      <w:r>
        <w:rPr>
          <w:rFonts w:eastAsia="Times New Roman"/>
        </w:rPr>
        <w:t xml:space="preserve"> to the 2005 Korean Standard Population yielded an age-</w:t>
      </w:r>
      <w:proofErr w:type="spellStart"/>
      <w:r>
        <w:rPr>
          <w:rFonts w:eastAsia="Times New Roman"/>
        </w:rPr>
        <w:t>standardised</w:t>
      </w:r>
      <w:proofErr w:type="spellEnd"/>
      <w:r>
        <w:rPr>
          <w:rFonts w:eastAsia="Times New Roman"/>
        </w:rPr>
        <w:t xml:space="preserve"> rate (ASR) trajectory that closely tracked the crude rate but with a slightly amplified peak in 2019 (ASR 37.0 per 100 000 vs crude 33.9 per 100 000) and a less pronounced post-2022 trough (Supplementary Figure S4; Supplementary Table S8). The fact that age </w:t>
      </w:r>
      <w:proofErr w:type="spellStart"/>
      <w:r>
        <w:rPr>
          <w:rFonts w:eastAsia="Times New Roman"/>
        </w:rPr>
        <w:t>standardisation</w:t>
      </w:r>
      <w:proofErr w:type="spellEnd"/>
      <w:r>
        <w:rPr>
          <w:rFonts w:eastAsia="Times New Roman"/>
        </w:rPr>
        <w:t xml:space="preserve"> amplifies rather than attenuates the 2019 peak demonstrates that population age-structure shifts cannot mechanically explain the observed surge.</w:t>
      </w:r>
    </w:p>
    <w:p w14:paraId="3AC0F9B3" w14:textId="77777777" w:rsidR="003544EB" w:rsidRDefault="00000000">
      <w:pPr>
        <w:spacing w:after="120" w:line="480" w:lineRule="auto"/>
        <w:jc w:val="both"/>
      </w:pPr>
      <w:r>
        <w:rPr>
          <w:rFonts w:eastAsia="Times New Roman"/>
        </w:rPr>
        <w:lastRenderedPageBreak/>
        <w:t xml:space="preserve">Age-band-specific Hamed–Rao MK trend tests revealed a clear bifurcation: incidence among children and young adults (0–9, 10–19, 20–29, 30–39 years) showed flat or negative Sen slopes (median −4 to −16% per year) with non-significant MK τ; incidence among older adults rose monotonically with significantly positive Sen slopes — 50–59 years +21.8%/year (τ = 0.473, p = 0.021); 60–69 years +21.3%/year (τ = 0.648, p = 0.001); ≥70 years +20.9%/year (τ = 0.758, p = 0.007). Age-specific 1-joinpoint NB GLMs anchored most strata </w:t>
      </w:r>
      <w:proofErr w:type="gramStart"/>
      <w:r>
        <w:rPr>
          <w:rFonts w:eastAsia="Times New Roman"/>
        </w:rPr>
        <w:t>on</w:t>
      </w:r>
      <w:proofErr w:type="gramEnd"/>
      <w:r>
        <w:rPr>
          <w:rFonts w:eastAsia="Times New Roman"/>
        </w:rPr>
        <w:t xml:space="preserve"> 2019 or 2020. The combination of (</w:t>
      </w:r>
      <w:proofErr w:type="spellStart"/>
      <w:r>
        <w:rPr>
          <w:rFonts w:eastAsia="Times New Roman"/>
        </w:rPr>
        <w:t>i</w:t>
      </w:r>
      <w:proofErr w:type="spellEnd"/>
      <w:r>
        <w:rPr>
          <w:rFonts w:eastAsia="Times New Roman"/>
        </w:rPr>
        <w:t>) a ≥70-year case share rising approximately 46-fold against a 1.75-fold population-share expansion, (ii) age-</w:t>
      </w:r>
      <w:proofErr w:type="spellStart"/>
      <w:r>
        <w:rPr>
          <w:rFonts w:eastAsia="Times New Roman"/>
        </w:rPr>
        <w:t>standardised</w:t>
      </w:r>
      <w:proofErr w:type="spellEnd"/>
      <w:r>
        <w:rPr>
          <w:rFonts w:eastAsia="Times New Roman"/>
        </w:rPr>
        <w:t xml:space="preserve"> incidence amplifying rather than dampening the 2019 surge, and (iii) statistically significant *positive* age-specific Sen slopes among adults aged ≥50 years, jointly constitutes evidence that the elderly shift exceeds what would be expected from population ageing alone.</w:t>
      </w:r>
    </w:p>
    <w:p w14:paraId="183813EF" w14:textId="77777777" w:rsidR="003544EB" w:rsidRDefault="00000000">
      <w:r>
        <w:br w:type="page"/>
      </w:r>
    </w:p>
    <w:p w14:paraId="3A616B60" w14:textId="77777777" w:rsidR="003544EB" w:rsidRDefault="00000000">
      <w:pPr>
        <w:pStyle w:val="1"/>
        <w:spacing w:before="240" w:after="160" w:line="480" w:lineRule="auto"/>
      </w:pPr>
      <w:r>
        <w:rPr>
          <w:rFonts w:eastAsia="Times New Roman"/>
          <w:b/>
          <w:bCs/>
          <w:color w:val="000000"/>
          <w:sz w:val="26"/>
          <w:szCs w:val="26"/>
        </w:rPr>
        <w:lastRenderedPageBreak/>
        <w:t>4. Discussion</w:t>
      </w:r>
    </w:p>
    <w:p w14:paraId="46611A84" w14:textId="77777777" w:rsidR="003544EB" w:rsidRDefault="00000000">
      <w:pPr>
        <w:spacing w:after="120" w:line="480" w:lineRule="auto"/>
        <w:jc w:val="both"/>
      </w:pPr>
      <w:r>
        <w:rPr>
          <w:rFonts w:eastAsia="Times New Roman"/>
        </w:rPr>
        <w:t xml:space="preserve">Three findings stand out from this 14-year reanalysis. First, hepatitis A incidence in Korea between 2011 and 2024 cannot be </w:t>
      </w:r>
      <w:proofErr w:type="spellStart"/>
      <w:r>
        <w:rPr>
          <w:rFonts w:eastAsia="Times New Roman"/>
        </w:rPr>
        <w:t>summarised</w:t>
      </w:r>
      <w:proofErr w:type="spellEnd"/>
      <w:r>
        <w:rPr>
          <w:rFonts w:eastAsia="Times New Roman"/>
        </w:rPr>
        <w:t xml:space="preserve"> as a monotonic trend; structural change in 2014 and again in 2019 dominates the case series, and any policy interpretation that ignores these breakpoints understates the impact of foodborne outbreaks. Second, the male predominance in incidence has narrowed by approximately 30% over the period, and the age distribution of cases has shifted markedly older, with the ≥ 70-year share rising approximately 46-fold against only a 1.75-fold expansion in the corresponding population share. Third, incidence is spatially clustered at distances of up to 150 km, with a stable high–high cluster in </w:t>
      </w:r>
      <w:proofErr w:type="spellStart"/>
      <w:r>
        <w:rPr>
          <w:rFonts w:eastAsia="Times New Roman"/>
        </w:rPr>
        <w:t>Chungnam</w:t>
      </w:r>
      <w:proofErr w:type="spellEnd"/>
      <w:r>
        <w:rPr>
          <w:rFonts w:eastAsia="Times New Roman"/>
        </w:rPr>
        <w:t xml:space="preserve"> and a low–low cluster in </w:t>
      </w:r>
      <w:proofErr w:type="spellStart"/>
      <w:r>
        <w:rPr>
          <w:rFonts w:eastAsia="Times New Roman"/>
        </w:rPr>
        <w:t>Gyeongnam</w:t>
      </w:r>
      <w:proofErr w:type="spellEnd"/>
      <w:r>
        <w:rPr>
          <w:rFonts w:eastAsia="Times New Roman"/>
        </w:rPr>
        <w:t>.</w:t>
      </w:r>
    </w:p>
    <w:p w14:paraId="16430F39" w14:textId="77777777" w:rsidR="003544EB" w:rsidRDefault="00000000">
      <w:pPr>
        <w:spacing w:after="120" w:line="480" w:lineRule="auto"/>
        <w:jc w:val="both"/>
      </w:pPr>
      <w:r>
        <w:rPr>
          <w:rFonts w:eastAsia="Times New Roman"/>
        </w:rPr>
        <w:t>The 2019 surge has been previously attributed in two independent peer-reviewed epidemiologic investigations to contaminated salted clam (</w:t>
      </w:r>
      <w:proofErr w:type="spellStart"/>
      <w:r>
        <w:rPr>
          <w:rFonts w:eastAsia="Times New Roman"/>
        </w:rPr>
        <w:t>jogaejeot</w:t>
      </w:r>
      <w:proofErr w:type="spellEnd"/>
      <w:r>
        <w:rPr>
          <w:rFonts w:eastAsia="Times New Roman"/>
        </w:rPr>
        <w:t xml:space="preserve">) products distributed through retail channels: a national case-control study reported an adjusted odds ratio of 4.33 (95% CI 1.32–14.18) for salted-clam consumption among 31 confirmed cases and 35 matched controls [7], and a Busan restaurant cohort study identified salted clams with an even larger multivariate odds ratio of 68 (95% CI 9.2–511) [8]. A subsequent quantitative microbial risk assessment also estimated salted clams as the dominant exposure route consistent with the observed surge [27]. Our breakpoint analysis quantifies that surge as a roughly 7-fold step increase in the underlying domestic rate relative to 2018 and confirms that no equivalent step change is required to explain incidence after 2020, consistent with the post-outbreak national recall of suspect shellfish products and with subsequent food-safety inspection intensification by the Ministry of Food and Drug Safety. The bootstrap location 95% CI for the late breakpoint (2017–2022) brackets 2019 robustly. The earlier breakpoint, by contrast, has a wider bootstrap CI (2014–2017) and a small ΔBIC margin over a single-breakpoint fit (-2.2), so its precise location should be regarded as uncertain; the corresponding window straddles the introduction </w:t>
      </w:r>
      <w:r>
        <w:rPr>
          <w:rFonts w:eastAsia="Times New Roman"/>
        </w:rPr>
        <w:lastRenderedPageBreak/>
        <w:t xml:space="preserve">of universal childhood HAV vaccination into the National Immunization </w:t>
      </w:r>
      <w:proofErr w:type="spellStart"/>
      <w:r>
        <w:rPr>
          <w:rFonts w:eastAsia="Times New Roman"/>
        </w:rPr>
        <w:t>Programme</w:t>
      </w:r>
      <w:proofErr w:type="spellEnd"/>
      <w:r>
        <w:rPr>
          <w:rFonts w:eastAsia="Times New Roman"/>
        </w:rPr>
        <w:t xml:space="preserve"> in 2015 [5,6]. Causal interpretation is not warranted, however, because most reported cases occurred in adults whose immune susceptibility is unaffected by infant-cohort vaccination, and any vaccination-attributable signal would manifest only after a multi-year cohort lag.</w:t>
      </w:r>
    </w:p>
    <w:p w14:paraId="25ABCC4F" w14:textId="77777777" w:rsidR="003544EB" w:rsidRDefault="00000000">
      <w:pPr>
        <w:spacing w:after="120" w:line="480" w:lineRule="auto"/>
        <w:jc w:val="both"/>
      </w:pPr>
      <w:r>
        <w:rPr>
          <w:rFonts w:eastAsia="Times New Roman"/>
        </w:rPr>
        <w:t xml:space="preserve">The shift towards older case-patients is consistent with declining childhood seroprevalence reported by the Korean National Health and Nutrition Examination Survey, which has fallen from over 70% among adults born before 1965 to less than 15% among those born after 1985 [25]. As cohorts who escaped childhood infection age into the disease-relevant decades, severe disease and case-fatality risk will </w:t>
      </w:r>
      <w:proofErr w:type="gramStart"/>
      <w:r>
        <w:rPr>
          <w:rFonts w:eastAsia="Times New Roman"/>
        </w:rPr>
        <w:t>rise</w:t>
      </w:r>
      <w:proofErr w:type="gramEnd"/>
      <w:r>
        <w:rPr>
          <w:rFonts w:eastAsia="Times New Roman"/>
        </w:rPr>
        <w:t xml:space="preserve"> and the cost-effectiveness ratio of catch-up adult vaccination strategies improves [26]. Our finding of a 46-fold increase in the ≥ 70-year case share over 14 years, against a 1.75-fold population-ageing factor, supports the recent calls for adult-targeted vaccination policy review [9].</w:t>
      </w:r>
    </w:p>
    <w:p w14:paraId="4AC9BAEE" w14:textId="77777777" w:rsidR="003544EB" w:rsidRDefault="00000000">
      <w:pPr>
        <w:spacing w:after="120" w:line="480" w:lineRule="auto"/>
        <w:jc w:val="both"/>
      </w:pPr>
      <w:r>
        <w:rPr>
          <w:rFonts w:eastAsia="Times New Roman"/>
        </w:rPr>
        <w:t xml:space="preserve">The west-central spatial signature — Daejeon, Sejong, </w:t>
      </w:r>
      <w:proofErr w:type="spellStart"/>
      <w:r>
        <w:rPr>
          <w:rFonts w:eastAsia="Times New Roman"/>
        </w:rPr>
        <w:t>Chungnam</w:t>
      </w:r>
      <w:proofErr w:type="spellEnd"/>
      <w:r>
        <w:rPr>
          <w:rFonts w:eastAsia="Times New Roman"/>
        </w:rPr>
        <w:t xml:space="preserve"> and </w:t>
      </w:r>
      <w:proofErr w:type="spellStart"/>
      <w:r>
        <w:rPr>
          <w:rFonts w:eastAsia="Times New Roman"/>
        </w:rPr>
        <w:t>Chungbuk</w:t>
      </w:r>
      <w:proofErr w:type="spellEnd"/>
      <w:r>
        <w:rPr>
          <w:rFonts w:eastAsia="Times New Roman"/>
        </w:rPr>
        <w:t xml:space="preserve"> together accounting for the highest provincial rates — is consistent with the regional distribution of the 2019 outbreak food-distribution chain and with denser inter-provincial commuting around the central administrative cluster. The strict-Queen weights, which isolate Jeju, yielded an even stronger signal (I = 0.59), confirming that the Jeju single-island feature is not driving the result. The attenuation of significance beyond 200 km is informative: it argues against a national-scale environmental driver and is consistent with an outbreak-and-spillover mechanism operating across the central peninsula. Importantly, the observed clusters are not artefacts of the 2019 outbreak alone; reanalysis restricted to 2020–2024 (post-outbreak) preserved the </w:t>
      </w:r>
      <w:proofErr w:type="spellStart"/>
      <w:r>
        <w:rPr>
          <w:rFonts w:eastAsia="Times New Roman"/>
        </w:rPr>
        <w:t>Chungnam</w:t>
      </w:r>
      <w:proofErr w:type="spellEnd"/>
      <w:r>
        <w:rPr>
          <w:rFonts w:eastAsia="Times New Roman"/>
        </w:rPr>
        <w:t xml:space="preserve"> high–high signal qualitatively (data not shown), suggesting a structural rather than purely event-driven concentration.</w:t>
      </w:r>
    </w:p>
    <w:p w14:paraId="38151A32" w14:textId="77777777" w:rsidR="003544EB" w:rsidRDefault="00000000">
      <w:pPr>
        <w:spacing w:after="120" w:line="480" w:lineRule="auto"/>
        <w:jc w:val="both"/>
      </w:pPr>
      <w:r>
        <w:rPr>
          <w:rFonts w:eastAsia="Times New Roman"/>
        </w:rPr>
        <w:t xml:space="preserve">Several limitations deserve mention. First, imported case ascertainment depends on travel-history capture at notification and is subject to under-reporting; the imported series accounts </w:t>
      </w:r>
      <w:r>
        <w:rPr>
          <w:rFonts w:eastAsia="Times New Roman"/>
        </w:rPr>
        <w:lastRenderedPageBreak/>
        <w:t xml:space="preserve">for only 0.5% of the total in our data and may understate true imports. Second, province-level imported case counts were not partitioned in the </w:t>
      </w:r>
      <w:proofErr w:type="spellStart"/>
      <w:r>
        <w:rPr>
          <w:rFonts w:eastAsia="Times New Roman"/>
        </w:rPr>
        <w:t>harmonised</w:t>
      </w:r>
      <w:proofErr w:type="spellEnd"/>
      <w:r>
        <w:rPr>
          <w:rFonts w:eastAsia="Times New Roman"/>
        </w:rPr>
        <w:t xml:space="preserve"> dataset, and we therefore did not perform province-by-province imported-case analysis. Third, the eight-band age aggregation used in the public denominator does not allow finer cohort-specific </w:t>
      </w:r>
      <w:proofErr w:type="spellStart"/>
      <w:r>
        <w:rPr>
          <w:rFonts w:eastAsia="Times New Roman"/>
        </w:rPr>
        <w:t>seroepidemiology</w:t>
      </w:r>
      <w:proofErr w:type="spellEnd"/>
      <w:r>
        <w:rPr>
          <w:rFonts w:eastAsia="Times New Roman"/>
        </w:rPr>
        <w:t xml:space="preserve"> contrasts (cohorts born after 1985 versus before 1965). Fourth, although our analytical pipeline is fully reproducible, surveillance data necessarily reflect the underlying case-finding sensitivity of the reporting system. The KDCA notifiable infectious disease reporting infrastructure underwent a transition to web-based electronic reporting in 2010 [12,28] and laboratory testing volume rose substantially during the 2019 outbreak (more than 210,000 anti-HAV IgM tests </w:t>
      </w:r>
      <w:proofErr w:type="spellStart"/>
      <w:r>
        <w:rPr>
          <w:rFonts w:eastAsia="Times New Roman"/>
        </w:rPr>
        <w:t>analysed</w:t>
      </w:r>
      <w:proofErr w:type="spellEnd"/>
      <w:r>
        <w:rPr>
          <w:rFonts w:eastAsia="Times New Roman"/>
        </w:rPr>
        <w:t xml:space="preserve"> in 2019 alone, against an annual mean below 80,000 in pre-outbreak years [29]); these temporal shifts in test intensity may inflate the apparent late-period rise and we cannot fully adjust for them with the available aggregate data. Fifth, the breakpoint analysis operates at the annual scale and cannot resolve sub-annual shifts (such as introduction or removal of specific salted-clam products from the supply chain). Sixth, our power simulations indicate limited statistical power to detect continuous slope changes or single-year multiplicative shocks below ~7× at the empirical dispersion level (Section 3.5); subtle structural shifts may therefore be missed. Seventh, the population denominator for the eleven mid-tier cities was reconstructed by halving the 2× </w:t>
      </w:r>
      <w:proofErr w:type="spellStart"/>
      <w:r>
        <w:rPr>
          <w:rFonts w:eastAsia="Times New Roman"/>
        </w:rPr>
        <w:t>harmonised</w:t>
      </w:r>
      <w:proofErr w:type="spellEnd"/>
      <w:r>
        <w:rPr>
          <w:rFonts w:eastAsia="Times New Roman"/>
        </w:rPr>
        <w:t xml:space="preserve"> entries; cross-validation against KOSIS published mid-year totals showed agreement within 0.8% (Supplementary Table S6), but the procedure introduces a potential ≤1% systematic bias in city-level rates that we have not been able to remove without access to the original ward-level breakdown.</w:t>
      </w:r>
    </w:p>
    <w:p w14:paraId="1C9AD2EC" w14:textId="77777777" w:rsidR="003544EB" w:rsidRDefault="00000000">
      <w:pPr>
        <w:spacing w:after="120" w:line="480" w:lineRule="auto"/>
        <w:jc w:val="both"/>
      </w:pPr>
      <w:r>
        <w:rPr>
          <w:rFonts w:eastAsia="Times New Roman"/>
        </w:rPr>
        <w:t>In conclusion, our re-analysis depicts a hepatitis A epidemiology in Korea that is increasingly driven by adult and elderly cases punctuated by recurrent foodborne outbreaks, with a stable west-central spatial signature operating at sub-200-km scales. The findings reinforce the public-health rationale for sustained shellfish food-safety surveillance, for adult-targeted catch-</w:t>
      </w:r>
      <w:r>
        <w:rPr>
          <w:rFonts w:eastAsia="Times New Roman"/>
        </w:rPr>
        <w:lastRenderedPageBreak/>
        <w:t>up vaccination strategies, and for surveillance reporting that retains both inter-</w:t>
      </w:r>
      <w:proofErr w:type="gramStart"/>
      <w:r>
        <w:rPr>
          <w:rFonts w:eastAsia="Times New Roman"/>
        </w:rPr>
        <w:t>province</w:t>
      </w:r>
      <w:proofErr w:type="gramEnd"/>
      <w:r>
        <w:rPr>
          <w:rFonts w:eastAsia="Times New Roman"/>
        </w:rPr>
        <w:t xml:space="preserve"> imported/domestic distinctions and an explicit age × cohort breakdown. The fully reproducible analysis package accompanying this manuscript provides a template for similar </w:t>
      </w:r>
      <w:proofErr w:type="spellStart"/>
      <w:r>
        <w:rPr>
          <w:rFonts w:eastAsia="Times New Roman"/>
        </w:rPr>
        <w:t>reanalyses</w:t>
      </w:r>
      <w:proofErr w:type="spellEnd"/>
      <w:r>
        <w:rPr>
          <w:rFonts w:eastAsia="Times New Roman"/>
        </w:rPr>
        <w:t xml:space="preserve"> of other notifiable infectious diseases in the Korean surveillance system.</w:t>
      </w:r>
    </w:p>
    <w:p w14:paraId="7A9A6AA4" w14:textId="77777777" w:rsidR="003544EB" w:rsidRDefault="00000000">
      <w:r>
        <w:br w:type="page"/>
      </w:r>
    </w:p>
    <w:p w14:paraId="10FA1DA7" w14:textId="77777777" w:rsidR="003544EB" w:rsidRDefault="00000000">
      <w:pPr>
        <w:pStyle w:val="1"/>
        <w:spacing w:before="240" w:after="160" w:line="480" w:lineRule="auto"/>
      </w:pPr>
      <w:r>
        <w:rPr>
          <w:rFonts w:eastAsia="Times New Roman"/>
          <w:b/>
          <w:bCs/>
          <w:color w:val="000000"/>
          <w:sz w:val="26"/>
          <w:szCs w:val="26"/>
        </w:rPr>
        <w:lastRenderedPageBreak/>
        <w:t>Acknowledgements</w:t>
      </w:r>
    </w:p>
    <w:p w14:paraId="66503DBF" w14:textId="77777777" w:rsidR="003544EB" w:rsidRDefault="00000000">
      <w:pPr>
        <w:spacing w:after="120" w:line="480" w:lineRule="auto"/>
        <w:jc w:val="both"/>
      </w:pPr>
      <w:r>
        <w:rPr>
          <w:rFonts w:eastAsia="Times New Roman"/>
        </w:rPr>
        <w:t>We thank the staff of the Korea Disease Control and Prevention Agency (KDCA) for maintaining the public surveillance database, and we acknowledge Statistics Korea for providing the resident-registration denominators used in this study.</w:t>
      </w:r>
    </w:p>
    <w:p w14:paraId="2F5DBD6D" w14:textId="77777777" w:rsidR="003544EB" w:rsidRDefault="00000000">
      <w:pPr>
        <w:pStyle w:val="1"/>
        <w:spacing w:before="240" w:after="160" w:line="480" w:lineRule="auto"/>
      </w:pPr>
      <w:r>
        <w:rPr>
          <w:rFonts w:eastAsia="Times New Roman"/>
          <w:b/>
          <w:bCs/>
          <w:color w:val="000000"/>
          <w:sz w:val="26"/>
          <w:szCs w:val="26"/>
        </w:rPr>
        <w:t>Author contributions</w:t>
      </w:r>
    </w:p>
    <w:p w14:paraId="3A38CDCC" w14:textId="77777777" w:rsidR="003544EB" w:rsidRDefault="00000000">
      <w:pPr>
        <w:spacing w:after="120" w:line="480" w:lineRule="auto"/>
        <w:jc w:val="both"/>
      </w:pPr>
      <w:proofErr w:type="spellStart"/>
      <w:r>
        <w:rPr>
          <w:rFonts w:eastAsia="Times New Roman"/>
        </w:rPr>
        <w:t>Geonsang</w:t>
      </w:r>
      <w:proofErr w:type="spellEnd"/>
      <w:r>
        <w:rPr>
          <w:rFonts w:eastAsia="Times New Roman"/>
        </w:rPr>
        <w:t xml:space="preserve"> Lee: Conceptualization, Data curation, Formal analysis, Investigation, Methodology, Software, Validation, Visualization, Writing — original draft. Meets all four ICMJE authorship criteria.</w:t>
      </w:r>
      <w:r>
        <w:rPr>
          <w:rFonts w:eastAsia="Times New Roman"/>
        </w:rPr>
        <w:br/>
      </w:r>
      <w:proofErr w:type="spellStart"/>
      <w:r>
        <w:rPr>
          <w:rFonts w:eastAsia="Times New Roman"/>
        </w:rPr>
        <w:t>Seongdae</w:t>
      </w:r>
      <w:proofErr w:type="spellEnd"/>
      <w:r>
        <w:rPr>
          <w:rFonts w:eastAsia="Times New Roman"/>
        </w:rPr>
        <w:t xml:space="preserve"> Kim: Conceptualization, Supervision, Methodology, Resources, Project administration, Writing — review &amp; editing. Meets all four ICMJE authorship criteria. Corresponding author.</w:t>
      </w:r>
      <w:r>
        <w:rPr>
          <w:rFonts w:eastAsia="Times New Roman"/>
        </w:rPr>
        <w:br/>
        <w:t>Both authors approved the final version of the manuscript and agree to be accountable for all aspects of the work.</w:t>
      </w:r>
    </w:p>
    <w:p w14:paraId="303BE4BA" w14:textId="77777777" w:rsidR="003544EB" w:rsidRDefault="00000000">
      <w:pPr>
        <w:pStyle w:val="1"/>
        <w:spacing w:before="240" w:after="160" w:line="480" w:lineRule="auto"/>
      </w:pPr>
      <w:r>
        <w:rPr>
          <w:rFonts w:eastAsia="Times New Roman"/>
          <w:b/>
          <w:bCs/>
          <w:color w:val="000000"/>
          <w:sz w:val="26"/>
          <w:szCs w:val="26"/>
        </w:rPr>
        <w:t>Funding</w:t>
      </w:r>
    </w:p>
    <w:p w14:paraId="04C27057" w14:textId="77777777" w:rsidR="003544EB" w:rsidRDefault="00000000">
      <w:pPr>
        <w:spacing w:after="120" w:line="480" w:lineRule="auto"/>
        <w:jc w:val="both"/>
      </w:pPr>
      <w:r>
        <w:rPr>
          <w:rFonts w:eastAsia="Times New Roman"/>
        </w:rPr>
        <w:t>This work received no specific external funding.</w:t>
      </w:r>
    </w:p>
    <w:p w14:paraId="325C78FF" w14:textId="77777777" w:rsidR="003544EB" w:rsidRDefault="00000000">
      <w:pPr>
        <w:pStyle w:val="1"/>
        <w:spacing w:before="240" w:after="160" w:line="480" w:lineRule="auto"/>
      </w:pPr>
      <w:r>
        <w:rPr>
          <w:rFonts w:eastAsia="Times New Roman"/>
          <w:b/>
          <w:bCs/>
          <w:color w:val="000000"/>
          <w:sz w:val="26"/>
          <w:szCs w:val="26"/>
        </w:rPr>
        <w:t>Disclosure of interest</w:t>
      </w:r>
    </w:p>
    <w:p w14:paraId="209A9BBD" w14:textId="77777777" w:rsidR="003544EB" w:rsidRDefault="00000000">
      <w:pPr>
        <w:spacing w:after="120" w:line="480" w:lineRule="auto"/>
        <w:jc w:val="both"/>
      </w:pPr>
      <w:r>
        <w:rPr>
          <w:rFonts w:eastAsia="Times New Roman"/>
        </w:rPr>
        <w:t>The authors report there are no competing interests to declare.</w:t>
      </w:r>
    </w:p>
    <w:p w14:paraId="665577FA" w14:textId="77777777" w:rsidR="003544EB" w:rsidRDefault="00000000">
      <w:pPr>
        <w:pStyle w:val="1"/>
        <w:spacing w:before="240" w:after="160" w:line="480" w:lineRule="auto"/>
      </w:pPr>
      <w:r>
        <w:rPr>
          <w:rFonts w:eastAsia="Times New Roman"/>
          <w:b/>
          <w:bCs/>
          <w:color w:val="000000"/>
          <w:sz w:val="26"/>
          <w:szCs w:val="26"/>
        </w:rPr>
        <w:t>Ethics approval and consent to participate</w:t>
      </w:r>
    </w:p>
    <w:p w14:paraId="77E8953F" w14:textId="77777777" w:rsidR="003544EB" w:rsidRDefault="00000000">
      <w:pPr>
        <w:spacing w:after="120" w:line="480" w:lineRule="auto"/>
        <w:jc w:val="both"/>
      </w:pPr>
      <w:r>
        <w:rPr>
          <w:rFonts w:eastAsia="Times New Roman"/>
        </w:rPr>
        <w:t xml:space="preserve">This study used only de-identified, aggregate routine surveillance data made publicly available by the Korea Disease Control and Prevention Agency (KDCA) and de-identified resident-registration aggregates from Statistics Korea. The study did not involve human subjects, identifiable personal information, or biological samples. The reanalysis was reviewed and </w:t>
      </w:r>
      <w:r>
        <w:rPr>
          <w:rFonts w:eastAsia="Times New Roman"/>
        </w:rPr>
        <w:lastRenderedPageBreak/>
        <w:t xml:space="preserve">approved by the Institutional Review Board of Hongik University (IRB approval number 7002340-202511-HR-012); individual informed consent was waived because only fully aggregated, publicly distributed surveillance data were </w:t>
      </w:r>
      <w:proofErr w:type="spellStart"/>
      <w:r>
        <w:rPr>
          <w:rFonts w:eastAsia="Times New Roman"/>
        </w:rPr>
        <w:t>analysed</w:t>
      </w:r>
      <w:proofErr w:type="spellEnd"/>
      <w:r>
        <w:rPr>
          <w:rFonts w:eastAsia="Times New Roman"/>
        </w:rPr>
        <w:t>.</w:t>
      </w:r>
    </w:p>
    <w:p w14:paraId="30B29384" w14:textId="77777777" w:rsidR="003544EB" w:rsidRDefault="00000000">
      <w:pPr>
        <w:pStyle w:val="1"/>
        <w:spacing w:before="240" w:after="160" w:line="480" w:lineRule="auto"/>
      </w:pPr>
      <w:r>
        <w:rPr>
          <w:rFonts w:eastAsia="Times New Roman"/>
          <w:b/>
          <w:bCs/>
          <w:color w:val="000000"/>
          <w:sz w:val="26"/>
          <w:szCs w:val="26"/>
        </w:rPr>
        <w:t>Data availability</w:t>
      </w:r>
    </w:p>
    <w:p w14:paraId="4DD1EB92" w14:textId="77777777" w:rsidR="003544EB" w:rsidRDefault="00000000">
      <w:pPr>
        <w:spacing w:after="120" w:line="480" w:lineRule="auto"/>
        <w:jc w:val="both"/>
      </w:pPr>
      <w:r>
        <w:rPr>
          <w:rFonts w:eastAsia="Times New Roman"/>
        </w:rPr>
        <w:t xml:space="preserve">The </w:t>
      </w:r>
      <w:proofErr w:type="spellStart"/>
      <w:r>
        <w:rPr>
          <w:rFonts w:eastAsia="Times New Roman"/>
        </w:rPr>
        <w:t>harmonised</w:t>
      </w:r>
      <w:proofErr w:type="spellEnd"/>
      <w:r>
        <w:rPr>
          <w:rFonts w:eastAsia="Times New Roman"/>
        </w:rPr>
        <w:t xml:space="preserve"> data files, the complete analysis pipeline (nine Python scripts and ten derived CSV tables), and the figure-generation scripts that reproduce all main and supplementary figures are provided as a reproducibility package accompanying the supplementary material and are available from the corresponding author on reasonable request. The original surveillance data are publicly available from the KDCA infectious-disease portal at http://npt.kdca.go.kr.</w:t>
      </w:r>
    </w:p>
    <w:p w14:paraId="094717DC" w14:textId="77777777" w:rsidR="003544EB" w:rsidRDefault="00000000">
      <w:r>
        <w:br w:type="page"/>
      </w:r>
    </w:p>
    <w:p w14:paraId="076B01E8" w14:textId="77777777" w:rsidR="003544EB" w:rsidRDefault="00000000">
      <w:pPr>
        <w:pStyle w:val="1"/>
        <w:spacing w:before="240" w:after="160" w:line="480" w:lineRule="auto"/>
      </w:pPr>
      <w:r>
        <w:rPr>
          <w:rFonts w:eastAsia="Times New Roman"/>
          <w:b/>
          <w:bCs/>
          <w:color w:val="000000"/>
          <w:sz w:val="26"/>
          <w:szCs w:val="26"/>
        </w:rPr>
        <w:lastRenderedPageBreak/>
        <w:t>References</w:t>
      </w:r>
    </w:p>
    <w:p w14:paraId="2F34D07D" w14:textId="77777777" w:rsidR="003544EB" w:rsidRDefault="00000000">
      <w:pPr>
        <w:spacing w:after="80" w:line="320" w:lineRule="auto"/>
        <w:ind w:left="360" w:hanging="360"/>
      </w:pPr>
      <w:r>
        <w:rPr>
          <w:rFonts w:eastAsia="Times New Roman"/>
          <w:b/>
          <w:bCs/>
          <w:sz w:val="22"/>
          <w:szCs w:val="22"/>
        </w:rPr>
        <w:t xml:space="preserve">1. </w:t>
      </w:r>
      <w:r>
        <w:rPr>
          <w:rFonts w:eastAsia="Times New Roman"/>
          <w:sz w:val="22"/>
          <w:szCs w:val="22"/>
        </w:rPr>
        <w:t xml:space="preserve">Hofmeister MG, Foster MA, </w:t>
      </w:r>
      <w:proofErr w:type="spellStart"/>
      <w:r>
        <w:rPr>
          <w:rFonts w:eastAsia="Times New Roman"/>
          <w:sz w:val="22"/>
          <w:szCs w:val="22"/>
        </w:rPr>
        <w:t>Teshale</w:t>
      </w:r>
      <w:proofErr w:type="spellEnd"/>
      <w:r>
        <w:rPr>
          <w:rFonts w:eastAsia="Times New Roman"/>
          <w:sz w:val="22"/>
          <w:szCs w:val="22"/>
        </w:rPr>
        <w:t xml:space="preserve"> EH. Epidemiology and transmission of hepatitis A virus and hepatitis E virus infections in the United States. Cold Spring Harb </w:t>
      </w:r>
      <w:proofErr w:type="spellStart"/>
      <w:r>
        <w:rPr>
          <w:rFonts w:eastAsia="Times New Roman"/>
          <w:sz w:val="22"/>
          <w:szCs w:val="22"/>
        </w:rPr>
        <w:t>Perspect</w:t>
      </w:r>
      <w:proofErr w:type="spellEnd"/>
      <w:r>
        <w:rPr>
          <w:rFonts w:eastAsia="Times New Roman"/>
          <w:sz w:val="22"/>
          <w:szCs w:val="22"/>
        </w:rPr>
        <w:t xml:space="preserve"> Med. 2019;9(4</w:t>
      </w:r>
      <w:proofErr w:type="gramStart"/>
      <w:r>
        <w:rPr>
          <w:rFonts w:eastAsia="Times New Roman"/>
          <w:sz w:val="22"/>
          <w:szCs w:val="22"/>
        </w:rPr>
        <w:t>):a</w:t>
      </w:r>
      <w:proofErr w:type="gramEnd"/>
      <w:r>
        <w:rPr>
          <w:rFonts w:eastAsia="Times New Roman"/>
          <w:sz w:val="22"/>
          <w:szCs w:val="22"/>
        </w:rPr>
        <w:t>033431. doi:10.1101/</w:t>
      </w:r>
      <w:proofErr w:type="gramStart"/>
      <w:r>
        <w:rPr>
          <w:rFonts w:eastAsia="Times New Roman"/>
          <w:sz w:val="22"/>
          <w:szCs w:val="22"/>
        </w:rPr>
        <w:t>cshperspect.a</w:t>
      </w:r>
      <w:proofErr w:type="gramEnd"/>
      <w:r>
        <w:rPr>
          <w:rFonts w:eastAsia="Times New Roman"/>
          <w:sz w:val="22"/>
          <w:szCs w:val="22"/>
        </w:rPr>
        <w:t>033431</w:t>
      </w:r>
    </w:p>
    <w:p w14:paraId="182F0F86" w14:textId="77777777" w:rsidR="003544EB" w:rsidRDefault="00000000">
      <w:pPr>
        <w:spacing w:after="80" w:line="320" w:lineRule="auto"/>
        <w:ind w:left="360" w:hanging="360"/>
      </w:pPr>
      <w:r>
        <w:rPr>
          <w:rFonts w:eastAsia="Times New Roman"/>
          <w:b/>
          <w:bCs/>
          <w:sz w:val="22"/>
          <w:szCs w:val="22"/>
        </w:rPr>
        <w:t xml:space="preserve">2. </w:t>
      </w:r>
      <w:r>
        <w:rPr>
          <w:rFonts w:eastAsia="Times New Roman"/>
          <w:sz w:val="22"/>
          <w:szCs w:val="22"/>
        </w:rPr>
        <w:t xml:space="preserve">International Committee on Taxonomy of Viruses. </w:t>
      </w:r>
      <w:proofErr w:type="spellStart"/>
      <w:r>
        <w:rPr>
          <w:rFonts w:eastAsia="Times New Roman"/>
          <w:sz w:val="22"/>
          <w:szCs w:val="22"/>
        </w:rPr>
        <w:t>Hepatovirus</w:t>
      </w:r>
      <w:proofErr w:type="spellEnd"/>
      <w:r>
        <w:rPr>
          <w:rFonts w:eastAsia="Times New Roman"/>
          <w:sz w:val="22"/>
          <w:szCs w:val="22"/>
        </w:rPr>
        <w:t xml:space="preserve"> genus, family </w:t>
      </w:r>
      <w:proofErr w:type="spellStart"/>
      <w:r>
        <w:rPr>
          <w:rFonts w:eastAsia="Times New Roman"/>
          <w:sz w:val="22"/>
          <w:szCs w:val="22"/>
        </w:rPr>
        <w:t>Picornaviridae</w:t>
      </w:r>
      <w:proofErr w:type="spellEnd"/>
      <w:r>
        <w:rPr>
          <w:rFonts w:eastAsia="Times New Roman"/>
          <w:sz w:val="22"/>
          <w:szCs w:val="22"/>
        </w:rPr>
        <w:t xml:space="preserve"> [Master Species List 2024]. Available from: https://ictv.global</w:t>
      </w:r>
    </w:p>
    <w:p w14:paraId="60733F6D" w14:textId="77777777" w:rsidR="003544EB" w:rsidRDefault="00000000">
      <w:pPr>
        <w:spacing w:after="80" w:line="320" w:lineRule="auto"/>
        <w:ind w:left="360" w:hanging="360"/>
      </w:pPr>
      <w:r>
        <w:rPr>
          <w:rFonts w:eastAsia="Times New Roman"/>
          <w:b/>
          <w:bCs/>
          <w:sz w:val="22"/>
          <w:szCs w:val="22"/>
        </w:rPr>
        <w:t xml:space="preserve">3. </w:t>
      </w:r>
      <w:r>
        <w:rPr>
          <w:rFonts w:eastAsia="Times New Roman"/>
          <w:sz w:val="22"/>
          <w:szCs w:val="22"/>
        </w:rPr>
        <w:t xml:space="preserve">Mohd </w:t>
      </w:r>
      <w:proofErr w:type="spellStart"/>
      <w:r>
        <w:rPr>
          <w:rFonts w:eastAsia="Times New Roman"/>
          <w:sz w:val="22"/>
          <w:szCs w:val="22"/>
        </w:rPr>
        <w:t>Hanafiah</w:t>
      </w:r>
      <w:proofErr w:type="spellEnd"/>
      <w:r>
        <w:rPr>
          <w:rFonts w:eastAsia="Times New Roman"/>
          <w:sz w:val="22"/>
          <w:szCs w:val="22"/>
        </w:rPr>
        <w:t xml:space="preserve"> K, Jacobsen KH, Wiersma ST. Challenges to mapping the health risk of hepatitis A virus infection. Int J Health </w:t>
      </w:r>
      <w:proofErr w:type="spellStart"/>
      <w:r>
        <w:rPr>
          <w:rFonts w:eastAsia="Times New Roman"/>
          <w:sz w:val="22"/>
          <w:szCs w:val="22"/>
        </w:rPr>
        <w:t>Geogr</w:t>
      </w:r>
      <w:proofErr w:type="spellEnd"/>
      <w:r>
        <w:rPr>
          <w:rFonts w:eastAsia="Times New Roman"/>
          <w:sz w:val="22"/>
          <w:szCs w:val="22"/>
        </w:rPr>
        <w:t xml:space="preserve">. </w:t>
      </w:r>
      <w:proofErr w:type="gramStart"/>
      <w:r>
        <w:rPr>
          <w:rFonts w:eastAsia="Times New Roman"/>
          <w:sz w:val="22"/>
          <w:szCs w:val="22"/>
        </w:rPr>
        <w:t>2011;10:57</w:t>
      </w:r>
      <w:proofErr w:type="gramEnd"/>
      <w:r>
        <w:rPr>
          <w:rFonts w:eastAsia="Times New Roman"/>
          <w:sz w:val="22"/>
          <w:szCs w:val="22"/>
        </w:rPr>
        <w:t>. doi:10.1186/1476-072X-10-57</w:t>
      </w:r>
    </w:p>
    <w:p w14:paraId="405517D5" w14:textId="77777777" w:rsidR="003544EB" w:rsidRDefault="00000000">
      <w:pPr>
        <w:spacing w:after="80" w:line="320" w:lineRule="auto"/>
        <w:ind w:left="360" w:hanging="360"/>
      </w:pPr>
      <w:r>
        <w:rPr>
          <w:rFonts w:eastAsia="Times New Roman"/>
          <w:b/>
          <w:bCs/>
          <w:sz w:val="22"/>
          <w:szCs w:val="22"/>
        </w:rPr>
        <w:t xml:space="preserve">4. </w:t>
      </w:r>
      <w:r>
        <w:rPr>
          <w:rFonts w:eastAsia="Times New Roman"/>
          <w:sz w:val="22"/>
          <w:szCs w:val="22"/>
        </w:rPr>
        <w:t xml:space="preserve">Cuthbert JA. Hepatitis A: old and new. Clin </w:t>
      </w:r>
      <w:proofErr w:type="spellStart"/>
      <w:r>
        <w:rPr>
          <w:rFonts w:eastAsia="Times New Roman"/>
          <w:sz w:val="22"/>
          <w:szCs w:val="22"/>
        </w:rPr>
        <w:t>Microbiol</w:t>
      </w:r>
      <w:proofErr w:type="spellEnd"/>
      <w:r>
        <w:rPr>
          <w:rFonts w:eastAsia="Times New Roman"/>
          <w:sz w:val="22"/>
          <w:szCs w:val="22"/>
        </w:rPr>
        <w:t xml:space="preserve"> Rev. 2001;14(1):38–58. doi:10.1128/CMR.14.1.38-58.2001</w:t>
      </w:r>
    </w:p>
    <w:p w14:paraId="1B801B0D" w14:textId="77777777" w:rsidR="003544EB" w:rsidRDefault="00000000">
      <w:pPr>
        <w:spacing w:after="80" w:line="320" w:lineRule="auto"/>
        <w:ind w:left="360" w:hanging="360"/>
      </w:pPr>
      <w:r>
        <w:rPr>
          <w:rFonts w:eastAsia="Times New Roman"/>
          <w:b/>
          <w:bCs/>
          <w:sz w:val="22"/>
          <w:szCs w:val="22"/>
        </w:rPr>
        <w:t xml:space="preserve">5. </w:t>
      </w:r>
      <w:r>
        <w:rPr>
          <w:rFonts w:eastAsia="Times New Roman"/>
          <w:sz w:val="22"/>
          <w:szCs w:val="22"/>
        </w:rPr>
        <w:t xml:space="preserve">Yang TU, Kim JW, Eom HE, Oh HK, Kim ES, Kang HJ, et al. Resurgence of hepatitis A incidence in Korea: implications for the introduction of universal hepatitis A vaccination. Vaccine. 2021;39(34):4781–4788. </w:t>
      </w:r>
      <w:proofErr w:type="gramStart"/>
      <w:r>
        <w:rPr>
          <w:rFonts w:eastAsia="Times New Roman"/>
          <w:sz w:val="22"/>
          <w:szCs w:val="22"/>
        </w:rPr>
        <w:t>doi:10.1016/j.vaccine</w:t>
      </w:r>
      <w:proofErr w:type="gramEnd"/>
      <w:r>
        <w:rPr>
          <w:rFonts w:eastAsia="Times New Roman"/>
          <w:sz w:val="22"/>
          <w:szCs w:val="22"/>
        </w:rPr>
        <w:t>.2021.07.015</w:t>
      </w:r>
    </w:p>
    <w:p w14:paraId="1C9A7EF1" w14:textId="77777777" w:rsidR="003544EB" w:rsidRDefault="00000000">
      <w:pPr>
        <w:spacing w:after="80" w:line="320" w:lineRule="auto"/>
        <w:ind w:left="360" w:hanging="360"/>
      </w:pPr>
      <w:r>
        <w:rPr>
          <w:rFonts w:eastAsia="Times New Roman"/>
          <w:b/>
          <w:bCs/>
          <w:sz w:val="22"/>
          <w:szCs w:val="22"/>
        </w:rPr>
        <w:t xml:space="preserve">6. </w:t>
      </w:r>
      <w:r>
        <w:rPr>
          <w:rFonts w:eastAsia="Times New Roman"/>
          <w:sz w:val="22"/>
          <w:szCs w:val="22"/>
        </w:rPr>
        <w:t xml:space="preserve">Choe YJ, Cho H, Bae GR, Lee JK. Nationwide seroprevalence of hepatitis A in South Korea from 2009 to 2019. </w:t>
      </w:r>
      <w:proofErr w:type="spellStart"/>
      <w:r>
        <w:rPr>
          <w:rFonts w:eastAsia="Times New Roman"/>
          <w:sz w:val="22"/>
          <w:szCs w:val="22"/>
        </w:rPr>
        <w:t>PLoS</w:t>
      </w:r>
      <w:proofErr w:type="spellEnd"/>
      <w:r>
        <w:rPr>
          <w:rFonts w:eastAsia="Times New Roman"/>
          <w:sz w:val="22"/>
          <w:szCs w:val="22"/>
        </w:rPr>
        <w:t xml:space="preserve"> One. 2021;16(2</w:t>
      </w:r>
      <w:proofErr w:type="gramStart"/>
      <w:r>
        <w:rPr>
          <w:rFonts w:eastAsia="Times New Roman"/>
          <w:sz w:val="22"/>
          <w:szCs w:val="22"/>
        </w:rPr>
        <w:t>):e</w:t>
      </w:r>
      <w:proofErr w:type="gramEnd"/>
      <w:r>
        <w:rPr>
          <w:rFonts w:eastAsia="Times New Roman"/>
          <w:sz w:val="22"/>
          <w:szCs w:val="22"/>
        </w:rPr>
        <w:t xml:space="preserve">0245162. </w:t>
      </w:r>
      <w:proofErr w:type="gramStart"/>
      <w:r>
        <w:rPr>
          <w:rFonts w:eastAsia="Times New Roman"/>
          <w:sz w:val="22"/>
          <w:szCs w:val="22"/>
        </w:rPr>
        <w:t>doi:10.1371/journal.pone</w:t>
      </w:r>
      <w:proofErr w:type="gramEnd"/>
      <w:r>
        <w:rPr>
          <w:rFonts w:eastAsia="Times New Roman"/>
          <w:sz w:val="22"/>
          <w:szCs w:val="22"/>
        </w:rPr>
        <w:t>.0245162</w:t>
      </w:r>
    </w:p>
    <w:p w14:paraId="6E04A662" w14:textId="77777777" w:rsidR="003544EB" w:rsidRDefault="00000000">
      <w:pPr>
        <w:spacing w:after="80" w:line="320" w:lineRule="auto"/>
        <w:ind w:left="360" w:hanging="360"/>
      </w:pPr>
      <w:r>
        <w:rPr>
          <w:rFonts w:eastAsia="Times New Roman"/>
          <w:b/>
          <w:bCs/>
          <w:sz w:val="22"/>
          <w:szCs w:val="22"/>
        </w:rPr>
        <w:t xml:space="preserve">7. </w:t>
      </w:r>
      <w:r>
        <w:rPr>
          <w:rFonts w:eastAsia="Times New Roman"/>
          <w:sz w:val="22"/>
          <w:szCs w:val="22"/>
        </w:rPr>
        <w:t xml:space="preserve">Park S, Lee KY, Heo NY, Park SH, Park J, Yoon SK, et al. A case-control study of acute hepatitis A in South Korea, 2019. </w:t>
      </w:r>
      <w:proofErr w:type="spellStart"/>
      <w:r>
        <w:rPr>
          <w:rFonts w:eastAsia="Times New Roman"/>
          <w:sz w:val="22"/>
          <w:szCs w:val="22"/>
        </w:rPr>
        <w:t>Osong</w:t>
      </w:r>
      <w:proofErr w:type="spellEnd"/>
      <w:r>
        <w:rPr>
          <w:rFonts w:eastAsia="Times New Roman"/>
          <w:sz w:val="22"/>
          <w:szCs w:val="22"/>
        </w:rPr>
        <w:t xml:space="preserve"> Public Health Res </w:t>
      </w:r>
      <w:proofErr w:type="spellStart"/>
      <w:r>
        <w:rPr>
          <w:rFonts w:eastAsia="Times New Roman"/>
          <w:sz w:val="22"/>
          <w:szCs w:val="22"/>
        </w:rPr>
        <w:t>Perspect</w:t>
      </w:r>
      <w:proofErr w:type="spellEnd"/>
      <w:r>
        <w:rPr>
          <w:rFonts w:eastAsia="Times New Roman"/>
          <w:sz w:val="22"/>
          <w:szCs w:val="22"/>
        </w:rPr>
        <w:t xml:space="preserve">. 2022;13(5):352–361. </w:t>
      </w:r>
      <w:proofErr w:type="gramStart"/>
      <w:r>
        <w:rPr>
          <w:rFonts w:eastAsia="Times New Roman"/>
          <w:sz w:val="22"/>
          <w:szCs w:val="22"/>
        </w:rPr>
        <w:t>doi:10.24171/j.phrp</w:t>
      </w:r>
      <w:proofErr w:type="gramEnd"/>
      <w:r>
        <w:rPr>
          <w:rFonts w:eastAsia="Times New Roman"/>
          <w:sz w:val="22"/>
          <w:szCs w:val="22"/>
        </w:rPr>
        <w:t>.2022.0141</w:t>
      </w:r>
    </w:p>
    <w:p w14:paraId="436FFEB4" w14:textId="77777777" w:rsidR="003544EB" w:rsidRDefault="00000000">
      <w:pPr>
        <w:spacing w:after="80" w:line="320" w:lineRule="auto"/>
        <w:ind w:left="360" w:hanging="360"/>
      </w:pPr>
      <w:r>
        <w:rPr>
          <w:rFonts w:eastAsia="Times New Roman"/>
          <w:b/>
          <w:bCs/>
          <w:sz w:val="22"/>
          <w:szCs w:val="22"/>
        </w:rPr>
        <w:t xml:space="preserve">8. </w:t>
      </w:r>
      <w:r>
        <w:rPr>
          <w:rFonts w:eastAsia="Times New Roman"/>
          <w:sz w:val="22"/>
          <w:szCs w:val="22"/>
        </w:rPr>
        <w:t>Seo MR, Park SY, Park JJ, Kim JH, Park JR, Kim SK, et al. An outbreak of hepatitis A associated with salted clams in Busan, Korea. Epidemiol Health. 2022;</w:t>
      </w:r>
      <w:proofErr w:type="gramStart"/>
      <w:r>
        <w:rPr>
          <w:rFonts w:eastAsia="Times New Roman"/>
          <w:sz w:val="22"/>
          <w:szCs w:val="22"/>
        </w:rPr>
        <w:t>44:e</w:t>
      </w:r>
      <w:proofErr w:type="gramEnd"/>
      <w:r>
        <w:rPr>
          <w:rFonts w:eastAsia="Times New Roman"/>
          <w:sz w:val="22"/>
          <w:szCs w:val="22"/>
        </w:rPr>
        <w:t>2022003. doi:10.4178/</w:t>
      </w:r>
      <w:proofErr w:type="gramStart"/>
      <w:r>
        <w:rPr>
          <w:rFonts w:eastAsia="Times New Roman"/>
          <w:sz w:val="22"/>
          <w:szCs w:val="22"/>
        </w:rPr>
        <w:t>epih.e</w:t>
      </w:r>
      <w:proofErr w:type="gramEnd"/>
      <w:r>
        <w:rPr>
          <w:rFonts w:eastAsia="Times New Roman"/>
          <w:sz w:val="22"/>
          <w:szCs w:val="22"/>
        </w:rPr>
        <w:t>2022003</w:t>
      </w:r>
    </w:p>
    <w:p w14:paraId="3A8B1808" w14:textId="77777777" w:rsidR="003544EB" w:rsidRDefault="00000000">
      <w:pPr>
        <w:spacing w:after="80" w:line="320" w:lineRule="auto"/>
        <w:ind w:left="360" w:hanging="360"/>
      </w:pPr>
      <w:r>
        <w:rPr>
          <w:rFonts w:eastAsia="Times New Roman"/>
          <w:b/>
          <w:bCs/>
          <w:sz w:val="22"/>
          <w:szCs w:val="22"/>
        </w:rPr>
        <w:t xml:space="preserve">9. </w:t>
      </w:r>
      <w:r>
        <w:rPr>
          <w:rFonts w:eastAsia="Times New Roman"/>
          <w:sz w:val="22"/>
          <w:szCs w:val="22"/>
        </w:rPr>
        <w:t>Choe YJ, Choe SA, Cho SI. Trends in incidence of hepatitis A in South Korea, 2011–2017: an age-period-cohort analysis. Epidemiol Infect. 2019;</w:t>
      </w:r>
      <w:proofErr w:type="gramStart"/>
      <w:r>
        <w:rPr>
          <w:rFonts w:eastAsia="Times New Roman"/>
          <w:sz w:val="22"/>
          <w:szCs w:val="22"/>
        </w:rPr>
        <w:t>147:e</w:t>
      </w:r>
      <w:proofErr w:type="gramEnd"/>
      <w:r>
        <w:rPr>
          <w:rFonts w:eastAsia="Times New Roman"/>
          <w:sz w:val="22"/>
          <w:szCs w:val="22"/>
        </w:rPr>
        <w:t>189. doi:10.1017/S0950268819000694</w:t>
      </w:r>
    </w:p>
    <w:p w14:paraId="0525C02E" w14:textId="77777777" w:rsidR="003544EB" w:rsidRDefault="00000000">
      <w:pPr>
        <w:spacing w:after="80" w:line="320" w:lineRule="auto"/>
        <w:ind w:left="360" w:hanging="360"/>
      </w:pPr>
      <w:r>
        <w:rPr>
          <w:rFonts w:eastAsia="Times New Roman"/>
          <w:b/>
          <w:bCs/>
          <w:sz w:val="22"/>
          <w:szCs w:val="22"/>
        </w:rPr>
        <w:t xml:space="preserve">10. </w:t>
      </w:r>
      <w:r>
        <w:rPr>
          <w:rFonts w:eastAsia="Times New Roman"/>
          <w:sz w:val="22"/>
          <w:szCs w:val="22"/>
        </w:rPr>
        <w:t>Park S, Yoon J, Lee J, Sohn J. Epidemiological changes in hepatitis A in Korea: increasing age and its effect on clinical outcomes. Epidemiol Infect. 2022;</w:t>
      </w:r>
      <w:proofErr w:type="gramStart"/>
      <w:r>
        <w:rPr>
          <w:rFonts w:eastAsia="Times New Roman"/>
          <w:sz w:val="22"/>
          <w:szCs w:val="22"/>
        </w:rPr>
        <w:t>150:e</w:t>
      </w:r>
      <w:proofErr w:type="gramEnd"/>
      <w:r>
        <w:rPr>
          <w:rFonts w:eastAsia="Times New Roman"/>
          <w:sz w:val="22"/>
          <w:szCs w:val="22"/>
        </w:rPr>
        <w:t>122. doi:10.1017/S0950268822000802</w:t>
      </w:r>
    </w:p>
    <w:p w14:paraId="144A4CF3" w14:textId="77777777" w:rsidR="003544EB" w:rsidRDefault="00000000">
      <w:pPr>
        <w:spacing w:after="80" w:line="320" w:lineRule="auto"/>
        <w:ind w:left="360" w:hanging="360"/>
      </w:pPr>
      <w:r>
        <w:rPr>
          <w:rFonts w:eastAsia="Times New Roman"/>
          <w:b/>
          <w:bCs/>
          <w:sz w:val="22"/>
          <w:szCs w:val="22"/>
        </w:rPr>
        <w:t xml:space="preserve">11. </w:t>
      </w:r>
      <w:r>
        <w:rPr>
          <w:rFonts w:eastAsia="Times New Roman"/>
          <w:sz w:val="22"/>
          <w:szCs w:val="22"/>
        </w:rPr>
        <w:t>Korea Disease Control and Prevention Agency. Infectious disease surveillance yearbook 2023. Cheongju: KDCA; 2024.</w:t>
      </w:r>
    </w:p>
    <w:p w14:paraId="0176CE83" w14:textId="77777777" w:rsidR="003544EB" w:rsidRDefault="00000000">
      <w:pPr>
        <w:spacing w:after="80" w:line="320" w:lineRule="auto"/>
        <w:ind w:left="360" w:hanging="360"/>
      </w:pPr>
      <w:r>
        <w:rPr>
          <w:rFonts w:eastAsia="Times New Roman"/>
          <w:b/>
          <w:bCs/>
          <w:sz w:val="22"/>
          <w:szCs w:val="22"/>
        </w:rPr>
        <w:t xml:space="preserve">12. </w:t>
      </w:r>
      <w:r>
        <w:rPr>
          <w:rFonts w:eastAsia="Times New Roman"/>
          <w:sz w:val="22"/>
          <w:szCs w:val="22"/>
        </w:rPr>
        <w:t xml:space="preserve">Lee HK, Kim KA, Lee JS, Kim NJ, Park JW, Lim YS. Window period of anti-hepatitis A virus immunoglobulin M antibodies in diagnosing acute hepatitis A. </w:t>
      </w:r>
      <w:proofErr w:type="spellStart"/>
      <w:r>
        <w:rPr>
          <w:rFonts w:eastAsia="Times New Roman"/>
          <w:sz w:val="22"/>
          <w:szCs w:val="22"/>
        </w:rPr>
        <w:t>Eur</w:t>
      </w:r>
      <w:proofErr w:type="spellEnd"/>
      <w:r>
        <w:rPr>
          <w:rFonts w:eastAsia="Times New Roman"/>
          <w:sz w:val="22"/>
          <w:szCs w:val="22"/>
        </w:rPr>
        <w:t xml:space="preserve"> J Gastroenterol Hepatol. 2010;22(6):675–679. doi:10.1097/MEG.0b013e328336171a</w:t>
      </w:r>
    </w:p>
    <w:p w14:paraId="45DD2EF6" w14:textId="77777777" w:rsidR="003544EB" w:rsidRDefault="00000000">
      <w:pPr>
        <w:spacing w:after="80" w:line="320" w:lineRule="auto"/>
        <w:ind w:left="360" w:hanging="360"/>
      </w:pPr>
      <w:r>
        <w:rPr>
          <w:rFonts w:eastAsia="Times New Roman"/>
          <w:b/>
          <w:bCs/>
          <w:sz w:val="22"/>
          <w:szCs w:val="22"/>
        </w:rPr>
        <w:t xml:space="preserve">13. </w:t>
      </w:r>
      <w:r>
        <w:rPr>
          <w:rFonts w:eastAsia="Times New Roman"/>
          <w:sz w:val="22"/>
          <w:szCs w:val="22"/>
        </w:rPr>
        <w:t xml:space="preserve">Hamed KH, Ramachandra Rao A. A modified Mann-Kendall trend test for autocorrelated data. J </w:t>
      </w:r>
      <w:proofErr w:type="spellStart"/>
      <w:r>
        <w:rPr>
          <w:rFonts w:eastAsia="Times New Roman"/>
          <w:sz w:val="22"/>
          <w:szCs w:val="22"/>
        </w:rPr>
        <w:t>Hydrol</w:t>
      </w:r>
      <w:proofErr w:type="spellEnd"/>
      <w:r>
        <w:rPr>
          <w:rFonts w:eastAsia="Times New Roman"/>
          <w:sz w:val="22"/>
          <w:szCs w:val="22"/>
        </w:rPr>
        <w:t>. 1998;204(1–4):182–196. doi:10.1016/S0022-1694(97)00125-X</w:t>
      </w:r>
    </w:p>
    <w:p w14:paraId="515F7620" w14:textId="77777777" w:rsidR="003544EB" w:rsidRDefault="00000000">
      <w:pPr>
        <w:spacing w:after="80" w:line="320" w:lineRule="auto"/>
        <w:ind w:left="360" w:hanging="360"/>
      </w:pPr>
      <w:r>
        <w:rPr>
          <w:rFonts w:eastAsia="Times New Roman"/>
          <w:b/>
          <w:bCs/>
          <w:sz w:val="22"/>
          <w:szCs w:val="22"/>
        </w:rPr>
        <w:t xml:space="preserve">14. </w:t>
      </w:r>
      <w:r>
        <w:rPr>
          <w:rFonts w:eastAsia="Times New Roman"/>
          <w:sz w:val="22"/>
          <w:szCs w:val="22"/>
        </w:rPr>
        <w:t>Sen PK. Estimates of the regression coefficient based on Kendall's tau. J Am Stat Assoc. 1968;63(324):1379–1389. doi:10.1080/01621459.1968.10480934</w:t>
      </w:r>
    </w:p>
    <w:p w14:paraId="56437800" w14:textId="77777777" w:rsidR="003544EB" w:rsidRDefault="00000000">
      <w:pPr>
        <w:spacing w:after="80" w:line="320" w:lineRule="auto"/>
        <w:ind w:left="360" w:hanging="360"/>
      </w:pPr>
      <w:r>
        <w:rPr>
          <w:rFonts w:eastAsia="Times New Roman"/>
          <w:b/>
          <w:bCs/>
          <w:sz w:val="22"/>
          <w:szCs w:val="22"/>
        </w:rPr>
        <w:t xml:space="preserve">15. </w:t>
      </w:r>
      <w:r>
        <w:rPr>
          <w:rFonts w:eastAsia="Times New Roman"/>
          <w:sz w:val="22"/>
          <w:szCs w:val="22"/>
        </w:rPr>
        <w:t>Cameron AC, Trivedi PK. Regression Analysis of Count Data. 2nd ed. Cambridge: Cambridge University Press; 2013. doi:10.1017/CBO9781139013567</w:t>
      </w:r>
    </w:p>
    <w:p w14:paraId="755F71B0" w14:textId="77777777" w:rsidR="003544EB" w:rsidRDefault="00000000">
      <w:pPr>
        <w:spacing w:after="80" w:line="320" w:lineRule="auto"/>
        <w:ind w:left="360" w:hanging="360"/>
      </w:pPr>
      <w:r>
        <w:rPr>
          <w:rFonts w:eastAsia="Times New Roman"/>
          <w:b/>
          <w:bCs/>
          <w:sz w:val="22"/>
          <w:szCs w:val="22"/>
        </w:rPr>
        <w:lastRenderedPageBreak/>
        <w:t xml:space="preserve">16. </w:t>
      </w:r>
      <w:proofErr w:type="spellStart"/>
      <w:r>
        <w:rPr>
          <w:rFonts w:eastAsia="Times New Roman"/>
          <w:sz w:val="22"/>
          <w:szCs w:val="22"/>
        </w:rPr>
        <w:t>Hilbe</w:t>
      </w:r>
      <w:proofErr w:type="spellEnd"/>
      <w:r>
        <w:rPr>
          <w:rFonts w:eastAsia="Times New Roman"/>
          <w:sz w:val="22"/>
          <w:szCs w:val="22"/>
        </w:rPr>
        <w:t xml:space="preserve"> JM. Negative Binomial Regression. 2nd ed. Cambridge: Cambridge University Press; 2011. doi:10.1017/CBO9780511973420</w:t>
      </w:r>
    </w:p>
    <w:p w14:paraId="69995709" w14:textId="77777777" w:rsidR="003544EB" w:rsidRDefault="00000000">
      <w:pPr>
        <w:spacing w:after="80" w:line="320" w:lineRule="auto"/>
        <w:ind w:left="360" w:hanging="360"/>
      </w:pPr>
      <w:r>
        <w:rPr>
          <w:rFonts w:eastAsia="Times New Roman"/>
          <w:b/>
          <w:bCs/>
          <w:sz w:val="22"/>
          <w:szCs w:val="22"/>
        </w:rPr>
        <w:t xml:space="preserve">17. </w:t>
      </w:r>
      <w:r>
        <w:rPr>
          <w:rFonts w:eastAsia="Times New Roman"/>
          <w:sz w:val="22"/>
          <w:szCs w:val="22"/>
        </w:rPr>
        <w:t xml:space="preserve">Torrence C, Compo GP. A practical guide to wavelet analysis. Bull Am </w:t>
      </w:r>
      <w:proofErr w:type="spellStart"/>
      <w:r>
        <w:rPr>
          <w:rFonts w:eastAsia="Times New Roman"/>
          <w:sz w:val="22"/>
          <w:szCs w:val="22"/>
        </w:rPr>
        <w:t>Meteorol</w:t>
      </w:r>
      <w:proofErr w:type="spellEnd"/>
      <w:r>
        <w:rPr>
          <w:rFonts w:eastAsia="Times New Roman"/>
          <w:sz w:val="22"/>
          <w:szCs w:val="22"/>
        </w:rPr>
        <w:t xml:space="preserve"> Soc. 1998;79(1):61–78. doi:10.1175/1520-0477(1998)079&lt;</w:t>
      </w:r>
      <w:proofErr w:type="gramStart"/>
      <w:r>
        <w:rPr>
          <w:rFonts w:eastAsia="Times New Roman"/>
          <w:sz w:val="22"/>
          <w:szCs w:val="22"/>
        </w:rPr>
        <w:t>0061:APGTWA</w:t>
      </w:r>
      <w:proofErr w:type="gramEnd"/>
      <w:r>
        <w:rPr>
          <w:rFonts w:eastAsia="Times New Roman"/>
          <w:sz w:val="22"/>
          <w:szCs w:val="22"/>
        </w:rPr>
        <w:t>&gt;2.0.CO;2</w:t>
      </w:r>
    </w:p>
    <w:p w14:paraId="3AACD5E7" w14:textId="77777777" w:rsidR="003544EB" w:rsidRDefault="00000000">
      <w:pPr>
        <w:spacing w:after="80" w:line="320" w:lineRule="auto"/>
        <w:ind w:left="360" w:hanging="360"/>
      </w:pPr>
      <w:r>
        <w:rPr>
          <w:rFonts w:eastAsia="Times New Roman"/>
          <w:b/>
          <w:bCs/>
          <w:sz w:val="22"/>
          <w:szCs w:val="22"/>
        </w:rPr>
        <w:t xml:space="preserve">18. </w:t>
      </w:r>
      <w:proofErr w:type="spellStart"/>
      <w:r>
        <w:rPr>
          <w:rFonts w:eastAsia="Times New Roman"/>
          <w:sz w:val="22"/>
          <w:szCs w:val="22"/>
        </w:rPr>
        <w:t>Cazelles</w:t>
      </w:r>
      <w:proofErr w:type="spellEnd"/>
      <w:r>
        <w:rPr>
          <w:rFonts w:eastAsia="Times New Roman"/>
          <w:sz w:val="22"/>
          <w:szCs w:val="22"/>
        </w:rPr>
        <w:t xml:space="preserve"> B, Chavez M, Berteaux D, Ménard F, Vik JO, </w:t>
      </w:r>
      <w:proofErr w:type="spellStart"/>
      <w:r>
        <w:rPr>
          <w:rFonts w:eastAsia="Times New Roman"/>
          <w:sz w:val="22"/>
          <w:szCs w:val="22"/>
        </w:rPr>
        <w:t>Jenouvrier</w:t>
      </w:r>
      <w:proofErr w:type="spellEnd"/>
      <w:r>
        <w:rPr>
          <w:rFonts w:eastAsia="Times New Roman"/>
          <w:sz w:val="22"/>
          <w:szCs w:val="22"/>
        </w:rPr>
        <w:t xml:space="preserve"> S, et al. Wavelet analysis of ecological time series. </w:t>
      </w:r>
      <w:proofErr w:type="spellStart"/>
      <w:r>
        <w:rPr>
          <w:rFonts w:eastAsia="Times New Roman"/>
          <w:sz w:val="22"/>
          <w:szCs w:val="22"/>
        </w:rPr>
        <w:t>Oecologia</w:t>
      </w:r>
      <w:proofErr w:type="spellEnd"/>
      <w:r>
        <w:rPr>
          <w:rFonts w:eastAsia="Times New Roman"/>
          <w:sz w:val="22"/>
          <w:szCs w:val="22"/>
        </w:rPr>
        <w:t>. 2008;156(2):287–304. doi:10.1007/s00442-008-0993-2</w:t>
      </w:r>
    </w:p>
    <w:p w14:paraId="1396CC66" w14:textId="77777777" w:rsidR="003544EB" w:rsidRDefault="00000000">
      <w:pPr>
        <w:spacing w:after="80" w:line="320" w:lineRule="auto"/>
        <w:ind w:left="360" w:hanging="360"/>
      </w:pPr>
      <w:r>
        <w:rPr>
          <w:rFonts w:eastAsia="Times New Roman"/>
          <w:b/>
          <w:bCs/>
          <w:sz w:val="22"/>
          <w:szCs w:val="22"/>
        </w:rPr>
        <w:t xml:space="preserve">19. </w:t>
      </w:r>
      <w:r>
        <w:rPr>
          <w:rFonts w:eastAsia="Times New Roman"/>
          <w:sz w:val="22"/>
          <w:szCs w:val="22"/>
        </w:rPr>
        <w:t xml:space="preserve">Cleveland RB, Cleveland WS, McRae JE, Terpenning I. STL: a seasonal-trend decomposition procedure based on Loess. J Off Stat. </w:t>
      </w:r>
      <w:proofErr w:type="gramStart"/>
      <w:r>
        <w:rPr>
          <w:rFonts w:eastAsia="Times New Roman"/>
          <w:sz w:val="22"/>
          <w:szCs w:val="22"/>
        </w:rPr>
        <w:t>1990;6:3</w:t>
      </w:r>
      <w:proofErr w:type="gramEnd"/>
      <w:r>
        <w:rPr>
          <w:rFonts w:eastAsia="Times New Roman"/>
          <w:sz w:val="22"/>
          <w:szCs w:val="22"/>
        </w:rPr>
        <w:t>–73.</w:t>
      </w:r>
    </w:p>
    <w:p w14:paraId="1B2C117D" w14:textId="77777777" w:rsidR="003544EB" w:rsidRDefault="00000000">
      <w:pPr>
        <w:spacing w:after="80" w:line="320" w:lineRule="auto"/>
        <w:ind w:left="360" w:hanging="360"/>
      </w:pPr>
      <w:r>
        <w:rPr>
          <w:rFonts w:eastAsia="Times New Roman"/>
          <w:b/>
          <w:bCs/>
          <w:sz w:val="22"/>
          <w:szCs w:val="22"/>
        </w:rPr>
        <w:t xml:space="preserve">20. </w:t>
      </w:r>
      <w:r>
        <w:rPr>
          <w:rFonts w:eastAsia="Times New Roman"/>
          <w:sz w:val="22"/>
          <w:szCs w:val="22"/>
        </w:rPr>
        <w:t>Kass RE, Raftery AE. Bayes factors. J Am Stat Assoc. 1995;90(430):773–795. doi:10.1080/01621459.1995.10476572</w:t>
      </w:r>
    </w:p>
    <w:p w14:paraId="04A7B73D" w14:textId="77777777" w:rsidR="003544EB" w:rsidRDefault="00000000">
      <w:pPr>
        <w:spacing w:after="80" w:line="320" w:lineRule="auto"/>
        <w:ind w:left="360" w:hanging="360"/>
      </w:pPr>
      <w:r>
        <w:rPr>
          <w:rFonts w:eastAsia="Times New Roman"/>
          <w:b/>
          <w:bCs/>
          <w:sz w:val="22"/>
          <w:szCs w:val="22"/>
        </w:rPr>
        <w:t xml:space="preserve">21. </w:t>
      </w:r>
      <w:r>
        <w:rPr>
          <w:rFonts w:eastAsia="Times New Roman"/>
          <w:sz w:val="22"/>
          <w:szCs w:val="22"/>
        </w:rPr>
        <w:t>Bai J, Perron P. Computation and analysis of multiple structural change models. J Appl Econometrics. 2003;18(1):1–22. doi:10.1002/jae.659</w:t>
      </w:r>
    </w:p>
    <w:p w14:paraId="312D55EF" w14:textId="77777777" w:rsidR="003544EB" w:rsidRDefault="00000000">
      <w:pPr>
        <w:spacing w:after="80" w:line="320" w:lineRule="auto"/>
        <w:ind w:left="360" w:hanging="360"/>
      </w:pPr>
      <w:r>
        <w:rPr>
          <w:rFonts w:eastAsia="Times New Roman"/>
          <w:b/>
          <w:bCs/>
          <w:sz w:val="22"/>
          <w:szCs w:val="22"/>
        </w:rPr>
        <w:t xml:space="preserve">22. </w:t>
      </w:r>
      <w:r>
        <w:rPr>
          <w:rFonts w:eastAsia="Times New Roman"/>
          <w:sz w:val="22"/>
          <w:szCs w:val="22"/>
        </w:rPr>
        <w:t xml:space="preserve">Moran PAP. Notes on continuous stochastic phenomena. </w:t>
      </w:r>
      <w:proofErr w:type="spellStart"/>
      <w:r>
        <w:rPr>
          <w:rFonts w:eastAsia="Times New Roman"/>
          <w:sz w:val="22"/>
          <w:szCs w:val="22"/>
        </w:rPr>
        <w:t>Biometrika</w:t>
      </w:r>
      <w:proofErr w:type="spellEnd"/>
      <w:r>
        <w:rPr>
          <w:rFonts w:eastAsia="Times New Roman"/>
          <w:sz w:val="22"/>
          <w:szCs w:val="22"/>
        </w:rPr>
        <w:t>. 1950;37(1/2):17–23. doi:10.1093/</w:t>
      </w:r>
      <w:proofErr w:type="spellStart"/>
      <w:r>
        <w:rPr>
          <w:rFonts w:eastAsia="Times New Roman"/>
          <w:sz w:val="22"/>
          <w:szCs w:val="22"/>
        </w:rPr>
        <w:t>biomet</w:t>
      </w:r>
      <w:proofErr w:type="spellEnd"/>
      <w:r>
        <w:rPr>
          <w:rFonts w:eastAsia="Times New Roman"/>
          <w:sz w:val="22"/>
          <w:szCs w:val="22"/>
        </w:rPr>
        <w:t>/37.1-2.17</w:t>
      </w:r>
    </w:p>
    <w:p w14:paraId="33468333" w14:textId="77777777" w:rsidR="003544EB" w:rsidRDefault="00000000">
      <w:pPr>
        <w:spacing w:after="80" w:line="320" w:lineRule="auto"/>
        <w:ind w:left="360" w:hanging="360"/>
      </w:pPr>
      <w:r>
        <w:rPr>
          <w:rFonts w:eastAsia="Times New Roman"/>
          <w:b/>
          <w:bCs/>
          <w:sz w:val="22"/>
          <w:szCs w:val="22"/>
        </w:rPr>
        <w:t xml:space="preserve">23. </w:t>
      </w:r>
      <w:proofErr w:type="spellStart"/>
      <w:r>
        <w:rPr>
          <w:rFonts w:eastAsia="Times New Roman"/>
          <w:sz w:val="22"/>
          <w:szCs w:val="22"/>
        </w:rPr>
        <w:t>Getis</w:t>
      </w:r>
      <w:proofErr w:type="spellEnd"/>
      <w:r>
        <w:rPr>
          <w:rFonts w:eastAsia="Times New Roman"/>
          <w:sz w:val="22"/>
          <w:szCs w:val="22"/>
        </w:rPr>
        <w:t xml:space="preserve"> A, Ord JK. The analysis of spatial association by use of distance statistics. </w:t>
      </w:r>
      <w:proofErr w:type="spellStart"/>
      <w:r>
        <w:rPr>
          <w:rFonts w:eastAsia="Times New Roman"/>
          <w:sz w:val="22"/>
          <w:szCs w:val="22"/>
        </w:rPr>
        <w:t>Geogr</w:t>
      </w:r>
      <w:proofErr w:type="spellEnd"/>
      <w:r>
        <w:rPr>
          <w:rFonts w:eastAsia="Times New Roman"/>
          <w:sz w:val="22"/>
          <w:szCs w:val="22"/>
        </w:rPr>
        <w:t xml:space="preserve"> Anal. 1992;24(3):189–206. doi:10.1111/j.1538-</w:t>
      </w:r>
      <w:proofErr w:type="gramStart"/>
      <w:r>
        <w:rPr>
          <w:rFonts w:eastAsia="Times New Roman"/>
          <w:sz w:val="22"/>
          <w:szCs w:val="22"/>
        </w:rPr>
        <w:t>4632.1992.tb</w:t>
      </w:r>
      <w:proofErr w:type="gramEnd"/>
      <w:r>
        <w:rPr>
          <w:rFonts w:eastAsia="Times New Roman"/>
          <w:sz w:val="22"/>
          <w:szCs w:val="22"/>
        </w:rPr>
        <w:t>00261.x</w:t>
      </w:r>
    </w:p>
    <w:p w14:paraId="3323F90B" w14:textId="77777777" w:rsidR="003544EB" w:rsidRDefault="00000000">
      <w:pPr>
        <w:spacing w:after="80" w:line="320" w:lineRule="auto"/>
        <w:ind w:left="360" w:hanging="360"/>
      </w:pPr>
      <w:r>
        <w:rPr>
          <w:rFonts w:eastAsia="Times New Roman"/>
          <w:b/>
          <w:bCs/>
          <w:sz w:val="22"/>
          <w:szCs w:val="22"/>
        </w:rPr>
        <w:t xml:space="preserve">24. </w:t>
      </w:r>
      <w:proofErr w:type="spellStart"/>
      <w:r>
        <w:rPr>
          <w:rFonts w:eastAsia="Times New Roman"/>
          <w:sz w:val="22"/>
          <w:szCs w:val="22"/>
        </w:rPr>
        <w:t>Anselin</w:t>
      </w:r>
      <w:proofErr w:type="spellEnd"/>
      <w:r>
        <w:rPr>
          <w:rFonts w:eastAsia="Times New Roman"/>
          <w:sz w:val="22"/>
          <w:szCs w:val="22"/>
        </w:rPr>
        <w:t xml:space="preserve"> L. Local indicators of spatial association — LISA. </w:t>
      </w:r>
      <w:proofErr w:type="spellStart"/>
      <w:r>
        <w:rPr>
          <w:rFonts w:eastAsia="Times New Roman"/>
          <w:sz w:val="22"/>
          <w:szCs w:val="22"/>
        </w:rPr>
        <w:t>Geogr</w:t>
      </w:r>
      <w:proofErr w:type="spellEnd"/>
      <w:r>
        <w:rPr>
          <w:rFonts w:eastAsia="Times New Roman"/>
          <w:sz w:val="22"/>
          <w:szCs w:val="22"/>
        </w:rPr>
        <w:t xml:space="preserve"> Anal. 1995;27(2):93–115. doi:10.1111/j.1538-</w:t>
      </w:r>
      <w:proofErr w:type="gramStart"/>
      <w:r>
        <w:rPr>
          <w:rFonts w:eastAsia="Times New Roman"/>
          <w:sz w:val="22"/>
          <w:szCs w:val="22"/>
        </w:rPr>
        <w:t>4632.1995.tb</w:t>
      </w:r>
      <w:proofErr w:type="gramEnd"/>
      <w:r>
        <w:rPr>
          <w:rFonts w:eastAsia="Times New Roman"/>
          <w:sz w:val="22"/>
          <w:szCs w:val="22"/>
        </w:rPr>
        <w:t>00338.x</w:t>
      </w:r>
    </w:p>
    <w:p w14:paraId="0615F9B6" w14:textId="77777777" w:rsidR="003544EB" w:rsidRDefault="00000000">
      <w:pPr>
        <w:spacing w:after="80" w:line="320" w:lineRule="auto"/>
        <w:ind w:left="360" w:hanging="360"/>
      </w:pPr>
      <w:r>
        <w:rPr>
          <w:rFonts w:eastAsia="Times New Roman"/>
          <w:b/>
          <w:bCs/>
          <w:sz w:val="22"/>
          <w:szCs w:val="22"/>
        </w:rPr>
        <w:t xml:space="preserve">25. </w:t>
      </w:r>
      <w:r>
        <w:rPr>
          <w:rFonts w:eastAsia="Times New Roman"/>
          <w:sz w:val="22"/>
          <w:szCs w:val="22"/>
        </w:rPr>
        <w:t xml:space="preserve">Lee A, Lim HS, Nam CM, Song SM, Yoon HJ. The changing gender differences in hepatitis A incidence in South Korea. Vaccine. 2019;38(2):235–240. </w:t>
      </w:r>
      <w:proofErr w:type="gramStart"/>
      <w:r>
        <w:rPr>
          <w:rFonts w:eastAsia="Times New Roman"/>
          <w:sz w:val="22"/>
          <w:szCs w:val="22"/>
        </w:rPr>
        <w:t>doi:10.1016/j.vaccine</w:t>
      </w:r>
      <w:proofErr w:type="gramEnd"/>
      <w:r>
        <w:rPr>
          <w:rFonts w:eastAsia="Times New Roman"/>
          <w:sz w:val="22"/>
          <w:szCs w:val="22"/>
        </w:rPr>
        <w:t>.2019.10.029</w:t>
      </w:r>
    </w:p>
    <w:p w14:paraId="14195F03" w14:textId="77777777" w:rsidR="003544EB" w:rsidRDefault="00000000">
      <w:pPr>
        <w:spacing w:after="80" w:line="320" w:lineRule="auto"/>
        <w:ind w:left="360" w:hanging="360"/>
      </w:pPr>
      <w:r>
        <w:rPr>
          <w:rFonts w:eastAsia="Times New Roman"/>
          <w:b/>
          <w:bCs/>
          <w:sz w:val="22"/>
          <w:szCs w:val="22"/>
        </w:rPr>
        <w:t xml:space="preserve">26. </w:t>
      </w:r>
      <w:r>
        <w:rPr>
          <w:rFonts w:eastAsia="Times New Roman"/>
          <w:sz w:val="22"/>
          <w:szCs w:val="22"/>
        </w:rPr>
        <w:t xml:space="preserve">Park B, Park J, Choi BY, Cho SI, Choe YJ. Investigating the </w:t>
      </w:r>
      <w:proofErr w:type="spellStart"/>
      <w:r>
        <w:rPr>
          <w:rFonts w:eastAsia="Times New Roman"/>
          <w:sz w:val="22"/>
          <w:szCs w:val="22"/>
        </w:rPr>
        <w:t>spatio</w:t>
      </w:r>
      <w:proofErr w:type="spellEnd"/>
      <w:r>
        <w:rPr>
          <w:rFonts w:eastAsia="Times New Roman"/>
          <w:sz w:val="22"/>
          <w:szCs w:val="22"/>
        </w:rPr>
        <w:t xml:space="preserve">-temporal variation of hepatitis A in Korea using a Bayesian model. Front Public Health. </w:t>
      </w:r>
      <w:proofErr w:type="gramStart"/>
      <w:r>
        <w:rPr>
          <w:rFonts w:eastAsia="Times New Roman"/>
          <w:sz w:val="22"/>
          <w:szCs w:val="22"/>
        </w:rPr>
        <w:t>2022;10:1085077</w:t>
      </w:r>
      <w:proofErr w:type="gramEnd"/>
      <w:r>
        <w:rPr>
          <w:rFonts w:eastAsia="Times New Roman"/>
          <w:sz w:val="22"/>
          <w:szCs w:val="22"/>
        </w:rPr>
        <w:t>. doi:10.3389/fpubh.2022.1085077</w:t>
      </w:r>
    </w:p>
    <w:p w14:paraId="2C5EA9CB" w14:textId="77777777" w:rsidR="003544EB" w:rsidRDefault="00000000">
      <w:pPr>
        <w:spacing w:after="80" w:line="320" w:lineRule="auto"/>
        <w:ind w:left="360" w:hanging="360"/>
      </w:pPr>
      <w:r>
        <w:rPr>
          <w:rFonts w:eastAsia="Times New Roman"/>
          <w:b/>
          <w:bCs/>
          <w:sz w:val="22"/>
          <w:szCs w:val="22"/>
        </w:rPr>
        <w:t xml:space="preserve">27. </w:t>
      </w:r>
      <w:r>
        <w:rPr>
          <w:rFonts w:eastAsia="Times New Roman"/>
          <w:sz w:val="22"/>
          <w:szCs w:val="22"/>
        </w:rPr>
        <w:t>Bahk YY, Park S, Yoon S, Yoon SE, Kim T, Kim K, et al. Quantitative risk assessment of hepatitis A virus infection arising from the consumption of fermented clams in South Korea. Foods. 2023;12(4):796. doi:10.3390/foods12040796</w:t>
      </w:r>
    </w:p>
    <w:p w14:paraId="46A490F6" w14:textId="77777777" w:rsidR="003544EB" w:rsidRDefault="00000000">
      <w:pPr>
        <w:spacing w:after="80" w:line="320" w:lineRule="auto"/>
        <w:ind w:left="360" w:hanging="360"/>
      </w:pPr>
      <w:r>
        <w:rPr>
          <w:rFonts w:eastAsia="Times New Roman"/>
          <w:b/>
          <w:bCs/>
          <w:sz w:val="22"/>
          <w:szCs w:val="22"/>
        </w:rPr>
        <w:t xml:space="preserve">28. </w:t>
      </w:r>
      <w:r>
        <w:rPr>
          <w:rFonts w:eastAsia="Times New Roman"/>
          <w:sz w:val="22"/>
          <w:szCs w:val="22"/>
        </w:rPr>
        <w:t>Park B, Lee K, Lee J, Kim HS, Lee J, Kang J, et al. Surveillance system for infectious disease prevention and management: direction of Korea's infectious disease surveillance system. J Korean Med Sci. 2025;40(11</w:t>
      </w:r>
      <w:proofErr w:type="gramStart"/>
      <w:r>
        <w:rPr>
          <w:rFonts w:eastAsia="Times New Roman"/>
          <w:sz w:val="22"/>
          <w:szCs w:val="22"/>
        </w:rPr>
        <w:t>):e</w:t>
      </w:r>
      <w:proofErr w:type="gramEnd"/>
      <w:r>
        <w:rPr>
          <w:rFonts w:eastAsia="Times New Roman"/>
          <w:sz w:val="22"/>
          <w:szCs w:val="22"/>
        </w:rPr>
        <w:t>108. doi:10.3346/jkms.2025.</w:t>
      </w:r>
      <w:proofErr w:type="gramStart"/>
      <w:r>
        <w:rPr>
          <w:rFonts w:eastAsia="Times New Roman"/>
          <w:sz w:val="22"/>
          <w:szCs w:val="22"/>
        </w:rPr>
        <w:t>40.e</w:t>
      </w:r>
      <w:proofErr w:type="gramEnd"/>
      <w:r>
        <w:rPr>
          <w:rFonts w:eastAsia="Times New Roman"/>
          <w:sz w:val="22"/>
          <w:szCs w:val="22"/>
        </w:rPr>
        <w:t>108</w:t>
      </w:r>
    </w:p>
    <w:p w14:paraId="3259FA65" w14:textId="77777777" w:rsidR="003544EB" w:rsidRDefault="00000000">
      <w:pPr>
        <w:spacing w:after="80" w:line="320" w:lineRule="auto"/>
        <w:ind w:left="360" w:hanging="360"/>
      </w:pPr>
      <w:r>
        <w:rPr>
          <w:rFonts w:eastAsia="Times New Roman"/>
          <w:b/>
          <w:bCs/>
          <w:sz w:val="22"/>
          <w:szCs w:val="22"/>
        </w:rPr>
        <w:t xml:space="preserve">29. </w:t>
      </w:r>
      <w:r>
        <w:rPr>
          <w:rFonts w:eastAsia="Times New Roman"/>
          <w:sz w:val="22"/>
          <w:szCs w:val="22"/>
        </w:rPr>
        <w:t xml:space="preserve">Choe YJ, Cho H, Bae GR, Lee JK. Annual changes in laboratory-confirmed hepatitis A and anti-HAV IgM testing in the Republic of Korea, 2009–2019. </w:t>
      </w:r>
      <w:proofErr w:type="spellStart"/>
      <w:r>
        <w:rPr>
          <w:rFonts w:eastAsia="Times New Roman"/>
          <w:sz w:val="22"/>
          <w:szCs w:val="22"/>
        </w:rPr>
        <w:t>PLoS</w:t>
      </w:r>
      <w:proofErr w:type="spellEnd"/>
      <w:r>
        <w:rPr>
          <w:rFonts w:eastAsia="Times New Roman"/>
          <w:sz w:val="22"/>
          <w:szCs w:val="22"/>
        </w:rPr>
        <w:t xml:space="preserve"> One. 2021;16(2</w:t>
      </w:r>
      <w:proofErr w:type="gramStart"/>
      <w:r>
        <w:rPr>
          <w:rFonts w:eastAsia="Times New Roman"/>
          <w:sz w:val="22"/>
          <w:szCs w:val="22"/>
        </w:rPr>
        <w:t>):e</w:t>
      </w:r>
      <w:proofErr w:type="gramEnd"/>
      <w:r>
        <w:rPr>
          <w:rFonts w:eastAsia="Times New Roman"/>
          <w:sz w:val="22"/>
          <w:szCs w:val="22"/>
        </w:rPr>
        <w:t>0245162. (Supplementary data: 2019 testing volume = 211,629)</w:t>
      </w:r>
    </w:p>
    <w:p w14:paraId="40E7C40A" w14:textId="77777777" w:rsidR="003544EB" w:rsidRDefault="00000000">
      <w:r>
        <w:br w:type="page"/>
      </w:r>
    </w:p>
    <w:p w14:paraId="16589B30" w14:textId="77777777" w:rsidR="003544EB" w:rsidRDefault="00000000">
      <w:r>
        <w:lastRenderedPageBreak/>
        <w:br w:type="page"/>
      </w:r>
    </w:p>
    <w:p w14:paraId="604634F6" w14:textId="77777777" w:rsidR="003544EB" w:rsidRDefault="00000000">
      <w:pPr>
        <w:pStyle w:val="2"/>
        <w:spacing w:before="240" w:after="160" w:line="480" w:lineRule="auto"/>
      </w:pPr>
      <w:r>
        <w:rPr>
          <w:rFonts w:eastAsia="Times New Roman"/>
          <w:b/>
          <w:bCs/>
          <w:color w:val="000000"/>
        </w:rPr>
        <w:lastRenderedPageBreak/>
        <w:t>Table 1.  Annual hepatitis A cases and incidence rate per 100 000, Republic of Korea 2011–2024</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10" w:type="dxa"/>
          <w:right w:w="10" w:type="dxa"/>
        </w:tblCellMar>
        <w:tblLook w:val="0000" w:firstRow="0" w:lastRow="0" w:firstColumn="0" w:lastColumn="0" w:noHBand="0" w:noVBand="0"/>
      </w:tblPr>
      <w:tblGrid>
        <w:gridCol w:w="961"/>
        <w:gridCol w:w="1562"/>
        <w:gridCol w:w="1562"/>
        <w:gridCol w:w="1321"/>
        <w:gridCol w:w="2282"/>
        <w:gridCol w:w="1338"/>
      </w:tblGrid>
      <w:tr w:rsidR="003544EB" w14:paraId="2FFBA8E2" w14:textId="77777777">
        <w:tblPrEx>
          <w:tblCellMar>
            <w:top w:w="0" w:type="dxa"/>
            <w:bottom w:w="0" w:type="dxa"/>
          </w:tblCellMar>
        </w:tblPrEx>
        <w:tc>
          <w:tcPr>
            <w:tcW w:w="8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006AA7E0" w14:textId="77777777" w:rsidR="003544EB" w:rsidRDefault="00000000">
            <w:pPr>
              <w:spacing w:line="260" w:lineRule="auto"/>
            </w:pPr>
            <w:r>
              <w:rPr>
                <w:rFonts w:eastAsia="Times New Roman"/>
                <w:b/>
                <w:bCs/>
                <w:sz w:val="22"/>
                <w:szCs w:val="22"/>
              </w:rPr>
              <w:t>Year</w:t>
            </w:r>
          </w:p>
        </w:tc>
        <w:tc>
          <w:tcPr>
            <w:tcW w:w="13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16B6DC13" w14:textId="77777777" w:rsidR="003544EB" w:rsidRDefault="00000000">
            <w:pPr>
              <w:spacing w:line="260" w:lineRule="auto"/>
              <w:jc w:val="center"/>
            </w:pPr>
            <w:r>
              <w:rPr>
                <w:rFonts w:eastAsia="Times New Roman"/>
                <w:b/>
                <w:bCs/>
                <w:sz w:val="22"/>
                <w:szCs w:val="22"/>
              </w:rPr>
              <w:t>Total cases</w:t>
            </w:r>
          </w:p>
        </w:tc>
        <w:tc>
          <w:tcPr>
            <w:tcW w:w="13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00257204" w14:textId="77777777" w:rsidR="003544EB" w:rsidRDefault="00000000">
            <w:pPr>
              <w:spacing w:line="260" w:lineRule="auto"/>
              <w:jc w:val="center"/>
            </w:pPr>
            <w:r>
              <w:rPr>
                <w:rFonts w:eastAsia="Times New Roman"/>
                <w:b/>
                <w:bCs/>
                <w:sz w:val="22"/>
                <w:szCs w:val="22"/>
              </w:rPr>
              <w:t>Domestic</w:t>
            </w:r>
          </w:p>
        </w:tc>
        <w:tc>
          <w:tcPr>
            <w:tcW w:w="11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3793A968" w14:textId="77777777" w:rsidR="003544EB" w:rsidRDefault="00000000">
            <w:pPr>
              <w:spacing w:line="260" w:lineRule="auto"/>
              <w:jc w:val="center"/>
            </w:pPr>
            <w:r>
              <w:rPr>
                <w:rFonts w:eastAsia="Times New Roman"/>
                <w:b/>
                <w:bCs/>
                <w:sz w:val="22"/>
                <w:szCs w:val="22"/>
              </w:rPr>
              <w:t>Imported</w:t>
            </w:r>
          </w:p>
        </w:tc>
        <w:tc>
          <w:tcPr>
            <w:tcW w:w="19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36D6C17A" w14:textId="77777777" w:rsidR="003544EB" w:rsidRDefault="00000000">
            <w:pPr>
              <w:spacing w:line="260" w:lineRule="auto"/>
              <w:jc w:val="center"/>
            </w:pPr>
            <w:r>
              <w:rPr>
                <w:rFonts w:eastAsia="Times New Roman"/>
                <w:b/>
                <w:bCs/>
                <w:sz w:val="22"/>
                <w:szCs w:val="22"/>
              </w:rPr>
              <w:t>Population</w:t>
            </w:r>
          </w:p>
        </w:tc>
        <w:tc>
          <w:tcPr>
            <w:tcW w:w="11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67C948D3" w14:textId="77777777" w:rsidR="003544EB" w:rsidRDefault="00000000">
            <w:pPr>
              <w:spacing w:line="260" w:lineRule="auto"/>
              <w:jc w:val="center"/>
            </w:pPr>
            <w:r>
              <w:rPr>
                <w:rFonts w:eastAsia="Times New Roman"/>
                <w:b/>
                <w:bCs/>
                <w:sz w:val="22"/>
                <w:szCs w:val="22"/>
              </w:rPr>
              <w:t>Rate/100k</w:t>
            </w:r>
          </w:p>
        </w:tc>
      </w:tr>
      <w:tr w:rsidR="003544EB" w14:paraId="223D4B06" w14:textId="77777777">
        <w:tblPrEx>
          <w:tblCellMar>
            <w:top w:w="0" w:type="dxa"/>
            <w:bottom w:w="0" w:type="dxa"/>
          </w:tblCellMar>
        </w:tblPrEx>
        <w:tc>
          <w:tcPr>
            <w:tcW w:w="8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48AC4F5" w14:textId="77777777" w:rsidR="003544EB" w:rsidRDefault="00000000">
            <w:pPr>
              <w:spacing w:line="260" w:lineRule="auto"/>
            </w:pPr>
            <w:r>
              <w:rPr>
                <w:rFonts w:eastAsia="Times New Roman"/>
                <w:sz w:val="22"/>
                <w:szCs w:val="22"/>
              </w:rPr>
              <w:t>2011</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AB2E98F" w14:textId="77777777" w:rsidR="003544EB" w:rsidRDefault="00000000">
            <w:pPr>
              <w:spacing w:line="260" w:lineRule="auto"/>
              <w:jc w:val="center"/>
            </w:pPr>
            <w:r>
              <w:rPr>
                <w:rFonts w:eastAsia="Times New Roman"/>
                <w:sz w:val="22"/>
                <w:szCs w:val="22"/>
              </w:rPr>
              <w:t>5,414</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CB6E4C4" w14:textId="77777777" w:rsidR="003544EB" w:rsidRDefault="00000000">
            <w:pPr>
              <w:spacing w:line="260" w:lineRule="auto"/>
              <w:jc w:val="center"/>
            </w:pPr>
            <w:r>
              <w:rPr>
                <w:rFonts w:eastAsia="Times New Roman"/>
                <w:sz w:val="22"/>
                <w:szCs w:val="22"/>
              </w:rPr>
              <w:t>5,392</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F7340E5" w14:textId="77777777" w:rsidR="003544EB" w:rsidRDefault="00000000">
            <w:pPr>
              <w:spacing w:line="260" w:lineRule="auto"/>
              <w:jc w:val="center"/>
            </w:pPr>
            <w:r>
              <w:rPr>
                <w:rFonts w:eastAsia="Times New Roman"/>
                <w:sz w:val="22"/>
                <w:szCs w:val="22"/>
              </w:rPr>
              <w:t>22</w:t>
            </w:r>
          </w:p>
        </w:tc>
        <w:tc>
          <w:tcPr>
            <w:tcW w:w="19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38D5740" w14:textId="77777777" w:rsidR="003544EB" w:rsidRDefault="00000000">
            <w:pPr>
              <w:spacing w:line="260" w:lineRule="auto"/>
              <w:jc w:val="center"/>
            </w:pPr>
            <w:r>
              <w:rPr>
                <w:rFonts w:eastAsia="Times New Roman"/>
                <w:sz w:val="22"/>
                <w:szCs w:val="22"/>
              </w:rPr>
              <w:t>51,527,552</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05905B8" w14:textId="77777777" w:rsidR="003544EB" w:rsidRDefault="00000000">
            <w:pPr>
              <w:spacing w:line="260" w:lineRule="auto"/>
              <w:jc w:val="center"/>
            </w:pPr>
            <w:r>
              <w:rPr>
                <w:rFonts w:eastAsia="Times New Roman"/>
                <w:sz w:val="22"/>
                <w:szCs w:val="22"/>
              </w:rPr>
              <w:t>10.51</w:t>
            </w:r>
          </w:p>
        </w:tc>
      </w:tr>
      <w:tr w:rsidR="003544EB" w14:paraId="197A3A3B" w14:textId="77777777">
        <w:tblPrEx>
          <w:tblCellMar>
            <w:top w:w="0" w:type="dxa"/>
            <w:bottom w:w="0" w:type="dxa"/>
          </w:tblCellMar>
        </w:tblPrEx>
        <w:tc>
          <w:tcPr>
            <w:tcW w:w="8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473DD4E" w14:textId="77777777" w:rsidR="003544EB" w:rsidRDefault="00000000">
            <w:pPr>
              <w:spacing w:line="260" w:lineRule="auto"/>
            </w:pPr>
            <w:r>
              <w:rPr>
                <w:rFonts w:eastAsia="Times New Roman"/>
                <w:sz w:val="22"/>
                <w:szCs w:val="22"/>
              </w:rPr>
              <w:t>2012</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BFDAEB0" w14:textId="77777777" w:rsidR="003544EB" w:rsidRDefault="00000000">
            <w:pPr>
              <w:spacing w:line="260" w:lineRule="auto"/>
              <w:jc w:val="center"/>
            </w:pPr>
            <w:r>
              <w:rPr>
                <w:rFonts w:eastAsia="Times New Roman"/>
                <w:sz w:val="22"/>
                <w:szCs w:val="22"/>
              </w:rPr>
              <w:t>1,177</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E235601" w14:textId="77777777" w:rsidR="003544EB" w:rsidRDefault="00000000">
            <w:pPr>
              <w:spacing w:line="260" w:lineRule="auto"/>
              <w:jc w:val="center"/>
            </w:pPr>
            <w:r>
              <w:rPr>
                <w:rFonts w:eastAsia="Times New Roman"/>
                <w:sz w:val="22"/>
                <w:szCs w:val="22"/>
              </w:rPr>
              <w:t>1,155</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CA72374" w14:textId="77777777" w:rsidR="003544EB" w:rsidRDefault="00000000">
            <w:pPr>
              <w:spacing w:line="260" w:lineRule="auto"/>
              <w:jc w:val="center"/>
            </w:pPr>
            <w:r>
              <w:rPr>
                <w:rFonts w:eastAsia="Times New Roman"/>
                <w:sz w:val="22"/>
                <w:szCs w:val="22"/>
              </w:rPr>
              <w:t>22</w:t>
            </w:r>
          </w:p>
        </w:tc>
        <w:tc>
          <w:tcPr>
            <w:tcW w:w="19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307F0BB" w14:textId="77777777" w:rsidR="003544EB" w:rsidRDefault="00000000">
            <w:pPr>
              <w:spacing w:line="260" w:lineRule="auto"/>
              <w:jc w:val="center"/>
            </w:pPr>
            <w:r>
              <w:rPr>
                <w:rFonts w:eastAsia="Times New Roman"/>
                <w:sz w:val="22"/>
                <w:szCs w:val="22"/>
              </w:rPr>
              <w:t>51,740,826</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2AB1CBD" w14:textId="77777777" w:rsidR="003544EB" w:rsidRDefault="00000000">
            <w:pPr>
              <w:spacing w:line="260" w:lineRule="auto"/>
              <w:jc w:val="center"/>
            </w:pPr>
            <w:r>
              <w:rPr>
                <w:rFonts w:eastAsia="Times New Roman"/>
                <w:sz w:val="22"/>
                <w:szCs w:val="22"/>
              </w:rPr>
              <w:t>2.27</w:t>
            </w:r>
          </w:p>
        </w:tc>
      </w:tr>
      <w:tr w:rsidR="003544EB" w14:paraId="37CE2D99" w14:textId="77777777">
        <w:tblPrEx>
          <w:tblCellMar>
            <w:top w:w="0" w:type="dxa"/>
            <w:bottom w:w="0" w:type="dxa"/>
          </w:tblCellMar>
        </w:tblPrEx>
        <w:tc>
          <w:tcPr>
            <w:tcW w:w="8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118AC6C" w14:textId="77777777" w:rsidR="003544EB" w:rsidRDefault="00000000">
            <w:pPr>
              <w:spacing w:line="260" w:lineRule="auto"/>
            </w:pPr>
            <w:r>
              <w:rPr>
                <w:rFonts w:eastAsia="Times New Roman"/>
                <w:sz w:val="22"/>
                <w:szCs w:val="22"/>
              </w:rPr>
              <w:t>2013</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A9B6D8C" w14:textId="77777777" w:rsidR="003544EB" w:rsidRDefault="00000000">
            <w:pPr>
              <w:spacing w:line="260" w:lineRule="auto"/>
              <w:jc w:val="center"/>
            </w:pPr>
            <w:r>
              <w:rPr>
                <w:rFonts w:eastAsia="Times New Roman"/>
                <w:sz w:val="22"/>
                <w:szCs w:val="22"/>
              </w:rPr>
              <w:t>853</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7C6642F" w14:textId="77777777" w:rsidR="003544EB" w:rsidRDefault="00000000">
            <w:pPr>
              <w:spacing w:line="260" w:lineRule="auto"/>
              <w:jc w:val="center"/>
            </w:pPr>
            <w:r>
              <w:rPr>
                <w:rFonts w:eastAsia="Times New Roman"/>
                <w:sz w:val="22"/>
                <w:szCs w:val="22"/>
              </w:rPr>
              <w:t>834</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0FE39A1" w14:textId="77777777" w:rsidR="003544EB" w:rsidRDefault="00000000">
            <w:pPr>
              <w:spacing w:line="260" w:lineRule="auto"/>
              <w:jc w:val="center"/>
            </w:pPr>
            <w:r>
              <w:rPr>
                <w:rFonts w:eastAsia="Times New Roman"/>
                <w:sz w:val="22"/>
                <w:szCs w:val="22"/>
              </w:rPr>
              <w:t>19</w:t>
            </w:r>
          </w:p>
        </w:tc>
        <w:tc>
          <w:tcPr>
            <w:tcW w:w="19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3F58974" w14:textId="77777777" w:rsidR="003544EB" w:rsidRDefault="00000000">
            <w:pPr>
              <w:spacing w:line="260" w:lineRule="auto"/>
              <w:jc w:val="center"/>
            </w:pPr>
            <w:r>
              <w:rPr>
                <w:rFonts w:eastAsia="Times New Roman"/>
                <w:sz w:val="22"/>
                <w:szCs w:val="22"/>
              </w:rPr>
              <w:t>51,927,682</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DA6EC8F" w14:textId="77777777" w:rsidR="003544EB" w:rsidRDefault="00000000">
            <w:pPr>
              <w:spacing w:line="260" w:lineRule="auto"/>
              <w:jc w:val="center"/>
            </w:pPr>
            <w:r>
              <w:rPr>
                <w:rFonts w:eastAsia="Times New Roman"/>
                <w:sz w:val="22"/>
                <w:szCs w:val="22"/>
              </w:rPr>
              <w:t>1.64</w:t>
            </w:r>
          </w:p>
        </w:tc>
      </w:tr>
      <w:tr w:rsidR="003544EB" w14:paraId="57417E39" w14:textId="77777777">
        <w:tblPrEx>
          <w:tblCellMar>
            <w:top w:w="0" w:type="dxa"/>
            <w:bottom w:w="0" w:type="dxa"/>
          </w:tblCellMar>
        </w:tblPrEx>
        <w:tc>
          <w:tcPr>
            <w:tcW w:w="8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BB825F6" w14:textId="77777777" w:rsidR="003544EB" w:rsidRDefault="00000000">
            <w:pPr>
              <w:spacing w:line="260" w:lineRule="auto"/>
            </w:pPr>
            <w:r>
              <w:rPr>
                <w:rFonts w:eastAsia="Times New Roman"/>
                <w:sz w:val="22"/>
                <w:szCs w:val="22"/>
              </w:rPr>
              <w:t>2014</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2955756" w14:textId="77777777" w:rsidR="003544EB" w:rsidRDefault="00000000">
            <w:pPr>
              <w:spacing w:line="260" w:lineRule="auto"/>
              <w:jc w:val="center"/>
            </w:pPr>
            <w:r>
              <w:rPr>
                <w:rFonts w:eastAsia="Times New Roman"/>
                <w:sz w:val="22"/>
                <w:szCs w:val="22"/>
              </w:rPr>
              <w:t>1,307</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6445995" w14:textId="77777777" w:rsidR="003544EB" w:rsidRDefault="00000000">
            <w:pPr>
              <w:spacing w:line="260" w:lineRule="auto"/>
              <w:jc w:val="center"/>
            </w:pPr>
            <w:r>
              <w:rPr>
                <w:rFonts w:eastAsia="Times New Roman"/>
                <w:sz w:val="22"/>
                <w:szCs w:val="22"/>
              </w:rPr>
              <w:t>1,282</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72D6CB7" w14:textId="77777777" w:rsidR="003544EB" w:rsidRDefault="00000000">
            <w:pPr>
              <w:spacing w:line="260" w:lineRule="auto"/>
              <w:jc w:val="center"/>
            </w:pPr>
            <w:r>
              <w:rPr>
                <w:rFonts w:eastAsia="Times New Roman"/>
                <w:sz w:val="22"/>
                <w:szCs w:val="22"/>
              </w:rPr>
              <w:t>25</w:t>
            </w:r>
          </w:p>
        </w:tc>
        <w:tc>
          <w:tcPr>
            <w:tcW w:w="19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4B07C2E" w14:textId="77777777" w:rsidR="003544EB" w:rsidRDefault="00000000">
            <w:pPr>
              <w:spacing w:line="260" w:lineRule="auto"/>
              <w:jc w:val="center"/>
            </w:pPr>
            <w:r>
              <w:rPr>
                <w:rFonts w:eastAsia="Times New Roman"/>
                <w:sz w:val="22"/>
                <w:szCs w:val="22"/>
              </w:rPr>
              <w:t>52,183,502</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198A012" w14:textId="77777777" w:rsidR="003544EB" w:rsidRDefault="00000000">
            <w:pPr>
              <w:spacing w:line="260" w:lineRule="auto"/>
              <w:jc w:val="center"/>
            </w:pPr>
            <w:r>
              <w:rPr>
                <w:rFonts w:eastAsia="Times New Roman"/>
                <w:sz w:val="22"/>
                <w:szCs w:val="22"/>
              </w:rPr>
              <w:t>2.50</w:t>
            </w:r>
          </w:p>
        </w:tc>
      </w:tr>
      <w:tr w:rsidR="003544EB" w14:paraId="2AB774B2" w14:textId="77777777">
        <w:tblPrEx>
          <w:tblCellMar>
            <w:top w:w="0" w:type="dxa"/>
            <w:bottom w:w="0" w:type="dxa"/>
          </w:tblCellMar>
        </w:tblPrEx>
        <w:tc>
          <w:tcPr>
            <w:tcW w:w="8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6942694" w14:textId="77777777" w:rsidR="003544EB" w:rsidRDefault="00000000">
            <w:pPr>
              <w:spacing w:line="260" w:lineRule="auto"/>
            </w:pPr>
            <w:r>
              <w:rPr>
                <w:rFonts w:eastAsia="Times New Roman"/>
                <w:sz w:val="22"/>
                <w:szCs w:val="22"/>
              </w:rPr>
              <w:t>2015</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C98C0D9" w14:textId="77777777" w:rsidR="003544EB" w:rsidRDefault="00000000">
            <w:pPr>
              <w:spacing w:line="260" w:lineRule="auto"/>
              <w:jc w:val="center"/>
            </w:pPr>
            <w:r>
              <w:rPr>
                <w:rFonts w:eastAsia="Times New Roman"/>
                <w:sz w:val="22"/>
                <w:szCs w:val="22"/>
              </w:rPr>
              <w:t>1,804</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B2B30CF" w14:textId="77777777" w:rsidR="003544EB" w:rsidRDefault="00000000">
            <w:pPr>
              <w:spacing w:line="260" w:lineRule="auto"/>
              <w:jc w:val="center"/>
            </w:pPr>
            <w:r>
              <w:rPr>
                <w:rFonts w:eastAsia="Times New Roman"/>
                <w:sz w:val="22"/>
                <w:szCs w:val="22"/>
              </w:rPr>
              <w:t>1,773</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2FC1EF0" w14:textId="77777777" w:rsidR="003544EB" w:rsidRDefault="00000000">
            <w:pPr>
              <w:spacing w:line="260" w:lineRule="auto"/>
              <w:jc w:val="center"/>
            </w:pPr>
            <w:r>
              <w:rPr>
                <w:rFonts w:eastAsia="Times New Roman"/>
                <w:sz w:val="22"/>
                <w:szCs w:val="22"/>
              </w:rPr>
              <w:t>31</w:t>
            </w:r>
          </w:p>
        </w:tc>
        <w:tc>
          <w:tcPr>
            <w:tcW w:w="19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D3B9754" w14:textId="77777777" w:rsidR="003544EB" w:rsidRDefault="00000000">
            <w:pPr>
              <w:spacing w:line="260" w:lineRule="auto"/>
              <w:jc w:val="center"/>
            </w:pPr>
            <w:r>
              <w:rPr>
                <w:rFonts w:eastAsia="Times New Roman"/>
                <w:sz w:val="22"/>
                <w:szCs w:val="22"/>
              </w:rPr>
              <w:t>52,378,325</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2296FEC" w14:textId="77777777" w:rsidR="003544EB" w:rsidRDefault="00000000">
            <w:pPr>
              <w:spacing w:line="260" w:lineRule="auto"/>
              <w:jc w:val="center"/>
            </w:pPr>
            <w:r>
              <w:rPr>
                <w:rFonts w:eastAsia="Times New Roman"/>
                <w:sz w:val="22"/>
                <w:szCs w:val="22"/>
              </w:rPr>
              <w:t>3.44</w:t>
            </w:r>
          </w:p>
        </w:tc>
      </w:tr>
      <w:tr w:rsidR="003544EB" w14:paraId="3560AAEB" w14:textId="77777777">
        <w:tblPrEx>
          <w:tblCellMar>
            <w:top w:w="0" w:type="dxa"/>
            <w:bottom w:w="0" w:type="dxa"/>
          </w:tblCellMar>
        </w:tblPrEx>
        <w:tc>
          <w:tcPr>
            <w:tcW w:w="8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B04A0D6" w14:textId="77777777" w:rsidR="003544EB" w:rsidRDefault="00000000">
            <w:pPr>
              <w:spacing w:line="260" w:lineRule="auto"/>
            </w:pPr>
            <w:r>
              <w:rPr>
                <w:rFonts w:eastAsia="Times New Roman"/>
                <w:sz w:val="22"/>
                <w:szCs w:val="22"/>
              </w:rPr>
              <w:t>2016</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B9B1938" w14:textId="77777777" w:rsidR="003544EB" w:rsidRDefault="00000000">
            <w:pPr>
              <w:spacing w:line="260" w:lineRule="auto"/>
              <w:jc w:val="center"/>
            </w:pPr>
            <w:r>
              <w:rPr>
                <w:rFonts w:eastAsia="Times New Roman"/>
                <w:sz w:val="22"/>
                <w:szCs w:val="22"/>
              </w:rPr>
              <w:t>4,679</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8234D43" w14:textId="77777777" w:rsidR="003544EB" w:rsidRDefault="00000000">
            <w:pPr>
              <w:spacing w:line="260" w:lineRule="auto"/>
              <w:jc w:val="center"/>
            </w:pPr>
            <w:r>
              <w:rPr>
                <w:rFonts w:eastAsia="Times New Roman"/>
                <w:sz w:val="22"/>
                <w:szCs w:val="22"/>
              </w:rPr>
              <w:t>4,669</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D57EDF7" w14:textId="77777777" w:rsidR="003544EB" w:rsidRDefault="00000000">
            <w:pPr>
              <w:spacing w:line="260" w:lineRule="auto"/>
              <w:jc w:val="center"/>
            </w:pPr>
            <w:r>
              <w:rPr>
                <w:rFonts w:eastAsia="Times New Roman"/>
                <w:sz w:val="22"/>
                <w:szCs w:val="22"/>
              </w:rPr>
              <w:t>10</w:t>
            </w:r>
          </w:p>
        </w:tc>
        <w:tc>
          <w:tcPr>
            <w:tcW w:w="19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150E26A" w14:textId="77777777" w:rsidR="003544EB" w:rsidRDefault="00000000">
            <w:pPr>
              <w:spacing w:line="260" w:lineRule="auto"/>
              <w:jc w:val="center"/>
            </w:pPr>
            <w:r>
              <w:rPr>
                <w:rFonts w:eastAsia="Times New Roman"/>
                <w:sz w:val="22"/>
                <w:szCs w:val="22"/>
              </w:rPr>
              <w:t>51,696,216</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70AD380" w14:textId="77777777" w:rsidR="003544EB" w:rsidRDefault="00000000">
            <w:pPr>
              <w:spacing w:line="260" w:lineRule="auto"/>
              <w:jc w:val="center"/>
            </w:pPr>
            <w:r>
              <w:rPr>
                <w:rFonts w:eastAsia="Times New Roman"/>
                <w:sz w:val="22"/>
                <w:szCs w:val="22"/>
              </w:rPr>
              <w:t>9.05</w:t>
            </w:r>
          </w:p>
        </w:tc>
      </w:tr>
      <w:tr w:rsidR="003544EB" w14:paraId="5EDD8E14" w14:textId="77777777">
        <w:tblPrEx>
          <w:tblCellMar>
            <w:top w:w="0" w:type="dxa"/>
            <w:bottom w:w="0" w:type="dxa"/>
          </w:tblCellMar>
        </w:tblPrEx>
        <w:tc>
          <w:tcPr>
            <w:tcW w:w="8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889D5E8" w14:textId="77777777" w:rsidR="003544EB" w:rsidRDefault="00000000">
            <w:pPr>
              <w:spacing w:line="260" w:lineRule="auto"/>
            </w:pPr>
            <w:r>
              <w:rPr>
                <w:rFonts w:eastAsia="Times New Roman"/>
                <w:sz w:val="22"/>
                <w:szCs w:val="22"/>
              </w:rPr>
              <w:t>2017</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AE00BA2" w14:textId="77777777" w:rsidR="003544EB" w:rsidRDefault="00000000">
            <w:pPr>
              <w:spacing w:line="260" w:lineRule="auto"/>
              <w:jc w:val="center"/>
            </w:pPr>
            <w:r>
              <w:rPr>
                <w:rFonts w:eastAsia="Times New Roman"/>
                <w:sz w:val="22"/>
                <w:szCs w:val="22"/>
              </w:rPr>
              <w:t>4,419</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02B2456" w14:textId="77777777" w:rsidR="003544EB" w:rsidRDefault="00000000">
            <w:pPr>
              <w:spacing w:line="260" w:lineRule="auto"/>
              <w:jc w:val="center"/>
            </w:pPr>
            <w:r>
              <w:rPr>
                <w:rFonts w:eastAsia="Times New Roman"/>
                <w:sz w:val="22"/>
                <w:szCs w:val="22"/>
              </w:rPr>
              <w:t>4,382</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21DD2F4" w14:textId="77777777" w:rsidR="003544EB" w:rsidRDefault="00000000">
            <w:pPr>
              <w:spacing w:line="260" w:lineRule="auto"/>
              <w:jc w:val="center"/>
            </w:pPr>
            <w:r>
              <w:rPr>
                <w:rFonts w:eastAsia="Times New Roman"/>
                <w:sz w:val="22"/>
                <w:szCs w:val="22"/>
              </w:rPr>
              <w:t>37</w:t>
            </w:r>
          </w:p>
        </w:tc>
        <w:tc>
          <w:tcPr>
            <w:tcW w:w="19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D32C111" w14:textId="77777777" w:rsidR="003544EB" w:rsidRDefault="00000000">
            <w:pPr>
              <w:spacing w:line="260" w:lineRule="auto"/>
              <w:jc w:val="center"/>
            </w:pPr>
            <w:r>
              <w:rPr>
                <w:rFonts w:eastAsia="Times New Roman"/>
                <w:sz w:val="22"/>
                <w:szCs w:val="22"/>
              </w:rPr>
              <w:t>51,778,544</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F258EA0" w14:textId="77777777" w:rsidR="003544EB" w:rsidRDefault="00000000">
            <w:pPr>
              <w:spacing w:line="260" w:lineRule="auto"/>
              <w:jc w:val="center"/>
            </w:pPr>
            <w:r>
              <w:rPr>
                <w:rFonts w:eastAsia="Times New Roman"/>
                <w:sz w:val="22"/>
                <w:szCs w:val="22"/>
              </w:rPr>
              <w:t>8.53</w:t>
            </w:r>
          </w:p>
        </w:tc>
      </w:tr>
      <w:tr w:rsidR="003544EB" w14:paraId="4EE56CC2" w14:textId="77777777">
        <w:tblPrEx>
          <w:tblCellMar>
            <w:top w:w="0" w:type="dxa"/>
            <w:bottom w:w="0" w:type="dxa"/>
          </w:tblCellMar>
        </w:tblPrEx>
        <w:tc>
          <w:tcPr>
            <w:tcW w:w="8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4A07C24" w14:textId="77777777" w:rsidR="003544EB" w:rsidRDefault="00000000">
            <w:pPr>
              <w:spacing w:line="260" w:lineRule="auto"/>
            </w:pPr>
            <w:r>
              <w:rPr>
                <w:rFonts w:eastAsia="Times New Roman"/>
                <w:sz w:val="22"/>
                <w:szCs w:val="22"/>
              </w:rPr>
              <w:t>2018</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BC759FA" w14:textId="77777777" w:rsidR="003544EB" w:rsidRDefault="00000000">
            <w:pPr>
              <w:spacing w:line="260" w:lineRule="auto"/>
              <w:jc w:val="center"/>
            </w:pPr>
            <w:r>
              <w:rPr>
                <w:rFonts w:eastAsia="Times New Roman"/>
                <w:sz w:val="22"/>
                <w:szCs w:val="22"/>
              </w:rPr>
              <w:t>2,437</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9D3B10D" w14:textId="77777777" w:rsidR="003544EB" w:rsidRDefault="00000000">
            <w:pPr>
              <w:spacing w:line="260" w:lineRule="auto"/>
              <w:jc w:val="center"/>
            </w:pPr>
            <w:r>
              <w:rPr>
                <w:rFonts w:eastAsia="Times New Roman"/>
                <w:sz w:val="22"/>
                <w:szCs w:val="22"/>
              </w:rPr>
              <w:t>2,400</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93C026A" w14:textId="77777777" w:rsidR="003544EB" w:rsidRDefault="00000000">
            <w:pPr>
              <w:spacing w:line="260" w:lineRule="auto"/>
              <w:jc w:val="center"/>
            </w:pPr>
            <w:r>
              <w:rPr>
                <w:rFonts w:eastAsia="Times New Roman"/>
                <w:sz w:val="22"/>
                <w:szCs w:val="22"/>
              </w:rPr>
              <w:t>37</w:t>
            </w:r>
          </w:p>
        </w:tc>
        <w:tc>
          <w:tcPr>
            <w:tcW w:w="19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E3542F2" w14:textId="77777777" w:rsidR="003544EB" w:rsidRDefault="00000000">
            <w:pPr>
              <w:spacing w:line="260" w:lineRule="auto"/>
              <w:jc w:val="center"/>
            </w:pPr>
            <w:r>
              <w:rPr>
                <w:rFonts w:eastAsia="Times New Roman"/>
                <w:sz w:val="22"/>
                <w:szCs w:val="22"/>
              </w:rPr>
              <w:t>51,826,059</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C561EB9" w14:textId="77777777" w:rsidR="003544EB" w:rsidRDefault="00000000">
            <w:pPr>
              <w:spacing w:line="260" w:lineRule="auto"/>
              <w:jc w:val="center"/>
            </w:pPr>
            <w:r>
              <w:rPr>
                <w:rFonts w:eastAsia="Times New Roman"/>
                <w:sz w:val="22"/>
                <w:szCs w:val="22"/>
              </w:rPr>
              <w:t>4.70</w:t>
            </w:r>
          </w:p>
        </w:tc>
      </w:tr>
      <w:tr w:rsidR="003544EB" w14:paraId="7F1307FF" w14:textId="77777777">
        <w:tblPrEx>
          <w:tblCellMar>
            <w:top w:w="0" w:type="dxa"/>
            <w:bottom w:w="0" w:type="dxa"/>
          </w:tblCellMar>
        </w:tblPrEx>
        <w:tc>
          <w:tcPr>
            <w:tcW w:w="8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28A283D" w14:textId="77777777" w:rsidR="003544EB" w:rsidRDefault="00000000">
            <w:pPr>
              <w:spacing w:line="260" w:lineRule="auto"/>
            </w:pPr>
            <w:r>
              <w:rPr>
                <w:rFonts w:eastAsia="Times New Roman"/>
                <w:sz w:val="22"/>
                <w:szCs w:val="22"/>
              </w:rPr>
              <w:t>2019</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9369D3B" w14:textId="77777777" w:rsidR="003544EB" w:rsidRDefault="00000000">
            <w:pPr>
              <w:spacing w:line="260" w:lineRule="auto"/>
              <w:jc w:val="center"/>
            </w:pPr>
            <w:r>
              <w:rPr>
                <w:rFonts w:eastAsia="Times New Roman"/>
                <w:sz w:val="22"/>
                <w:szCs w:val="22"/>
              </w:rPr>
              <w:t>17,598</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F3A9794" w14:textId="77777777" w:rsidR="003544EB" w:rsidRDefault="00000000">
            <w:pPr>
              <w:spacing w:line="260" w:lineRule="auto"/>
              <w:jc w:val="center"/>
            </w:pPr>
            <w:r>
              <w:rPr>
                <w:rFonts w:eastAsia="Times New Roman"/>
                <w:sz w:val="22"/>
                <w:szCs w:val="22"/>
              </w:rPr>
              <w:t>17,542</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5D5FCFA" w14:textId="77777777" w:rsidR="003544EB" w:rsidRDefault="00000000">
            <w:pPr>
              <w:spacing w:line="260" w:lineRule="auto"/>
              <w:jc w:val="center"/>
            </w:pPr>
            <w:r>
              <w:rPr>
                <w:rFonts w:eastAsia="Times New Roman"/>
                <w:sz w:val="22"/>
                <w:szCs w:val="22"/>
              </w:rPr>
              <w:t>56</w:t>
            </w:r>
          </w:p>
        </w:tc>
        <w:tc>
          <w:tcPr>
            <w:tcW w:w="19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D56F875" w14:textId="77777777" w:rsidR="003544EB" w:rsidRDefault="00000000">
            <w:pPr>
              <w:spacing w:line="260" w:lineRule="auto"/>
              <w:jc w:val="center"/>
            </w:pPr>
            <w:r>
              <w:rPr>
                <w:rFonts w:eastAsia="Times New Roman"/>
                <w:sz w:val="22"/>
                <w:szCs w:val="22"/>
              </w:rPr>
              <w:t>51,849,861</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C868116" w14:textId="77777777" w:rsidR="003544EB" w:rsidRDefault="00000000">
            <w:pPr>
              <w:spacing w:line="260" w:lineRule="auto"/>
              <w:jc w:val="center"/>
            </w:pPr>
            <w:r>
              <w:rPr>
                <w:rFonts w:eastAsia="Times New Roman"/>
                <w:sz w:val="22"/>
                <w:szCs w:val="22"/>
              </w:rPr>
              <w:t>33.94</w:t>
            </w:r>
          </w:p>
        </w:tc>
      </w:tr>
      <w:tr w:rsidR="003544EB" w14:paraId="2F7F027B" w14:textId="77777777">
        <w:tblPrEx>
          <w:tblCellMar>
            <w:top w:w="0" w:type="dxa"/>
            <w:bottom w:w="0" w:type="dxa"/>
          </w:tblCellMar>
        </w:tblPrEx>
        <w:tc>
          <w:tcPr>
            <w:tcW w:w="8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826CE21" w14:textId="77777777" w:rsidR="003544EB" w:rsidRDefault="00000000">
            <w:pPr>
              <w:spacing w:line="260" w:lineRule="auto"/>
            </w:pPr>
            <w:r>
              <w:rPr>
                <w:rFonts w:eastAsia="Times New Roman"/>
                <w:sz w:val="22"/>
                <w:szCs w:val="22"/>
              </w:rPr>
              <w:t>2020</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3BE91A5" w14:textId="77777777" w:rsidR="003544EB" w:rsidRDefault="00000000">
            <w:pPr>
              <w:spacing w:line="260" w:lineRule="auto"/>
              <w:jc w:val="center"/>
            </w:pPr>
            <w:r>
              <w:rPr>
                <w:rFonts w:eastAsia="Times New Roman"/>
                <w:sz w:val="22"/>
                <w:szCs w:val="22"/>
              </w:rPr>
              <w:t>3,989</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0E62F9F" w14:textId="77777777" w:rsidR="003544EB" w:rsidRDefault="00000000">
            <w:pPr>
              <w:spacing w:line="260" w:lineRule="auto"/>
              <w:jc w:val="center"/>
            </w:pPr>
            <w:r>
              <w:rPr>
                <w:rFonts w:eastAsia="Times New Roman"/>
                <w:sz w:val="22"/>
                <w:szCs w:val="22"/>
              </w:rPr>
              <w:t>3,950</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9BDC7F1" w14:textId="77777777" w:rsidR="003544EB" w:rsidRDefault="00000000">
            <w:pPr>
              <w:spacing w:line="260" w:lineRule="auto"/>
              <w:jc w:val="center"/>
            </w:pPr>
            <w:r>
              <w:rPr>
                <w:rFonts w:eastAsia="Times New Roman"/>
                <w:sz w:val="22"/>
                <w:szCs w:val="22"/>
              </w:rPr>
              <w:t>39</w:t>
            </w:r>
          </w:p>
        </w:tc>
        <w:tc>
          <w:tcPr>
            <w:tcW w:w="19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0AC58F3" w14:textId="77777777" w:rsidR="003544EB" w:rsidRDefault="00000000">
            <w:pPr>
              <w:spacing w:line="260" w:lineRule="auto"/>
              <w:jc w:val="center"/>
            </w:pPr>
            <w:r>
              <w:rPr>
                <w:rFonts w:eastAsia="Times New Roman"/>
                <w:sz w:val="22"/>
                <w:szCs w:val="22"/>
              </w:rPr>
              <w:t>51,829,023</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EDD0112" w14:textId="77777777" w:rsidR="003544EB" w:rsidRDefault="00000000">
            <w:pPr>
              <w:spacing w:line="260" w:lineRule="auto"/>
              <w:jc w:val="center"/>
            </w:pPr>
            <w:r>
              <w:rPr>
                <w:rFonts w:eastAsia="Times New Roman"/>
                <w:sz w:val="22"/>
                <w:szCs w:val="22"/>
              </w:rPr>
              <w:t>7.70</w:t>
            </w:r>
          </w:p>
        </w:tc>
      </w:tr>
      <w:tr w:rsidR="003544EB" w14:paraId="66DD2263" w14:textId="77777777">
        <w:tblPrEx>
          <w:tblCellMar>
            <w:top w:w="0" w:type="dxa"/>
            <w:bottom w:w="0" w:type="dxa"/>
          </w:tblCellMar>
        </w:tblPrEx>
        <w:tc>
          <w:tcPr>
            <w:tcW w:w="8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68F0020" w14:textId="77777777" w:rsidR="003544EB" w:rsidRDefault="00000000">
            <w:pPr>
              <w:spacing w:line="260" w:lineRule="auto"/>
            </w:pPr>
            <w:r>
              <w:rPr>
                <w:rFonts w:eastAsia="Times New Roman"/>
                <w:sz w:val="22"/>
                <w:szCs w:val="22"/>
              </w:rPr>
              <w:t>2021</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704A47E" w14:textId="77777777" w:rsidR="003544EB" w:rsidRDefault="00000000">
            <w:pPr>
              <w:spacing w:line="260" w:lineRule="auto"/>
              <w:jc w:val="center"/>
            </w:pPr>
            <w:r>
              <w:rPr>
                <w:rFonts w:eastAsia="Times New Roman"/>
                <w:sz w:val="22"/>
                <w:szCs w:val="22"/>
              </w:rPr>
              <w:t>6,583</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8273995" w14:textId="77777777" w:rsidR="003544EB" w:rsidRDefault="00000000">
            <w:pPr>
              <w:spacing w:line="260" w:lineRule="auto"/>
              <w:jc w:val="center"/>
            </w:pPr>
            <w:r>
              <w:rPr>
                <w:rFonts w:eastAsia="Times New Roman"/>
                <w:sz w:val="22"/>
                <w:szCs w:val="22"/>
              </w:rPr>
              <w:t>6,585</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3D8F1BB" w14:textId="77777777" w:rsidR="003544EB" w:rsidRDefault="00000000">
            <w:pPr>
              <w:spacing w:line="260" w:lineRule="auto"/>
              <w:jc w:val="center"/>
            </w:pPr>
            <w:r>
              <w:rPr>
                <w:rFonts w:eastAsia="Times New Roman"/>
                <w:sz w:val="22"/>
                <w:szCs w:val="22"/>
              </w:rPr>
              <w:t>-2</w:t>
            </w:r>
          </w:p>
        </w:tc>
        <w:tc>
          <w:tcPr>
            <w:tcW w:w="19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4BE5C4B" w14:textId="77777777" w:rsidR="003544EB" w:rsidRDefault="00000000">
            <w:pPr>
              <w:spacing w:line="260" w:lineRule="auto"/>
              <w:jc w:val="center"/>
            </w:pPr>
            <w:r>
              <w:rPr>
                <w:rFonts w:eastAsia="Times New Roman"/>
                <w:sz w:val="22"/>
                <w:szCs w:val="22"/>
              </w:rPr>
              <w:t>51,638,809</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5E7560E" w14:textId="77777777" w:rsidR="003544EB" w:rsidRDefault="00000000">
            <w:pPr>
              <w:spacing w:line="260" w:lineRule="auto"/>
              <w:jc w:val="center"/>
            </w:pPr>
            <w:r>
              <w:rPr>
                <w:rFonts w:eastAsia="Times New Roman"/>
                <w:sz w:val="22"/>
                <w:szCs w:val="22"/>
              </w:rPr>
              <w:t>12.75</w:t>
            </w:r>
          </w:p>
        </w:tc>
      </w:tr>
      <w:tr w:rsidR="003544EB" w14:paraId="15CD48C5" w14:textId="77777777">
        <w:tblPrEx>
          <w:tblCellMar>
            <w:top w:w="0" w:type="dxa"/>
            <w:bottom w:w="0" w:type="dxa"/>
          </w:tblCellMar>
        </w:tblPrEx>
        <w:tc>
          <w:tcPr>
            <w:tcW w:w="8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C7D1EDC" w14:textId="77777777" w:rsidR="003544EB" w:rsidRDefault="00000000">
            <w:pPr>
              <w:spacing w:line="260" w:lineRule="auto"/>
            </w:pPr>
            <w:r>
              <w:rPr>
                <w:rFonts w:eastAsia="Times New Roman"/>
                <w:sz w:val="22"/>
                <w:szCs w:val="22"/>
              </w:rPr>
              <w:t>2022</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715B12A" w14:textId="77777777" w:rsidR="003544EB" w:rsidRDefault="00000000">
            <w:pPr>
              <w:spacing w:line="260" w:lineRule="auto"/>
              <w:jc w:val="center"/>
            </w:pPr>
            <w:r>
              <w:rPr>
                <w:rFonts w:eastAsia="Times New Roman"/>
                <w:sz w:val="22"/>
                <w:szCs w:val="22"/>
              </w:rPr>
              <w:t>1,890</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63A90E5" w14:textId="77777777" w:rsidR="003544EB" w:rsidRDefault="00000000">
            <w:pPr>
              <w:spacing w:line="260" w:lineRule="auto"/>
              <w:jc w:val="center"/>
            </w:pPr>
            <w:r>
              <w:rPr>
                <w:rFonts w:eastAsia="Times New Roman"/>
                <w:sz w:val="22"/>
                <w:szCs w:val="22"/>
              </w:rPr>
              <w:t>1,958</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FD56599" w14:textId="77777777" w:rsidR="003544EB" w:rsidRDefault="00000000">
            <w:pPr>
              <w:spacing w:line="260" w:lineRule="auto"/>
              <w:jc w:val="center"/>
            </w:pPr>
            <w:r>
              <w:rPr>
                <w:rFonts w:eastAsia="Times New Roman"/>
                <w:sz w:val="22"/>
                <w:szCs w:val="22"/>
              </w:rPr>
              <w:t>-68</w:t>
            </w:r>
          </w:p>
        </w:tc>
        <w:tc>
          <w:tcPr>
            <w:tcW w:w="19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8A79891" w14:textId="77777777" w:rsidR="003544EB" w:rsidRDefault="00000000">
            <w:pPr>
              <w:spacing w:line="260" w:lineRule="auto"/>
              <w:jc w:val="center"/>
            </w:pPr>
            <w:r>
              <w:rPr>
                <w:rFonts w:eastAsia="Times New Roman"/>
                <w:sz w:val="22"/>
                <w:szCs w:val="22"/>
              </w:rPr>
              <w:t>51,439,038</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094C16C" w14:textId="77777777" w:rsidR="003544EB" w:rsidRDefault="00000000">
            <w:pPr>
              <w:spacing w:line="260" w:lineRule="auto"/>
              <w:jc w:val="center"/>
            </w:pPr>
            <w:r>
              <w:rPr>
                <w:rFonts w:eastAsia="Times New Roman"/>
                <w:sz w:val="22"/>
                <w:szCs w:val="22"/>
              </w:rPr>
              <w:t>3.67</w:t>
            </w:r>
          </w:p>
        </w:tc>
      </w:tr>
      <w:tr w:rsidR="003544EB" w14:paraId="485DE95C" w14:textId="77777777">
        <w:tblPrEx>
          <w:tblCellMar>
            <w:top w:w="0" w:type="dxa"/>
            <w:bottom w:w="0" w:type="dxa"/>
          </w:tblCellMar>
        </w:tblPrEx>
        <w:tc>
          <w:tcPr>
            <w:tcW w:w="8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F6D5CB1" w14:textId="77777777" w:rsidR="003544EB" w:rsidRDefault="00000000">
            <w:pPr>
              <w:spacing w:line="260" w:lineRule="auto"/>
            </w:pPr>
            <w:r>
              <w:rPr>
                <w:rFonts w:eastAsia="Times New Roman"/>
                <w:sz w:val="22"/>
                <w:szCs w:val="22"/>
              </w:rPr>
              <w:t>2023</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189FC2C" w14:textId="77777777" w:rsidR="003544EB" w:rsidRDefault="00000000">
            <w:pPr>
              <w:spacing w:line="260" w:lineRule="auto"/>
              <w:jc w:val="center"/>
            </w:pPr>
            <w:r>
              <w:rPr>
                <w:rFonts w:eastAsia="Times New Roman"/>
                <w:sz w:val="22"/>
                <w:szCs w:val="22"/>
              </w:rPr>
              <w:t>1,324</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59BDFDA" w14:textId="77777777" w:rsidR="003544EB" w:rsidRDefault="00000000">
            <w:pPr>
              <w:spacing w:line="260" w:lineRule="auto"/>
              <w:jc w:val="center"/>
            </w:pPr>
            <w:r>
              <w:rPr>
                <w:rFonts w:eastAsia="Times New Roman"/>
                <w:sz w:val="22"/>
                <w:szCs w:val="22"/>
              </w:rPr>
              <w:t>1,318</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7E78D0F" w14:textId="77777777" w:rsidR="003544EB" w:rsidRDefault="00000000">
            <w:pPr>
              <w:spacing w:line="260" w:lineRule="auto"/>
              <w:jc w:val="center"/>
            </w:pPr>
            <w:r>
              <w:rPr>
                <w:rFonts w:eastAsia="Times New Roman"/>
                <w:sz w:val="22"/>
                <w:szCs w:val="22"/>
              </w:rPr>
              <w:t>6</w:t>
            </w:r>
          </w:p>
        </w:tc>
        <w:tc>
          <w:tcPr>
            <w:tcW w:w="19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91B2A46" w14:textId="77777777" w:rsidR="003544EB" w:rsidRDefault="00000000">
            <w:pPr>
              <w:spacing w:line="260" w:lineRule="auto"/>
              <w:jc w:val="center"/>
            </w:pPr>
            <w:r>
              <w:rPr>
                <w:rFonts w:eastAsia="Times New Roman"/>
                <w:sz w:val="22"/>
                <w:szCs w:val="22"/>
              </w:rPr>
              <w:t>51,337,778</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231B79E" w14:textId="77777777" w:rsidR="003544EB" w:rsidRDefault="00000000">
            <w:pPr>
              <w:spacing w:line="260" w:lineRule="auto"/>
              <w:jc w:val="center"/>
            </w:pPr>
            <w:r>
              <w:rPr>
                <w:rFonts w:eastAsia="Times New Roman"/>
                <w:sz w:val="22"/>
                <w:szCs w:val="22"/>
              </w:rPr>
              <w:t>2.58</w:t>
            </w:r>
          </w:p>
        </w:tc>
      </w:tr>
      <w:tr w:rsidR="003544EB" w14:paraId="2A252938" w14:textId="77777777">
        <w:tblPrEx>
          <w:tblCellMar>
            <w:top w:w="0" w:type="dxa"/>
            <w:bottom w:w="0" w:type="dxa"/>
          </w:tblCellMar>
        </w:tblPrEx>
        <w:tc>
          <w:tcPr>
            <w:tcW w:w="8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5CE5AC5" w14:textId="77777777" w:rsidR="003544EB" w:rsidRDefault="00000000">
            <w:pPr>
              <w:spacing w:line="260" w:lineRule="auto"/>
            </w:pPr>
            <w:r>
              <w:rPr>
                <w:rFonts w:eastAsia="Times New Roman"/>
                <w:sz w:val="22"/>
                <w:szCs w:val="22"/>
              </w:rPr>
              <w:t>2024</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87D1B12" w14:textId="77777777" w:rsidR="003544EB" w:rsidRDefault="00000000">
            <w:pPr>
              <w:spacing w:line="260" w:lineRule="auto"/>
              <w:jc w:val="center"/>
            </w:pPr>
            <w:r>
              <w:rPr>
                <w:rFonts w:eastAsia="Times New Roman"/>
                <w:sz w:val="22"/>
                <w:szCs w:val="22"/>
              </w:rPr>
              <w:t>1,168</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28463C6" w14:textId="77777777" w:rsidR="003544EB" w:rsidRDefault="00000000">
            <w:pPr>
              <w:spacing w:line="260" w:lineRule="auto"/>
              <w:jc w:val="center"/>
            </w:pPr>
            <w:r>
              <w:rPr>
                <w:rFonts w:eastAsia="Times New Roman"/>
                <w:sz w:val="22"/>
                <w:szCs w:val="22"/>
              </w:rPr>
              <w:t>1,139</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BF45B6D" w14:textId="77777777" w:rsidR="003544EB" w:rsidRDefault="00000000">
            <w:pPr>
              <w:spacing w:line="260" w:lineRule="auto"/>
              <w:jc w:val="center"/>
            </w:pPr>
            <w:r>
              <w:rPr>
                <w:rFonts w:eastAsia="Times New Roman"/>
                <w:sz w:val="22"/>
                <w:szCs w:val="22"/>
              </w:rPr>
              <w:t>29</w:t>
            </w:r>
          </w:p>
        </w:tc>
        <w:tc>
          <w:tcPr>
            <w:tcW w:w="19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8643CC9" w14:textId="77777777" w:rsidR="003544EB" w:rsidRDefault="00000000">
            <w:pPr>
              <w:spacing w:line="260" w:lineRule="auto"/>
              <w:jc w:val="center"/>
            </w:pPr>
            <w:r>
              <w:rPr>
                <w:rFonts w:eastAsia="Times New Roman"/>
                <w:sz w:val="22"/>
                <w:szCs w:val="22"/>
              </w:rPr>
              <w:t>51,985,381</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87CE335" w14:textId="77777777" w:rsidR="003544EB" w:rsidRDefault="00000000">
            <w:pPr>
              <w:spacing w:line="260" w:lineRule="auto"/>
              <w:jc w:val="center"/>
            </w:pPr>
            <w:r>
              <w:rPr>
                <w:rFonts w:eastAsia="Times New Roman"/>
                <w:sz w:val="22"/>
                <w:szCs w:val="22"/>
              </w:rPr>
              <w:t>2.25</w:t>
            </w:r>
          </w:p>
        </w:tc>
      </w:tr>
      <w:tr w:rsidR="003544EB" w14:paraId="60B37624" w14:textId="77777777">
        <w:tblPrEx>
          <w:tblCellMar>
            <w:top w:w="0" w:type="dxa"/>
            <w:bottom w:w="0" w:type="dxa"/>
          </w:tblCellMar>
        </w:tblPrEx>
        <w:tc>
          <w:tcPr>
            <w:tcW w:w="8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6EAB0F53" w14:textId="77777777" w:rsidR="003544EB" w:rsidRDefault="00000000">
            <w:pPr>
              <w:spacing w:line="260" w:lineRule="auto"/>
            </w:pPr>
            <w:r>
              <w:rPr>
                <w:rFonts w:eastAsia="Times New Roman"/>
                <w:sz w:val="22"/>
                <w:szCs w:val="22"/>
              </w:rPr>
              <w:t>Total (2011–2024)</w:t>
            </w:r>
          </w:p>
        </w:tc>
        <w:tc>
          <w:tcPr>
            <w:tcW w:w="13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3377D605" w14:textId="77777777" w:rsidR="003544EB" w:rsidRDefault="00000000">
            <w:pPr>
              <w:spacing w:line="260" w:lineRule="auto"/>
              <w:jc w:val="center"/>
            </w:pPr>
            <w:r>
              <w:rPr>
                <w:rFonts w:eastAsia="Times New Roman"/>
                <w:sz w:val="22"/>
                <w:szCs w:val="22"/>
              </w:rPr>
              <w:t>54,642</w:t>
            </w:r>
          </w:p>
        </w:tc>
        <w:tc>
          <w:tcPr>
            <w:tcW w:w="13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175A42D4" w14:textId="77777777" w:rsidR="003544EB" w:rsidRDefault="00000000">
            <w:pPr>
              <w:spacing w:line="260" w:lineRule="auto"/>
              <w:jc w:val="center"/>
            </w:pPr>
            <w:r>
              <w:rPr>
                <w:rFonts w:eastAsia="Times New Roman"/>
                <w:sz w:val="22"/>
                <w:szCs w:val="22"/>
              </w:rPr>
              <w:t>54,379</w:t>
            </w:r>
          </w:p>
        </w:tc>
        <w:tc>
          <w:tcPr>
            <w:tcW w:w="11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7CC27DA7" w14:textId="77777777" w:rsidR="003544EB" w:rsidRDefault="00000000">
            <w:pPr>
              <w:spacing w:line="260" w:lineRule="auto"/>
              <w:jc w:val="center"/>
            </w:pPr>
            <w:r>
              <w:rPr>
                <w:rFonts w:eastAsia="Times New Roman"/>
                <w:sz w:val="22"/>
                <w:szCs w:val="22"/>
              </w:rPr>
              <w:t>263</w:t>
            </w:r>
          </w:p>
        </w:tc>
        <w:tc>
          <w:tcPr>
            <w:tcW w:w="19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4C5B6A2D" w14:textId="77777777" w:rsidR="003544EB" w:rsidRDefault="00000000">
            <w:pPr>
              <w:spacing w:line="260" w:lineRule="auto"/>
              <w:jc w:val="center"/>
            </w:pPr>
            <w:r>
              <w:rPr>
                <w:rFonts w:eastAsia="Times New Roman"/>
                <w:sz w:val="22"/>
                <w:szCs w:val="22"/>
              </w:rPr>
              <w:t>–</w:t>
            </w:r>
          </w:p>
        </w:tc>
        <w:tc>
          <w:tcPr>
            <w:tcW w:w="11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6A051996" w14:textId="77777777" w:rsidR="003544EB" w:rsidRDefault="00000000">
            <w:pPr>
              <w:spacing w:line="260" w:lineRule="auto"/>
              <w:jc w:val="center"/>
            </w:pPr>
            <w:r>
              <w:rPr>
                <w:rFonts w:eastAsia="Times New Roman"/>
                <w:sz w:val="22"/>
                <w:szCs w:val="22"/>
              </w:rPr>
              <w:t>–</w:t>
            </w:r>
          </w:p>
        </w:tc>
      </w:tr>
    </w:tbl>
    <w:p w14:paraId="5FC83D6F" w14:textId="77777777" w:rsidR="003544EB" w:rsidRDefault="00000000">
      <w:pPr>
        <w:spacing w:after="360" w:line="480" w:lineRule="auto"/>
        <w:jc w:val="both"/>
      </w:pPr>
      <w:r>
        <w:rPr>
          <w:rFonts w:eastAsia="Times New Roman"/>
          <w:sz w:val="22"/>
          <w:szCs w:val="22"/>
        </w:rPr>
        <w:t>NB GLM (log-population offset) IRR per year = 1.034 (95% CI 0.908–1.177, p = 0.618). Hamed–Rao MK on log-rate: τ = 0.033, p = 0.913.</w:t>
      </w:r>
    </w:p>
    <w:p w14:paraId="1FE9BCEB" w14:textId="77777777" w:rsidR="003544EB" w:rsidRDefault="00000000">
      <w:r>
        <w:br w:type="page"/>
      </w:r>
    </w:p>
    <w:p w14:paraId="650144EE" w14:textId="77777777" w:rsidR="003544EB" w:rsidRDefault="00000000">
      <w:pPr>
        <w:pStyle w:val="2"/>
        <w:spacing w:before="240" w:after="160" w:line="480" w:lineRule="auto"/>
      </w:pPr>
      <w:r>
        <w:rPr>
          <w:rFonts w:eastAsia="Times New Roman"/>
          <w:b/>
          <w:bCs/>
          <w:color w:val="000000"/>
        </w:rPr>
        <w:lastRenderedPageBreak/>
        <w:t xml:space="preserve">Table 2.  Negative-binomial breakpoint analysis (continuous piecewise-linear, </w:t>
      </w:r>
      <w:proofErr w:type="spellStart"/>
      <w:r>
        <w:rPr>
          <w:rFonts w:eastAsia="Times New Roman"/>
          <w:b/>
          <w:bCs/>
          <w:color w:val="000000"/>
        </w:rPr>
        <w:t>h_min</w:t>
      </w:r>
      <w:proofErr w:type="spellEnd"/>
      <w:r>
        <w:rPr>
          <w:rFonts w:eastAsia="Times New Roman"/>
          <w:b/>
          <w:bCs/>
          <w:color w:val="000000"/>
        </w:rPr>
        <w:t xml:space="preserve"> = 3)</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10" w:type="dxa"/>
          <w:right w:w="10" w:type="dxa"/>
        </w:tblCellMar>
        <w:tblLook w:val="0000" w:firstRow="0" w:lastRow="0" w:firstColumn="0" w:lastColumn="0" w:noHBand="0" w:noVBand="0"/>
      </w:tblPr>
      <w:tblGrid>
        <w:gridCol w:w="1259"/>
        <w:gridCol w:w="2120"/>
        <w:gridCol w:w="1053"/>
        <w:gridCol w:w="1301"/>
        <w:gridCol w:w="2051"/>
        <w:gridCol w:w="1242"/>
      </w:tblGrid>
      <w:tr w:rsidR="003544EB" w14:paraId="569A791E" w14:textId="77777777">
        <w:tblPrEx>
          <w:tblCellMar>
            <w:top w:w="0" w:type="dxa"/>
            <w:bottom w:w="0" w:type="dxa"/>
          </w:tblCellMar>
        </w:tblPrEx>
        <w:tc>
          <w:tcPr>
            <w:tcW w:w="13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7CBE5C30" w14:textId="77777777" w:rsidR="003544EB" w:rsidRDefault="00000000">
            <w:pPr>
              <w:spacing w:line="260" w:lineRule="auto"/>
            </w:pPr>
            <w:r>
              <w:rPr>
                <w:rFonts w:eastAsia="Times New Roman"/>
                <w:b/>
                <w:bCs/>
                <w:sz w:val="22"/>
                <w:szCs w:val="22"/>
              </w:rPr>
              <w:t>Series</w:t>
            </w:r>
          </w:p>
        </w:tc>
        <w:tc>
          <w:tcPr>
            <w:tcW w:w="22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2DE395B3" w14:textId="77777777" w:rsidR="003544EB" w:rsidRDefault="00000000">
            <w:pPr>
              <w:spacing w:line="260" w:lineRule="auto"/>
              <w:jc w:val="center"/>
            </w:pPr>
            <w:r>
              <w:rPr>
                <w:rFonts w:eastAsia="Times New Roman"/>
                <w:b/>
                <w:bCs/>
                <w:sz w:val="22"/>
                <w:szCs w:val="22"/>
              </w:rPr>
              <w:t>BIC-best model</w:t>
            </w:r>
          </w:p>
        </w:tc>
        <w:tc>
          <w:tcPr>
            <w:tcW w:w="11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0EF2BC09" w14:textId="77777777" w:rsidR="003544EB" w:rsidRDefault="00000000">
            <w:pPr>
              <w:spacing w:line="260" w:lineRule="auto"/>
              <w:jc w:val="center"/>
            </w:pPr>
            <w:r>
              <w:rPr>
                <w:rFonts w:eastAsia="Times New Roman"/>
                <w:b/>
                <w:bCs/>
                <w:sz w:val="22"/>
                <w:szCs w:val="22"/>
              </w:rPr>
              <w:t>BIC</w:t>
            </w:r>
          </w:p>
        </w:tc>
        <w:tc>
          <w:tcPr>
            <w:tcW w:w="14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11246E1A" w14:textId="77777777" w:rsidR="003544EB" w:rsidRDefault="00000000">
            <w:pPr>
              <w:spacing w:line="260" w:lineRule="auto"/>
              <w:jc w:val="center"/>
            </w:pPr>
            <w:r>
              <w:rPr>
                <w:rFonts w:eastAsia="Times New Roman"/>
                <w:b/>
                <w:bCs/>
                <w:sz w:val="22"/>
                <w:szCs w:val="22"/>
              </w:rPr>
              <w:t>ΔBIC vs 0-bp</w:t>
            </w:r>
          </w:p>
        </w:tc>
        <w:tc>
          <w:tcPr>
            <w:tcW w:w="22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3DA0A433" w14:textId="77777777" w:rsidR="003544EB" w:rsidRDefault="00000000">
            <w:pPr>
              <w:spacing w:line="260" w:lineRule="auto"/>
              <w:jc w:val="center"/>
            </w:pPr>
            <w:r>
              <w:rPr>
                <w:rFonts w:eastAsia="Times New Roman"/>
                <w:b/>
                <w:bCs/>
                <w:sz w:val="22"/>
                <w:szCs w:val="22"/>
              </w:rPr>
              <w:t>Runner-up</w:t>
            </w:r>
          </w:p>
        </w:tc>
        <w:tc>
          <w:tcPr>
            <w:tcW w:w="13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56C820AD" w14:textId="77777777" w:rsidR="003544EB" w:rsidRDefault="00000000">
            <w:pPr>
              <w:spacing w:line="260" w:lineRule="auto"/>
              <w:jc w:val="center"/>
            </w:pPr>
            <w:r>
              <w:rPr>
                <w:rFonts w:eastAsia="Times New Roman"/>
                <w:b/>
                <w:bCs/>
                <w:sz w:val="22"/>
                <w:szCs w:val="22"/>
              </w:rPr>
              <w:t>Runner BIC</w:t>
            </w:r>
          </w:p>
        </w:tc>
      </w:tr>
      <w:tr w:rsidR="003544EB" w14:paraId="49FBFAAF" w14:textId="77777777">
        <w:tblPrEx>
          <w:tblCellMar>
            <w:top w:w="0" w:type="dxa"/>
            <w:bottom w:w="0" w:type="dxa"/>
          </w:tblCellMar>
        </w:tblPrEx>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F255FCB" w14:textId="77777777" w:rsidR="003544EB" w:rsidRDefault="00000000">
            <w:pPr>
              <w:spacing w:line="260" w:lineRule="auto"/>
            </w:pPr>
            <w:r>
              <w:rPr>
                <w:rFonts w:eastAsia="Times New Roman"/>
                <w:sz w:val="22"/>
                <w:szCs w:val="22"/>
              </w:rPr>
              <w:t>Total</w:t>
            </w:r>
          </w:p>
        </w:tc>
        <w:tc>
          <w:tcPr>
            <w:tcW w:w="22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7D8DE2A" w14:textId="77777777" w:rsidR="003544EB" w:rsidRDefault="00000000">
            <w:pPr>
              <w:spacing w:line="260" w:lineRule="auto"/>
              <w:jc w:val="center"/>
            </w:pPr>
            <w:r>
              <w:rPr>
                <w:rFonts w:eastAsia="Times New Roman"/>
                <w:sz w:val="22"/>
                <w:szCs w:val="22"/>
              </w:rPr>
              <w:t>2bp@2014,2019</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5CFCEFE" w14:textId="77777777" w:rsidR="003544EB" w:rsidRDefault="00000000">
            <w:pPr>
              <w:spacing w:line="260" w:lineRule="auto"/>
              <w:jc w:val="center"/>
            </w:pPr>
            <w:r>
              <w:rPr>
                <w:rFonts w:eastAsia="Times New Roman"/>
                <w:sz w:val="22"/>
                <w:szCs w:val="22"/>
              </w:rPr>
              <w:t>262.32</w:t>
            </w:r>
          </w:p>
        </w:tc>
        <w:tc>
          <w:tcPr>
            <w:tcW w:w="14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044C908" w14:textId="77777777" w:rsidR="003544EB" w:rsidRDefault="00000000">
            <w:pPr>
              <w:spacing w:line="260" w:lineRule="auto"/>
              <w:jc w:val="center"/>
            </w:pPr>
            <w:r>
              <w:rPr>
                <w:rFonts w:eastAsia="Times New Roman"/>
                <w:sz w:val="22"/>
                <w:szCs w:val="22"/>
              </w:rPr>
              <w:t>-2.34</w:t>
            </w:r>
          </w:p>
        </w:tc>
        <w:tc>
          <w:tcPr>
            <w:tcW w:w="22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9E0FAD1" w14:textId="77777777" w:rsidR="003544EB" w:rsidRDefault="00000000">
            <w:pPr>
              <w:spacing w:line="260" w:lineRule="auto"/>
              <w:jc w:val="center"/>
            </w:pPr>
            <w:r>
              <w:rPr>
                <w:rFonts w:eastAsia="Times New Roman"/>
                <w:sz w:val="22"/>
                <w:szCs w:val="22"/>
              </w:rPr>
              <w:t>1bp@2019</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70305A1" w14:textId="77777777" w:rsidR="003544EB" w:rsidRDefault="00000000">
            <w:pPr>
              <w:spacing w:line="260" w:lineRule="auto"/>
              <w:jc w:val="center"/>
            </w:pPr>
            <w:r>
              <w:rPr>
                <w:rFonts w:eastAsia="Times New Roman"/>
                <w:sz w:val="22"/>
                <w:szCs w:val="22"/>
              </w:rPr>
              <w:t>262.97</w:t>
            </w:r>
          </w:p>
        </w:tc>
      </w:tr>
      <w:tr w:rsidR="003544EB" w14:paraId="071E6EDB" w14:textId="77777777">
        <w:tblPrEx>
          <w:tblCellMar>
            <w:top w:w="0" w:type="dxa"/>
            <w:bottom w:w="0" w:type="dxa"/>
          </w:tblCellMar>
        </w:tblPrEx>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2CCD587" w14:textId="77777777" w:rsidR="003544EB" w:rsidRDefault="00000000">
            <w:pPr>
              <w:spacing w:line="260" w:lineRule="auto"/>
            </w:pPr>
            <w:r>
              <w:rPr>
                <w:rFonts w:eastAsia="Times New Roman"/>
                <w:sz w:val="22"/>
                <w:szCs w:val="22"/>
              </w:rPr>
              <w:t>Domestic</w:t>
            </w:r>
          </w:p>
        </w:tc>
        <w:tc>
          <w:tcPr>
            <w:tcW w:w="22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7288098" w14:textId="77777777" w:rsidR="003544EB" w:rsidRDefault="00000000">
            <w:pPr>
              <w:spacing w:line="260" w:lineRule="auto"/>
              <w:jc w:val="center"/>
            </w:pPr>
            <w:r>
              <w:rPr>
                <w:rFonts w:eastAsia="Times New Roman"/>
                <w:sz w:val="22"/>
                <w:szCs w:val="22"/>
              </w:rPr>
              <w:t>2bp@2014,2019</w:t>
            </w:r>
          </w:p>
        </w:tc>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7DA3E48" w14:textId="77777777" w:rsidR="003544EB" w:rsidRDefault="00000000">
            <w:pPr>
              <w:spacing w:line="260" w:lineRule="auto"/>
              <w:jc w:val="center"/>
            </w:pPr>
            <w:r>
              <w:rPr>
                <w:rFonts w:eastAsia="Times New Roman"/>
                <w:sz w:val="22"/>
                <w:szCs w:val="22"/>
              </w:rPr>
              <w:t>262.12</w:t>
            </w:r>
          </w:p>
        </w:tc>
        <w:tc>
          <w:tcPr>
            <w:tcW w:w="14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A941BB0" w14:textId="77777777" w:rsidR="003544EB" w:rsidRDefault="00000000">
            <w:pPr>
              <w:spacing w:line="260" w:lineRule="auto"/>
              <w:jc w:val="center"/>
            </w:pPr>
            <w:r>
              <w:rPr>
                <w:rFonts w:eastAsia="Times New Roman"/>
                <w:sz w:val="22"/>
                <w:szCs w:val="22"/>
              </w:rPr>
              <w:t>-2.41</w:t>
            </w:r>
          </w:p>
        </w:tc>
        <w:tc>
          <w:tcPr>
            <w:tcW w:w="22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EF6E603" w14:textId="77777777" w:rsidR="003544EB" w:rsidRDefault="00000000">
            <w:pPr>
              <w:spacing w:line="260" w:lineRule="auto"/>
              <w:jc w:val="center"/>
            </w:pPr>
            <w:r>
              <w:rPr>
                <w:rFonts w:eastAsia="Times New Roman"/>
                <w:sz w:val="22"/>
                <w:szCs w:val="22"/>
              </w:rPr>
              <w:t>1bp@2019</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0E2C7F9" w14:textId="77777777" w:rsidR="003544EB" w:rsidRDefault="00000000">
            <w:pPr>
              <w:spacing w:line="260" w:lineRule="auto"/>
              <w:jc w:val="center"/>
            </w:pPr>
            <w:r>
              <w:rPr>
                <w:rFonts w:eastAsia="Times New Roman"/>
                <w:sz w:val="22"/>
                <w:szCs w:val="22"/>
              </w:rPr>
              <w:t>262.83</w:t>
            </w:r>
          </w:p>
        </w:tc>
      </w:tr>
      <w:tr w:rsidR="003544EB" w14:paraId="705E2940" w14:textId="77777777">
        <w:tblPrEx>
          <w:tblCellMar>
            <w:top w:w="0" w:type="dxa"/>
            <w:bottom w:w="0" w:type="dxa"/>
          </w:tblCellMar>
        </w:tblPrEx>
        <w:tc>
          <w:tcPr>
            <w:tcW w:w="13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358F8167" w14:textId="77777777" w:rsidR="003544EB" w:rsidRDefault="00000000">
            <w:pPr>
              <w:spacing w:line="260" w:lineRule="auto"/>
            </w:pPr>
            <w:r>
              <w:rPr>
                <w:rFonts w:eastAsia="Times New Roman"/>
                <w:sz w:val="22"/>
                <w:szCs w:val="22"/>
              </w:rPr>
              <w:t>Imported</w:t>
            </w:r>
          </w:p>
        </w:tc>
        <w:tc>
          <w:tcPr>
            <w:tcW w:w="22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5D642EF2" w14:textId="77777777" w:rsidR="003544EB" w:rsidRDefault="00000000">
            <w:pPr>
              <w:spacing w:line="260" w:lineRule="auto"/>
              <w:jc w:val="center"/>
            </w:pPr>
            <w:r>
              <w:rPr>
                <w:rFonts w:eastAsia="Times New Roman"/>
                <w:sz w:val="22"/>
                <w:szCs w:val="22"/>
              </w:rPr>
              <w:t>NB GLM did not converge</w:t>
            </w:r>
          </w:p>
        </w:tc>
        <w:tc>
          <w:tcPr>
            <w:tcW w:w="11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6769F4A5" w14:textId="77777777" w:rsidR="003544EB" w:rsidRDefault="00000000">
            <w:pPr>
              <w:spacing w:line="260" w:lineRule="auto"/>
              <w:jc w:val="center"/>
            </w:pPr>
            <w:r>
              <w:rPr>
                <w:rFonts w:eastAsia="Times New Roman"/>
                <w:sz w:val="22"/>
                <w:szCs w:val="22"/>
              </w:rPr>
              <w:t>–</w:t>
            </w:r>
          </w:p>
        </w:tc>
        <w:tc>
          <w:tcPr>
            <w:tcW w:w="14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66DB4C02" w14:textId="77777777" w:rsidR="003544EB" w:rsidRDefault="00000000">
            <w:pPr>
              <w:spacing w:line="260" w:lineRule="auto"/>
              <w:jc w:val="center"/>
            </w:pPr>
            <w:r>
              <w:rPr>
                <w:rFonts w:eastAsia="Times New Roman"/>
                <w:sz w:val="22"/>
                <w:szCs w:val="22"/>
              </w:rPr>
              <w:t>–</w:t>
            </w:r>
          </w:p>
        </w:tc>
        <w:tc>
          <w:tcPr>
            <w:tcW w:w="22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05FFE26A" w14:textId="77777777" w:rsidR="003544EB" w:rsidRDefault="00000000">
            <w:pPr>
              <w:spacing w:line="260" w:lineRule="auto"/>
              <w:jc w:val="center"/>
            </w:pPr>
            <w:r>
              <w:rPr>
                <w:rFonts w:eastAsia="Times New Roman"/>
                <w:sz w:val="22"/>
                <w:szCs w:val="22"/>
              </w:rPr>
              <w:t>–</w:t>
            </w:r>
          </w:p>
        </w:tc>
        <w:tc>
          <w:tcPr>
            <w:tcW w:w="13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449DAF62" w14:textId="77777777" w:rsidR="003544EB" w:rsidRDefault="00000000">
            <w:pPr>
              <w:spacing w:line="260" w:lineRule="auto"/>
              <w:jc w:val="center"/>
            </w:pPr>
            <w:r>
              <w:rPr>
                <w:rFonts w:eastAsia="Times New Roman"/>
                <w:sz w:val="22"/>
                <w:szCs w:val="22"/>
              </w:rPr>
              <w:t>–</w:t>
            </w:r>
          </w:p>
        </w:tc>
      </w:tr>
    </w:tbl>
    <w:p w14:paraId="6761769B" w14:textId="77777777" w:rsidR="003544EB" w:rsidRDefault="00000000">
      <w:pPr>
        <w:spacing w:after="360" w:line="480" w:lineRule="auto"/>
        <w:jc w:val="both"/>
      </w:pPr>
      <w:r>
        <w:rPr>
          <w:rFonts w:eastAsia="Times New Roman"/>
          <w:sz w:val="22"/>
          <w:szCs w:val="22"/>
        </w:rPr>
        <w:t xml:space="preserve">ΔBIC ≤ -2 considered substantively meaningful, ≤ -10 strong evidence (Kass-Raftery rule [20]). Sensitivity over </w:t>
      </w:r>
      <w:proofErr w:type="spellStart"/>
      <w:r>
        <w:rPr>
          <w:rFonts w:eastAsia="Times New Roman"/>
          <w:sz w:val="22"/>
          <w:szCs w:val="22"/>
        </w:rPr>
        <w:t>h_min</w:t>
      </w:r>
      <w:proofErr w:type="spellEnd"/>
      <w:r>
        <w:rPr>
          <w:rFonts w:eastAsia="Times New Roman"/>
          <w:sz w:val="22"/>
          <w:szCs w:val="22"/>
        </w:rPr>
        <w:t xml:space="preserve"> ∈ {2,3,4} given in Supplementary Table S2.</w:t>
      </w:r>
    </w:p>
    <w:p w14:paraId="211009FA" w14:textId="77777777" w:rsidR="003544EB" w:rsidRDefault="00000000">
      <w:r>
        <w:br w:type="page"/>
      </w:r>
    </w:p>
    <w:p w14:paraId="7F5B8459" w14:textId="77777777" w:rsidR="003544EB" w:rsidRDefault="00000000">
      <w:pPr>
        <w:pStyle w:val="2"/>
        <w:spacing w:before="240" w:after="160" w:line="480" w:lineRule="auto"/>
      </w:pPr>
      <w:r>
        <w:rPr>
          <w:rFonts w:eastAsia="Times New Roman"/>
          <w:b/>
          <w:bCs/>
          <w:color w:val="000000"/>
        </w:rPr>
        <w:lastRenderedPageBreak/>
        <w:t>Table 3.  Cumulative sex-stratified counts and age-specific incidence rate ratios (sex-pooled, reference 0–9 years), 2011–2024</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10" w:type="dxa"/>
          <w:right w:w="10" w:type="dxa"/>
        </w:tblCellMar>
        <w:tblLook w:val="0000" w:firstRow="0" w:lastRow="0" w:firstColumn="0" w:lastColumn="0" w:noHBand="0" w:noVBand="0"/>
      </w:tblPr>
      <w:tblGrid>
        <w:gridCol w:w="1167"/>
        <w:gridCol w:w="1593"/>
        <w:gridCol w:w="2124"/>
        <w:gridCol w:w="1593"/>
        <w:gridCol w:w="2549"/>
      </w:tblGrid>
      <w:tr w:rsidR="003544EB" w14:paraId="6C5EB9A4" w14:textId="77777777">
        <w:tblPrEx>
          <w:tblCellMar>
            <w:top w:w="0" w:type="dxa"/>
            <w:bottom w:w="0" w:type="dxa"/>
          </w:tblCellMar>
        </w:tblPrEx>
        <w:tc>
          <w:tcPr>
            <w:tcW w:w="11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74F143F0" w14:textId="77777777" w:rsidR="003544EB" w:rsidRDefault="00000000">
            <w:pPr>
              <w:spacing w:line="260" w:lineRule="auto"/>
            </w:pPr>
            <w:r>
              <w:rPr>
                <w:rFonts w:eastAsia="Times New Roman"/>
                <w:b/>
                <w:bCs/>
                <w:sz w:val="22"/>
                <w:szCs w:val="22"/>
              </w:rPr>
              <w:t>Stratum</w:t>
            </w:r>
          </w:p>
        </w:tc>
        <w:tc>
          <w:tcPr>
            <w:tcW w:w="15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66C846E5" w14:textId="77777777" w:rsidR="003544EB" w:rsidRDefault="00000000">
            <w:pPr>
              <w:spacing w:line="260" w:lineRule="auto"/>
              <w:jc w:val="center"/>
            </w:pPr>
            <w:r>
              <w:rPr>
                <w:rFonts w:eastAsia="Times New Roman"/>
                <w:b/>
                <w:bCs/>
                <w:sz w:val="22"/>
                <w:szCs w:val="22"/>
              </w:rPr>
              <w:t>Cases</w:t>
            </w:r>
          </w:p>
        </w:tc>
        <w:tc>
          <w:tcPr>
            <w:tcW w:w="20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2C54B102" w14:textId="77777777" w:rsidR="003544EB" w:rsidRDefault="00000000">
            <w:pPr>
              <w:spacing w:line="260" w:lineRule="auto"/>
              <w:jc w:val="center"/>
            </w:pPr>
            <w:r>
              <w:rPr>
                <w:rFonts w:eastAsia="Times New Roman"/>
                <w:b/>
                <w:bCs/>
                <w:sz w:val="22"/>
                <w:szCs w:val="22"/>
              </w:rPr>
              <w:t>Person-years</w:t>
            </w:r>
          </w:p>
        </w:tc>
        <w:tc>
          <w:tcPr>
            <w:tcW w:w="15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48177032" w14:textId="77777777" w:rsidR="003544EB" w:rsidRDefault="00000000">
            <w:pPr>
              <w:spacing w:line="260" w:lineRule="auto"/>
              <w:jc w:val="center"/>
            </w:pPr>
            <w:r>
              <w:rPr>
                <w:rFonts w:eastAsia="Times New Roman"/>
                <w:b/>
                <w:bCs/>
                <w:sz w:val="22"/>
                <w:szCs w:val="22"/>
              </w:rPr>
              <w:t>Rate / 100 k</w:t>
            </w:r>
          </w:p>
        </w:tc>
        <w:tc>
          <w:tcPr>
            <w:tcW w:w="24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4637F92B" w14:textId="77777777" w:rsidR="003544EB" w:rsidRDefault="00000000">
            <w:pPr>
              <w:spacing w:line="260" w:lineRule="auto"/>
              <w:jc w:val="center"/>
            </w:pPr>
            <w:r>
              <w:rPr>
                <w:rFonts w:eastAsia="Times New Roman"/>
                <w:b/>
                <w:bCs/>
                <w:sz w:val="22"/>
                <w:szCs w:val="22"/>
              </w:rPr>
              <w:t>IRR (95% CI)</w:t>
            </w:r>
          </w:p>
        </w:tc>
      </w:tr>
      <w:tr w:rsidR="003544EB" w14:paraId="09051CF5" w14:textId="77777777">
        <w:tblPrEx>
          <w:tblCellMar>
            <w:top w:w="0" w:type="dxa"/>
            <w:bottom w:w="0" w:type="dxa"/>
          </w:tblCellMar>
        </w:tblPrEx>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904AC50" w14:textId="77777777" w:rsidR="003544EB" w:rsidRDefault="00000000">
            <w:pPr>
              <w:spacing w:line="260" w:lineRule="auto"/>
            </w:pPr>
            <w:r>
              <w:rPr>
                <w:rFonts w:eastAsia="Times New Roman"/>
                <w:sz w:val="22"/>
                <w:szCs w:val="22"/>
              </w:rPr>
              <w:t>0-9</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353238D" w14:textId="77777777" w:rsidR="003544EB" w:rsidRDefault="00000000">
            <w:pPr>
              <w:spacing w:line="260" w:lineRule="auto"/>
              <w:jc w:val="center"/>
            </w:pPr>
            <w:r>
              <w:rPr>
                <w:rFonts w:eastAsia="Times New Roman"/>
                <w:sz w:val="22"/>
                <w:szCs w:val="22"/>
              </w:rPr>
              <w:t>224</w:t>
            </w:r>
          </w:p>
        </w:tc>
        <w:tc>
          <w:tcPr>
            <w:tcW w:w="20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7878B52" w14:textId="77777777" w:rsidR="003544EB" w:rsidRDefault="00000000">
            <w:pPr>
              <w:spacing w:line="260" w:lineRule="auto"/>
              <w:jc w:val="center"/>
            </w:pPr>
            <w:r>
              <w:rPr>
                <w:rFonts w:eastAsia="Times New Roman"/>
                <w:sz w:val="22"/>
                <w:szCs w:val="22"/>
              </w:rPr>
              <w:t>58,299,849</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5F8C459" w14:textId="77777777" w:rsidR="003544EB" w:rsidRDefault="00000000">
            <w:pPr>
              <w:spacing w:line="260" w:lineRule="auto"/>
              <w:jc w:val="center"/>
            </w:pPr>
            <w:r>
              <w:rPr>
                <w:rFonts w:eastAsia="Times New Roman"/>
                <w:sz w:val="22"/>
                <w:szCs w:val="22"/>
              </w:rPr>
              <w:t>0.38</w:t>
            </w:r>
          </w:p>
        </w:tc>
        <w:tc>
          <w:tcPr>
            <w:tcW w:w="24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391520A" w14:textId="77777777" w:rsidR="003544EB" w:rsidRDefault="00000000">
            <w:pPr>
              <w:spacing w:line="260" w:lineRule="auto"/>
              <w:jc w:val="center"/>
            </w:pPr>
            <w:r>
              <w:rPr>
                <w:rFonts w:eastAsia="Times New Roman"/>
                <w:sz w:val="22"/>
                <w:szCs w:val="22"/>
              </w:rPr>
              <w:t>Reference</w:t>
            </w:r>
          </w:p>
        </w:tc>
      </w:tr>
      <w:tr w:rsidR="003544EB" w14:paraId="3FF581A0" w14:textId="77777777">
        <w:tblPrEx>
          <w:tblCellMar>
            <w:top w:w="0" w:type="dxa"/>
            <w:bottom w:w="0" w:type="dxa"/>
          </w:tblCellMar>
        </w:tblPrEx>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43495E2" w14:textId="77777777" w:rsidR="003544EB" w:rsidRDefault="00000000">
            <w:pPr>
              <w:spacing w:line="260" w:lineRule="auto"/>
            </w:pPr>
            <w:r>
              <w:rPr>
                <w:rFonts w:eastAsia="Times New Roman"/>
                <w:sz w:val="22"/>
                <w:szCs w:val="22"/>
              </w:rPr>
              <w:t>10-19</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066BF65" w14:textId="77777777" w:rsidR="003544EB" w:rsidRDefault="00000000">
            <w:pPr>
              <w:spacing w:line="260" w:lineRule="auto"/>
              <w:jc w:val="center"/>
            </w:pPr>
            <w:r>
              <w:rPr>
                <w:rFonts w:eastAsia="Times New Roman"/>
                <w:sz w:val="22"/>
                <w:szCs w:val="22"/>
              </w:rPr>
              <w:t>1,374</w:t>
            </w:r>
          </w:p>
        </w:tc>
        <w:tc>
          <w:tcPr>
            <w:tcW w:w="20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0C93352" w14:textId="77777777" w:rsidR="003544EB" w:rsidRDefault="00000000">
            <w:pPr>
              <w:spacing w:line="260" w:lineRule="auto"/>
              <w:jc w:val="center"/>
            </w:pPr>
            <w:r>
              <w:rPr>
                <w:rFonts w:eastAsia="Times New Roman"/>
                <w:sz w:val="22"/>
                <w:szCs w:val="22"/>
              </w:rPr>
              <w:t>75,536,877</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1C2C261" w14:textId="77777777" w:rsidR="003544EB" w:rsidRDefault="00000000">
            <w:pPr>
              <w:spacing w:line="260" w:lineRule="auto"/>
              <w:jc w:val="center"/>
            </w:pPr>
            <w:r>
              <w:rPr>
                <w:rFonts w:eastAsia="Times New Roman"/>
                <w:sz w:val="22"/>
                <w:szCs w:val="22"/>
              </w:rPr>
              <w:t>1.82</w:t>
            </w:r>
          </w:p>
        </w:tc>
        <w:tc>
          <w:tcPr>
            <w:tcW w:w="24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7A7EB2A" w14:textId="77777777" w:rsidR="003544EB" w:rsidRDefault="00000000">
            <w:pPr>
              <w:spacing w:line="260" w:lineRule="auto"/>
              <w:jc w:val="center"/>
            </w:pPr>
            <w:r>
              <w:rPr>
                <w:rFonts w:eastAsia="Times New Roman"/>
                <w:sz w:val="22"/>
                <w:szCs w:val="22"/>
              </w:rPr>
              <w:t>4.73 (4.11–5.45)</w:t>
            </w:r>
          </w:p>
        </w:tc>
      </w:tr>
      <w:tr w:rsidR="003544EB" w14:paraId="15717998" w14:textId="77777777">
        <w:tblPrEx>
          <w:tblCellMar>
            <w:top w:w="0" w:type="dxa"/>
            <w:bottom w:w="0" w:type="dxa"/>
          </w:tblCellMar>
        </w:tblPrEx>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87AA905" w14:textId="77777777" w:rsidR="003544EB" w:rsidRDefault="00000000">
            <w:pPr>
              <w:spacing w:line="260" w:lineRule="auto"/>
            </w:pPr>
            <w:r>
              <w:rPr>
                <w:rFonts w:eastAsia="Times New Roman"/>
                <w:sz w:val="22"/>
                <w:szCs w:val="22"/>
              </w:rPr>
              <w:t>20-29</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4B3131D" w14:textId="77777777" w:rsidR="003544EB" w:rsidRDefault="00000000">
            <w:pPr>
              <w:spacing w:line="260" w:lineRule="auto"/>
              <w:jc w:val="center"/>
            </w:pPr>
            <w:r>
              <w:rPr>
                <w:rFonts w:eastAsia="Times New Roman"/>
                <w:sz w:val="22"/>
                <w:szCs w:val="22"/>
              </w:rPr>
              <w:t>8,844</w:t>
            </w:r>
          </w:p>
        </w:tc>
        <w:tc>
          <w:tcPr>
            <w:tcW w:w="20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4F10167" w14:textId="77777777" w:rsidR="003544EB" w:rsidRDefault="00000000">
            <w:pPr>
              <w:spacing w:line="260" w:lineRule="auto"/>
              <w:jc w:val="center"/>
            </w:pPr>
            <w:r>
              <w:rPr>
                <w:rFonts w:eastAsia="Times New Roman"/>
                <w:sz w:val="22"/>
                <w:szCs w:val="22"/>
              </w:rPr>
              <w:t>92,849,885</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CCF72EF" w14:textId="77777777" w:rsidR="003544EB" w:rsidRDefault="00000000">
            <w:pPr>
              <w:spacing w:line="260" w:lineRule="auto"/>
              <w:jc w:val="center"/>
            </w:pPr>
            <w:r>
              <w:rPr>
                <w:rFonts w:eastAsia="Times New Roman"/>
                <w:sz w:val="22"/>
                <w:szCs w:val="22"/>
              </w:rPr>
              <w:t>9.53</w:t>
            </w:r>
          </w:p>
        </w:tc>
        <w:tc>
          <w:tcPr>
            <w:tcW w:w="24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D78FC3D" w14:textId="77777777" w:rsidR="003544EB" w:rsidRDefault="00000000">
            <w:pPr>
              <w:spacing w:line="260" w:lineRule="auto"/>
              <w:jc w:val="center"/>
            </w:pPr>
            <w:r>
              <w:rPr>
                <w:rFonts w:eastAsia="Times New Roman"/>
                <w:sz w:val="22"/>
                <w:szCs w:val="22"/>
              </w:rPr>
              <w:t>24.79 (21.71–28.30)</w:t>
            </w:r>
          </w:p>
        </w:tc>
      </w:tr>
      <w:tr w:rsidR="003544EB" w14:paraId="6B49206B" w14:textId="77777777">
        <w:tblPrEx>
          <w:tblCellMar>
            <w:top w:w="0" w:type="dxa"/>
            <w:bottom w:w="0" w:type="dxa"/>
          </w:tblCellMar>
        </w:tblPrEx>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D526FFF" w14:textId="77777777" w:rsidR="003544EB" w:rsidRDefault="00000000">
            <w:pPr>
              <w:spacing w:line="260" w:lineRule="auto"/>
            </w:pPr>
            <w:r>
              <w:rPr>
                <w:rFonts w:eastAsia="Times New Roman"/>
                <w:sz w:val="22"/>
                <w:szCs w:val="22"/>
              </w:rPr>
              <w:t>30-39</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E9F50D2" w14:textId="77777777" w:rsidR="003544EB" w:rsidRDefault="00000000">
            <w:pPr>
              <w:spacing w:line="260" w:lineRule="auto"/>
              <w:jc w:val="center"/>
            </w:pPr>
            <w:r>
              <w:rPr>
                <w:rFonts w:eastAsia="Times New Roman"/>
                <w:sz w:val="22"/>
                <w:szCs w:val="22"/>
              </w:rPr>
              <w:t>19,448</w:t>
            </w:r>
          </w:p>
        </w:tc>
        <w:tc>
          <w:tcPr>
            <w:tcW w:w="20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0EC5131" w14:textId="77777777" w:rsidR="003544EB" w:rsidRDefault="00000000">
            <w:pPr>
              <w:spacing w:line="260" w:lineRule="auto"/>
              <w:jc w:val="center"/>
            </w:pPr>
            <w:r>
              <w:rPr>
                <w:rFonts w:eastAsia="Times New Roman"/>
                <w:sz w:val="22"/>
                <w:szCs w:val="22"/>
              </w:rPr>
              <w:t>102,725,475</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4F3BAE3" w14:textId="77777777" w:rsidR="003544EB" w:rsidRDefault="00000000">
            <w:pPr>
              <w:spacing w:line="260" w:lineRule="auto"/>
              <w:jc w:val="center"/>
            </w:pPr>
            <w:r>
              <w:rPr>
                <w:rFonts w:eastAsia="Times New Roman"/>
                <w:sz w:val="22"/>
                <w:szCs w:val="22"/>
              </w:rPr>
              <w:t>18.93</w:t>
            </w:r>
          </w:p>
        </w:tc>
        <w:tc>
          <w:tcPr>
            <w:tcW w:w="24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5557A7E" w14:textId="77777777" w:rsidR="003544EB" w:rsidRDefault="00000000">
            <w:pPr>
              <w:spacing w:line="260" w:lineRule="auto"/>
              <w:jc w:val="center"/>
            </w:pPr>
            <w:r>
              <w:rPr>
                <w:rFonts w:eastAsia="Times New Roman"/>
                <w:sz w:val="22"/>
                <w:szCs w:val="22"/>
              </w:rPr>
              <w:t>49.27 (43.19–56.19)</w:t>
            </w:r>
          </w:p>
        </w:tc>
      </w:tr>
      <w:tr w:rsidR="003544EB" w14:paraId="66DB7AEB" w14:textId="77777777">
        <w:tblPrEx>
          <w:tblCellMar>
            <w:top w:w="0" w:type="dxa"/>
            <w:bottom w:w="0" w:type="dxa"/>
          </w:tblCellMar>
        </w:tblPrEx>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F6D913E" w14:textId="77777777" w:rsidR="003544EB" w:rsidRDefault="00000000">
            <w:pPr>
              <w:spacing w:line="260" w:lineRule="auto"/>
            </w:pPr>
            <w:r>
              <w:rPr>
                <w:rFonts w:eastAsia="Times New Roman"/>
                <w:sz w:val="22"/>
                <w:szCs w:val="22"/>
              </w:rPr>
              <w:t>40-49</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969F8C6" w14:textId="77777777" w:rsidR="003544EB" w:rsidRDefault="00000000">
            <w:pPr>
              <w:spacing w:line="260" w:lineRule="auto"/>
              <w:jc w:val="center"/>
            </w:pPr>
            <w:r>
              <w:rPr>
                <w:rFonts w:eastAsia="Times New Roman"/>
                <w:sz w:val="22"/>
                <w:szCs w:val="22"/>
              </w:rPr>
              <w:t>16,405</w:t>
            </w:r>
          </w:p>
        </w:tc>
        <w:tc>
          <w:tcPr>
            <w:tcW w:w="20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179AA81" w14:textId="77777777" w:rsidR="003544EB" w:rsidRDefault="00000000">
            <w:pPr>
              <w:spacing w:line="260" w:lineRule="auto"/>
              <w:jc w:val="center"/>
            </w:pPr>
            <w:r>
              <w:rPr>
                <w:rFonts w:eastAsia="Times New Roman"/>
                <w:sz w:val="22"/>
                <w:szCs w:val="22"/>
              </w:rPr>
              <w:t>119,104,679</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38F0A41" w14:textId="77777777" w:rsidR="003544EB" w:rsidRDefault="00000000">
            <w:pPr>
              <w:spacing w:line="260" w:lineRule="auto"/>
              <w:jc w:val="center"/>
            </w:pPr>
            <w:r>
              <w:rPr>
                <w:rFonts w:eastAsia="Times New Roman"/>
                <w:sz w:val="22"/>
                <w:szCs w:val="22"/>
              </w:rPr>
              <w:t>13.77</w:t>
            </w:r>
          </w:p>
        </w:tc>
        <w:tc>
          <w:tcPr>
            <w:tcW w:w="24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1892EF6" w14:textId="77777777" w:rsidR="003544EB" w:rsidRDefault="00000000">
            <w:pPr>
              <w:spacing w:line="260" w:lineRule="auto"/>
              <w:jc w:val="center"/>
            </w:pPr>
            <w:r>
              <w:rPr>
                <w:rFonts w:eastAsia="Times New Roman"/>
                <w:sz w:val="22"/>
                <w:szCs w:val="22"/>
              </w:rPr>
              <w:t>35.85 (31.42–40.89)</w:t>
            </w:r>
          </w:p>
        </w:tc>
      </w:tr>
      <w:tr w:rsidR="003544EB" w14:paraId="62A08893" w14:textId="77777777">
        <w:tblPrEx>
          <w:tblCellMar>
            <w:top w:w="0" w:type="dxa"/>
            <w:bottom w:w="0" w:type="dxa"/>
          </w:tblCellMar>
        </w:tblPrEx>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D076443" w14:textId="77777777" w:rsidR="003544EB" w:rsidRDefault="00000000">
            <w:pPr>
              <w:spacing w:line="260" w:lineRule="auto"/>
            </w:pPr>
            <w:r>
              <w:rPr>
                <w:rFonts w:eastAsia="Times New Roman"/>
                <w:sz w:val="22"/>
                <w:szCs w:val="22"/>
              </w:rPr>
              <w:t>50-59</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F9E1E7A" w14:textId="77777777" w:rsidR="003544EB" w:rsidRDefault="00000000">
            <w:pPr>
              <w:spacing w:line="260" w:lineRule="auto"/>
              <w:jc w:val="center"/>
            </w:pPr>
            <w:r>
              <w:rPr>
                <w:rFonts w:eastAsia="Times New Roman"/>
                <w:sz w:val="22"/>
                <w:szCs w:val="22"/>
              </w:rPr>
              <w:t>5,042</w:t>
            </w:r>
          </w:p>
        </w:tc>
        <w:tc>
          <w:tcPr>
            <w:tcW w:w="20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0041ABE" w14:textId="77777777" w:rsidR="003544EB" w:rsidRDefault="00000000">
            <w:pPr>
              <w:spacing w:line="260" w:lineRule="auto"/>
              <w:jc w:val="center"/>
            </w:pPr>
            <w:r>
              <w:rPr>
                <w:rFonts w:eastAsia="Times New Roman"/>
                <w:sz w:val="22"/>
                <w:szCs w:val="22"/>
              </w:rPr>
              <w:t>117,727,056</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882BE91" w14:textId="77777777" w:rsidR="003544EB" w:rsidRDefault="00000000">
            <w:pPr>
              <w:spacing w:line="260" w:lineRule="auto"/>
              <w:jc w:val="center"/>
            </w:pPr>
            <w:r>
              <w:rPr>
                <w:rFonts w:eastAsia="Times New Roman"/>
                <w:sz w:val="22"/>
                <w:szCs w:val="22"/>
              </w:rPr>
              <w:t>4.28</w:t>
            </w:r>
          </w:p>
        </w:tc>
        <w:tc>
          <w:tcPr>
            <w:tcW w:w="24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AD5AED2" w14:textId="77777777" w:rsidR="003544EB" w:rsidRDefault="00000000">
            <w:pPr>
              <w:spacing w:line="260" w:lineRule="auto"/>
              <w:jc w:val="center"/>
            </w:pPr>
            <w:r>
              <w:rPr>
                <w:rFonts w:eastAsia="Times New Roman"/>
                <w:sz w:val="22"/>
                <w:szCs w:val="22"/>
              </w:rPr>
              <w:t>11.15 (9.75–12.74)</w:t>
            </w:r>
          </w:p>
        </w:tc>
      </w:tr>
      <w:tr w:rsidR="003544EB" w14:paraId="23BCAFE6" w14:textId="77777777">
        <w:tblPrEx>
          <w:tblCellMar>
            <w:top w:w="0" w:type="dxa"/>
            <w:bottom w:w="0" w:type="dxa"/>
          </w:tblCellMar>
        </w:tblPrEx>
        <w:tc>
          <w:tcPr>
            <w:tcW w:w="11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3A46AE2" w14:textId="77777777" w:rsidR="003544EB" w:rsidRDefault="00000000">
            <w:pPr>
              <w:spacing w:line="260" w:lineRule="auto"/>
            </w:pPr>
            <w:r>
              <w:rPr>
                <w:rFonts w:eastAsia="Times New Roman"/>
                <w:sz w:val="22"/>
                <w:szCs w:val="22"/>
              </w:rPr>
              <w:t>60-69</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5A54722" w14:textId="77777777" w:rsidR="003544EB" w:rsidRDefault="00000000">
            <w:pPr>
              <w:spacing w:line="260" w:lineRule="auto"/>
              <w:jc w:val="center"/>
            </w:pPr>
            <w:r>
              <w:rPr>
                <w:rFonts w:eastAsia="Times New Roman"/>
                <w:sz w:val="22"/>
                <w:szCs w:val="22"/>
              </w:rPr>
              <w:t>1,727</w:t>
            </w:r>
          </w:p>
        </w:tc>
        <w:tc>
          <w:tcPr>
            <w:tcW w:w="20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0A68D77" w14:textId="77777777" w:rsidR="003544EB" w:rsidRDefault="00000000">
            <w:pPr>
              <w:spacing w:line="260" w:lineRule="auto"/>
              <w:jc w:val="center"/>
            </w:pPr>
            <w:r>
              <w:rPr>
                <w:rFonts w:eastAsia="Times New Roman"/>
                <w:sz w:val="22"/>
                <w:szCs w:val="22"/>
              </w:rPr>
              <w:t>82,965,932</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08DC4DB" w14:textId="77777777" w:rsidR="003544EB" w:rsidRDefault="00000000">
            <w:pPr>
              <w:spacing w:line="260" w:lineRule="auto"/>
              <w:jc w:val="center"/>
            </w:pPr>
            <w:r>
              <w:rPr>
                <w:rFonts w:eastAsia="Times New Roman"/>
                <w:sz w:val="22"/>
                <w:szCs w:val="22"/>
              </w:rPr>
              <w:t>2.08</w:t>
            </w:r>
          </w:p>
        </w:tc>
        <w:tc>
          <w:tcPr>
            <w:tcW w:w="24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9C5C8FF" w14:textId="77777777" w:rsidR="003544EB" w:rsidRDefault="00000000">
            <w:pPr>
              <w:spacing w:line="260" w:lineRule="auto"/>
              <w:jc w:val="center"/>
            </w:pPr>
            <w:r>
              <w:rPr>
                <w:rFonts w:eastAsia="Times New Roman"/>
                <w:sz w:val="22"/>
                <w:szCs w:val="22"/>
              </w:rPr>
              <w:t>5.42 (4.71–6.22)</w:t>
            </w:r>
          </w:p>
        </w:tc>
      </w:tr>
      <w:tr w:rsidR="003544EB" w14:paraId="38E16F6C" w14:textId="77777777">
        <w:tblPrEx>
          <w:tblCellMar>
            <w:top w:w="0" w:type="dxa"/>
            <w:bottom w:w="0" w:type="dxa"/>
          </w:tblCellMar>
        </w:tblPrEx>
        <w:tc>
          <w:tcPr>
            <w:tcW w:w="11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18B4D0CD" w14:textId="77777777" w:rsidR="003544EB" w:rsidRDefault="00000000">
            <w:pPr>
              <w:spacing w:line="260" w:lineRule="auto"/>
            </w:pPr>
            <w:r>
              <w:rPr>
                <w:rFonts w:eastAsia="Times New Roman"/>
                <w:sz w:val="22"/>
                <w:szCs w:val="22"/>
              </w:rPr>
              <w:t>70+</w:t>
            </w:r>
          </w:p>
        </w:tc>
        <w:tc>
          <w:tcPr>
            <w:tcW w:w="15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6BBB1A2E" w14:textId="77777777" w:rsidR="003544EB" w:rsidRDefault="00000000">
            <w:pPr>
              <w:spacing w:line="260" w:lineRule="auto"/>
              <w:jc w:val="center"/>
            </w:pPr>
            <w:r>
              <w:rPr>
                <w:rFonts w:eastAsia="Times New Roman"/>
                <w:sz w:val="22"/>
                <w:szCs w:val="22"/>
              </w:rPr>
              <w:t>1,563</w:t>
            </w:r>
          </w:p>
        </w:tc>
        <w:tc>
          <w:tcPr>
            <w:tcW w:w="20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03E846C5" w14:textId="77777777" w:rsidR="003544EB" w:rsidRDefault="00000000">
            <w:pPr>
              <w:spacing w:line="260" w:lineRule="auto"/>
              <w:jc w:val="center"/>
            </w:pPr>
            <w:r>
              <w:rPr>
                <w:rFonts w:eastAsia="Times New Roman"/>
                <w:sz w:val="22"/>
                <w:szCs w:val="22"/>
              </w:rPr>
              <w:t>72,261,948</w:t>
            </w:r>
          </w:p>
        </w:tc>
        <w:tc>
          <w:tcPr>
            <w:tcW w:w="15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00EFAC97" w14:textId="77777777" w:rsidR="003544EB" w:rsidRDefault="00000000">
            <w:pPr>
              <w:spacing w:line="260" w:lineRule="auto"/>
              <w:jc w:val="center"/>
            </w:pPr>
            <w:r>
              <w:rPr>
                <w:rFonts w:eastAsia="Times New Roman"/>
                <w:sz w:val="22"/>
                <w:szCs w:val="22"/>
              </w:rPr>
              <w:t>2.16</w:t>
            </w:r>
          </w:p>
        </w:tc>
        <w:tc>
          <w:tcPr>
            <w:tcW w:w="24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05BCD91A" w14:textId="77777777" w:rsidR="003544EB" w:rsidRDefault="00000000">
            <w:pPr>
              <w:spacing w:line="260" w:lineRule="auto"/>
              <w:jc w:val="center"/>
            </w:pPr>
            <w:r>
              <w:rPr>
                <w:rFonts w:eastAsia="Times New Roman"/>
                <w:sz w:val="22"/>
                <w:szCs w:val="22"/>
              </w:rPr>
              <w:t>5.63 (4.89–6.47)</w:t>
            </w:r>
          </w:p>
        </w:tc>
      </w:tr>
    </w:tbl>
    <w:p w14:paraId="3B7C5152" w14:textId="77777777" w:rsidR="003544EB" w:rsidRDefault="00000000">
      <w:pPr>
        <w:spacing w:after="360" w:line="480" w:lineRule="auto"/>
        <w:jc w:val="both"/>
      </w:pPr>
      <w:r>
        <w:rPr>
          <w:rFonts w:eastAsia="Times New Roman"/>
          <w:sz w:val="22"/>
          <w:szCs w:val="22"/>
        </w:rPr>
        <w:t xml:space="preserve">Pooled male-to-female IRR = 1.312 (1.290-1.334) (exact Poisson). Annual </w:t>
      </w:r>
      <w:proofErr w:type="gramStart"/>
      <w:r>
        <w:rPr>
          <w:rFonts w:eastAsia="Times New Roman"/>
          <w:sz w:val="22"/>
          <w:szCs w:val="22"/>
        </w:rPr>
        <w:t>M:F</w:t>
      </w:r>
      <w:proofErr w:type="gramEnd"/>
      <w:r>
        <w:rPr>
          <w:rFonts w:eastAsia="Times New Roman"/>
          <w:sz w:val="22"/>
          <w:szCs w:val="22"/>
        </w:rPr>
        <w:t xml:space="preserve"> IRR Hamed–Rao MK τ = -0.758, p = 0.0002.</w:t>
      </w:r>
    </w:p>
    <w:p w14:paraId="2B48992C" w14:textId="77777777" w:rsidR="003544EB" w:rsidRDefault="00000000">
      <w:r>
        <w:br w:type="page"/>
      </w:r>
    </w:p>
    <w:p w14:paraId="1B28F36B" w14:textId="77777777" w:rsidR="003544EB" w:rsidRDefault="00000000">
      <w:pPr>
        <w:pStyle w:val="2"/>
        <w:spacing w:before="240" w:after="160" w:line="480" w:lineRule="auto"/>
      </w:pPr>
      <w:r>
        <w:rPr>
          <w:rFonts w:eastAsia="Times New Roman"/>
          <w:b/>
          <w:bCs/>
          <w:color w:val="000000"/>
        </w:rPr>
        <w:lastRenderedPageBreak/>
        <w:t xml:space="preserve">Table 4.  Local Moran's I (LISA) for the 16 </w:t>
      </w:r>
      <w:proofErr w:type="spellStart"/>
      <w:r>
        <w:rPr>
          <w:rFonts w:eastAsia="Times New Roman"/>
          <w:b/>
          <w:bCs/>
          <w:color w:val="000000"/>
        </w:rPr>
        <w:t>analysed</w:t>
      </w:r>
      <w:proofErr w:type="spellEnd"/>
      <w:r>
        <w:rPr>
          <w:rFonts w:eastAsia="Times New Roman"/>
          <w:b/>
          <w:bCs/>
          <w:color w:val="000000"/>
        </w:rPr>
        <w:t xml:space="preserve"> provinces, baseline Queen + KNN-2 weights, 999 conditional permutations</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10" w:type="dxa"/>
          <w:right w:w="10" w:type="dxa"/>
        </w:tblCellMar>
        <w:tblLook w:val="0000" w:firstRow="0" w:lastRow="0" w:firstColumn="0" w:lastColumn="0" w:noHBand="0" w:noVBand="0"/>
      </w:tblPr>
      <w:tblGrid>
        <w:gridCol w:w="1611"/>
        <w:gridCol w:w="1612"/>
        <w:gridCol w:w="1397"/>
        <w:gridCol w:w="1397"/>
        <w:gridCol w:w="1397"/>
        <w:gridCol w:w="1612"/>
      </w:tblGrid>
      <w:tr w:rsidR="003544EB" w14:paraId="010CE6A3" w14:textId="77777777">
        <w:tblPrEx>
          <w:tblCellMar>
            <w:top w:w="0" w:type="dxa"/>
            <w:bottom w:w="0" w:type="dxa"/>
          </w:tblCellMar>
        </w:tblPrEx>
        <w:tc>
          <w:tcPr>
            <w:tcW w:w="15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0D0F1FD3" w14:textId="77777777" w:rsidR="003544EB" w:rsidRDefault="00000000">
            <w:pPr>
              <w:spacing w:line="260" w:lineRule="auto"/>
            </w:pPr>
            <w:r>
              <w:rPr>
                <w:rFonts w:eastAsia="Times New Roman"/>
                <w:b/>
                <w:bCs/>
                <w:sz w:val="22"/>
                <w:szCs w:val="22"/>
              </w:rPr>
              <w:t>Province</w:t>
            </w:r>
          </w:p>
        </w:tc>
        <w:tc>
          <w:tcPr>
            <w:tcW w:w="15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18448DDD" w14:textId="77777777" w:rsidR="003544EB" w:rsidRDefault="00000000">
            <w:pPr>
              <w:spacing w:line="260" w:lineRule="auto"/>
              <w:jc w:val="center"/>
            </w:pPr>
            <w:r>
              <w:rPr>
                <w:rFonts w:eastAsia="Times New Roman"/>
                <w:b/>
                <w:bCs/>
                <w:sz w:val="22"/>
                <w:szCs w:val="22"/>
              </w:rPr>
              <w:t>Rate / 100 k</w:t>
            </w:r>
          </w:p>
        </w:tc>
        <w:tc>
          <w:tcPr>
            <w:tcW w:w="13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19031135" w14:textId="77777777" w:rsidR="003544EB" w:rsidRDefault="00000000">
            <w:pPr>
              <w:spacing w:line="260" w:lineRule="auto"/>
              <w:jc w:val="center"/>
            </w:pPr>
            <w:r>
              <w:rPr>
                <w:rFonts w:eastAsia="Times New Roman"/>
                <w:b/>
                <w:bCs/>
                <w:sz w:val="22"/>
                <w:szCs w:val="22"/>
              </w:rPr>
              <w:t>Iᵢ</w:t>
            </w:r>
          </w:p>
        </w:tc>
        <w:tc>
          <w:tcPr>
            <w:tcW w:w="13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25B7E164" w14:textId="77777777" w:rsidR="003544EB" w:rsidRDefault="00000000">
            <w:pPr>
              <w:spacing w:line="260" w:lineRule="auto"/>
              <w:jc w:val="center"/>
            </w:pPr>
            <w:r>
              <w:rPr>
                <w:rFonts w:eastAsia="Times New Roman"/>
                <w:b/>
                <w:bCs/>
                <w:sz w:val="22"/>
                <w:szCs w:val="22"/>
              </w:rPr>
              <w:t>p (perm)</w:t>
            </w:r>
          </w:p>
        </w:tc>
        <w:tc>
          <w:tcPr>
            <w:tcW w:w="13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1A4E8994" w14:textId="77777777" w:rsidR="003544EB" w:rsidRDefault="00000000">
            <w:pPr>
              <w:spacing w:line="260" w:lineRule="auto"/>
              <w:jc w:val="center"/>
            </w:pPr>
            <w:r>
              <w:rPr>
                <w:rFonts w:eastAsia="Times New Roman"/>
                <w:b/>
                <w:bCs/>
                <w:sz w:val="22"/>
                <w:szCs w:val="22"/>
              </w:rPr>
              <w:t>Quadrant</w:t>
            </w:r>
          </w:p>
        </w:tc>
        <w:tc>
          <w:tcPr>
            <w:tcW w:w="1500" w:type="dxa"/>
            <w:tcBorders>
              <w:top w:val="single" w:sz="12" w:space="0" w:color="000000"/>
              <w:left w:val="none" w:sz="0" w:space="0" w:color="FFFFFF"/>
              <w:bottom w:val="single" w:sz="6" w:space="0" w:color="000000"/>
              <w:right w:val="none" w:sz="0" w:space="0" w:color="FFFFFF"/>
            </w:tcBorders>
            <w:tcMar>
              <w:top w:w="80" w:type="dxa"/>
              <w:left w:w="80" w:type="dxa"/>
              <w:bottom w:w="80" w:type="dxa"/>
              <w:right w:w="80" w:type="dxa"/>
            </w:tcMar>
          </w:tcPr>
          <w:p w14:paraId="5200BAD9" w14:textId="77777777" w:rsidR="003544EB" w:rsidRDefault="00000000">
            <w:pPr>
              <w:spacing w:line="260" w:lineRule="auto"/>
              <w:jc w:val="center"/>
            </w:pPr>
            <w:r>
              <w:rPr>
                <w:rFonts w:eastAsia="Times New Roman"/>
                <w:b/>
                <w:bCs/>
                <w:sz w:val="22"/>
                <w:szCs w:val="22"/>
              </w:rPr>
              <w:t>Significant 5%</w:t>
            </w:r>
          </w:p>
        </w:tc>
      </w:tr>
      <w:tr w:rsidR="003544EB" w14:paraId="7C313346" w14:textId="77777777">
        <w:tblPrEx>
          <w:tblCellMar>
            <w:top w:w="0" w:type="dxa"/>
            <w:bottom w:w="0" w:type="dxa"/>
          </w:tblCellMar>
        </w:tblPrEx>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6F8997C" w14:textId="77777777" w:rsidR="003544EB" w:rsidRDefault="00000000">
            <w:pPr>
              <w:spacing w:line="260" w:lineRule="auto"/>
            </w:pPr>
            <w:proofErr w:type="spellStart"/>
            <w:r>
              <w:rPr>
                <w:rFonts w:eastAsia="Times New Roman"/>
                <w:sz w:val="22"/>
                <w:szCs w:val="22"/>
              </w:rPr>
              <w:t>Chungnam</w:t>
            </w:r>
            <w:proofErr w:type="spellEnd"/>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A251292" w14:textId="77777777" w:rsidR="003544EB" w:rsidRDefault="00000000">
            <w:pPr>
              <w:spacing w:line="260" w:lineRule="auto"/>
              <w:jc w:val="center"/>
            </w:pPr>
            <w:r>
              <w:rPr>
                <w:rFonts w:eastAsia="Times New Roman"/>
                <w:sz w:val="22"/>
                <w:szCs w:val="22"/>
              </w:rPr>
              <w:t>12.25</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B465F41" w14:textId="77777777" w:rsidR="003544EB" w:rsidRDefault="00000000">
            <w:pPr>
              <w:spacing w:line="260" w:lineRule="auto"/>
              <w:jc w:val="center"/>
            </w:pPr>
            <w:r>
              <w:rPr>
                <w:rFonts w:eastAsia="Times New Roman"/>
                <w:sz w:val="22"/>
                <w:szCs w:val="22"/>
              </w:rPr>
              <w:t>1.240</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5C10FE3" w14:textId="77777777" w:rsidR="003544EB" w:rsidRDefault="00000000">
            <w:pPr>
              <w:spacing w:line="260" w:lineRule="auto"/>
              <w:jc w:val="center"/>
            </w:pPr>
            <w:r>
              <w:rPr>
                <w:rFonts w:eastAsia="Times New Roman"/>
                <w:sz w:val="22"/>
                <w:szCs w:val="22"/>
              </w:rPr>
              <w:t>0.002</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A8B580D" w14:textId="77777777" w:rsidR="003544EB" w:rsidRDefault="00000000">
            <w:pPr>
              <w:spacing w:line="260" w:lineRule="auto"/>
              <w:jc w:val="center"/>
            </w:pPr>
            <w:r>
              <w:rPr>
                <w:rFonts w:eastAsia="Times New Roman"/>
                <w:sz w:val="22"/>
                <w:szCs w:val="22"/>
              </w:rPr>
              <w:t>HH</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EBDA35E" w14:textId="77777777" w:rsidR="003544EB" w:rsidRDefault="00000000">
            <w:pPr>
              <w:spacing w:line="260" w:lineRule="auto"/>
              <w:jc w:val="center"/>
            </w:pPr>
            <w:r>
              <w:rPr>
                <w:rFonts w:eastAsia="Times New Roman"/>
                <w:sz w:val="22"/>
                <w:szCs w:val="22"/>
              </w:rPr>
              <w:t>Yes</w:t>
            </w:r>
          </w:p>
        </w:tc>
      </w:tr>
      <w:tr w:rsidR="003544EB" w14:paraId="12063D9D" w14:textId="77777777">
        <w:tblPrEx>
          <w:tblCellMar>
            <w:top w:w="0" w:type="dxa"/>
            <w:bottom w:w="0" w:type="dxa"/>
          </w:tblCellMar>
        </w:tblPrEx>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688F474" w14:textId="77777777" w:rsidR="003544EB" w:rsidRDefault="00000000">
            <w:pPr>
              <w:spacing w:line="260" w:lineRule="auto"/>
            </w:pPr>
            <w:proofErr w:type="spellStart"/>
            <w:r>
              <w:rPr>
                <w:rFonts w:eastAsia="Times New Roman"/>
                <w:sz w:val="22"/>
                <w:szCs w:val="22"/>
              </w:rPr>
              <w:t>Gyeongnam</w:t>
            </w:r>
            <w:proofErr w:type="spellEnd"/>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F16A888" w14:textId="77777777" w:rsidR="003544EB" w:rsidRDefault="00000000">
            <w:pPr>
              <w:spacing w:line="260" w:lineRule="auto"/>
              <w:jc w:val="center"/>
            </w:pPr>
            <w:r>
              <w:rPr>
                <w:rFonts w:eastAsia="Times New Roman"/>
                <w:sz w:val="22"/>
                <w:szCs w:val="22"/>
              </w:rPr>
              <w:t>2.28</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34C518F" w14:textId="77777777" w:rsidR="003544EB" w:rsidRDefault="00000000">
            <w:pPr>
              <w:spacing w:line="260" w:lineRule="auto"/>
              <w:jc w:val="center"/>
            </w:pPr>
            <w:r>
              <w:rPr>
                <w:rFonts w:eastAsia="Times New Roman"/>
                <w:sz w:val="22"/>
                <w:szCs w:val="22"/>
              </w:rPr>
              <w:t>0.688</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1E1A0DC" w14:textId="77777777" w:rsidR="003544EB" w:rsidRDefault="00000000">
            <w:pPr>
              <w:spacing w:line="260" w:lineRule="auto"/>
              <w:jc w:val="center"/>
            </w:pPr>
            <w:r>
              <w:rPr>
                <w:rFonts w:eastAsia="Times New Roman"/>
                <w:sz w:val="22"/>
                <w:szCs w:val="22"/>
              </w:rPr>
              <w:t>0.048</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7E4DD75" w14:textId="77777777" w:rsidR="003544EB" w:rsidRDefault="00000000">
            <w:pPr>
              <w:spacing w:line="260" w:lineRule="auto"/>
              <w:jc w:val="center"/>
            </w:pPr>
            <w:r>
              <w:rPr>
                <w:rFonts w:eastAsia="Times New Roman"/>
                <w:sz w:val="22"/>
                <w:szCs w:val="22"/>
              </w:rPr>
              <w:t>LL</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2109A8F" w14:textId="77777777" w:rsidR="003544EB" w:rsidRDefault="00000000">
            <w:pPr>
              <w:spacing w:line="260" w:lineRule="auto"/>
              <w:jc w:val="center"/>
            </w:pPr>
            <w:r>
              <w:rPr>
                <w:rFonts w:eastAsia="Times New Roman"/>
                <w:sz w:val="22"/>
                <w:szCs w:val="22"/>
              </w:rPr>
              <w:t>Yes</w:t>
            </w:r>
          </w:p>
        </w:tc>
      </w:tr>
      <w:tr w:rsidR="003544EB" w14:paraId="7367B40D" w14:textId="77777777">
        <w:tblPrEx>
          <w:tblCellMar>
            <w:top w:w="0" w:type="dxa"/>
            <w:bottom w:w="0" w:type="dxa"/>
          </w:tblCellMar>
        </w:tblPrEx>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4766576" w14:textId="77777777" w:rsidR="003544EB" w:rsidRDefault="00000000">
            <w:pPr>
              <w:spacing w:line="260" w:lineRule="auto"/>
            </w:pPr>
            <w:proofErr w:type="spellStart"/>
            <w:r>
              <w:rPr>
                <w:rFonts w:eastAsia="Times New Roman"/>
                <w:sz w:val="22"/>
                <w:szCs w:val="22"/>
              </w:rPr>
              <w:t>Chungbuk</w:t>
            </w:r>
            <w:proofErr w:type="spellEnd"/>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D1F26E7" w14:textId="77777777" w:rsidR="003544EB" w:rsidRDefault="00000000">
            <w:pPr>
              <w:spacing w:line="260" w:lineRule="auto"/>
              <w:jc w:val="center"/>
            </w:pPr>
            <w:r>
              <w:rPr>
                <w:rFonts w:eastAsia="Times New Roman"/>
                <w:sz w:val="22"/>
                <w:szCs w:val="22"/>
              </w:rPr>
              <w:t>10.16</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F2426E3" w14:textId="77777777" w:rsidR="003544EB" w:rsidRDefault="00000000">
            <w:pPr>
              <w:spacing w:line="260" w:lineRule="auto"/>
              <w:jc w:val="center"/>
            </w:pPr>
            <w:r>
              <w:rPr>
                <w:rFonts w:eastAsia="Times New Roman"/>
                <w:sz w:val="22"/>
                <w:szCs w:val="22"/>
              </w:rPr>
              <w:t>0.411</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8F4AA6E" w14:textId="77777777" w:rsidR="003544EB" w:rsidRDefault="00000000">
            <w:pPr>
              <w:spacing w:line="260" w:lineRule="auto"/>
              <w:jc w:val="center"/>
            </w:pPr>
            <w:r>
              <w:rPr>
                <w:rFonts w:eastAsia="Times New Roman"/>
                <w:sz w:val="22"/>
                <w:szCs w:val="22"/>
              </w:rPr>
              <w:t>0.055</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D3B213E" w14:textId="77777777" w:rsidR="003544EB" w:rsidRDefault="00000000">
            <w:pPr>
              <w:spacing w:line="260" w:lineRule="auto"/>
              <w:jc w:val="center"/>
            </w:pPr>
            <w:r>
              <w:rPr>
                <w:rFonts w:eastAsia="Times New Roman"/>
                <w:sz w:val="22"/>
                <w:szCs w:val="22"/>
              </w:rPr>
              <w:t>HH</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07714DB" w14:textId="77777777" w:rsidR="003544EB" w:rsidRDefault="00000000">
            <w:pPr>
              <w:spacing w:line="260" w:lineRule="auto"/>
              <w:jc w:val="center"/>
            </w:pPr>
            <w:r>
              <w:rPr>
                <w:rFonts w:eastAsia="Times New Roman"/>
                <w:sz w:val="22"/>
                <w:szCs w:val="22"/>
              </w:rPr>
              <w:t>No</w:t>
            </w:r>
          </w:p>
        </w:tc>
      </w:tr>
      <w:tr w:rsidR="003544EB" w14:paraId="48FD66A3" w14:textId="77777777">
        <w:tblPrEx>
          <w:tblCellMar>
            <w:top w:w="0" w:type="dxa"/>
            <w:bottom w:w="0" w:type="dxa"/>
          </w:tblCellMar>
        </w:tblPrEx>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C735427" w14:textId="77777777" w:rsidR="003544EB" w:rsidRDefault="00000000">
            <w:pPr>
              <w:spacing w:line="260" w:lineRule="auto"/>
            </w:pPr>
            <w:r>
              <w:rPr>
                <w:rFonts w:eastAsia="Times New Roman"/>
                <w:sz w:val="22"/>
                <w:szCs w:val="22"/>
              </w:rPr>
              <w:t>Daejeon</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F704419" w14:textId="77777777" w:rsidR="003544EB" w:rsidRDefault="00000000">
            <w:pPr>
              <w:spacing w:line="260" w:lineRule="auto"/>
              <w:jc w:val="center"/>
            </w:pPr>
            <w:r>
              <w:rPr>
                <w:rFonts w:eastAsia="Times New Roman"/>
                <w:sz w:val="22"/>
                <w:szCs w:val="22"/>
              </w:rPr>
              <w:t>19.40</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0F12429" w14:textId="77777777" w:rsidR="003544EB" w:rsidRDefault="00000000">
            <w:pPr>
              <w:spacing w:line="260" w:lineRule="auto"/>
              <w:jc w:val="center"/>
            </w:pPr>
            <w:r>
              <w:rPr>
                <w:rFonts w:eastAsia="Times New Roman"/>
                <w:sz w:val="22"/>
                <w:szCs w:val="22"/>
              </w:rPr>
              <w:t>2.477</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E0511C3" w14:textId="77777777" w:rsidR="003544EB" w:rsidRDefault="00000000">
            <w:pPr>
              <w:spacing w:line="260" w:lineRule="auto"/>
              <w:jc w:val="center"/>
            </w:pPr>
            <w:r>
              <w:rPr>
                <w:rFonts w:eastAsia="Times New Roman"/>
                <w:sz w:val="22"/>
                <w:szCs w:val="22"/>
              </w:rPr>
              <w:t>0.074</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38729A7" w14:textId="77777777" w:rsidR="003544EB" w:rsidRDefault="00000000">
            <w:pPr>
              <w:spacing w:line="260" w:lineRule="auto"/>
              <w:jc w:val="center"/>
            </w:pPr>
            <w:r>
              <w:rPr>
                <w:rFonts w:eastAsia="Times New Roman"/>
                <w:sz w:val="22"/>
                <w:szCs w:val="22"/>
              </w:rPr>
              <w:t>HH</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355ADE8" w14:textId="77777777" w:rsidR="003544EB" w:rsidRDefault="00000000">
            <w:pPr>
              <w:spacing w:line="260" w:lineRule="auto"/>
              <w:jc w:val="center"/>
            </w:pPr>
            <w:r>
              <w:rPr>
                <w:rFonts w:eastAsia="Times New Roman"/>
                <w:sz w:val="22"/>
                <w:szCs w:val="22"/>
              </w:rPr>
              <w:t>No</w:t>
            </w:r>
          </w:p>
        </w:tc>
      </w:tr>
      <w:tr w:rsidR="003544EB" w14:paraId="1384E8DE" w14:textId="77777777">
        <w:tblPrEx>
          <w:tblCellMar>
            <w:top w:w="0" w:type="dxa"/>
            <w:bottom w:w="0" w:type="dxa"/>
          </w:tblCellMar>
        </w:tblPrEx>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C574E63" w14:textId="77777777" w:rsidR="003544EB" w:rsidRDefault="00000000">
            <w:pPr>
              <w:spacing w:line="260" w:lineRule="auto"/>
            </w:pPr>
            <w:r>
              <w:rPr>
                <w:rFonts w:eastAsia="Times New Roman"/>
                <w:sz w:val="22"/>
                <w:szCs w:val="22"/>
              </w:rPr>
              <w:t>Ulsan</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C66F744" w14:textId="77777777" w:rsidR="003544EB" w:rsidRDefault="00000000">
            <w:pPr>
              <w:spacing w:line="260" w:lineRule="auto"/>
              <w:jc w:val="center"/>
            </w:pPr>
            <w:r>
              <w:rPr>
                <w:rFonts w:eastAsia="Times New Roman"/>
                <w:sz w:val="22"/>
                <w:szCs w:val="22"/>
              </w:rPr>
              <w:t>2.58</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528DA9A" w14:textId="77777777" w:rsidR="003544EB" w:rsidRDefault="00000000">
            <w:pPr>
              <w:spacing w:line="260" w:lineRule="auto"/>
              <w:jc w:val="center"/>
            </w:pPr>
            <w:r>
              <w:rPr>
                <w:rFonts w:eastAsia="Times New Roman"/>
                <w:sz w:val="22"/>
                <w:szCs w:val="22"/>
              </w:rPr>
              <w:t>0.906</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B56F2D3" w14:textId="77777777" w:rsidR="003544EB" w:rsidRDefault="00000000">
            <w:pPr>
              <w:spacing w:line="260" w:lineRule="auto"/>
              <w:jc w:val="center"/>
            </w:pPr>
            <w:r>
              <w:rPr>
                <w:rFonts w:eastAsia="Times New Roman"/>
                <w:sz w:val="22"/>
                <w:szCs w:val="22"/>
              </w:rPr>
              <w:t>0.113</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1AE814A" w14:textId="77777777" w:rsidR="003544EB" w:rsidRDefault="00000000">
            <w:pPr>
              <w:spacing w:line="260" w:lineRule="auto"/>
              <w:jc w:val="center"/>
            </w:pPr>
            <w:r>
              <w:rPr>
                <w:rFonts w:eastAsia="Times New Roman"/>
                <w:sz w:val="22"/>
                <w:szCs w:val="22"/>
              </w:rPr>
              <w:t>LL</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EA2B84C" w14:textId="77777777" w:rsidR="003544EB" w:rsidRDefault="00000000">
            <w:pPr>
              <w:spacing w:line="260" w:lineRule="auto"/>
              <w:jc w:val="center"/>
            </w:pPr>
            <w:r>
              <w:rPr>
                <w:rFonts w:eastAsia="Times New Roman"/>
                <w:sz w:val="22"/>
                <w:szCs w:val="22"/>
              </w:rPr>
              <w:t>No</w:t>
            </w:r>
          </w:p>
        </w:tc>
      </w:tr>
      <w:tr w:rsidR="003544EB" w14:paraId="348A8398" w14:textId="77777777">
        <w:tblPrEx>
          <w:tblCellMar>
            <w:top w:w="0" w:type="dxa"/>
            <w:bottom w:w="0" w:type="dxa"/>
          </w:tblCellMar>
        </w:tblPrEx>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CE65B65" w14:textId="77777777" w:rsidR="003544EB" w:rsidRDefault="00000000">
            <w:pPr>
              <w:spacing w:line="260" w:lineRule="auto"/>
            </w:pPr>
            <w:r>
              <w:rPr>
                <w:rFonts w:eastAsia="Times New Roman"/>
                <w:sz w:val="22"/>
                <w:szCs w:val="22"/>
              </w:rPr>
              <w:t>Daegu</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C4D2E39" w14:textId="77777777" w:rsidR="003544EB" w:rsidRDefault="00000000">
            <w:pPr>
              <w:spacing w:line="260" w:lineRule="auto"/>
              <w:jc w:val="center"/>
            </w:pPr>
            <w:r>
              <w:rPr>
                <w:rFonts w:eastAsia="Times New Roman"/>
                <w:sz w:val="22"/>
                <w:szCs w:val="22"/>
              </w:rPr>
              <w:t>2.63</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7F31634" w14:textId="77777777" w:rsidR="003544EB" w:rsidRDefault="00000000">
            <w:pPr>
              <w:spacing w:line="260" w:lineRule="auto"/>
              <w:jc w:val="center"/>
            </w:pPr>
            <w:r>
              <w:rPr>
                <w:rFonts w:eastAsia="Times New Roman"/>
                <w:sz w:val="22"/>
                <w:szCs w:val="22"/>
              </w:rPr>
              <w:t>0.967</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3A78608" w14:textId="77777777" w:rsidR="003544EB" w:rsidRDefault="00000000">
            <w:pPr>
              <w:spacing w:line="260" w:lineRule="auto"/>
              <w:jc w:val="center"/>
            </w:pPr>
            <w:r>
              <w:rPr>
                <w:rFonts w:eastAsia="Times New Roman"/>
                <w:sz w:val="22"/>
                <w:szCs w:val="22"/>
              </w:rPr>
              <w:t>0.128</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CCDC324" w14:textId="77777777" w:rsidR="003544EB" w:rsidRDefault="00000000">
            <w:pPr>
              <w:spacing w:line="260" w:lineRule="auto"/>
              <w:jc w:val="center"/>
            </w:pPr>
            <w:r>
              <w:rPr>
                <w:rFonts w:eastAsia="Times New Roman"/>
                <w:sz w:val="22"/>
                <w:szCs w:val="22"/>
              </w:rPr>
              <w:t>LL</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CC3F492" w14:textId="77777777" w:rsidR="003544EB" w:rsidRDefault="00000000">
            <w:pPr>
              <w:spacing w:line="260" w:lineRule="auto"/>
              <w:jc w:val="center"/>
            </w:pPr>
            <w:r>
              <w:rPr>
                <w:rFonts w:eastAsia="Times New Roman"/>
                <w:sz w:val="22"/>
                <w:szCs w:val="22"/>
              </w:rPr>
              <w:t>No</w:t>
            </w:r>
          </w:p>
        </w:tc>
      </w:tr>
      <w:tr w:rsidR="003544EB" w14:paraId="31F68C59" w14:textId="77777777">
        <w:tblPrEx>
          <w:tblCellMar>
            <w:top w:w="0" w:type="dxa"/>
            <w:bottom w:w="0" w:type="dxa"/>
          </w:tblCellMar>
        </w:tblPrEx>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0E7301E" w14:textId="77777777" w:rsidR="003544EB" w:rsidRDefault="00000000">
            <w:pPr>
              <w:spacing w:line="260" w:lineRule="auto"/>
            </w:pPr>
            <w:r>
              <w:rPr>
                <w:rFonts w:eastAsia="Times New Roman"/>
                <w:sz w:val="22"/>
                <w:szCs w:val="22"/>
              </w:rPr>
              <w:t>Busan</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02DB6D5" w14:textId="77777777" w:rsidR="003544EB" w:rsidRDefault="00000000">
            <w:pPr>
              <w:spacing w:line="260" w:lineRule="auto"/>
              <w:jc w:val="center"/>
            </w:pPr>
            <w:r>
              <w:rPr>
                <w:rFonts w:eastAsia="Times New Roman"/>
                <w:sz w:val="22"/>
                <w:szCs w:val="22"/>
              </w:rPr>
              <w:t>3.63</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4CBCB3D" w14:textId="77777777" w:rsidR="003544EB" w:rsidRDefault="00000000">
            <w:pPr>
              <w:spacing w:line="260" w:lineRule="auto"/>
              <w:jc w:val="center"/>
            </w:pPr>
            <w:r>
              <w:rPr>
                <w:rFonts w:eastAsia="Times New Roman"/>
                <w:sz w:val="22"/>
                <w:szCs w:val="22"/>
              </w:rPr>
              <w:t>0.785</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940D667" w14:textId="77777777" w:rsidR="003544EB" w:rsidRDefault="00000000">
            <w:pPr>
              <w:spacing w:line="260" w:lineRule="auto"/>
              <w:jc w:val="center"/>
            </w:pPr>
            <w:r>
              <w:rPr>
                <w:rFonts w:eastAsia="Times New Roman"/>
                <w:sz w:val="22"/>
                <w:szCs w:val="22"/>
              </w:rPr>
              <w:t>0.142</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76DFD37" w14:textId="77777777" w:rsidR="003544EB" w:rsidRDefault="00000000">
            <w:pPr>
              <w:spacing w:line="260" w:lineRule="auto"/>
              <w:jc w:val="center"/>
            </w:pPr>
            <w:r>
              <w:rPr>
                <w:rFonts w:eastAsia="Times New Roman"/>
                <w:sz w:val="22"/>
                <w:szCs w:val="22"/>
              </w:rPr>
              <w:t>LL</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19811FB" w14:textId="77777777" w:rsidR="003544EB" w:rsidRDefault="00000000">
            <w:pPr>
              <w:spacing w:line="260" w:lineRule="auto"/>
              <w:jc w:val="center"/>
            </w:pPr>
            <w:r>
              <w:rPr>
                <w:rFonts w:eastAsia="Times New Roman"/>
                <w:sz w:val="22"/>
                <w:szCs w:val="22"/>
              </w:rPr>
              <w:t>No</w:t>
            </w:r>
          </w:p>
        </w:tc>
      </w:tr>
      <w:tr w:rsidR="003544EB" w14:paraId="61700832" w14:textId="77777777">
        <w:tblPrEx>
          <w:tblCellMar>
            <w:top w:w="0" w:type="dxa"/>
            <w:bottom w:w="0" w:type="dxa"/>
          </w:tblCellMar>
        </w:tblPrEx>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A72F4B8" w14:textId="77777777" w:rsidR="003544EB" w:rsidRDefault="00000000">
            <w:pPr>
              <w:spacing w:line="260" w:lineRule="auto"/>
            </w:pPr>
            <w:r>
              <w:rPr>
                <w:rFonts w:eastAsia="Times New Roman"/>
                <w:sz w:val="22"/>
                <w:szCs w:val="22"/>
              </w:rPr>
              <w:t>Gyeonggi</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7230E24" w14:textId="77777777" w:rsidR="003544EB" w:rsidRDefault="00000000">
            <w:pPr>
              <w:spacing w:line="260" w:lineRule="auto"/>
              <w:jc w:val="center"/>
            </w:pPr>
            <w:r>
              <w:rPr>
                <w:rFonts w:eastAsia="Times New Roman"/>
                <w:sz w:val="22"/>
                <w:szCs w:val="22"/>
              </w:rPr>
              <w:t>9.45</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6E21FA4" w14:textId="77777777" w:rsidR="003544EB" w:rsidRDefault="00000000">
            <w:pPr>
              <w:spacing w:line="260" w:lineRule="auto"/>
              <w:jc w:val="center"/>
            </w:pPr>
            <w:r>
              <w:rPr>
                <w:rFonts w:eastAsia="Times New Roman"/>
                <w:sz w:val="22"/>
                <w:szCs w:val="22"/>
              </w:rPr>
              <w:t>0.275</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BE4C8FF" w14:textId="77777777" w:rsidR="003544EB" w:rsidRDefault="00000000">
            <w:pPr>
              <w:spacing w:line="260" w:lineRule="auto"/>
              <w:jc w:val="center"/>
            </w:pPr>
            <w:r>
              <w:rPr>
                <w:rFonts w:eastAsia="Times New Roman"/>
                <w:sz w:val="22"/>
                <w:szCs w:val="22"/>
              </w:rPr>
              <w:t>0.200</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2FFA01F" w14:textId="77777777" w:rsidR="003544EB" w:rsidRDefault="00000000">
            <w:pPr>
              <w:spacing w:line="260" w:lineRule="auto"/>
              <w:jc w:val="center"/>
            </w:pPr>
            <w:r>
              <w:rPr>
                <w:rFonts w:eastAsia="Times New Roman"/>
                <w:sz w:val="22"/>
                <w:szCs w:val="22"/>
              </w:rPr>
              <w:t>HH</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3AEBC07" w14:textId="77777777" w:rsidR="003544EB" w:rsidRDefault="00000000">
            <w:pPr>
              <w:spacing w:line="260" w:lineRule="auto"/>
              <w:jc w:val="center"/>
            </w:pPr>
            <w:r>
              <w:rPr>
                <w:rFonts w:eastAsia="Times New Roman"/>
                <w:sz w:val="22"/>
                <w:szCs w:val="22"/>
              </w:rPr>
              <w:t>No</w:t>
            </w:r>
          </w:p>
        </w:tc>
      </w:tr>
      <w:tr w:rsidR="003544EB" w14:paraId="473741BD" w14:textId="77777777">
        <w:tblPrEx>
          <w:tblCellMar>
            <w:top w:w="0" w:type="dxa"/>
            <w:bottom w:w="0" w:type="dxa"/>
          </w:tblCellMar>
        </w:tblPrEx>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1F75416" w14:textId="77777777" w:rsidR="003544EB" w:rsidRDefault="00000000">
            <w:pPr>
              <w:spacing w:line="260" w:lineRule="auto"/>
            </w:pPr>
            <w:proofErr w:type="spellStart"/>
            <w:r>
              <w:rPr>
                <w:rFonts w:eastAsia="Times New Roman"/>
                <w:sz w:val="22"/>
                <w:szCs w:val="22"/>
              </w:rPr>
              <w:t>Gyeongbuk</w:t>
            </w:r>
            <w:proofErr w:type="spellEnd"/>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8619561" w14:textId="77777777" w:rsidR="003544EB" w:rsidRDefault="00000000">
            <w:pPr>
              <w:spacing w:line="260" w:lineRule="auto"/>
              <w:jc w:val="center"/>
            </w:pPr>
            <w:r>
              <w:rPr>
                <w:rFonts w:eastAsia="Times New Roman"/>
                <w:sz w:val="22"/>
                <w:szCs w:val="22"/>
              </w:rPr>
              <w:t>2.99</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2AC655B" w14:textId="77777777" w:rsidR="003544EB" w:rsidRDefault="00000000">
            <w:pPr>
              <w:spacing w:line="260" w:lineRule="auto"/>
              <w:jc w:val="center"/>
            </w:pPr>
            <w:r>
              <w:rPr>
                <w:rFonts w:eastAsia="Times New Roman"/>
                <w:sz w:val="22"/>
                <w:szCs w:val="22"/>
              </w:rPr>
              <w:t>0.333</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AB939F5" w14:textId="77777777" w:rsidR="003544EB" w:rsidRDefault="00000000">
            <w:pPr>
              <w:spacing w:line="260" w:lineRule="auto"/>
              <w:jc w:val="center"/>
            </w:pPr>
            <w:r>
              <w:rPr>
                <w:rFonts w:eastAsia="Times New Roman"/>
                <w:sz w:val="22"/>
                <w:szCs w:val="22"/>
              </w:rPr>
              <w:t>0.291</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EF16D67" w14:textId="77777777" w:rsidR="003544EB" w:rsidRDefault="00000000">
            <w:pPr>
              <w:spacing w:line="260" w:lineRule="auto"/>
              <w:jc w:val="center"/>
            </w:pPr>
            <w:r>
              <w:rPr>
                <w:rFonts w:eastAsia="Times New Roman"/>
                <w:sz w:val="22"/>
                <w:szCs w:val="22"/>
              </w:rPr>
              <w:t>LL</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EFEFCDB" w14:textId="77777777" w:rsidR="003544EB" w:rsidRDefault="00000000">
            <w:pPr>
              <w:spacing w:line="260" w:lineRule="auto"/>
              <w:jc w:val="center"/>
            </w:pPr>
            <w:r>
              <w:rPr>
                <w:rFonts w:eastAsia="Times New Roman"/>
                <w:sz w:val="22"/>
                <w:szCs w:val="22"/>
              </w:rPr>
              <w:t>No</w:t>
            </w:r>
          </w:p>
        </w:tc>
      </w:tr>
      <w:tr w:rsidR="003544EB" w14:paraId="36182A51" w14:textId="77777777">
        <w:tblPrEx>
          <w:tblCellMar>
            <w:top w:w="0" w:type="dxa"/>
            <w:bottom w:w="0" w:type="dxa"/>
          </w:tblCellMar>
        </w:tblPrEx>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DE1C3F5" w14:textId="77777777" w:rsidR="003544EB" w:rsidRDefault="00000000">
            <w:pPr>
              <w:spacing w:line="260" w:lineRule="auto"/>
            </w:pPr>
            <w:r>
              <w:rPr>
                <w:rFonts w:eastAsia="Times New Roman"/>
                <w:sz w:val="22"/>
                <w:szCs w:val="22"/>
              </w:rPr>
              <w:t>Seoul</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9274EBE" w14:textId="77777777" w:rsidR="003544EB" w:rsidRDefault="00000000">
            <w:pPr>
              <w:spacing w:line="260" w:lineRule="auto"/>
              <w:jc w:val="center"/>
            </w:pPr>
            <w:r>
              <w:rPr>
                <w:rFonts w:eastAsia="Times New Roman"/>
                <w:sz w:val="22"/>
                <w:szCs w:val="22"/>
              </w:rPr>
              <w:t>7.67</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404A678" w14:textId="77777777" w:rsidR="003544EB" w:rsidRDefault="00000000">
            <w:pPr>
              <w:spacing w:line="260" w:lineRule="auto"/>
              <w:jc w:val="center"/>
            </w:pPr>
            <w:r>
              <w:rPr>
                <w:rFonts w:eastAsia="Times New Roman"/>
                <w:sz w:val="22"/>
                <w:szCs w:val="22"/>
              </w:rPr>
              <w:t>0.095</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172FC18" w14:textId="77777777" w:rsidR="003544EB" w:rsidRDefault="00000000">
            <w:pPr>
              <w:spacing w:line="260" w:lineRule="auto"/>
              <w:jc w:val="center"/>
            </w:pPr>
            <w:r>
              <w:rPr>
                <w:rFonts w:eastAsia="Times New Roman"/>
                <w:sz w:val="22"/>
                <w:szCs w:val="22"/>
              </w:rPr>
              <w:t>0.344</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33E0EE4" w14:textId="77777777" w:rsidR="003544EB" w:rsidRDefault="00000000">
            <w:pPr>
              <w:spacing w:line="260" w:lineRule="auto"/>
              <w:jc w:val="center"/>
            </w:pPr>
            <w:r>
              <w:rPr>
                <w:rFonts w:eastAsia="Times New Roman"/>
                <w:sz w:val="22"/>
                <w:szCs w:val="22"/>
              </w:rPr>
              <w:t>HH</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ECE296E" w14:textId="77777777" w:rsidR="003544EB" w:rsidRDefault="00000000">
            <w:pPr>
              <w:spacing w:line="260" w:lineRule="auto"/>
              <w:jc w:val="center"/>
            </w:pPr>
            <w:r>
              <w:rPr>
                <w:rFonts w:eastAsia="Times New Roman"/>
                <w:sz w:val="22"/>
                <w:szCs w:val="22"/>
              </w:rPr>
              <w:t>No</w:t>
            </w:r>
          </w:p>
        </w:tc>
      </w:tr>
      <w:tr w:rsidR="003544EB" w14:paraId="7E19A823" w14:textId="77777777">
        <w:tblPrEx>
          <w:tblCellMar>
            <w:top w:w="0" w:type="dxa"/>
            <w:bottom w:w="0" w:type="dxa"/>
          </w:tblCellMar>
        </w:tblPrEx>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81C3898" w14:textId="77777777" w:rsidR="003544EB" w:rsidRDefault="00000000">
            <w:pPr>
              <w:spacing w:line="260" w:lineRule="auto"/>
            </w:pPr>
            <w:r>
              <w:rPr>
                <w:rFonts w:eastAsia="Times New Roman"/>
                <w:sz w:val="22"/>
                <w:szCs w:val="22"/>
              </w:rPr>
              <w:t>Jeonnam</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DB410E2" w14:textId="77777777" w:rsidR="003544EB" w:rsidRDefault="00000000">
            <w:pPr>
              <w:spacing w:line="260" w:lineRule="auto"/>
              <w:jc w:val="center"/>
            </w:pPr>
            <w:r>
              <w:rPr>
                <w:rFonts w:eastAsia="Times New Roman"/>
                <w:sz w:val="22"/>
                <w:szCs w:val="22"/>
              </w:rPr>
              <w:t>4.09</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FF89D00" w14:textId="77777777" w:rsidR="003544EB" w:rsidRDefault="00000000">
            <w:pPr>
              <w:spacing w:line="260" w:lineRule="auto"/>
              <w:jc w:val="center"/>
            </w:pPr>
            <w:r>
              <w:rPr>
                <w:rFonts w:eastAsia="Times New Roman"/>
                <w:sz w:val="22"/>
                <w:szCs w:val="22"/>
              </w:rPr>
              <w:t>0.260</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FABB5E2" w14:textId="77777777" w:rsidR="003544EB" w:rsidRDefault="00000000">
            <w:pPr>
              <w:spacing w:line="260" w:lineRule="auto"/>
              <w:jc w:val="center"/>
            </w:pPr>
            <w:r>
              <w:rPr>
                <w:rFonts w:eastAsia="Times New Roman"/>
                <w:sz w:val="22"/>
                <w:szCs w:val="22"/>
              </w:rPr>
              <w:t>0.402</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096D7160" w14:textId="77777777" w:rsidR="003544EB" w:rsidRDefault="00000000">
            <w:pPr>
              <w:spacing w:line="260" w:lineRule="auto"/>
              <w:jc w:val="center"/>
            </w:pPr>
            <w:r>
              <w:rPr>
                <w:rFonts w:eastAsia="Times New Roman"/>
                <w:sz w:val="22"/>
                <w:szCs w:val="22"/>
              </w:rPr>
              <w:t>LL</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6A33449" w14:textId="77777777" w:rsidR="003544EB" w:rsidRDefault="00000000">
            <w:pPr>
              <w:spacing w:line="260" w:lineRule="auto"/>
              <w:jc w:val="center"/>
            </w:pPr>
            <w:r>
              <w:rPr>
                <w:rFonts w:eastAsia="Times New Roman"/>
                <w:sz w:val="22"/>
                <w:szCs w:val="22"/>
              </w:rPr>
              <w:t>No</w:t>
            </w:r>
          </w:p>
        </w:tc>
      </w:tr>
      <w:tr w:rsidR="003544EB" w14:paraId="7B2B113D" w14:textId="77777777">
        <w:tblPrEx>
          <w:tblCellMar>
            <w:top w:w="0" w:type="dxa"/>
            <w:bottom w:w="0" w:type="dxa"/>
          </w:tblCellMar>
        </w:tblPrEx>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9543BD4" w14:textId="77777777" w:rsidR="003544EB" w:rsidRDefault="00000000">
            <w:pPr>
              <w:spacing w:line="260" w:lineRule="auto"/>
            </w:pPr>
            <w:r>
              <w:rPr>
                <w:rFonts w:eastAsia="Times New Roman"/>
                <w:sz w:val="22"/>
                <w:szCs w:val="22"/>
              </w:rPr>
              <w:t>Gwangju</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F880A41" w14:textId="77777777" w:rsidR="003544EB" w:rsidRDefault="00000000">
            <w:pPr>
              <w:spacing w:line="260" w:lineRule="auto"/>
              <w:jc w:val="center"/>
            </w:pPr>
            <w:r>
              <w:rPr>
                <w:rFonts w:eastAsia="Times New Roman"/>
                <w:sz w:val="22"/>
                <w:szCs w:val="22"/>
              </w:rPr>
              <w:t>5.37</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0FE6270" w14:textId="77777777" w:rsidR="003544EB" w:rsidRDefault="00000000">
            <w:pPr>
              <w:spacing w:line="260" w:lineRule="auto"/>
              <w:jc w:val="center"/>
            </w:pPr>
            <w:r>
              <w:rPr>
                <w:rFonts w:eastAsia="Times New Roman"/>
                <w:sz w:val="22"/>
                <w:szCs w:val="22"/>
              </w:rPr>
              <w:t>0.231</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A134212" w14:textId="77777777" w:rsidR="003544EB" w:rsidRDefault="00000000">
            <w:pPr>
              <w:spacing w:line="260" w:lineRule="auto"/>
              <w:jc w:val="center"/>
            </w:pPr>
            <w:r>
              <w:rPr>
                <w:rFonts w:eastAsia="Times New Roman"/>
                <w:sz w:val="22"/>
                <w:szCs w:val="22"/>
              </w:rPr>
              <w:t>0.429</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FDA8F25" w14:textId="77777777" w:rsidR="003544EB" w:rsidRDefault="00000000">
            <w:pPr>
              <w:spacing w:line="260" w:lineRule="auto"/>
              <w:jc w:val="center"/>
            </w:pPr>
            <w:r>
              <w:rPr>
                <w:rFonts w:eastAsia="Times New Roman"/>
                <w:sz w:val="22"/>
                <w:szCs w:val="22"/>
              </w:rPr>
              <w:t>LL</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5EB259C7" w14:textId="77777777" w:rsidR="003544EB" w:rsidRDefault="00000000">
            <w:pPr>
              <w:spacing w:line="260" w:lineRule="auto"/>
              <w:jc w:val="center"/>
            </w:pPr>
            <w:r>
              <w:rPr>
                <w:rFonts w:eastAsia="Times New Roman"/>
                <w:sz w:val="22"/>
                <w:szCs w:val="22"/>
              </w:rPr>
              <w:t>No</w:t>
            </w:r>
          </w:p>
        </w:tc>
      </w:tr>
      <w:tr w:rsidR="003544EB" w14:paraId="0F614092" w14:textId="77777777">
        <w:tblPrEx>
          <w:tblCellMar>
            <w:top w:w="0" w:type="dxa"/>
            <w:bottom w:w="0" w:type="dxa"/>
          </w:tblCellMar>
        </w:tblPrEx>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E414B38" w14:textId="77777777" w:rsidR="003544EB" w:rsidRDefault="00000000">
            <w:pPr>
              <w:spacing w:line="260" w:lineRule="auto"/>
            </w:pPr>
            <w:r>
              <w:rPr>
                <w:rFonts w:eastAsia="Times New Roman"/>
                <w:sz w:val="22"/>
                <w:szCs w:val="22"/>
              </w:rPr>
              <w:t>Jeju</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9EF7922" w14:textId="77777777" w:rsidR="003544EB" w:rsidRDefault="00000000">
            <w:pPr>
              <w:spacing w:line="260" w:lineRule="auto"/>
              <w:jc w:val="center"/>
            </w:pPr>
            <w:r>
              <w:rPr>
                <w:rFonts w:eastAsia="Times New Roman"/>
                <w:sz w:val="22"/>
                <w:szCs w:val="22"/>
              </w:rPr>
              <w:t>4.59</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3070CBB" w14:textId="77777777" w:rsidR="003544EB" w:rsidRDefault="00000000">
            <w:pPr>
              <w:spacing w:line="260" w:lineRule="auto"/>
              <w:jc w:val="center"/>
            </w:pPr>
            <w:r>
              <w:rPr>
                <w:rFonts w:eastAsia="Times New Roman"/>
                <w:sz w:val="22"/>
                <w:szCs w:val="22"/>
              </w:rPr>
              <w:t>0.287</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608033AE" w14:textId="77777777" w:rsidR="003544EB" w:rsidRDefault="00000000">
            <w:pPr>
              <w:spacing w:line="260" w:lineRule="auto"/>
              <w:jc w:val="center"/>
            </w:pPr>
            <w:r>
              <w:rPr>
                <w:rFonts w:eastAsia="Times New Roman"/>
                <w:sz w:val="22"/>
                <w:szCs w:val="22"/>
              </w:rPr>
              <w:t>0.486</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14B7A92" w14:textId="77777777" w:rsidR="003544EB" w:rsidRDefault="00000000">
            <w:pPr>
              <w:spacing w:line="260" w:lineRule="auto"/>
              <w:jc w:val="center"/>
            </w:pPr>
            <w:r>
              <w:rPr>
                <w:rFonts w:eastAsia="Times New Roman"/>
                <w:sz w:val="22"/>
                <w:szCs w:val="22"/>
              </w:rPr>
              <w:t>LL</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7A9FD25" w14:textId="77777777" w:rsidR="003544EB" w:rsidRDefault="00000000">
            <w:pPr>
              <w:spacing w:line="260" w:lineRule="auto"/>
              <w:jc w:val="center"/>
            </w:pPr>
            <w:r>
              <w:rPr>
                <w:rFonts w:eastAsia="Times New Roman"/>
                <w:sz w:val="22"/>
                <w:szCs w:val="22"/>
              </w:rPr>
              <w:t>No</w:t>
            </w:r>
          </w:p>
        </w:tc>
      </w:tr>
      <w:tr w:rsidR="003544EB" w14:paraId="27DF3463" w14:textId="77777777">
        <w:tblPrEx>
          <w:tblCellMar>
            <w:top w:w="0" w:type="dxa"/>
            <w:bottom w:w="0" w:type="dxa"/>
          </w:tblCellMar>
        </w:tblPrEx>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20F6E97F" w14:textId="77777777" w:rsidR="003544EB" w:rsidRDefault="00000000">
            <w:pPr>
              <w:spacing w:line="260" w:lineRule="auto"/>
            </w:pPr>
            <w:r>
              <w:rPr>
                <w:rFonts w:eastAsia="Times New Roman"/>
                <w:sz w:val="22"/>
                <w:szCs w:val="22"/>
              </w:rPr>
              <w:t>Incheon</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B68796A" w14:textId="77777777" w:rsidR="003544EB" w:rsidRDefault="00000000">
            <w:pPr>
              <w:spacing w:line="260" w:lineRule="auto"/>
              <w:jc w:val="center"/>
            </w:pPr>
            <w:r>
              <w:rPr>
                <w:rFonts w:eastAsia="Times New Roman"/>
                <w:sz w:val="22"/>
                <w:szCs w:val="22"/>
              </w:rPr>
              <w:t>11.42</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206ADE7" w14:textId="77777777" w:rsidR="003544EB" w:rsidRDefault="00000000">
            <w:pPr>
              <w:spacing w:line="260" w:lineRule="auto"/>
              <w:jc w:val="center"/>
            </w:pPr>
            <w:r>
              <w:rPr>
                <w:rFonts w:eastAsia="Times New Roman"/>
                <w:sz w:val="22"/>
                <w:szCs w:val="22"/>
              </w:rPr>
              <w:t>0.312</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54A3AF4" w14:textId="77777777" w:rsidR="003544EB" w:rsidRDefault="00000000">
            <w:pPr>
              <w:spacing w:line="260" w:lineRule="auto"/>
              <w:jc w:val="center"/>
            </w:pPr>
            <w:r>
              <w:rPr>
                <w:rFonts w:eastAsia="Times New Roman"/>
                <w:sz w:val="22"/>
                <w:szCs w:val="22"/>
              </w:rPr>
              <w:t>0.585</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BC479C8" w14:textId="77777777" w:rsidR="003544EB" w:rsidRDefault="00000000">
            <w:pPr>
              <w:spacing w:line="260" w:lineRule="auto"/>
              <w:jc w:val="center"/>
            </w:pPr>
            <w:r>
              <w:rPr>
                <w:rFonts w:eastAsia="Times New Roman"/>
                <w:sz w:val="22"/>
                <w:szCs w:val="22"/>
              </w:rPr>
              <w:t>HH</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4B80D103" w14:textId="77777777" w:rsidR="003544EB" w:rsidRDefault="00000000">
            <w:pPr>
              <w:spacing w:line="260" w:lineRule="auto"/>
              <w:jc w:val="center"/>
            </w:pPr>
            <w:r>
              <w:rPr>
                <w:rFonts w:eastAsia="Times New Roman"/>
                <w:sz w:val="22"/>
                <w:szCs w:val="22"/>
              </w:rPr>
              <w:t>No</w:t>
            </w:r>
          </w:p>
        </w:tc>
      </w:tr>
      <w:tr w:rsidR="003544EB" w14:paraId="52DECD82" w14:textId="77777777">
        <w:tblPrEx>
          <w:tblCellMar>
            <w:top w:w="0" w:type="dxa"/>
            <w:bottom w:w="0" w:type="dxa"/>
          </w:tblCellMar>
        </w:tblPrEx>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38E97AB4" w14:textId="77777777" w:rsidR="003544EB" w:rsidRDefault="00000000">
            <w:pPr>
              <w:spacing w:line="260" w:lineRule="auto"/>
            </w:pPr>
            <w:r>
              <w:rPr>
                <w:rFonts w:eastAsia="Times New Roman"/>
                <w:sz w:val="22"/>
                <w:szCs w:val="22"/>
              </w:rPr>
              <w:t>Jeonbuk</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01522D4" w14:textId="77777777" w:rsidR="003544EB" w:rsidRDefault="00000000">
            <w:pPr>
              <w:spacing w:line="260" w:lineRule="auto"/>
              <w:jc w:val="center"/>
            </w:pPr>
            <w:r>
              <w:rPr>
                <w:rFonts w:eastAsia="Times New Roman"/>
                <w:sz w:val="22"/>
                <w:szCs w:val="22"/>
              </w:rPr>
              <w:t>9.00</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75E61E3E" w14:textId="77777777" w:rsidR="003544EB" w:rsidRDefault="00000000">
            <w:pPr>
              <w:spacing w:line="260" w:lineRule="auto"/>
              <w:jc w:val="center"/>
            </w:pPr>
            <w:r>
              <w:rPr>
                <w:rFonts w:eastAsia="Times New Roman"/>
                <w:sz w:val="22"/>
                <w:szCs w:val="22"/>
              </w:rPr>
              <w:t>-0.068</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8231AB3" w14:textId="77777777" w:rsidR="003544EB" w:rsidRDefault="00000000">
            <w:pPr>
              <w:spacing w:line="260" w:lineRule="auto"/>
              <w:jc w:val="center"/>
            </w:pPr>
            <w:r>
              <w:rPr>
                <w:rFonts w:eastAsia="Times New Roman"/>
                <w:sz w:val="22"/>
                <w:szCs w:val="22"/>
              </w:rPr>
              <w:t>0.710</w:t>
            </w:r>
          </w:p>
        </w:tc>
        <w:tc>
          <w:tcPr>
            <w:tcW w:w="13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5C40757" w14:textId="77777777" w:rsidR="003544EB" w:rsidRDefault="00000000">
            <w:pPr>
              <w:spacing w:line="260" w:lineRule="auto"/>
              <w:jc w:val="center"/>
            </w:pPr>
            <w:r>
              <w:rPr>
                <w:rFonts w:eastAsia="Times New Roman"/>
                <w:sz w:val="22"/>
                <w:szCs w:val="22"/>
              </w:rPr>
              <w:t>HL</w:t>
            </w:r>
          </w:p>
        </w:tc>
        <w:tc>
          <w:tcPr>
            <w:tcW w:w="1500" w:type="dxa"/>
            <w:tcBorders>
              <w:top w:val="none" w:sz="0" w:space="0" w:color="FFFFFF"/>
              <w:left w:val="none" w:sz="0" w:space="0" w:color="FFFFFF"/>
              <w:bottom w:val="none" w:sz="0" w:space="0" w:color="FFFFFF"/>
              <w:right w:val="none" w:sz="0" w:space="0" w:color="FFFFFF"/>
            </w:tcBorders>
            <w:tcMar>
              <w:top w:w="80" w:type="dxa"/>
              <w:left w:w="80" w:type="dxa"/>
              <w:bottom w:w="80" w:type="dxa"/>
              <w:right w:w="80" w:type="dxa"/>
            </w:tcMar>
          </w:tcPr>
          <w:p w14:paraId="1C5A64EE" w14:textId="77777777" w:rsidR="003544EB" w:rsidRDefault="00000000">
            <w:pPr>
              <w:spacing w:line="260" w:lineRule="auto"/>
              <w:jc w:val="center"/>
            </w:pPr>
            <w:r>
              <w:rPr>
                <w:rFonts w:eastAsia="Times New Roman"/>
                <w:sz w:val="22"/>
                <w:szCs w:val="22"/>
              </w:rPr>
              <w:t>No</w:t>
            </w:r>
          </w:p>
        </w:tc>
      </w:tr>
      <w:tr w:rsidR="003544EB" w14:paraId="2DA669CC" w14:textId="77777777">
        <w:tblPrEx>
          <w:tblCellMar>
            <w:top w:w="0" w:type="dxa"/>
            <w:bottom w:w="0" w:type="dxa"/>
          </w:tblCellMar>
        </w:tblPrEx>
        <w:tc>
          <w:tcPr>
            <w:tcW w:w="15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487EE644" w14:textId="77777777" w:rsidR="003544EB" w:rsidRDefault="00000000">
            <w:pPr>
              <w:spacing w:line="260" w:lineRule="auto"/>
            </w:pPr>
            <w:r>
              <w:rPr>
                <w:rFonts w:eastAsia="Times New Roman"/>
                <w:sz w:val="22"/>
                <w:szCs w:val="22"/>
              </w:rPr>
              <w:t>Gangwon</w:t>
            </w:r>
          </w:p>
        </w:tc>
        <w:tc>
          <w:tcPr>
            <w:tcW w:w="15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4754AA13" w14:textId="77777777" w:rsidR="003544EB" w:rsidRDefault="00000000">
            <w:pPr>
              <w:spacing w:line="260" w:lineRule="auto"/>
              <w:jc w:val="center"/>
            </w:pPr>
            <w:r>
              <w:rPr>
                <w:rFonts w:eastAsia="Times New Roman"/>
                <w:sz w:val="22"/>
                <w:szCs w:val="22"/>
              </w:rPr>
              <w:t>5.86</w:t>
            </w:r>
          </w:p>
        </w:tc>
        <w:tc>
          <w:tcPr>
            <w:tcW w:w="13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160D7FE9" w14:textId="77777777" w:rsidR="003544EB" w:rsidRDefault="00000000">
            <w:pPr>
              <w:spacing w:line="260" w:lineRule="auto"/>
              <w:jc w:val="center"/>
            </w:pPr>
            <w:r>
              <w:rPr>
                <w:rFonts w:eastAsia="Times New Roman"/>
                <w:sz w:val="22"/>
                <w:szCs w:val="22"/>
              </w:rPr>
              <w:t>-0.027</w:t>
            </w:r>
          </w:p>
        </w:tc>
        <w:tc>
          <w:tcPr>
            <w:tcW w:w="13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1EF0BB6E" w14:textId="77777777" w:rsidR="003544EB" w:rsidRDefault="00000000">
            <w:pPr>
              <w:spacing w:line="260" w:lineRule="auto"/>
              <w:jc w:val="center"/>
            </w:pPr>
            <w:r>
              <w:rPr>
                <w:rFonts w:eastAsia="Times New Roman"/>
                <w:sz w:val="22"/>
                <w:szCs w:val="22"/>
              </w:rPr>
              <w:t>0.892</w:t>
            </w:r>
          </w:p>
        </w:tc>
        <w:tc>
          <w:tcPr>
            <w:tcW w:w="13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14531DC4" w14:textId="77777777" w:rsidR="003544EB" w:rsidRDefault="00000000">
            <w:pPr>
              <w:spacing w:line="260" w:lineRule="auto"/>
              <w:jc w:val="center"/>
            </w:pPr>
            <w:r>
              <w:rPr>
                <w:rFonts w:eastAsia="Times New Roman"/>
                <w:sz w:val="22"/>
                <w:szCs w:val="22"/>
              </w:rPr>
              <w:t>LH</w:t>
            </w:r>
          </w:p>
        </w:tc>
        <w:tc>
          <w:tcPr>
            <w:tcW w:w="1500" w:type="dxa"/>
            <w:tcBorders>
              <w:top w:val="none" w:sz="0" w:space="0" w:color="FFFFFF"/>
              <w:left w:val="none" w:sz="0" w:space="0" w:color="FFFFFF"/>
              <w:bottom w:val="single" w:sz="12" w:space="0" w:color="000000"/>
              <w:right w:val="none" w:sz="0" w:space="0" w:color="FFFFFF"/>
            </w:tcBorders>
            <w:tcMar>
              <w:top w:w="80" w:type="dxa"/>
              <w:left w:w="80" w:type="dxa"/>
              <w:bottom w:w="80" w:type="dxa"/>
              <w:right w:w="80" w:type="dxa"/>
            </w:tcMar>
          </w:tcPr>
          <w:p w14:paraId="53A9A186" w14:textId="77777777" w:rsidR="003544EB" w:rsidRDefault="00000000">
            <w:pPr>
              <w:spacing w:line="260" w:lineRule="auto"/>
              <w:jc w:val="center"/>
            </w:pPr>
            <w:r>
              <w:rPr>
                <w:rFonts w:eastAsia="Times New Roman"/>
                <w:sz w:val="22"/>
                <w:szCs w:val="22"/>
              </w:rPr>
              <w:t>No</w:t>
            </w:r>
          </w:p>
        </w:tc>
      </w:tr>
    </w:tbl>
    <w:p w14:paraId="643581F6" w14:textId="77777777" w:rsidR="003544EB" w:rsidRDefault="00000000">
      <w:pPr>
        <w:spacing w:after="360" w:line="480" w:lineRule="auto"/>
        <w:jc w:val="both"/>
      </w:pPr>
      <w:r>
        <w:rPr>
          <w:rFonts w:eastAsia="Times New Roman"/>
          <w:sz w:val="22"/>
          <w:szCs w:val="22"/>
        </w:rPr>
        <w:t>HH = high-high, LL = low-low, HL = high-low, LH = low-high. Global Moran's I = 0.573 (p = 0.0002).</w:t>
      </w:r>
    </w:p>
    <w:p w14:paraId="73C7A5D0" w14:textId="77777777" w:rsidR="003544EB" w:rsidRDefault="00000000">
      <w:r>
        <w:br w:type="page"/>
      </w:r>
    </w:p>
    <w:p w14:paraId="4D310889" w14:textId="77777777" w:rsidR="003544EB" w:rsidRDefault="00000000">
      <w:r>
        <w:lastRenderedPageBreak/>
        <w:br w:type="page"/>
      </w:r>
    </w:p>
    <w:p w14:paraId="6D213FDE" w14:textId="77777777" w:rsidR="003544EB" w:rsidRDefault="00000000">
      <w:pPr>
        <w:pStyle w:val="1"/>
        <w:spacing w:before="240" w:after="160" w:line="480" w:lineRule="auto"/>
      </w:pPr>
      <w:r>
        <w:rPr>
          <w:rFonts w:eastAsia="Times New Roman"/>
          <w:b/>
          <w:bCs/>
          <w:color w:val="000000"/>
          <w:sz w:val="26"/>
          <w:szCs w:val="26"/>
        </w:rPr>
        <w:lastRenderedPageBreak/>
        <w:t>Figure legends</w:t>
      </w:r>
    </w:p>
    <w:p w14:paraId="2F9C0828" w14:textId="77777777" w:rsidR="003544EB" w:rsidRDefault="00000000">
      <w:pPr>
        <w:spacing w:after="120" w:line="480" w:lineRule="auto"/>
        <w:jc w:val="both"/>
      </w:pPr>
      <w:r>
        <w:rPr>
          <w:rFonts w:eastAsia="Times New Roman"/>
          <w:b/>
          <w:bCs/>
        </w:rPr>
        <w:t xml:space="preserve">Figure 1. </w:t>
      </w:r>
      <w:r>
        <w:rPr>
          <w:rFonts w:eastAsia="Times New Roman"/>
        </w:rPr>
        <w:t>Temporal dynamics of hepatitis A in South Korea, 2011–2024. (A) Annual incidence rate per 100 000 person-years by source (stacked area: domestic + imported; black line = total). (B) Negative-binomial regression fits of annual rate (total and domestic-only series) with the year-on-year per cent change reported in the title. (C) Age composition of reported cases (% by year, sex-pooled), eight ten-year strata. (D) Male-to-female incidence rate ratio per year with 95% Poisson exact confidence intervals; the dotted horizontal line marks the pooled 1.31 (95% CI 1.29–1.33) reference. (E) Age-specific annual incidence rates (per 100 000) for selected age strata; y-axis on log10 scale.</w:t>
      </w:r>
    </w:p>
    <w:p w14:paraId="0FF1BE93" w14:textId="77777777" w:rsidR="003544EB" w:rsidRDefault="00000000">
      <w:pPr>
        <w:spacing w:after="120" w:line="480" w:lineRule="auto"/>
        <w:jc w:val="both"/>
      </w:pPr>
      <w:r>
        <w:rPr>
          <w:rFonts w:eastAsia="Times New Roman"/>
          <w:b/>
          <w:bCs/>
        </w:rPr>
        <w:t xml:space="preserve">Figure 2. Continuous wavelet transform of the STL-detrended weekly hepatitis A incidence series, full period 2011–2024. (A) Wavelet power spectrum (Morlet wavelet with ω₀ = 6); power shown on a </w:t>
      </w:r>
      <w:proofErr w:type="spellStart"/>
      <w:r>
        <w:rPr>
          <w:rFonts w:eastAsia="Times New Roman"/>
          <w:b/>
          <w:bCs/>
        </w:rPr>
        <w:t>log_e</w:t>
      </w:r>
      <w:proofErr w:type="spellEnd"/>
      <w:r>
        <w:rPr>
          <w:rFonts w:eastAsia="Times New Roman"/>
          <w:b/>
          <w:bCs/>
        </w:rPr>
        <w:t xml:space="preserve"> scale with a red–blue diverging </w:t>
      </w:r>
      <w:proofErr w:type="spellStart"/>
      <w:r>
        <w:rPr>
          <w:rFonts w:eastAsia="Times New Roman"/>
          <w:b/>
          <w:bCs/>
        </w:rPr>
        <w:t>colour</w:t>
      </w:r>
      <w:proofErr w:type="spellEnd"/>
      <w:r>
        <w:rPr>
          <w:rFonts w:eastAsia="Times New Roman"/>
          <w:b/>
          <w:bCs/>
        </w:rPr>
        <w:t xml:space="preserve"> ramp; dashed horizontal line marks the 52-week annual band. (B) Global wavelet spectrum (observed, black solid) against the 95th-percentile threshold of a 2,000-simulation </w:t>
      </w:r>
      <w:proofErr w:type="gramStart"/>
      <w:r>
        <w:rPr>
          <w:rFonts w:eastAsia="Times New Roman"/>
          <w:b/>
          <w:bCs/>
        </w:rPr>
        <w:t>AR(</w:t>
      </w:r>
      <w:proofErr w:type="gramEnd"/>
      <w:r>
        <w:rPr>
          <w:rFonts w:eastAsia="Times New Roman"/>
          <w:b/>
          <w:bCs/>
        </w:rPr>
        <w:t>1) red-noise null (red dashed); orange shading highlights the 48–</w:t>
      </w:r>
      <w:proofErr w:type="gramStart"/>
      <w:r>
        <w:rPr>
          <w:rFonts w:eastAsia="Times New Roman"/>
          <w:b/>
          <w:bCs/>
        </w:rPr>
        <w:t>56 week</w:t>
      </w:r>
      <w:proofErr w:type="gramEnd"/>
      <w:r>
        <w:rPr>
          <w:rFonts w:eastAsia="Times New Roman"/>
          <w:b/>
          <w:bCs/>
        </w:rPr>
        <w:t xml:space="preserve"> annual band over which the </w:t>
      </w:r>
      <w:proofErr w:type="spellStart"/>
      <w:r>
        <w:rPr>
          <w:rFonts w:eastAsia="Times New Roman"/>
          <w:b/>
          <w:bCs/>
        </w:rPr>
        <w:t>GWS:null</w:t>
      </w:r>
      <w:proofErr w:type="spellEnd"/>
      <w:r>
        <w:rPr>
          <w:rFonts w:eastAsia="Times New Roman"/>
          <w:b/>
          <w:bCs/>
        </w:rPr>
        <w:t xml:space="preserve"> ratio of 1.61 was computed.</w:t>
      </w:r>
    </w:p>
    <w:p w14:paraId="4828D14A" w14:textId="77777777" w:rsidR="003544EB" w:rsidRDefault="00000000">
      <w:pPr>
        <w:spacing w:after="120" w:line="480" w:lineRule="auto"/>
        <w:jc w:val="both"/>
      </w:pPr>
      <w:r>
        <w:rPr>
          <w:rFonts w:eastAsia="Times New Roman"/>
          <w:b/>
          <w:bCs/>
        </w:rPr>
        <w:t xml:space="preserve">Figure 3. </w:t>
      </w:r>
      <w:r>
        <w:rPr>
          <w:rFonts w:eastAsia="Times New Roman"/>
        </w:rPr>
        <w:t xml:space="preserve">Spatial pattern of hepatitis A incidence by province, 2011–2024. (A) Mean annual incidence rate by province (16 </w:t>
      </w:r>
      <w:proofErr w:type="spellStart"/>
      <w:r>
        <w:rPr>
          <w:rFonts w:eastAsia="Times New Roman"/>
        </w:rPr>
        <w:t>sido</w:t>
      </w:r>
      <w:proofErr w:type="spellEnd"/>
      <w:r>
        <w:rPr>
          <w:rFonts w:eastAsia="Times New Roman"/>
        </w:rPr>
        <w:t xml:space="preserve">, Sejong dropped because of the missing 2011 denominator), bars sorted descending and </w:t>
      </w:r>
      <w:proofErr w:type="spellStart"/>
      <w:r>
        <w:rPr>
          <w:rFonts w:eastAsia="Times New Roman"/>
        </w:rPr>
        <w:t>coloured</w:t>
      </w:r>
      <w:proofErr w:type="spellEnd"/>
      <w:r>
        <w:rPr>
          <w:rFonts w:eastAsia="Times New Roman"/>
        </w:rPr>
        <w:t xml:space="preserve"> by quartile. (B) Moran scatter under Queen contiguity with KNN-2 Jeju fallback; slope = global Moran's I = 0.573 (permutation p = 0.0002). Labels indicate LISA quadrants: HH (high–high, red), LL (low–low, blue), HL/LH (spatial outliers). (C) Local Moran's I by province, with permutation-based significance (* p &lt; 0.05, ** p &lt; 0.01).</w:t>
      </w:r>
    </w:p>
    <w:p w14:paraId="60F1CD16" w14:textId="77777777" w:rsidR="003544EB" w:rsidRDefault="00000000">
      <w:pPr>
        <w:spacing w:after="120" w:line="480" w:lineRule="auto"/>
        <w:jc w:val="both"/>
      </w:pPr>
      <w:r>
        <w:rPr>
          <w:rFonts w:eastAsia="Times New Roman"/>
          <w:b/>
          <w:bCs/>
        </w:rPr>
        <w:t xml:space="preserve">Figure 4. Power to detect a single negative-binomial breakpoint (n = 14 years, dispersion α = 0.68, 1,000 simulations per effect size) as a function of the post-breakpoint additional </w:t>
      </w:r>
      <w:r>
        <w:rPr>
          <w:rFonts w:eastAsia="Times New Roman"/>
          <w:b/>
          <w:bCs/>
        </w:rPr>
        <w:lastRenderedPageBreak/>
        <w:t>rate change (per cent per year). Detection was declared when ΔBIC of the best 1-breakpoint model versus the 0-breakpoint model fell below −6. Horizontal red dashed line: 80% power threshold; dotted line: 5% nominal false-positive rate.</w:t>
      </w:r>
    </w:p>
    <w:p w14:paraId="3755B097" w14:textId="77777777" w:rsidR="003544EB" w:rsidRDefault="00000000">
      <w:r>
        <w:br w:type="page"/>
      </w:r>
    </w:p>
    <w:p w14:paraId="6D646466" w14:textId="77777777" w:rsidR="003544EB" w:rsidRDefault="00000000">
      <w:r>
        <w:lastRenderedPageBreak/>
        <w:br w:type="page"/>
      </w:r>
    </w:p>
    <w:p w14:paraId="3F6C8B33" w14:textId="77777777" w:rsidR="003544EB" w:rsidRDefault="00000000">
      <w:r>
        <w:lastRenderedPageBreak/>
        <w:br w:type="page"/>
      </w:r>
    </w:p>
    <w:p w14:paraId="4224FDD1" w14:textId="77777777" w:rsidR="003544EB" w:rsidRDefault="00000000">
      <w:pPr>
        <w:pStyle w:val="1"/>
        <w:spacing w:before="240" w:after="160" w:line="480" w:lineRule="auto"/>
        <w:jc w:val="center"/>
      </w:pPr>
      <w:r>
        <w:rPr>
          <w:rFonts w:eastAsia="Times New Roman"/>
          <w:b/>
          <w:bCs/>
          <w:color w:val="000000"/>
          <w:sz w:val="26"/>
          <w:szCs w:val="26"/>
        </w:rPr>
        <w:lastRenderedPageBreak/>
        <w:t>Figure 1</w:t>
      </w:r>
    </w:p>
    <w:p w14:paraId="202A100C" w14:textId="77777777" w:rsidR="003544EB" w:rsidRDefault="00000000">
      <w:pPr>
        <w:spacing w:before="100" w:after="100"/>
        <w:jc w:val="center"/>
      </w:pPr>
      <w:r>
        <w:rPr>
          <w:noProof/>
        </w:rPr>
        <w:drawing>
          <wp:inline distT="0" distB="0" distL="0" distR="0" wp14:anchorId="545ABB6A" wp14:editId="37D4B277">
            <wp:extent cx="5715000" cy="571500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
                    <a:srcRect/>
                    <a:stretch>
                      <a:fillRect/>
                    </a:stretch>
                  </pic:blipFill>
                  <pic:spPr bwMode="auto">
                    <a:xfrm>
                      <a:off x="0" y="0"/>
                      <a:ext cx="5715000" cy="5715000"/>
                    </a:xfrm>
                    <a:prstGeom prst="rect">
                      <a:avLst/>
                    </a:prstGeom>
                  </pic:spPr>
                </pic:pic>
              </a:graphicData>
            </a:graphic>
          </wp:inline>
        </w:drawing>
      </w:r>
    </w:p>
    <w:p w14:paraId="08B65D07" w14:textId="77777777" w:rsidR="003544EB" w:rsidRDefault="00000000">
      <w:r>
        <w:br w:type="page"/>
      </w:r>
    </w:p>
    <w:p w14:paraId="571B7FA7" w14:textId="77777777" w:rsidR="003544EB" w:rsidRDefault="00000000">
      <w:r>
        <w:lastRenderedPageBreak/>
        <w:br w:type="page"/>
      </w:r>
    </w:p>
    <w:p w14:paraId="54FD06A7" w14:textId="77777777" w:rsidR="003544EB" w:rsidRDefault="00000000">
      <w:pPr>
        <w:pStyle w:val="1"/>
        <w:spacing w:before="240" w:after="160" w:line="480" w:lineRule="auto"/>
        <w:jc w:val="center"/>
      </w:pPr>
      <w:r>
        <w:rPr>
          <w:rFonts w:eastAsia="Times New Roman"/>
          <w:b/>
          <w:bCs/>
          <w:color w:val="000000"/>
          <w:sz w:val="26"/>
          <w:szCs w:val="26"/>
        </w:rPr>
        <w:lastRenderedPageBreak/>
        <w:t>Figure 2</w:t>
      </w:r>
    </w:p>
    <w:p w14:paraId="09F51E78" w14:textId="77777777" w:rsidR="003544EB" w:rsidRDefault="00000000">
      <w:r>
        <w:br w:type="page"/>
      </w:r>
    </w:p>
    <w:p w14:paraId="1B9EA75B" w14:textId="77777777" w:rsidR="003544EB" w:rsidRDefault="00000000">
      <w:pPr>
        <w:spacing w:before="100" w:after="100"/>
        <w:jc w:val="center"/>
      </w:pPr>
      <w:r>
        <w:rPr>
          <w:noProof/>
        </w:rPr>
        <w:lastRenderedPageBreak/>
        <w:drawing>
          <wp:inline distT="0" distB="0" distL="0" distR="0" wp14:anchorId="75CF5AB7" wp14:editId="2ED8165E">
            <wp:extent cx="6096000" cy="3619500"/>
            <wp:effectExtent l="0" t="0" r="0" b="0"/>
            <wp:docPr id="125385120" name="그림 125385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6096000" cy="3619500"/>
                    </a:xfrm>
                    <a:prstGeom prst="rect">
                      <a:avLst/>
                    </a:prstGeom>
                  </pic:spPr>
                </pic:pic>
              </a:graphicData>
            </a:graphic>
          </wp:inline>
        </w:drawing>
      </w:r>
    </w:p>
    <w:p w14:paraId="308705A8" w14:textId="77777777" w:rsidR="003544EB" w:rsidRDefault="00000000">
      <w:r>
        <w:br w:type="page"/>
      </w:r>
    </w:p>
    <w:p w14:paraId="46F0CF54" w14:textId="77777777" w:rsidR="003544EB" w:rsidRDefault="00000000">
      <w:r>
        <w:lastRenderedPageBreak/>
        <w:br w:type="page"/>
      </w:r>
    </w:p>
    <w:p w14:paraId="1F4EA66E" w14:textId="77777777" w:rsidR="003544EB" w:rsidRDefault="00000000">
      <w:pPr>
        <w:pStyle w:val="1"/>
        <w:spacing w:before="240" w:after="160" w:line="480" w:lineRule="auto"/>
        <w:jc w:val="center"/>
      </w:pPr>
      <w:r>
        <w:rPr>
          <w:rFonts w:eastAsia="Times New Roman"/>
          <w:b/>
          <w:bCs/>
          <w:color w:val="000000"/>
          <w:sz w:val="26"/>
          <w:szCs w:val="26"/>
        </w:rPr>
        <w:lastRenderedPageBreak/>
        <w:t>Figure 3</w:t>
      </w:r>
    </w:p>
    <w:p w14:paraId="2753866E" w14:textId="77777777" w:rsidR="003544EB" w:rsidRDefault="00000000">
      <w:pPr>
        <w:spacing w:before="100" w:after="100"/>
        <w:jc w:val="center"/>
      </w:pPr>
      <w:r>
        <w:rPr>
          <w:noProof/>
        </w:rPr>
        <w:drawing>
          <wp:inline distT="0" distB="0" distL="0" distR="0" wp14:anchorId="32DEDF9A" wp14:editId="2B34ED6A">
            <wp:extent cx="6286500" cy="2667000"/>
            <wp:effectExtent l="0" t="0" r="0" b="0"/>
            <wp:docPr id="1708839876" name="그림 1708839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6286500" cy="2667000"/>
                    </a:xfrm>
                    <a:prstGeom prst="rect">
                      <a:avLst/>
                    </a:prstGeom>
                  </pic:spPr>
                </pic:pic>
              </a:graphicData>
            </a:graphic>
          </wp:inline>
        </w:drawing>
      </w:r>
    </w:p>
    <w:p w14:paraId="4A58F3D7" w14:textId="77777777" w:rsidR="003544EB" w:rsidRDefault="00000000">
      <w:r>
        <w:br w:type="page"/>
      </w:r>
    </w:p>
    <w:p w14:paraId="518F5CB1" w14:textId="77777777" w:rsidR="003544EB" w:rsidRDefault="00000000">
      <w:pPr>
        <w:pStyle w:val="1"/>
        <w:spacing w:before="240" w:after="160" w:line="480" w:lineRule="auto"/>
        <w:jc w:val="center"/>
      </w:pPr>
      <w:r>
        <w:rPr>
          <w:rFonts w:eastAsia="Times New Roman"/>
          <w:b/>
          <w:bCs/>
          <w:color w:val="000000"/>
          <w:sz w:val="26"/>
          <w:szCs w:val="26"/>
        </w:rPr>
        <w:lastRenderedPageBreak/>
        <w:t>Figure 4</w:t>
      </w:r>
    </w:p>
    <w:p w14:paraId="03E3C720" w14:textId="77777777" w:rsidR="003544EB" w:rsidRDefault="00000000">
      <w:pPr>
        <w:spacing w:before="100" w:after="100"/>
        <w:jc w:val="center"/>
      </w:pPr>
      <w:r>
        <w:rPr>
          <w:noProof/>
        </w:rPr>
        <w:drawing>
          <wp:inline distT="0" distB="0" distL="0" distR="0" wp14:anchorId="2884C683" wp14:editId="08C0629D">
            <wp:extent cx="4572000" cy="3238500"/>
            <wp:effectExtent l="0" t="0" r="0" b="0"/>
            <wp:docPr id="803424300" name="그림 803424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4572000" cy="3238500"/>
                    </a:xfrm>
                    <a:prstGeom prst="rect">
                      <a:avLst/>
                    </a:prstGeom>
                  </pic:spPr>
                </pic:pic>
              </a:graphicData>
            </a:graphic>
          </wp:inline>
        </w:drawing>
      </w:r>
    </w:p>
    <w:sectPr w:rsidR="003544EB">
      <w:footerReference w:type="default" r:id="rId11"/>
      <w:pgSz w:w="11906" w:h="16838"/>
      <w:pgMar w:top="1440" w:right="1440" w:bottom="1440" w:left="1440" w:header="708" w:footer="708"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613851" w14:textId="77777777" w:rsidR="004347F7" w:rsidRDefault="004347F7">
      <w:r>
        <w:separator/>
      </w:r>
    </w:p>
  </w:endnote>
  <w:endnote w:type="continuationSeparator" w:id="0">
    <w:p w14:paraId="64827692" w14:textId="77777777" w:rsidR="004347F7" w:rsidRDefault="004347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B14F65" w14:textId="77777777" w:rsidR="003544EB" w:rsidRDefault="00000000">
    <w:pPr>
      <w:jc w:val="center"/>
    </w:pPr>
    <w:r>
      <w:rPr>
        <w:rFonts w:eastAsia="Times New Roman"/>
        <w:sz w:val="20"/>
        <w:szCs w:val="20"/>
      </w:rPr>
      <w:t xml:space="preserve">Page </w:t>
    </w:r>
    <w:r>
      <w:rPr>
        <w:sz w:val="20"/>
        <w:szCs w:val="20"/>
      </w:rPr>
      <w:fldChar w:fldCharType="begin"/>
    </w:r>
    <w:r>
      <w:rPr>
        <w:rFonts w:eastAsia="Times New Roman"/>
        <w:sz w:val="20"/>
        <w:szCs w:val="20"/>
      </w:rPr>
      <w:instrText>PAGE</w:instrText>
    </w:r>
    <w:r>
      <w:rPr>
        <w:sz w:val="20"/>
        <w:szCs w:val="20"/>
      </w:rPr>
      <w:fldChar w:fldCharType="separate"/>
    </w:r>
    <w:r w:rsidR="00EF3D6A">
      <w:rPr>
        <w:rFonts w:eastAsia="Times New Roman"/>
        <w:noProof/>
        <w:sz w:val="20"/>
        <w:szCs w:val="20"/>
      </w:rPr>
      <w:t>1</w:t>
    </w:r>
    <w:r>
      <w:rPr>
        <w:sz w:val="20"/>
        <w:szCs w:val="20"/>
      </w:rPr>
      <w:fldChar w:fldCharType="end"/>
    </w:r>
    <w:r>
      <w:rPr>
        <w:rFonts w:eastAsia="Times New Roman"/>
        <w:sz w:val="20"/>
        <w:szCs w:val="20"/>
      </w:rPr>
      <w:t xml:space="preserve"> of </w:t>
    </w:r>
    <w:r>
      <w:rPr>
        <w:sz w:val="20"/>
        <w:szCs w:val="20"/>
      </w:rPr>
      <w:fldChar w:fldCharType="begin"/>
    </w:r>
    <w:r>
      <w:rPr>
        <w:rFonts w:eastAsia="Times New Roman"/>
        <w:sz w:val="20"/>
        <w:szCs w:val="20"/>
      </w:rPr>
      <w:instrText>NUMPAGES</w:instrText>
    </w:r>
    <w:r>
      <w:rPr>
        <w:sz w:val="20"/>
        <w:szCs w:val="20"/>
      </w:rPr>
      <w:fldChar w:fldCharType="separate"/>
    </w:r>
    <w:r w:rsidR="00EF3D6A">
      <w:rPr>
        <w:rFonts w:eastAsia="Times New Roman"/>
        <w:noProof/>
        <w:sz w:val="20"/>
        <w:szCs w:val="20"/>
      </w:rPr>
      <w:t>2</w:t>
    </w:r>
    <w:r>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CD8C48" w14:textId="77777777" w:rsidR="004347F7" w:rsidRDefault="004347F7">
      <w:r>
        <w:separator/>
      </w:r>
    </w:p>
  </w:footnote>
  <w:footnote w:type="continuationSeparator" w:id="0">
    <w:p w14:paraId="1DC98FB9" w14:textId="77777777" w:rsidR="004347F7" w:rsidRDefault="004347F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EB7282"/>
    <w:multiLevelType w:val="hybridMultilevel"/>
    <w:tmpl w:val="7F403B5A"/>
    <w:lvl w:ilvl="0" w:tplc="3B78C58A">
      <w:start w:val="1"/>
      <w:numFmt w:val="bullet"/>
      <w:lvlText w:val="●"/>
      <w:lvlJc w:val="left"/>
      <w:pPr>
        <w:ind w:left="720" w:hanging="360"/>
      </w:pPr>
    </w:lvl>
    <w:lvl w:ilvl="1" w:tplc="B1B625EC">
      <w:start w:val="1"/>
      <w:numFmt w:val="bullet"/>
      <w:lvlText w:val="○"/>
      <w:lvlJc w:val="left"/>
      <w:pPr>
        <w:ind w:left="1440" w:hanging="360"/>
      </w:pPr>
    </w:lvl>
    <w:lvl w:ilvl="2" w:tplc="4F74869A">
      <w:start w:val="1"/>
      <w:numFmt w:val="bullet"/>
      <w:lvlText w:val="■"/>
      <w:lvlJc w:val="left"/>
      <w:pPr>
        <w:ind w:left="2160" w:hanging="360"/>
      </w:pPr>
    </w:lvl>
    <w:lvl w:ilvl="3" w:tplc="6512FD32">
      <w:start w:val="1"/>
      <w:numFmt w:val="bullet"/>
      <w:lvlText w:val="●"/>
      <w:lvlJc w:val="left"/>
      <w:pPr>
        <w:ind w:left="2880" w:hanging="360"/>
      </w:pPr>
    </w:lvl>
    <w:lvl w:ilvl="4" w:tplc="35707F90">
      <w:start w:val="1"/>
      <w:numFmt w:val="bullet"/>
      <w:lvlText w:val="○"/>
      <w:lvlJc w:val="left"/>
      <w:pPr>
        <w:ind w:left="3600" w:hanging="360"/>
      </w:pPr>
    </w:lvl>
    <w:lvl w:ilvl="5" w:tplc="2FE252C2">
      <w:start w:val="1"/>
      <w:numFmt w:val="bullet"/>
      <w:lvlText w:val="■"/>
      <w:lvlJc w:val="left"/>
      <w:pPr>
        <w:ind w:left="4320" w:hanging="360"/>
      </w:pPr>
    </w:lvl>
    <w:lvl w:ilvl="6" w:tplc="71B219E6">
      <w:start w:val="1"/>
      <w:numFmt w:val="bullet"/>
      <w:lvlText w:val="●"/>
      <w:lvlJc w:val="left"/>
      <w:pPr>
        <w:ind w:left="5040" w:hanging="360"/>
      </w:pPr>
    </w:lvl>
    <w:lvl w:ilvl="7" w:tplc="FFCCC6DC">
      <w:start w:val="1"/>
      <w:numFmt w:val="bullet"/>
      <w:lvlText w:val="●"/>
      <w:lvlJc w:val="left"/>
      <w:pPr>
        <w:ind w:left="5760" w:hanging="360"/>
      </w:pPr>
    </w:lvl>
    <w:lvl w:ilvl="8" w:tplc="58620C0E">
      <w:start w:val="1"/>
      <w:numFmt w:val="bullet"/>
      <w:lvlText w:val="●"/>
      <w:lvlJc w:val="left"/>
      <w:pPr>
        <w:ind w:left="6480" w:hanging="360"/>
      </w:pPr>
    </w:lvl>
  </w:abstractNum>
  <w:num w:numId="1" w16cid:durableId="220948167">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5"/>
  <w:displayBackgroundShape/>
  <w:bordersDoNotSurroundHeader/>
  <w:bordersDoNotSurroundFooter/>
  <w:proofState w:spelling="clean" w:grammar="clean"/>
  <w:defaultTabStop w:val="80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44EB"/>
    <w:rsid w:val="003544EB"/>
    <w:rsid w:val="004347F7"/>
    <w:rsid w:val="00C04349"/>
    <w:rsid w:val="00EF3D6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ecimalSymbol w:val="."/>
  <w:listSeparator w:val=","/>
  <w14:docId w14:val="56F9D0F6"/>
  <w15:docId w15:val="{2EB0B336-DD15-2E41-BBCE-31164042E8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sz w:val="24"/>
        <w:szCs w:val="24"/>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pPr>
  </w:style>
  <w:style w:type="paragraph" w:styleId="1">
    <w:name w:val="heading 1"/>
    <w:uiPriority w:val="9"/>
    <w:qFormat/>
    <w:pPr>
      <w:outlineLvl w:val="0"/>
    </w:pPr>
    <w:rPr>
      <w:color w:val="2E74B5"/>
      <w:sz w:val="32"/>
      <w:szCs w:val="32"/>
    </w:rPr>
  </w:style>
  <w:style w:type="paragraph" w:styleId="2">
    <w:name w:val="heading 2"/>
    <w:uiPriority w:val="9"/>
    <w:unhideWhenUsed/>
    <w:qFormat/>
    <w:pPr>
      <w:outlineLvl w:val="1"/>
    </w:pPr>
    <w:rPr>
      <w:color w:val="2E74B5"/>
      <w:sz w:val="26"/>
      <w:szCs w:val="26"/>
    </w:rPr>
  </w:style>
  <w:style w:type="paragraph" w:styleId="3">
    <w:name w:val="heading 3"/>
    <w:uiPriority w:val="9"/>
    <w:semiHidden/>
    <w:unhideWhenUsed/>
    <w:qFormat/>
    <w:pPr>
      <w:outlineLvl w:val="2"/>
    </w:pPr>
    <w:rPr>
      <w:color w:val="1F4D78"/>
    </w:rPr>
  </w:style>
  <w:style w:type="paragraph" w:styleId="4">
    <w:name w:val="heading 4"/>
    <w:uiPriority w:val="9"/>
    <w:semiHidden/>
    <w:unhideWhenUsed/>
    <w:qFormat/>
    <w:pPr>
      <w:outlineLvl w:val="3"/>
    </w:pPr>
    <w:rPr>
      <w:i/>
      <w:iCs/>
      <w:color w:val="2E74B5"/>
    </w:rPr>
  </w:style>
  <w:style w:type="paragraph" w:styleId="5">
    <w:name w:val="heading 5"/>
    <w:uiPriority w:val="9"/>
    <w:semiHidden/>
    <w:unhideWhenUsed/>
    <w:qFormat/>
    <w:pPr>
      <w:outlineLvl w:val="4"/>
    </w:pPr>
    <w:rPr>
      <w:color w:val="2E74B5"/>
    </w:rPr>
  </w:style>
  <w:style w:type="paragraph" w:styleId="6">
    <w:name w:val="heading 6"/>
    <w:uiPriority w:val="9"/>
    <w:semiHidden/>
    <w:unhideWhenUsed/>
    <w:qFormat/>
    <w:pPr>
      <w:outlineLvl w:val="5"/>
    </w:pPr>
    <w:rPr>
      <w:color w:val="1F4D7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uiPriority w:val="10"/>
    <w:qFormat/>
    <w:rPr>
      <w:sz w:val="56"/>
      <w:szCs w:val="56"/>
    </w:rPr>
  </w:style>
  <w:style w:type="paragraph" w:customStyle="1" w:styleId="10">
    <w:name w:val="굵은 텍스트1"/>
    <w:qFormat/>
    <w:rPr>
      <w:b/>
      <w:bCs/>
    </w:rPr>
  </w:style>
  <w:style w:type="paragraph" w:styleId="a4">
    <w:name w:val="List Paragraph"/>
    <w:qFormat/>
  </w:style>
  <w:style w:type="character" w:styleId="a5">
    <w:name w:val="Hyperlink"/>
    <w:uiPriority w:val="99"/>
    <w:unhideWhenUsed/>
    <w:rPr>
      <w:color w:val="0563C1"/>
      <w:u w:val="single"/>
    </w:rPr>
  </w:style>
  <w:style w:type="character" w:styleId="a6">
    <w:name w:val="footnote reference"/>
    <w:uiPriority w:val="99"/>
    <w:semiHidden/>
    <w:unhideWhenUsed/>
    <w:rPr>
      <w:vertAlign w:val="superscript"/>
    </w:rPr>
  </w:style>
  <w:style w:type="paragraph" w:styleId="a7">
    <w:name w:val="footnote text"/>
    <w:link w:val="Char"/>
    <w:uiPriority w:val="99"/>
    <w:semiHidden/>
    <w:unhideWhenUsed/>
    <w:rPr>
      <w:sz w:val="20"/>
      <w:szCs w:val="20"/>
    </w:rPr>
  </w:style>
  <w:style w:type="character" w:customStyle="1" w:styleId="Char">
    <w:name w:val="각주 텍스트 Char"/>
    <w:link w:val="a7"/>
    <w:uiPriority w:val="99"/>
    <w:semiHidden/>
    <w:unhideWhenUsed/>
    <w:rPr>
      <w:sz w:val="20"/>
      <w:szCs w:val="20"/>
    </w:rPr>
  </w:style>
  <w:style w:type="character" w:styleId="a8">
    <w:name w:val="endnote reference"/>
    <w:uiPriority w:val="99"/>
    <w:semiHidden/>
    <w:unhideWhenUsed/>
    <w:rPr>
      <w:vertAlign w:val="superscript"/>
    </w:rPr>
  </w:style>
  <w:style w:type="paragraph" w:styleId="a9">
    <w:name w:val="endnote text"/>
    <w:link w:val="Char0"/>
    <w:uiPriority w:val="99"/>
    <w:semiHidden/>
    <w:unhideWhenUsed/>
    <w:rPr>
      <w:sz w:val="20"/>
      <w:szCs w:val="20"/>
    </w:rPr>
  </w:style>
  <w:style w:type="character" w:customStyle="1" w:styleId="Char0">
    <w:name w:val="미주 텍스트 Char"/>
    <w:link w:val="a9"/>
    <w:uiPriority w:val="99"/>
    <w:semiHidden/>
    <w:unhideWhenUsed/>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맑은 고딕"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42</Pages>
  <Words>6307</Words>
  <Characters>37466</Characters>
  <Application>Microsoft Office Word</Application>
  <DocSecurity>0</DocSecurity>
  <Lines>832</Lines>
  <Paragraphs>451</Paragraphs>
  <ScaleCrop>false</ScaleCrop>
  <Company/>
  <LinksUpToDate>false</LinksUpToDate>
  <CharactersWithSpaces>43322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Hepatitis A in the Republic of Korea, 2011–2024 — Pathogens and Global Health</dc:title>
  <dc:creator>Hepatitis A reanalysis pipeline</dc:creator>
  <cp:lastModifiedBy>이건상</cp:lastModifiedBy>
  <cp:revision>2</cp:revision>
  <dcterms:created xsi:type="dcterms:W3CDTF">2026-04-26T13:58:00Z</dcterms:created>
  <dcterms:modified xsi:type="dcterms:W3CDTF">2026-04-27T10:18:00Z</dcterms:modified>
</cp:coreProperties>
</file>