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8B5E3" w14:textId="77777777" w:rsidR="000027D5" w:rsidRDefault="00E55A29">
      <w:pPr>
        <w:rPr>
          <w:b/>
        </w:rPr>
      </w:pPr>
      <w:r>
        <w:rPr>
          <w:rFonts w:ascii="Times New Roman"/>
          <w:noProof/>
          <w:sz w:val="20"/>
        </w:rPr>
        <mc:AlternateContent>
          <mc:Choice Requires="wpg">
            <w:drawing>
              <wp:anchor distT="0" distB="0" distL="0" distR="0" simplePos="0" relativeHeight="251656192" behindDoc="0" locked="0" layoutInCell="1" allowOverlap="1" wp14:anchorId="41B83D61" wp14:editId="54178D20">
                <wp:simplePos x="0" y="0"/>
                <wp:positionH relativeFrom="column">
                  <wp:posOffset>3835400</wp:posOffset>
                </wp:positionH>
                <wp:positionV relativeFrom="paragraph">
                  <wp:posOffset>-6350</wp:posOffset>
                </wp:positionV>
                <wp:extent cx="3441065" cy="251460"/>
                <wp:effectExtent l="0" t="0" r="635" b="2540"/>
                <wp:wrapNone/>
                <wp:docPr id="23" name="docshapegroup6"/>
                <wp:cNvGraphicFramePr/>
                <a:graphic xmlns:a="http://schemas.openxmlformats.org/drawingml/2006/main">
                  <a:graphicData uri="http://schemas.microsoft.com/office/word/2010/wordprocessingGroup">
                    <wpg:wgp>
                      <wpg:cNvGrpSpPr/>
                      <wpg:grpSpPr>
                        <a:xfrm>
                          <a:off x="0" y="0"/>
                          <a:ext cx="3440827" cy="251460"/>
                          <a:chOff x="-22" y="0"/>
                          <a:chExt cx="5269" cy="396"/>
                        </a:xfrm>
                        <a:solidFill>
                          <a:schemeClr val="tx2">
                            <a:lumMod val="75000"/>
                          </a:schemeClr>
                        </a:solidFill>
                      </wpg:grpSpPr>
                      <wps:wsp>
                        <wps:cNvPr id="1407243503" name="docshape7"/>
                        <wps:cNvSpPr/>
                        <wps:spPr bwMode="auto">
                          <a:xfrm>
                            <a:off x="0" y="0"/>
                            <a:ext cx="3248" cy="396"/>
                          </a:xfrm>
                          <a:custGeom>
                            <a:avLst/>
                            <a:gdLst>
                              <a:gd name="T0" fmla="*/ 3050 w 3248"/>
                              <a:gd name="T1" fmla="*/ 0 h 396"/>
                              <a:gd name="T2" fmla="*/ 0 w 3248"/>
                              <a:gd name="T3" fmla="*/ 0 h 396"/>
                              <a:gd name="T4" fmla="*/ 0 w 3248"/>
                              <a:gd name="T5" fmla="*/ 198 h 396"/>
                              <a:gd name="T6" fmla="*/ 16 w 3248"/>
                              <a:gd name="T7" fmla="*/ 274 h 396"/>
                              <a:gd name="T8" fmla="*/ 58 w 3248"/>
                              <a:gd name="T9" fmla="*/ 337 h 396"/>
                              <a:gd name="T10" fmla="*/ 121 w 3248"/>
                              <a:gd name="T11" fmla="*/ 379 h 396"/>
                              <a:gd name="T12" fmla="*/ 198 w 3248"/>
                              <a:gd name="T13" fmla="*/ 395 h 396"/>
                              <a:gd name="T14" fmla="*/ 3247 w 3248"/>
                              <a:gd name="T15" fmla="*/ 395 h 396"/>
                              <a:gd name="T16" fmla="*/ 3247 w 3248"/>
                              <a:gd name="T17" fmla="*/ 198 h 396"/>
                              <a:gd name="T18" fmla="*/ 3232 w 3248"/>
                              <a:gd name="T19" fmla="*/ 121 h 396"/>
                              <a:gd name="T20" fmla="*/ 3189 w 3248"/>
                              <a:gd name="T21" fmla="*/ 58 h 396"/>
                              <a:gd name="T22" fmla="*/ 3126 w 3248"/>
                              <a:gd name="T23" fmla="*/ 16 h 396"/>
                              <a:gd name="T24" fmla="*/ 3050 w 3248"/>
                              <a:gd name="T25" fmla="*/ 0 h 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48" h="396">
                                <a:moveTo>
                                  <a:pt x="3050" y="0"/>
                                </a:moveTo>
                                <a:lnTo>
                                  <a:pt x="0" y="0"/>
                                </a:lnTo>
                                <a:lnTo>
                                  <a:pt x="0" y="198"/>
                                </a:lnTo>
                                <a:lnTo>
                                  <a:pt x="16" y="274"/>
                                </a:lnTo>
                                <a:lnTo>
                                  <a:pt x="58" y="337"/>
                                </a:lnTo>
                                <a:lnTo>
                                  <a:pt x="121" y="379"/>
                                </a:lnTo>
                                <a:lnTo>
                                  <a:pt x="198" y="395"/>
                                </a:lnTo>
                                <a:lnTo>
                                  <a:pt x="3247" y="395"/>
                                </a:lnTo>
                                <a:lnTo>
                                  <a:pt x="3247" y="198"/>
                                </a:lnTo>
                                <a:lnTo>
                                  <a:pt x="3232" y="121"/>
                                </a:lnTo>
                                <a:lnTo>
                                  <a:pt x="3189" y="58"/>
                                </a:lnTo>
                                <a:lnTo>
                                  <a:pt x="3126" y="16"/>
                                </a:lnTo>
                                <a:lnTo>
                                  <a:pt x="3050" y="0"/>
                                </a:lnTo>
                                <a:close/>
                              </a:path>
                            </a:pathLst>
                          </a:custGeom>
                          <a:grpFill/>
                          <a:ln>
                            <a:noFill/>
                          </a:ln>
                        </wps:spPr>
                        <wps:bodyPr rot="0" vert="horz" wrap="square" lIns="91440" tIns="45720" rIns="91440" bIns="45720" anchor="t" anchorCtr="0" upright="1">
                          <a:noAutofit/>
                        </wps:bodyPr>
                      </wps:wsp>
                      <wps:wsp>
                        <wps:cNvPr id="991858828" name="docshape8"/>
                        <wps:cNvSpPr txBox="1">
                          <a:spLocks noChangeArrowheads="1"/>
                        </wps:cNvSpPr>
                        <wps:spPr bwMode="auto">
                          <a:xfrm>
                            <a:off x="-22" y="0"/>
                            <a:ext cx="5269" cy="396"/>
                          </a:xfrm>
                          <a:prstGeom prst="rect">
                            <a:avLst/>
                          </a:prstGeom>
                          <a:solidFill>
                            <a:schemeClr val="tx1"/>
                          </a:solidFill>
                          <a:ln>
                            <a:noFill/>
                          </a:ln>
                        </wps:spPr>
                        <wps:txbx>
                          <w:txbxContent>
                            <w:p w14:paraId="561C1247" w14:textId="77777777" w:rsidR="00F70F57" w:rsidRDefault="00F70F57">
                              <w:pPr>
                                <w:ind w:firstLineChars="50" w:firstLine="110"/>
                                <w:rPr>
                                  <w:rFonts w:ascii="Calisto MT" w:hAnsi="Calisto MT"/>
                                  <w:b/>
                                  <w:bCs/>
                                  <w:color w:val="FFFFFF" w:themeColor="background1"/>
                                  <w:szCs w:val="28"/>
                                </w:rPr>
                              </w:pPr>
                              <w:r>
                                <w:rPr>
                                  <w:rFonts w:ascii="Calisto MT" w:hAnsi="Calisto MT"/>
                                  <w:b/>
                                  <w:bCs/>
                                  <w:color w:val="FFFFFF" w:themeColor="background1"/>
                                  <w:szCs w:val="28"/>
                                </w:rPr>
                                <w:t>https://msra.online/index.php/Journal/about</w:t>
                              </w:r>
                            </w:p>
                          </w:txbxContent>
                        </wps:txbx>
                        <wps:bodyPr rot="0" vert="horz" wrap="square" lIns="0" tIns="0" rIns="0" bIns="0" anchor="t" anchorCtr="0" upright="1">
                          <a:noAutofit/>
                        </wps:bodyPr>
                      </wps:wsp>
                    </wpg:wgp>
                  </a:graphicData>
                </a:graphic>
              </wp:anchor>
            </w:drawing>
          </mc:Choice>
          <mc:Fallback>
            <w:pict>
              <v:group w14:anchorId="41B83D61" id="docshapegroup6" o:spid="_x0000_s1026" style="position:absolute;margin-left:302pt;margin-top:-.5pt;width:270.95pt;height:19.8pt;z-index:251656192;mso-wrap-distance-left:0;mso-wrap-distance-right:0" coordorigin="-22" coordsize="526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">
                <v:shape id="docshape7" o:spid="_x0000_s1027" style="position:absolute;width:3248;height:396;visibility:visible;mso-wrap-style:square;v-text-anchor:top" coordsize="3248,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" path="m3050,l,,,198r16,76l58,337r63,42l198,395r3049,l3247,198r-15,-77l3189,58,3126,16,3050,xe" filled="f" stroked="f">
                  <v:path arrowok="t" o:connecttype="custom" o:connectlocs="3050,0;0,0;0,198;16,274;58,337;121,379;198,395;3247,395;3247,198;3232,121;3189,58;3126,16;3050,0" o:connectangles="0,0,0,0,0,0,0,0,0,0,0,0,0"/>
                </v:shape>
                <v:shapetype id="_x0000_t202" coordsize="21600,21600" o:spt="202" path="m,l,21600r21600,l21600,xe">
                  <v:stroke joinstyle="miter"/>
                  <v:path gradientshapeok="t" o:connecttype="rect"/>
                </v:shapetype>
                <v:shape id="docshape8" o:spid="_x0000_s1028" type="#_x0000_t202" style="position:absolute;left:-22;width:5269;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" fillcolor="black [3213]" stroked="f">
                  <v:textbox inset="0,0,0,0">
                    <w:txbxContent>
                      <w:p w14:paraId="561C1247" w14:textId="77777777" w:rsidR="00F70F57" w:rsidRDefault="00F70F57">
                        <w:pPr>
                          <w:ind w:firstLineChars="50" w:firstLine="110"/>
                          <w:rPr>
                            <w:rFonts w:ascii="Calisto MT" w:hAnsi="Calisto MT"/>
                            <w:b/>
                            <w:bCs/>
                            <w:color w:val="FFFFFF" w:themeColor="background1"/>
                            <w:szCs w:val="28"/>
                          </w:rPr>
                        </w:pPr>
                        <w:r>
                          <w:rPr>
                            <w:rFonts w:ascii="Calisto MT" w:hAnsi="Calisto MT"/>
                            <w:b/>
                            <w:bCs/>
                            <w:color w:val="FFFFFF" w:themeColor="background1"/>
                            <w:szCs w:val="28"/>
                          </w:rPr>
                          <w:t>https://msra.online/index.php/Journal/about</w:t>
                        </w:r>
                      </w:p>
                    </w:txbxContent>
                  </v:textbox>
                </v:shape>
              </v:group>
            </w:pict>
          </mc:Fallback>
        </mc:AlternateContent>
      </w:r>
      <w:r>
        <w:rPr>
          <w:b/>
        </w:rPr>
        <w:t xml:space="preserve"> ISSN Online: 3007-</w:t>
      </w:r>
      <w:r w:rsidR="00051DA2">
        <w:rPr>
          <w:b/>
        </w:rPr>
        <w:t>1941 ISSN</w:t>
      </w:r>
      <w:r>
        <w:rPr>
          <w:b/>
        </w:rPr>
        <w:t xml:space="preserve"> Print: 3007-1933</w:t>
      </w:r>
    </w:p>
    <w:p w14:paraId="52667E56" w14:textId="77777777" w:rsidR="000027D5" w:rsidRDefault="00E55A29">
      <w:pPr>
        <w:pStyle w:val="BodyText"/>
        <w:spacing w:before="6"/>
        <w:rPr>
          <w:rFonts w:ascii="Times New Roman"/>
          <w:sz w:val="15"/>
        </w:rPr>
      </w:pPr>
      <w:r>
        <w:rPr>
          <w:noProof/>
        </w:rPr>
        <mc:AlternateContent>
          <mc:Choice Requires="wpg">
            <w:drawing>
              <wp:anchor distT="0" distB="0" distL="0" distR="0" simplePos="0" relativeHeight="251657216" behindDoc="1" locked="0" layoutInCell="1" allowOverlap="1" wp14:anchorId="268DEB21" wp14:editId="2D82170C">
                <wp:simplePos x="0" y="0"/>
                <wp:positionH relativeFrom="page">
                  <wp:posOffset>570230</wp:posOffset>
                </wp:positionH>
                <wp:positionV relativeFrom="paragraph">
                  <wp:posOffset>132080</wp:posOffset>
                </wp:positionV>
                <wp:extent cx="6649085" cy="1045845"/>
                <wp:effectExtent l="0" t="4445" r="5715" b="16510"/>
                <wp:wrapTopAndBottom/>
                <wp:docPr id="1443333110" name="docshapegroup12"/>
                <wp:cNvGraphicFramePr/>
                <a:graphic xmlns:a="http://schemas.openxmlformats.org/drawingml/2006/main">
                  <a:graphicData uri="http://schemas.microsoft.com/office/word/2010/wordprocessingGroup">
                    <wpg:wgp>
                      <wpg:cNvGrpSpPr/>
                      <wpg:grpSpPr>
                        <a:xfrm>
                          <a:off x="0" y="0"/>
                          <a:ext cx="6649085" cy="1045845"/>
                          <a:chOff x="904" y="211"/>
                          <a:chExt cx="10471" cy="1647"/>
                        </a:xfrm>
                        <a:solidFill>
                          <a:srgbClr val="00B0F0"/>
                        </a:solidFill>
                      </wpg:grpSpPr>
                      <wps:wsp>
                        <wps:cNvPr id="1693010638" name="docshape13"/>
                        <wps:cNvSpPr>
                          <a:spLocks noChangeArrowheads="1"/>
                        </wps:cNvSpPr>
                        <wps:spPr bwMode="auto">
                          <a:xfrm>
                            <a:off x="935" y="306"/>
                            <a:ext cx="10440" cy="1440"/>
                          </a:xfrm>
                          <a:prstGeom prst="rect">
                            <a:avLst/>
                          </a:prstGeom>
                          <a:grpFill/>
                          <a:ln>
                            <a:noFill/>
                          </a:ln>
                        </wps:spPr>
                        <wps:bodyPr rot="0" vert="horz" wrap="square" lIns="91440" tIns="45720" rIns="91440" bIns="45720" anchor="t" anchorCtr="0" upright="1">
                          <a:noAutofit/>
                        </wps:bodyPr>
                      </wps:wsp>
                      <wps:wsp>
                        <wps:cNvPr id="1679253446" name="Line 48"/>
                        <wps:cNvCnPr>
                          <a:cxnSpLocks noChangeShapeType="1"/>
                        </wps:cNvCnPr>
                        <wps:spPr bwMode="auto">
                          <a:xfrm>
                            <a:off x="904" y="211"/>
                            <a:ext cx="10440" cy="0"/>
                          </a:xfrm>
                          <a:prstGeom prst="line">
                            <a:avLst/>
                          </a:prstGeom>
                          <a:grpFill/>
                          <a:ln w="9525">
                            <a:solidFill>
                              <a:srgbClr val="231F20"/>
                            </a:solidFill>
                            <a:prstDash val="solid"/>
                            <a:round/>
                          </a:ln>
                        </wps:spPr>
                        <wps:bodyPr/>
                      </wps:wsp>
                      <wps:wsp>
                        <wps:cNvPr id="235105231" name="Line 47"/>
                        <wps:cNvCnPr>
                          <a:cxnSpLocks noChangeShapeType="1"/>
                        </wps:cNvCnPr>
                        <wps:spPr bwMode="auto">
                          <a:xfrm>
                            <a:off x="904" y="1858"/>
                            <a:ext cx="10440" cy="0"/>
                          </a:xfrm>
                          <a:prstGeom prst="line">
                            <a:avLst/>
                          </a:prstGeom>
                          <a:grpFill/>
                          <a:ln w="12701">
                            <a:solidFill>
                              <a:srgbClr val="231F20"/>
                            </a:solidFill>
                            <a:prstDash val="solid"/>
                            <a:round/>
                          </a:ln>
                        </wps:spPr>
                        <wps:bodyPr/>
                      </wps:wsp>
                      <wps:wsp>
                        <wps:cNvPr id="100971693" name="docshape23"/>
                        <wps:cNvSpPr txBox="1">
                          <a:spLocks noChangeArrowheads="1"/>
                        </wps:cNvSpPr>
                        <wps:spPr bwMode="auto">
                          <a:xfrm>
                            <a:off x="987" y="306"/>
                            <a:ext cx="10288" cy="1440"/>
                          </a:xfrm>
                          <a:prstGeom prst="rect">
                            <a:avLst/>
                          </a:prstGeom>
                          <a:grpFill/>
                          <a:ln>
                            <a:noFill/>
                          </a:ln>
                        </wps:spPr>
                        <wps:txbx>
                          <w:txbxContent>
                            <w:p w14:paraId="368655DF" w14:textId="77777777" w:rsidR="00F70F57" w:rsidRDefault="00F70F57" w:rsidP="00E37A4C">
                              <w:pPr>
                                <w:spacing w:before="8"/>
                                <w:ind w:right="2590" w:firstLineChars="250" w:firstLine="873"/>
                                <w:jc w:val="center"/>
                                <w:rPr>
                                  <w:rFonts w:ascii="Calisto MT" w:hAnsi="Calisto MT" w:cs="Calisto MT"/>
                                  <w:b/>
                                  <w:bCs/>
                                  <w:color w:val="FFFFFF" w:themeColor="background1"/>
                                  <w:sz w:val="20"/>
                                </w:rPr>
                              </w:pPr>
                              <w:r>
                                <w:rPr>
                                  <w:rFonts w:ascii="Calisto MT" w:hAnsi="Calisto MT"/>
                                  <w:b/>
                                  <w:color w:val="FFFFFF"/>
                                  <w:spacing w:val="-2"/>
                                  <w:w w:val="110"/>
                                  <w:sz w:val="32"/>
                                  <w:szCs w:val="24"/>
                                </w:rPr>
                                <w:t xml:space="preserve">Multidisciplinary Surgical Research Annals </w:t>
                              </w:r>
                              <w:r>
                                <w:rPr>
                                  <w:rFonts w:ascii="Calisto MT" w:hAnsi="Calisto MT"/>
                                  <w:b/>
                                  <w:bCs/>
                                  <w:color w:val="FFFFFF" w:themeColor="background1"/>
                                  <w:sz w:val="20"/>
                                </w:rPr>
                                <w:t>https://msra.online/index.php/Journal/about</w:t>
                              </w:r>
                            </w:p>
                            <w:p w14:paraId="5A992879" w14:textId="5DF253A7" w:rsidR="00F70F57" w:rsidRDefault="00F70F57">
                              <w:pPr>
                                <w:spacing w:before="8"/>
                                <w:ind w:left="2589" w:right="2590"/>
                                <w:jc w:val="right"/>
                                <w:rPr>
                                  <w:rFonts w:ascii="Calisto MT" w:hAnsi="Calisto MT" w:cs="Calisto MT"/>
                                  <w:b/>
                                  <w:bCs/>
                                  <w:sz w:val="24"/>
                                  <w:szCs w:val="24"/>
                                </w:rPr>
                              </w:pPr>
                              <w:r>
                                <w:rPr>
                                  <w:rFonts w:ascii="Calisto MT" w:hAnsi="Calisto MT" w:cs="Calisto MT"/>
                                  <w:b/>
                                  <w:bCs/>
                                  <w:color w:val="FFFFFF"/>
                                  <w:spacing w:val="-4"/>
                                  <w:sz w:val="24"/>
                                  <w:szCs w:val="24"/>
                                </w:rPr>
                                <w:t>Volume</w:t>
                              </w:r>
                              <w:r>
                                <w:rPr>
                                  <w:rFonts w:ascii="Calisto MT" w:hAnsi="Calisto MT" w:cs="Calisto MT"/>
                                  <w:b/>
                                  <w:bCs/>
                                  <w:color w:val="FFFFFF"/>
                                  <w:spacing w:val="-20"/>
                                  <w:sz w:val="24"/>
                                  <w:szCs w:val="24"/>
                                </w:rPr>
                                <w:t xml:space="preserve"> 4</w:t>
                              </w:r>
                              <w:r>
                                <w:rPr>
                                  <w:rFonts w:ascii="Calisto MT" w:hAnsi="Calisto MT" w:cs="Calisto MT"/>
                                  <w:b/>
                                  <w:bCs/>
                                  <w:color w:val="FFFFFF"/>
                                  <w:spacing w:val="-4"/>
                                  <w:sz w:val="24"/>
                                  <w:szCs w:val="24"/>
                                </w:rPr>
                                <w:t>,</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Issue</w:t>
                              </w:r>
                              <w:r>
                                <w:rPr>
                                  <w:rFonts w:ascii="Calisto MT" w:hAnsi="Calisto MT" w:cs="Calisto MT"/>
                                  <w:b/>
                                  <w:bCs/>
                                  <w:color w:val="FFFFFF"/>
                                  <w:spacing w:val="-20"/>
                                  <w:sz w:val="24"/>
                                  <w:szCs w:val="24"/>
                                </w:rPr>
                                <w:t xml:space="preserve"> </w:t>
                              </w:r>
                              <w:r w:rsidR="001E5476">
                                <w:rPr>
                                  <w:rFonts w:ascii="Calisto MT" w:hAnsi="Calisto MT" w:cs="Calisto MT"/>
                                  <w:b/>
                                  <w:bCs/>
                                  <w:color w:val="FFFFFF"/>
                                  <w:spacing w:val="-20"/>
                                  <w:sz w:val="24"/>
                                  <w:szCs w:val="24"/>
                                </w:rPr>
                                <w:t>2</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(2026)</w:t>
                              </w:r>
                            </w:p>
                          </w:txbxContent>
                        </wps:txbx>
                        <wps:bodyPr rot="0" vert="horz" wrap="square" lIns="0" tIns="0" rIns="0" bIns="0" anchor="t" anchorCtr="0" upright="1">
                          <a:noAutofit/>
                        </wps:bodyPr>
                      </wps:wsp>
                    </wpg:wgp>
                  </a:graphicData>
                </a:graphic>
              </wp:anchor>
            </w:drawing>
          </mc:Choice>
          <mc:Fallback>
            <w:pict>
              <v:group w14:anchorId="268DEB21" id="docshapegroup12" o:spid="_x0000_s1029" style="position:absolute;margin-left:44.9pt;margin-top:10.4pt;width:523.55pt;height:82.35pt;z-index:-251659264;mso-wrap-distance-left:0;mso-wrap-distance-right:0;mso-position-horizontal-relative:page" coordorigin="904,211" coordsize="10471,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">
                <v:rect id="docshape13" o:spid="_x0000_s1030" style="position:absolute;left:935;top:306;width:1044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" filled="f" stroked="f"/>
                <v:line id="Line 48" o:spid="_x0000_s1031" style="position:absolute;visibility:visible;mso-wrap-style:square" from="904,211" to="1134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" strokecolor="#231f20"/>
                <v:line id="Line 47" o:spid="_x0000_s1032" style="position:absolute;visibility:visible;mso-wrap-style:square" from="904,1858" to="11344,1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" strokecolor="#231f20" strokeweight=".35281mm"/>
                <v:shape id="docshape23" o:spid="_x0000_s1033" type="#_x0000_t202" style="position:absolute;left:987;top:306;width:1028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" filled="f" stroked="f">
                  <v:textbox inset="0,0,0,0">
                    <w:txbxContent>
                      <w:p w14:paraId="368655DF" w14:textId="77777777" w:rsidR="00F70F57" w:rsidRDefault="00F70F57" w:rsidP="00E37A4C">
                        <w:pPr>
                          <w:spacing w:before="8"/>
                          <w:ind w:right="2590" w:firstLineChars="250" w:firstLine="873"/>
                          <w:jc w:val="center"/>
                          <w:rPr>
                            <w:rFonts w:ascii="Calisto MT" w:hAnsi="Calisto MT" w:cs="Calisto MT"/>
                            <w:b/>
                            <w:bCs/>
                            <w:color w:val="FFFFFF" w:themeColor="background1"/>
                            <w:sz w:val="20"/>
                          </w:rPr>
                        </w:pPr>
                        <w:r>
                          <w:rPr>
                            <w:rFonts w:ascii="Calisto MT" w:hAnsi="Calisto MT"/>
                            <w:b/>
                            <w:color w:val="FFFFFF"/>
                            <w:spacing w:val="-2"/>
                            <w:w w:val="110"/>
                            <w:sz w:val="32"/>
                            <w:szCs w:val="24"/>
                          </w:rPr>
                          <w:t xml:space="preserve">Multidisciplinary Surgical Research Annals </w:t>
                        </w:r>
                        <w:r>
                          <w:rPr>
                            <w:rFonts w:ascii="Calisto MT" w:hAnsi="Calisto MT"/>
                            <w:b/>
                            <w:bCs/>
                            <w:color w:val="FFFFFF" w:themeColor="background1"/>
                            <w:sz w:val="20"/>
                          </w:rPr>
                          <w:t>https://msra.online/index.php/Journal/about</w:t>
                        </w:r>
                      </w:p>
                      <w:p w14:paraId="5A992879" w14:textId="5DF253A7" w:rsidR="00F70F57" w:rsidRDefault="00F70F57">
                        <w:pPr>
                          <w:spacing w:before="8"/>
                          <w:ind w:left="2589" w:right="2590"/>
                          <w:jc w:val="right"/>
                          <w:rPr>
                            <w:rFonts w:ascii="Calisto MT" w:hAnsi="Calisto MT" w:cs="Calisto MT"/>
                            <w:b/>
                            <w:bCs/>
                            <w:sz w:val="24"/>
                            <w:szCs w:val="24"/>
                          </w:rPr>
                        </w:pPr>
                        <w:r>
                          <w:rPr>
                            <w:rFonts w:ascii="Calisto MT" w:hAnsi="Calisto MT" w:cs="Calisto MT"/>
                            <w:b/>
                            <w:bCs/>
                            <w:color w:val="FFFFFF"/>
                            <w:spacing w:val="-4"/>
                            <w:sz w:val="24"/>
                            <w:szCs w:val="24"/>
                          </w:rPr>
                          <w:t>Volume</w:t>
                        </w:r>
                        <w:r>
                          <w:rPr>
                            <w:rFonts w:ascii="Calisto MT" w:hAnsi="Calisto MT" w:cs="Calisto MT"/>
                            <w:b/>
                            <w:bCs/>
                            <w:color w:val="FFFFFF"/>
                            <w:spacing w:val="-20"/>
                            <w:sz w:val="24"/>
                            <w:szCs w:val="24"/>
                          </w:rPr>
                          <w:t xml:space="preserve"> 4</w:t>
                        </w:r>
                        <w:r>
                          <w:rPr>
                            <w:rFonts w:ascii="Calisto MT" w:hAnsi="Calisto MT" w:cs="Calisto MT"/>
                            <w:b/>
                            <w:bCs/>
                            <w:color w:val="FFFFFF"/>
                            <w:spacing w:val="-4"/>
                            <w:sz w:val="24"/>
                            <w:szCs w:val="24"/>
                          </w:rPr>
                          <w:t>,</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Issue</w:t>
                        </w:r>
                        <w:r>
                          <w:rPr>
                            <w:rFonts w:ascii="Calisto MT" w:hAnsi="Calisto MT" w:cs="Calisto MT"/>
                            <w:b/>
                            <w:bCs/>
                            <w:color w:val="FFFFFF"/>
                            <w:spacing w:val="-20"/>
                            <w:sz w:val="24"/>
                            <w:szCs w:val="24"/>
                          </w:rPr>
                          <w:t xml:space="preserve"> </w:t>
                        </w:r>
                        <w:r w:rsidR="001E5476">
                          <w:rPr>
                            <w:rFonts w:ascii="Calisto MT" w:hAnsi="Calisto MT" w:cs="Calisto MT"/>
                            <w:b/>
                            <w:bCs/>
                            <w:color w:val="FFFFFF"/>
                            <w:spacing w:val="-20"/>
                            <w:sz w:val="24"/>
                            <w:szCs w:val="24"/>
                          </w:rPr>
                          <w:t>2</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(2026)</w:t>
                        </w:r>
                      </w:p>
                    </w:txbxContent>
                  </v:textbox>
                </v:shape>
                <w10:wrap type="topAndBottom" anchorx="page"/>
              </v:group>
            </w:pict>
          </mc:Fallback>
        </mc:AlternateContent>
      </w:r>
    </w:p>
    <w:p w14:paraId="41097DE9" w14:textId="77777777" w:rsidR="000027D5" w:rsidRDefault="000027D5">
      <w:pPr>
        <w:pStyle w:val="BodyText"/>
        <w:spacing w:before="5"/>
        <w:rPr>
          <w:rFonts w:ascii="Times New Roman"/>
          <w:sz w:val="10"/>
        </w:rPr>
      </w:pPr>
    </w:p>
    <w:p w14:paraId="196FF1F3" w14:textId="5A63A15A" w:rsidR="0005118D" w:rsidRPr="0005118D" w:rsidRDefault="0005118D" w:rsidP="0005118D">
      <w:pPr>
        <w:pStyle w:val="BodyText"/>
        <w:spacing w:before="5"/>
        <w:jc w:val="center"/>
        <w:rPr>
          <w:rFonts w:ascii="Times New Roman" w:eastAsia="Times New Roman" w:hAnsi="Times New Roman" w:cs="Times New Roman"/>
          <w:b/>
          <w:bCs/>
          <w:sz w:val="28"/>
          <w:szCs w:val="28"/>
        </w:rPr>
      </w:pPr>
      <w:bookmarkStart w:id="0" w:name="_Hlk223667105"/>
      <w:bookmarkStart w:id="1" w:name="_Hlk223684369"/>
      <w:r w:rsidRPr="0005118D">
        <w:rPr>
          <w:rFonts w:ascii="Times New Roman" w:eastAsia="Times New Roman" w:hAnsi="Times New Roman" w:cs="Times New Roman"/>
          <w:b/>
          <w:bCs/>
          <w:sz w:val="28"/>
          <w:szCs w:val="28"/>
        </w:rPr>
        <w:t>Effect Of Oral Hygiene Care on Prevention of Ventilator Associated Pneumonia Among Patient at Intensive Care Unit Bahawalpur</w:t>
      </w:r>
    </w:p>
    <w:bookmarkEnd w:id="0"/>
    <w:bookmarkEnd w:id="1"/>
    <w:p w14:paraId="68C36EE7" w14:textId="77777777" w:rsidR="000027D5" w:rsidRDefault="00E55A29" w:rsidP="000E7AC3">
      <w:pPr>
        <w:jc w:val="center"/>
        <w:outlineLvl w:val="3"/>
        <w:rPr>
          <w:sz w:val="11"/>
        </w:rPr>
      </w:pPr>
      <w:r>
        <w:rPr>
          <w:noProof/>
        </w:rPr>
        <mc:AlternateContent>
          <mc:Choice Requires="wps">
            <w:drawing>
              <wp:anchor distT="0" distB="0" distL="0" distR="0" simplePos="0" relativeHeight="251655168" behindDoc="1" locked="0" layoutInCell="1" allowOverlap="1" wp14:anchorId="35338753" wp14:editId="14DB4C61">
                <wp:simplePos x="0" y="0"/>
                <wp:positionH relativeFrom="margin">
                  <wp:align>center</wp:align>
                </wp:positionH>
                <wp:positionV relativeFrom="paragraph">
                  <wp:posOffset>228600</wp:posOffset>
                </wp:positionV>
                <wp:extent cx="6632575" cy="381000"/>
                <wp:effectExtent l="0" t="0" r="0" b="0"/>
                <wp:wrapTopAndBottom/>
                <wp:docPr id="177936167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381000"/>
                        </a:xfrm>
                        <a:prstGeom prst="rect">
                          <a:avLst/>
                        </a:prstGeom>
                        <a:solidFill>
                          <a:srgbClr val="00B0F0"/>
                        </a:solidFill>
                        <a:ln>
                          <a:noFill/>
                        </a:ln>
                      </wps:spPr>
                      <wps:txbx>
                        <w:txbxContent>
                          <w:p w14:paraId="4A24900B" w14:textId="77777777" w:rsidR="0005118D" w:rsidRPr="0005118D" w:rsidRDefault="0005118D" w:rsidP="0005118D">
                            <w:pPr>
                              <w:spacing w:before="51"/>
                              <w:ind w:left="72"/>
                              <w:rPr>
                                <w:rFonts w:ascii="Times New Roman" w:hAnsi="Times New Roman" w:cs="Times New Roman"/>
                                <w:b/>
                                <w:color w:val="FFFFFF" w:themeColor="background1"/>
                                <w:sz w:val="24"/>
                                <w:szCs w:val="24"/>
                                <w:vertAlign w:val="superscript"/>
                              </w:rPr>
                            </w:pPr>
                            <w:r w:rsidRPr="0005118D">
                              <w:rPr>
                                <w:rFonts w:ascii="Times New Roman" w:hAnsi="Times New Roman" w:cs="Times New Roman"/>
                                <w:b/>
                                <w:color w:val="FFFFFF" w:themeColor="background1"/>
                                <w:sz w:val="24"/>
                                <w:szCs w:val="24"/>
                              </w:rPr>
                              <w:t>Muhammad Talha</w:t>
                            </w:r>
                            <w:r w:rsidRPr="0005118D">
                              <w:rPr>
                                <w:rFonts w:ascii="Times New Roman" w:hAnsi="Times New Roman" w:cs="Times New Roman"/>
                                <w:b/>
                                <w:color w:val="FFFFFF" w:themeColor="background1"/>
                                <w:sz w:val="24"/>
                                <w:szCs w:val="24"/>
                                <w:vertAlign w:val="superscript"/>
                              </w:rPr>
                              <w:t>1</w:t>
                            </w:r>
                            <w:r w:rsidRPr="0005118D">
                              <w:rPr>
                                <w:rFonts w:ascii="Times New Roman" w:hAnsi="Times New Roman" w:cs="Times New Roman"/>
                                <w:b/>
                                <w:color w:val="FFFFFF" w:themeColor="background1"/>
                                <w:sz w:val="24"/>
                                <w:szCs w:val="24"/>
                              </w:rPr>
                              <w:t>, Faiqa Zahid</w:t>
                            </w:r>
                            <w:r w:rsidRPr="0005118D">
                              <w:rPr>
                                <w:rFonts w:ascii="Times New Roman" w:hAnsi="Times New Roman" w:cs="Times New Roman"/>
                                <w:b/>
                                <w:color w:val="FFFFFF" w:themeColor="background1"/>
                                <w:sz w:val="24"/>
                                <w:szCs w:val="24"/>
                                <w:vertAlign w:val="superscript"/>
                              </w:rPr>
                              <w:t>2</w:t>
                            </w:r>
                            <w:r w:rsidRPr="0005118D">
                              <w:rPr>
                                <w:rFonts w:ascii="Times New Roman" w:hAnsi="Times New Roman" w:cs="Times New Roman"/>
                                <w:b/>
                                <w:color w:val="FFFFFF" w:themeColor="background1"/>
                                <w:sz w:val="24"/>
                                <w:szCs w:val="24"/>
                              </w:rPr>
                              <w:t>, Sheeza Sehar</w:t>
                            </w:r>
                            <w:r w:rsidRPr="0005118D">
                              <w:rPr>
                                <w:rFonts w:ascii="Times New Roman" w:hAnsi="Times New Roman" w:cs="Times New Roman"/>
                                <w:b/>
                                <w:color w:val="FFFFFF" w:themeColor="background1"/>
                                <w:sz w:val="24"/>
                                <w:szCs w:val="24"/>
                                <w:vertAlign w:val="superscript"/>
                              </w:rPr>
                              <w:t>3</w:t>
                            </w:r>
                            <w:r w:rsidRPr="0005118D">
                              <w:rPr>
                                <w:rFonts w:ascii="Times New Roman" w:hAnsi="Times New Roman" w:cs="Times New Roman"/>
                                <w:b/>
                                <w:color w:val="FFFFFF" w:themeColor="background1"/>
                                <w:sz w:val="24"/>
                                <w:szCs w:val="24"/>
                              </w:rPr>
                              <w:t>, Habib Ullah Riaz</w:t>
                            </w:r>
                            <w:r w:rsidRPr="0005118D">
                              <w:rPr>
                                <w:rFonts w:ascii="Times New Roman" w:hAnsi="Times New Roman" w:cs="Times New Roman"/>
                                <w:b/>
                                <w:color w:val="FFFFFF" w:themeColor="background1"/>
                                <w:sz w:val="24"/>
                                <w:szCs w:val="24"/>
                                <w:vertAlign w:val="superscript"/>
                              </w:rPr>
                              <w:t>4</w:t>
                            </w:r>
                          </w:p>
                          <w:p w14:paraId="1EDA3FF5" w14:textId="77777777" w:rsidR="00F70F57" w:rsidRDefault="00F70F57">
                            <w:pPr>
                              <w:spacing w:before="51"/>
                              <w:ind w:left="72"/>
                              <w:rPr>
                                <w:rFonts w:ascii="Calibri"/>
                                <w:b/>
                                <w:color w:val="000000"/>
                                <w:sz w:val="10"/>
                                <w:vertAlign w:val="superscript"/>
                              </w:rPr>
                            </w:pP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35338753" id="docshape24" o:spid="_x0000_s1034" type="#_x0000_t202" style="position:absolute;left:0;text-align:left;margin-left:0;margin-top:18pt;width:522.25pt;height:30pt;z-index:-251661312;visibility:visible;mso-wrap-style:squar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" fillcolor="#00b0f0" stroked="f">
                <v:textbox inset="0,0,0,0">
                  <w:txbxContent>
                    <w:p w14:paraId="4A24900B" w14:textId="77777777" w:rsidR="0005118D" w:rsidRPr="0005118D" w:rsidRDefault="0005118D" w:rsidP="0005118D">
                      <w:pPr>
                        <w:spacing w:before="51"/>
                        <w:ind w:left="72"/>
                        <w:rPr>
                          <w:rFonts w:ascii="Times New Roman" w:hAnsi="Times New Roman" w:cs="Times New Roman"/>
                          <w:b/>
                          <w:color w:val="FFFFFF" w:themeColor="background1"/>
                          <w:sz w:val="24"/>
                          <w:szCs w:val="24"/>
                          <w:vertAlign w:val="superscript"/>
                        </w:rPr>
                      </w:pPr>
                      <w:r w:rsidRPr="0005118D">
                        <w:rPr>
                          <w:rFonts w:ascii="Times New Roman" w:hAnsi="Times New Roman" w:cs="Times New Roman"/>
                          <w:b/>
                          <w:color w:val="FFFFFF" w:themeColor="background1"/>
                          <w:sz w:val="24"/>
                          <w:szCs w:val="24"/>
                        </w:rPr>
                        <w:t>Muhammad Talha</w:t>
                      </w:r>
                      <w:r w:rsidRPr="0005118D">
                        <w:rPr>
                          <w:rFonts w:ascii="Times New Roman" w:hAnsi="Times New Roman" w:cs="Times New Roman"/>
                          <w:b/>
                          <w:color w:val="FFFFFF" w:themeColor="background1"/>
                          <w:sz w:val="24"/>
                          <w:szCs w:val="24"/>
                          <w:vertAlign w:val="superscript"/>
                        </w:rPr>
                        <w:t>1</w:t>
                      </w:r>
                      <w:r w:rsidRPr="0005118D">
                        <w:rPr>
                          <w:rFonts w:ascii="Times New Roman" w:hAnsi="Times New Roman" w:cs="Times New Roman"/>
                          <w:b/>
                          <w:color w:val="FFFFFF" w:themeColor="background1"/>
                          <w:sz w:val="24"/>
                          <w:szCs w:val="24"/>
                        </w:rPr>
                        <w:t>, Faiqa Zahid</w:t>
                      </w:r>
                      <w:r w:rsidRPr="0005118D">
                        <w:rPr>
                          <w:rFonts w:ascii="Times New Roman" w:hAnsi="Times New Roman" w:cs="Times New Roman"/>
                          <w:b/>
                          <w:color w:val="FFFFFF" w:themeColor="background1"/>
                          <w:sz w:val="24"/>
                          <w:szCs w:val="24"/>
                          <w:vertAlign w:val="superscript"/>
                        </w:rPr>
                        <w:t>2</w:t>
                      </w:r>
                      <w:r w:rsidRPr="0005118D">
                        <w:rPr>
                          <w:rFonts w:ascii="Times New Roman" w:hAnsi="Times New Roman" w:cs="Times New Roman"/>
                          <w:b/>
                          <w:color w:val="FFFFFF" w:themeColor="background1"/>
                          <w:sz w:val="24"/>
                          <w:szCs w:val="24"/>
                        </w:rPr>
                        <w:t>, Sheeza Sehar</w:t>
                      </w:r>
                      <w:r w:rsidRPr="0005118D">
                        <w:rPr>
                          <w:rFonts w:ascii="Times New Roman" w:hAnsi="Times New Roman" w:cs="Times New Roman"/>
                          <w:b/>
                          <w:color w:val="FFFFFF" w:themeColor="background1"/>
                          <w:sz w:val="24"/>
                          <w:szCs w:val="24"/>
                          <w:vertAlign w:val="superscript"/>
                        </w:rPr>
                        <w:t>3</w:t>
                      </w:r>
                      <w:r w:rsidRPr="0005118D">
                        <w:rPr>
                          <w:rFonts w:ascii="Times New Roman" w:hAnsi="Times New Roman" w:cs="Times New Roman"/>
                          <w:b/>
                          <w:color w:val="FFFFFF" w:themeColor="background1"/>
                          <w:sz w:val="24"/>
                          <w:szCs w:val="24"/>
                        </w:rPr>
                        <w:t>, Habib Ullah Riaz</w:t>
                      </w:r>
                      <w:r w:rsidRPr="0005118D">
                        <w:rPr>
                          <w:rFonts w:ascii="Times New Roman" w:hAnsi="Times New Roman" w:cs="Times New Roman"/>
                          <w:b/>
                          <w:color w:val="FFFFFF" w:themeColor="background1"/>
                          <w:sz w:val="24"/>
                          <w:szCs w:val="24"/>
                          <w:vertAlign w:val="superscript"/>
                        </w:rPr>
                        <w:t>4</w:t>
                      </w:r>
                    </w:p>
                    <w:p w14:paraId="1EDA3FF5" w14:textId="77777777" w:rsidR="00F70F57" w:rsidRDefault="00F70F57">
                      <w:pPr>
                        <w:spacing w:before="51"/>
                        <w:ind w:left="72"/>
                        <w:rPr>
                          <w:rFonts w:ascii="Calibri"/>
                          <w:b/>
                          <w:color w:val="000000"/>
                          <w:sz w:val="10"/>
                          <w:vertAlign w:val="superscript"/>
                        </w:rPr>
                      </w:pPr>
                    </w:p>
                  </w:txbxContent>
                </v:textbox>
                <w10:wrap type="topAndBottom" anchorx="margin"/>
              </v:shape>
            </w:pict>
          </mc:Fallback>
        </mc:AlternateContent>
      </w:r>
      <w:r>
        <w:rPr>
          <w:noProof/>
        </w:rPr>
        <mc:AlternateContent>
          <mc:Choice Requires="wps">
            <w:drawing>
              <wp:anchor distT="0" distB="0" distL="0" distR="0" simplePos="0" relativeHeight="251654144" behindDoc="1" locked="0" layoutInCell="1" allowOverlap="1" wp14:anchorId="3C0DD4D1" wp14:editId="79AA3CE0">
                <wp:simplePos x="0" y="0"/>
                <wp:positionH relativeFrom="page">
                  <wp:posOffset>571500</wp:posOffset>
                </wp:positionH>
                <wp:positionV relativeFrom="paragraph">
                  <wp:posOffset>106045</wp:posOffset>
                </wp:positionV>
                <wp:extent cx="6629400" cy="1270"/>
                <wp:effectExtent l="0" t="13970" r="0" b="22860"/>
                <wp:wrapTopAndBottom/>
                <wp:docPr id="2115266679" name="docshape25"/>
                <wp:cNvGraphicFramePr/>
                <a:graphic xmlns:a="http://schemas.openxmlformats.org/drawingml/2006/main">
                  <a:graphicData uri="http://schemas.microsoft.com/office/word/2010/wordprocessingShape">
                    <wps:wsp>
                      <wps:cNvSpPr/>
                      <wps:spPr bwMode="auto">
                        <a:xfrm>
                          <a:off x="0" y="0"/>
                          <a:ext cx="6629400" cy="1270"/>
                        </a:xfrm>
                        <a:custGeom>
                          <a:avLst/>
                          <a:gdLst>
                            <a:gd name="T0" fmla="+- 0 900 900"/>
                            <a:gd name="T1" fmla="*/ T0 w 10440"/>
                            <a:gd name="T2" fmla="+- 0 11340 900"/>
                            <a:gd name="T3" fmla="*/ T2 w 10440"/>
                          </a:gdLst>
                          <a:ahLst/>
                          <a:cxnLst>
                            <a:cxn ang="0">
                              <a:pos x="T1" y="0"/>
                            </a:cxn>
                            <a:cxn ang="0">
                              <a:pos x="T3" y="0"/>
                            </a:cxn>
                          </a:cxnLst>
                          <a:rect l="0" t="0" r="r" b="b"/>
                          <a:pathLst>
                            <a:path w="10440">
                              <a:moveTo>
                                <a:pt x="0" y="0"/>
                              </a:moveTo>
                              <a:lnTo>
                                <a:pt x="10440" y="0"/>
                              </a:lnTo>
                            </a:path>
                          </a:pathLst>
                        </a:custGeom>
                        <a:noFill/>
                        <a:ln w="28575">
                          <a:solidFill>
                            <a:schemeClr val="accent5">
                              <a:lumMod val="75000"/>
                            </a:schemeClr>
                          </a:solidFill>
                          <a:prstDash val="solid"/>
                          <a:round/>
                        </a:ln>
                      </wps:spPr>
                      <wps:bodyPr rot="0" vert="horz" wrap="square" lIns="91440" tIns="45720" rIns="91440" bIns="45720" anchor="t" anchorCtr="0" upright="1">
                        <a:noAutofit/>
                      </wps:bodyPr>
                    </wps:wsp>
                  </a:graphicData>
                </a:graphic>
              </wp:anchor>
            </w:drawing>
          </mc:Choice>
          <mc:Fallback>
            <w:pict>
              <v:shape w14:anchorId="5DC6FDBB" id="docshape25" o:spid="_x0000_s1026" style="position:absolute;margin-left:45pt;margin-top:8.35pt;width:522pt;height:.1pt;z-index:-251662336;visibility:visible;mso-wrap-style:square;mso-wrap-distance-left:0;mso-wrap-distance-top:0;mso-wrap-distance-right:0;mso-wrap-distance-bottom:0;mso-position-horizontal:absolute;mso-position-horizontal-relative:page;mso-position-vertical:absolute;mso-position-vertical-relative:text;v-text-anchor:top" coordsize="10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" path="m,l10440,e" filled="f" strokecolor="#31849b [2408]" strokeweight="2.25pt">
                <v:path arrowok="t" o:connecttype="custom" o:connectlocs="0,0;6629400,0" o:connectangles="0,0"/>
                <w10:wrap type="topAndBottom" anchorx="page"/>
              </v:shape>
            </w:pict>
          </mc:Fallback>
        </mc:AlternateContent>
      </w:r>
    </w:p>
    <w:p w14:paraId="2C829505" w14:textId="77777777" w:rsidR="000027D5" w:rsidRPr="00B81332" w:rsidRDefault="00E55A29">
      <w:pPr>
        <w:pStyle w:val="Heading1"/>
        <w:tabs>
          <w:tab w:val="left" w:pos="4140"/>
        </w:tabs>
        <w:spacing w:before="167"/>
        <w:ind w:left="240"/>
        <w:jc w:val="both"/>
        <w:rPr>
          <w:rFonts w:ascii="Tempus Sans ITC" w:hAnsi="Tempus Sans ITC" w:cs="Tempus Sans ITC"/>
          <w:b/>
          <w:bCs/>
          <w:sz w:val="18"/>
        </w:rPr>
      </w:pPr>
      <w:r>
        <w:rPr>
          <w:rFonts w:ascii="Tempus Sans ITC" w:hAnsi="Tempus Sans ITC" w:cs="Tempus Sans ITC"/>
          <w:b/>
          <w:bCs/>
          <w:color w:val="231F20"/>
        </w:rPr>
        <w:t>Article Details</w:t>
      </w:r>
      <w:r>
        <w:rPr>
          <w:rFonts w:ascii="Tempus Sans ITC" w:hAnsi="Tempus Sans ITC" w:cs="Tempus Sans ITC"/>
          <w:b/>
          <w:bCs/>
          <w:color w:val="231F20"/>
        </w:rPr>
        <w:tab/>
      </w:r>
      <w:proofErr w:type="gramStart"/>
      <w:r>
        <w:rPr>
          <w:rFonts w:ascii="Tempus Sans ITC" w:hAnsi="Tempus Sans ITC" w:cs="Tempus Sans ITC"/>
          <w:b/>
          <w:bCs/>
          <w:color w:val="231F20"/>
          <w:w w:val="116"/>
        </w:rPr>
        <w:t>A</w:t>
      </w:r>
      <w:proofErr w:type="gramEnd"/>
      <w:r>
        <w:rPr>
          <w:rFonts w:ascii="Tempus Sans ITC" w:hAnsi="Tempus Sans ITC" w:cs="Tempus Sans ITC"/>
          <w:b/>
          <w:bCs/>
          <w:color w:val="231F20"/>
          <w:spacing w:val="-153"/>
        </w:rPr>
        <w:t xml:space="preserve"> </w:t>
      </w:r>
      <w:r>
        <w:rPr>
          <w:rFonts w:ascii="Tempus Sans ITC" w:hAnsi="Tempus Sans ITC" w:cs="Tempus Sans ITC"/>
          <w:b/>
          <w:bCs/>
          <w:color w:val="231F20"/>
          <w:w w:val="116"/>
        </w:rPr>
        <w:t>B</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S</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T</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R</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A</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C</w:t>
      </w:r>
      <w:r>
        <w:rPr>
          <w:rFonts w:ascii="Tempus Sans ITC" w:hAnsi="Tempus Sans ITC" w:cs="Tempus Sans ITC"/>
          <w:b/>
          <w:bCs/>
          <w:color w:val="231F20"/>
          <w:spacing w:val="-153"/>
        </w:rPr>
        <w:t xml:space="preserve"> </w:t>
      </w:r>
      <w:r>
        <w:rPr>
          <w:rFonts w:ascii="Tempus Sans ITC" w:hAnsi="Tempus Sans ITC" w:cs="Tempus Sans ITC"/>
          <w:b/>
          <w:bCs/>
          <w:color w:val="231F20"/>
          <w:w w:val="116"/>
        </w:rPr>
        <w:t>T</w:t>
      </w:r>
      <w:r w:rsidR="00B81332">
        <w:rPr>
          <w:rFonts w:ascii="Tempus Sans ITC" w:hAnsi="Tempus Sans ITC" w:cs="Tempus Sans ITC"/>
          <w:b/>
          <w:bCs/>
          <w:color w:val="231F20"/>
          <w:w w:val="116"/>
        </w:rPr>
        <w:t xml:space="preserve">          </w:t>
      </w:r>
    </w:p>
    <w:p w14:paraId="289BB962" w14:textId="77777777" w:rsidR="000027D5" w:rsidRDefault="00E55A29">
      <w:pPr>
        <w:pStyle w:val="BodyText"/>
        <w:spacing w:before="7"/>
        <w:rPr>
          <w:rFonts w:ascii="Bookman Old Style"/>
          <w:b/>
          <w:bCs/>
          <w:sz w:val="4"/>
        </w:rPr>
      </w:pPr>
      <w:r>
        <w:rPr>
          <w:b/>
          <w:bCs/>
          <w:noProof/>
        </w:rPr>
        <mc:AlternateContent>
          <mc:Choice Requires="wps">
            <w:drawing>
              <wp:anchor distT="0" distB="0" distL="0" distR="0" simplePos="0" relativeHeight="251660288" behindDoc="1" locked="0" layoutInCell="1" allowOverlap="1" wp14:anchorId="72BAFAD4" wp14:editId="0A357E32">
                <wp:simplePos x="0" y="0"/>
                <wp:positionH relativeFrom="page">
                  <wp:posOffset>571500</wp:posOffset>
                </wp:positionH>
                <wp:positionV relativeFrom="paragraph">
                  <wp:posOffset>53340</wp:posOffset>
                </wp:positionV>
                <wp:extent cx="2229485" cy="1270"/>
                <wp:effectExtent l="0" t="13970" r="5715" b="22860"/>
                <wp:wrapTopAndBottom/>
                <wp:docPr id="54889083" name="docshape26"/>
                <wp:cNvGraphicFramePr/>
                <a:graphic xmlns:a="http://schemas.openxmlformats.org/drawingml/2006/main">
                  <a:graphicData uri="http://schemas.microsoft.com/office/word/2010/wordprocessingShape">
                    <wps:wsp>
                      <wps:cNvSpPr/>
                      <wps:spPr bwMode="auto">
                        <a:xfrm>
                          <a:off x="0" y="0"/>
                          <a:ext cx="2229485" cy="1270"/>
                        </a:xfrm>
                        <a:custGeom>
                          <a:avLst/>
                          <a:gdLst>
                            <a:gd name="T0" fmla="+- 0 900 900"/>
                            <a:gd name="T1" fmla="*/ T0 w 3511"/>
                            <a:gd name="T2" fmla="+- 0 4411 900"/>
                            <a:gd name="T3" fmla="*/ T2 w 3511"/>
                          </a:gdLst>
                          <a:ahLst/>
                          <a:cxnLst>
                            <a:cxn ang="0">
                              <a:pos x="T1" y="0"/>
                            </a:cxn>
                            <a:cxn ang="0">
                              <a:pos x="T3" y="0"/>
                            </a:cxn>
                          </a:cxnLst>
                          <a:rect l="0" t="0" r="r" b="b"/>
                          <a:pathLst>
                            <a:path w="3511">
                              <a:moveTo>
                                <a:pt x="0" y="0"/>
                              </a:moveTo>
                              <a:lnTo>
                                <a:pt x="3511" y="0"/>
                              </a:lnTo>
                            </a:path>
                          </a:pathLst>
                        </a:custGeom>
                        <a:noFill/>
                        <a:ln w="28575">
                          <a:solidFill>
                            <a:schemeClr val="accent5">
                              <a:lumMod val="75000"/>
                            </a:schemeClr>
                          </a:solidFill>
                          <a:prstDash val="solid"/>
                          <a:round/>
                        </a:ln>
                      </wps:spPr>
                      <wps:bodyPr rot="0" vert="horz" wrap="square" lIns="91440" tIns="45720" rIns="91440" bIns="45720" anchor="t" anchorCtr="0" upright="1">
                        <a:noAutofit/>
                      </wps:bodyPr>
                    </wps:wsp>
                  </a:graphicData>
                </a:graphic>
              </wp:anchor>
            </w:drawing>
          </mc:Choice>
          <mc:Fallback>
            <w:pict>
              <v:shape w14:anchorId="04BF974B" id="docshape26" o:spid="_x0000_s1026" style="position:absolute;margin-left:45pt;margin-top:4.2pt;width:175.5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35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" path="m,l3511,e" filled="f" strokecolor="#31849b [2408]" strokeweight="2.25pt">
                <v:path arrowok="t" o:connecttype="custom" o:connectlocs="0,0;2229485,0" o:connectangles="0,0"/>
                <w10:wrap type="topAndBottom" anchorx="page"/>
              </v:shape>
            </w:pict>
          </mc:Fallback>
        </mc:AlternateContent>
      </w:r>
      <w:r>
        <w:rPr>
          <w:b/>
          <w:bCs/>
          <w:noProof/>
        </w:rPr>
        <mc:AlternateContent>
          <mc:Choice Requires="wps">
            <w:drawing>
              <wp:anchor distT="0" distB="0" distL="0" distR="0" simplePos="0" relativeHeight="251658240" behindDoc="1" locked="0" layoutInCell="1" allowOverlap="1" wp14:anchorId="4136FC49" wp14:editId="7579583B">
                <wp:simplePos x="0" y="0"/>
                <wp:positionH relativeFrom="page">
                  <wp:posOffset>3118485</wp:posOffset>
                </wp:positionH>
                <wp:positionV relativeFrom="paragraph">
                  <wp:posOffset>53340</wp:posOffset>
                </wp:positionV>
                <wp:extent cx="4080510" cy="1270"/>
                <wp:effectExtent l="0" t="9525" r="8890" b="14605"/>
                <wp:wrapTopAndBottom/>
                <wp:docPr id="1508902115" name="docshape27"/>
                <wp:cNvGraphicFramePr/>
                <a:graphic xmlns:a="http://schemas.openxmlformats.org/drawingml/2006/main">
                  <a:graphicData uri="http://schemas.microsoft.com/office/word/2010/wordprocessingShape">
                    <wps:wsp>
                      <wps:cNvSpPr/>
                      <wps:spPr bwMode="auto">
                        <a:xfrm>
                          <a:off x="0" y="0"/>
                          <a:ext cx="4080510" cy="1270"/>
                        </a:xfrm>
                        <a:custGeom>
                          <a:avLst/>
                          <a:gdLst>
                            <a:gd name="T0" fmla="+- 0 4911 4911"/>
                            <a:gd name="T1" fmla="*/ T0 w 6426"/>
                            <a:gd name="T2" fmla="+- 0 11336 4911"/>
                            <a:gd name="T3" fmla="*/ T2 w 6426"/>
                          </a:gdLst>
                          <a:ahLst/>
                          <a:cxnLst>
                            <a:cxn ang="0">
                              <a:pos x="T1" y="0"/>
                            </a:cxn>
                            <a:cxn ang="0">
                              <a:pos x="T3" y="0"/>
                            </a:cxn>
                          </a:cxnLst>
                          <a:rect l="0" t="0" r="r" b="b"/>
                          <a:pathLst>
                            <a:path w="6426">
                              <a:moveTo>
                                <a:pt x="0" y="0"/>
                              </a:moveTo>
                              <a:lnTo>
                                <a:pt x="6425" y="0"/>
                              </a:lnTo>
                            </a:path>
                          </a:pathLst>
                        </a:custGeom>
                        <a:noFill/>
                        <a:ln w="19050">
                          <a:solidFill>
                            <a:schemeClr val="accent5">
                              <a:lumMod val="75000"/>
                            </a:schemeClr>
                          </a:solidFill>
                          <a:prstDash val="solid"/>
                          <a:round/>
                        </a:ln>
                      </wps:spPr>
                      <wps:bodyPr rot="0" vert="horz" wrap="square" lIns="91440" tIns="45720" rIns="91440" bIns="45720" anchor="t" anchorCtr="0" upright="1">
                        <a:noAutofit/>
                      </wps:bodyPr>
                    </wps:wsp>
                  </a:graphicData>
                </a:graphic>
              </wp:anchor>
            </w:drawing>
          </mc:Choice>
          <mc:Fallback>
            <w:pict>
              <v:shape w14:anchorId="374333CE" id="docshape27" o:spid="_x0000_s1026" style="position:absolute;margin-left:245.55pt;margin-top:4.2pt;width:321.3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4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" path="m,l6425,e" filled="f" strokecolor="#31849b [2408]" strokeweight="1.5pt">
                <v:path arrowok="t" o:connecttype="custom" o:connectlocs="0,0;4079875,0" o:connectangles="0,0"/>
                <w10:wrap type="topAndBottom" anchorx="page"/>
              </v:shape>
            </w:pict>
          </mc:Fallback>
        </mc:AlternateContent>
      </w:r>
    </w:p>
    <w:p w14:paraId="7923B2E6" w14:textId="77777777" w:rsidR="000027D5" w:rsidRDefault="000027D5">
      <w:pPr>
        <w:pStyle w:val="BodyText"/>
        <w:spacing w:before="4"/>
        <w:rPr>
          <w:rFonts w:ascii="Bookman Old Style"/>
          <w:sz w:val="5"/>
        </w:rPr>
      </w:pPr>
    </w:p>
    <w:p w14:paraId="69931AA3" w14:textId="77777777" w:rsidR="000027D5" w:rsidRDefault="000027D5">
      <w:pPr>
        <w:rPr>
          <w:rFonts w:ascii="Bookman Old Style"/>
          <w:sz w:val="5"/>
        </w:rPr>
        <w:sectPr w:rsidR="000027D5" w:rsidSect="001E5476">
          <w:headerReference w:type="default" r:id="rId9"/>
          <w:footerReference w:type="default" r:id="rId10"/>
          <w:footerReference w:type="first" r:id="rId11"/>
          <w:type w:val="continuous"/>
          <w:pgSz w:w="12240" w:h="15840"/>
          <w:pgMar w:top="680" w:right="780" w:bottom="1100" w:left="780" w:header="0" w:footer="576" w:gutter="0"/>
          <w:pgNumType w:start="214"/>
          <w:cols w:space="720"/>
          <w:titlePg/>
          <w:docGrid w:linePitch="299"/>
        </w:sectPr>
      </w:pPr>
    </w:p>
    <w:p w14:paraId="67E2FC94" w14:textId="22D7BAE8" w:rsidR="00F70F57" w:rsidRDefault="00E55A29" w:rsidP="0005118D">
      <w:pPr>
        <w:jc w:val="both"/>
        <w:rPr>
          <w:rFonts w:ascii="Times New Roman" w:hAnsi="Times New Roman" w:cs="Times New Roman"/>
          <w:sz w:val="24"/>
          <w:szCs w:val="24"/>
        </w:rPr>
      </w:pPr>
      <w:r w:rsidRPr="00F70F57">
        <w:rPr>
          <w:rFonts w:ascii="Times New Roman" w:eastAsia="Times New Roman" w:hAnsi="Times New Roman" w:cs="Times New Roman"/>
          <w:b/>
          <w:bCs/>
          <w:sz w:val="24"/>
          <w:szCs w:val="24"/>
        </w:rPr>
        <w:t>Keywords</w:t>
      </w:r>
      <w:r w:rsidRPr="00F70F57">
        <w:rPr>
          <w:rFonts w:ascii="Times New Roman" w:eastAsia="Times New Roman" w:hAnsi="Times New Roman" w:cs="Times New Roman"/>
          <w:sz w:val="24"/>
          <w:szCs w:val="24"/>
        </w:rPr>
        <w:t xml:space="preserve">: </w:t>
      </w:r>
      <w:r w:rsidR="0005118D" w:rsidRPr="0005118D">
        <w:rPr>
          <w:rFonts w:ascii="Times New Roman" w:hAnsi="Times New Roman" w:cs="Times New Roman"/>
          <w:sz w:val="24"/>
          <w:szCs w:val="24"/>
        </w:rPr>
        <w:t>Ventilator associated pneumonia; oral hygiene; intensive care unit; nursing intervention; CPIS Score; infection prevention</w:t>
      </w:r>
    </w:p>
    <w:p w14:paraId="7112179D" w14:textId="77777777" w:rsidR="0005118D" w:rsidRDefault="0005118D" w:rsidP="0005118D">
      <w:pPr>
        <w:jc w:val="both"/>
        <w:rPr>
          <w:rFonts w:asciiTheme="majorBidi" w:hAnsiTheme="majorBidi" w:cstheme="majorBidi"/>
          <w:sz w:val="24"/>
          <w:szCs w:val="24"/>
        </w:rPr>
      </w:pPr>
    </w:p>
    <w:p w14:paraId="53BB26F1" w14:textId="5101965C" w:rsidR="0005118D" w:rsidRPr="0005118D" w:rsidRDefault="0005118D" w:rsidP="0005118D">
      <w:pPr>
        <w:jc w:val="both"/>
        <w:rPr>
          <w:rFonts w:ascii="Times New Roman" w:hAnsi="Times New Roman" w:cs="Times New Roman"/>
          <w:b/>
          <w:bCs/>
          <w:color w:val="000000" w:themeColor="text1"/>
          <w:sz w:val="24"/>
          <w:szCs w:val="24"/>
          <w:vertAlign w:val="superscript"/>
        </w:rPr>
      </w:pPr>
      <w:r w:rsidRPr="0005118D">
        <w:rPr>
          <w:rFonts w:ascii="Times New Roman" w:hAnsi="Times New Roman" w:cs="Times New Roman"/>
          <w:b/>
          <w:bCs/>
          <w:color w:val="000000" w:themeColor="text1"/>
          <w:sz w:val="24"/>
          <w:szCs w:val="24"/>
        </w:rPr>
        <w:t>Muhammad Talha</w:t>
      </w:r>
    </w:p>
    <w:p w14:paraId="4DD1D580" w14:textId="05CAD2B1" w:rsidR="0005118D" w:rsidRPr="0005118D" w:rsidRDefault="0005118D" w:rsidP="0005118D">
      <w:pPr>
        <w:jc w:val="both"/>
        <w:rPr>
          <w:rFonts w:ascii="Times New Roman" w:hAnsi="Times New Roman" w:cs="Times New Roman"/>
          <w:color w:val="000000" w:themeColor="text1"/>
          <w:sz w:val="24"/>
          <w:szCs w:val="24"/>
          <w:vertAlign w:val="superscript"/>
        </w:rPr>
      </w:pPr>
      <w:r w:rsidRPr="0005118D">
        <w:rPr>
          <w:rFonts w:ascii="Times New Roman" w:hAnsi="Times New Roman" w:cs="Times New Roman"/>
          <w:color w:val="000000" w:themeColor="text1"/>
          <w:sz w:val="24"/>
          <w:szCs w:val="24"/>
        </w:rPr>
        <w:t xml:space="preserve">BSN Generic Scholar, Shahida Islam Nursing College, Shahida Islam Liver Transplant Teaching Hospital, </w:t>
      </w:r>
      <w:proofErr w:type="spellStart"/>
      <w:r w:rsidRPr="0005118D">
        <w:rPr>
          <w:rFonts w:ascii="Times New Roman" w:hAnsi="Times New Roman" w:cs="Times New Roman"/>
          <w:color w:val="000000" w:themeColor="text1"/>
          <w:sz w:val="24"/>
          <w:szCs w:val="24"/>
        </w:rPr>
        <w:t>Lodhran</w:t>
      </w:r>
      <w:proofErr w:type="spellEnd"/>
      <w:r w:rsidRPr="0005118D">
        <w:rPr>
          <w:rFonts w:ascii="Times New Roman" w:hAnsi="Times New Roman" w:cs="Times New Roman"/>
          <w:color w:val="000000" w:themeColor="text1"/>
          <w:sz w:val="24"/>
          <w:szCs w:val="24"/>
        </w:rPr>
        <w:t>, Pakistan.</w:t>
      </w:r>
    </w:p>
    <w:p w14:paraId="05F86333" w14:textId="77777777" w:rsidR="0005118D" w:rsidRPr="0005118D" w:rsidRDefault="0005118D" w:rsidP="0005118D">
      <w:pPr>
        <w:jc w:val="both"/>
        <w:rPr>
          <w:rFonts w:ascii="Times New Roman" w:hAnsi="Times New Roman" w:cs="Times New Roman"/>
          <w:b/>
          <w:bCs/>
          <w:color w:val="000000" w:themeColor="text1"/>
          <w:sz w:val="24"/>
          <w:szCs w:val="24"/>
          <w:vertAlign w:val="superscript"/>
        </w:rPr>
      </w:pPr>
    </w:p>
    <w:p w14:paraId="25024AE2" w14:textId="045089D0" w:rsidR="0005118D" w:rsidRPr="0005118D" w:rsidRDefault="0005118D" w:rsidP="0005118D">
      <w:pPr>
        <w:jc w:val="both"/>
        <w:rPr>
          <w:rFonts w:ascii="Times New Roman" w:hAnsi="Times New Roman" w:cs="Times New Roman"/>
          <w:b/>
          <w:bCs/>
          <w:color w:val="000000" w:themeColor="text1"/>
          <w:sz w:val="24"/>
          <w:szCs w:val="24"/>
          <w:vertAlign w:val="superscript"/>
        </w:rPr>
      </w:pPr>
      <w:r w:rsidRPr="0005118D">
        <w:rPr>
          <w:rFonts w:ascii="Times New Roman" w:hAnsi="Times New Roman" w:cs="Times New Roman"/>
          <w:b/>
          <w:bCs/>
          <w:color w:val="000000" w:themeColor="text1"/>
          <w:sz w:val="24"/>
          <w:szCs w:val="24"/>
        </w:rPr>
        <w:t>Faiqa Zahid</w:t>
      </w:r>
    </w:p>
    <w:p w14:paraId="63FF9225" w14:textId="2458F8E1" w:rsidR="0005118D" w:rsidRPr="0005118D" w:rsidRDefault="0005118D" w:rsidP="0005118D">
      <w:pPr>
        <w:jc w:val="both"/>
        <w:rPr>
          <w:rFonts w:ascii="Times New Roman" w:hAnsi="Times New Roman" w:cs="Times New Roman"/>
          <w:color w:val="000000" w:themeColor="text1"/>
          <w:sz w:val="24"/>
          <w:szCs w:val="24"/>
          <w:vertAlign w:val="superscript"/>
        </w:rPr>
      </w:pPr>
      <w:r w:rsidRPr="0005118D">
        <w:rPr>
          <w:rFonts w:ascii="Times New Roman" w:hAnsi="Times New Roman" w:cs="Times New Roman"/>
          <w:color w:val="000000" w:themeColor="text1"/>
          <w:sz w:val="24"/>
          <w:szCs w:val="24"/>
        </w:rPr>
        <w:t xml:space="preserve">BSN Generic Scholar, Shahida Islam Nursing College, Shahida Islam Liver Transplant Teaching Hospital, </w:t>
      </w:r>
      <w:proofErr w:type="spellStart"/>
      <w:r w:rsidRPr="0005118D">
        <w:rPr>
          <w:rFonts w:ascii="Times New Roman" w:hAnsi="Times New Roman" w:cs="Times New Roman"/>
          <w:color w:val="000000" w:themeColor="text1"/>
          <w:sz w:val="24"/>
          <w:szCs w:val="24"/>
        </w:rPr>
        <w:t>Lodhran</w:t>
      </w:r>
      <w:proofErr w:type="spellEnd"/>
      <w:r w:rsidRPr="0005118D">
        <w:rPr>
          <w:rFonts w:ascii="Times New Roman" w:hAnsi="Times New Roman" w:cs="Times New Roman"/>
          <w:color w:val="000000" w:themeColor="text1"/>
          <w:sz w:val="24"/>
          <w:szCs w:val="24"/>
        </w:rPr>
        <w:t>, Pakistan.</w:t>
      </w:r>
    </w:p>
    <w:p w14:paraId="5E9691AC" w14:textId="77777777" w:rsidR="0005118D" w:rsidRPr="0005118D" w:rsidRDefault="0005118D" w:rsidP="0005118D">
      <w:pPr>
        <w:jc w:val="both"/>
        <w:rPr>
          <w:rFonts w:ascii="Times New Roman" w:hAnsi="Times New Roman" w:cs="Times New Roman"/>
          <w:b/>
          <w:bCs/>
          <w:color w:val="000000" w:themeColor="text1"/>
          <w:sz w:val="24"/>
          <w:szCs w:val="24"/>
          <w:vertAlign w:val="superscript"/>
        </w:rPr>
      </w:pPr>
    </w:p>
    <w:p w14:paraId="515F5377" w14:textId="77777777" w:rsidR="0005118D" w:rsidRPr="0005118D" w:rsidRDefault="0005118D" w:rsidP="0005118D">
      <w:pPr>
        <w:jc w:val="both"/>
        <w:rPr>
          <w:rFonts w:ascii="Times New Roman" w:hAnsi="Times New Roman" w:cs="Times New Roman"/>
          <w:b/>
          <w:bCs/>
          <w:color w:val="000000" w:themeColor="text1"/>
          <w:sz w:val="24"/>
          <w:szCs w:val="24"/>
          <w:vertAlign w:val="superscript"/>
        </w:rPr>
      </w:pPr>
      <w:r w:rsidRPr="0005118D">
        <w:rPr>
          <w:rFonts w:ascii="Times New Roman" w:hAnsi="Times New Roman" w:cs="Times New Roman"/>
          <w:b/>
          <w:bCs/>
          <w:color w:val="000000" w:themeColor="text1"/>
          <w:sz w:val="24"/>
          <w:szCs w:val="24"/>
        </w:rPr>
        <w:t>Sheeza Sehar</w:t>
      </w:r>
    </w:p>
    <w:p w14:paraId="5111F038" w14:textId="77777777" w:rsidR="0005118D" w:rsidRPr="0005118D" w:rsidRDefault="0005118D" w:rsidP="0005118D">
      <w:pPr>
        <w:jc w:val="both"/>
        <w:rPr>
          <w:rFonts w:ascii="Times New Roman" w:hAnsi="Times New Roman" w:cs="Times New Roman"/>
          <w:color w:val="000000" w:themeColor="text1"/>
          <w:sz w:val="24"/>
          <w:szCs w:val="24"/>
          <w:vertAlign w:val="superscript"/>
        </w:rPr>
      </w:pPr>
      <w:r w:rsidRPr="0005118D">
        <w:rPr>
          <w:rFonts w:ascii="Times New Roman" w:hAnsi="Times New Roman" w:cs="Times New Roman"/>
          <w:color w:val="000000" w:themeColor="text1"/>
          <w:sz w:val="24"/>
          <w:szCs w:val="24"/>
        </w:rPr>
        <w:t xml:space="preserve">BSN Generic Scholar, Shahida Islam Nursing College, Shahida Islam Liver Transplant Teaching Hospital, </w:t>
      </w:r>
      <w:proofErr w:type="spellStart"/>
      <w:r w:rsidRPr="0005118D">
        <w:rPr>
          <w:rFonts w:ascii="Times New Roman" w:hAnsi="Times New Roman" w:cs="Times New Roman"/>
          <w:color w:val="000000" w:themeColor="text1"/>
          <w:sz w:val="24"/>
          <w:szCs w:val="24"/>
        </w:rPr>
        <w:t>Lodhran</w:t>
      </w:r>
      <w:proofErr w:type="spellEnd"/>
      <w:r w:rsidRPr="0005118D">
        <w:rPr>
          <w:rFonts w:ascii="Times New Roman" w:hAnsi="Times New Roman" w:cs="Times New Roman"/>
          <w:color w:val="000000" w:themeColor="text1"/>
          <w:sz w:val="24"/>
          <w:szCs w:val="24"/>
        </w:rPr>
        <w:t>, Pakistan.</w:t>
      </w:r>
    </w:p>
    <w:p w14:paraId="38397514" w14:textId="77777777" w:rsidR="0005118D" w:rsidRPr="0005118D" w:rsidRDefault="0005118D" w:rsidP="0005118D">
      <w:pPr>
        <w:jc w:val="both"/>
        <w:rPr>
          <w:rFonts w:ascii="Times New Roman" w:hAnsi="Times New Roman" w:cs="Times New Roman"/>
          <w:b/>
          <w:bCs/>
          <w:color w:val="000000" w:themeColor="text1"/>
          <w:sz w:val="24"/>
          <w:szCs w:val="24"/>
          <w:vertAlign w:val="superscript"/>
        </w:rPr>
      </w:pPr>
    </w:p>
    <w:p w14:paraId="0F4D46DA" w14:textId="44F21AE4" w:rsidR="0005118D" w:rsidRPr="0005118D" w:rsidRDefault="0005118D" w:rsidP="0005118D">
      <w:pPr>
        <w:jc w:val="both"/>
        <w:rPr>
          <w:rFonts w:ascii="Times New Roman" w:hAnsi="Times New Roman" w:cs="Times New Roman"/>
          <w:b/>
          <w:bCs/>
          <w:color w:val="000000" w:themeColor="text1"/>
          <w:sz w:val="24"/>
          <w:szCs w:val="24"/>
          <w:vertAlign w:val="superscript"/>
        </w:rPr>
      </w:pPr>
      <w:r w:rsidRPr="0005118D">
        <w:rPr>
          <w:rFonts w:ascii="Times New Roman" w:hAnsi="Times New Roman" w:cs="Times New Roman"/>
          <w:b/>
          <w:bCs/>
          <w:color w:val="000000" w:themeColor="text1"/>
          <w:sz w:val="24"/>
          <w:szCs w:val="24"/>
        </w:rPr>
        <w:t>Habib Ullah Riaz</w:t>
      </w:r>
    </w:p>
    <w:p w14:paraId="22A3D0B8" w14:textId="337CD107" w:rsidR="0005118D" w:rsidRPr="0005118D" w:rsidRDefault="0005118D" w:rsidP="0005118D">
      <w:pPr>
        <w:jc w:val="both"/>
        <w:rPr>
          <w:rFonts w:ascii="Times New Roman" w:hAnsi="Times New Roman" w:cs="Times New Roman"/>
          <w:color w:val="000000" w:themeColor="text1"/>
          <w:sz w:val="24"/>
          <w:szCs w:val="24"/>
        </w:rPr>
      </w:pPr>
      <w:r w:rsidRPr="0005118D">
        <w:rPr>
          <w:rFonts w:ascii="Times New Roman" w:hAnsi="Times New Roman" w:cs="Times New Roman"/>
          <w:color w:val="000000" w:themeColor="text1"/>
          <w:sz w:val="24"/>
          <w:szCs w:val="24"/>
        </w:rPr>
        <w:t xml:space="preserve">Assistant Professor, Shahida Islam Nursing College, Shahida Islam Liver Transplant Teaching Hospital, </w:t>
      </w:r>
      <w:proofErr w:type="spellStart"/>
      <w:r w:rsidRPr="0005118D">
        <w:rPr>
          <w:rFonts w:ascii="Times New Roman" w:hAnsi="Times New Roman" w:cs="Times New Roman"/>
          <w:color w:val="000000" w:themeColor="text1"/>
          <w:sz w:val="24"/>
          <w:szCs w:val="24"/>
        </w:rPr>
        <w:t>Lodhran</w:t>
      </w:r>
      <w:proofErr w:type="spellEnd"/>
      <w:r w:rsidRPr="0005118D">
        <w:rPr>
          <w:rFonts w:ascii="Times New Roman" w:hAnsi="Times New Roman" w:cs="Times New Roman"/>
          <w:color w:val="000000" w:themeColor="text1"/>
          <w:sz w:val="24"/>
          <w:szCs w:val="24"/>
        </w:rPr>
        <w:t>, Pakistan.</w:t>
      </w:r>
    </w:p>
    <w:p w14:paraId="50E3875C" w14:textId="77777777" w:rsidR="000027D5" w:rsidRDefault="000027D5">
      <w:pPr>
        <w:jc w:val="both"/>
        <w:rPr>
          <w:rFonts w:ascii="Times New Roman" w:hAnsi="Times New Roman" w:cs="Times New Roman"/>
          <w:sz w:val="20"/>
          <w:szCs w:val="20"/>
        </w:rPr>
      </w:pPr>
    </w:p>
    <w:p w14:paraId="43CCC617" w14:textId="77777777" w:rsidR="00DE4FAA" w:rsidRDefault="00DE4FAA" w:rsidP="00DE4FAA">
      <w:pPr>
        <w:jc w:val="both"/>
        <w:rPr>
          <w:sz w:val="20"/>
          <w:szCs w:val="20"/>
        </w:rPr>
      </w:pPr>
    </w:p>
    <w:p w14:paraId="3D1AF8C6" w14:textId="77777777" w:rsidR="0005118D" w:rsidRDefault="0005118D" w:rsidP="00DE4FAA">
      <w:pPr>
        <w:jc w:val="both"/>
        <w:rPr>
          <w:sz w:val="20"/>
          <w:szCs w:val="20"/>
        </w:rPr>
      </w:pPr>
    </w:p>
    <w:p w14:paraId="33DBE909" w14:textId="77777777" w:rsidR="0005118D" w:rsidRDefault="0005118D" w:rsidP="00DE4FAA">
      <w:pPr>
        <w:jc w:val="both"/>
        <w:rPr>
          <w:sz w:val="20"/>
          <w:szCs w:val="20"/>
        </w:rPr>
      </w:pPr>
    </w:p>
    <w:p w14:paraId="7069EAA8" w14:textId="77777777" w:rsidR="0005118D" w:rsidRDefault="0005118D" w:rsidP="00DE4FAA">
      <w:pPr>
        <w:jc w:val="both"/>
        <w:rPr>
          <w:sz w:val="20"/>
          <w:szCs w:val="20"/>
        </w:rPr>
      </w:pPr>
    </w:p>
    <w:p w14:paraId="21D828E3" w14:textId="77777777" w:rsidR="004C30ED" w:rsidRDefault="004C30ED" w:rsidP="00DE4FAA">
      <w:pPr>
        <w:jc w:val="both"/>
        <w:rPr>
          <w:sz w:val="20"/>
          <w:szCs w:val="20"/>
        </w:rPr>
      </w:pPr>
    </w:p>
    <w:p w14:paraId="736C9145" w14:textId="77777777" w:rsidR="0005118D" w:rsidRPr="0005118D" w:rsidRDefault="0005118D" w:rsidP="0005118D">
      <w:pPr>
        <w:pStyle w:val="TableParagraph"/>
        <w:ind w:left="448"/>
        <w:jc w:val="both"/>
        <w:rPr>
          <w:rFonts w:asciiTheme="majorBidi" w:hAnsiTheme="majorBidi" w:cstheme="majorBidi"/>
        </w:rPr>
      </w:pPr>
      <w:r w:rsidRPr="0005118D">
        <w:rPr>
          <w:rFonts w:asciiTheme="majorBidi" w:hAnsiTheme="majorBidi" w:cstheme="majorBidi"/>
          <w:b/>
          <w:bCs/>
        </w:rPr>
        <w:t>Background</w:t>
      </w:r>
      <w:r w:rsidRPr="0005118D">
        <w:rPr>
          <w:rFonts w:asciiTheme="majorBidi" w:hAnsiTheme="majorBidi" w:cstheme="majorBidi"/>
        </w:rPr>
        <w:t>: Ventilator-associated pneumonia (VAP) is a common and life-threatening infection in mechanically ventilated intensive care unit (ICU) patients, contributing to increased morbidity, mortality, and healthcare costs. Poor oral hygiene facilitates bacterial colonization, increasing VAP risk. Nurses play a crucial role in infection prevention through structured oral care interventions.</w:t>
      </w:r>
    </w:p>
    <w:p w14:paraId="270DEFD1" w14:textId="77777777" w:rsidR="0005118D" w:rsidRPr="0005118D" w:rsidRDefault="0005118D" w:rsidP="0005118D">
      <w:pPr>
        <w:pStyle w:val="TableParagraph"/>
        <w:ind w:left="448"/>
        <w:jc w:val="both"/>
        <w:rPr>
          <w:rFonts w:asciiTheme="majorBidi" w:hAnsiTheme="majorBidi" w:cstheme="majorBidi"/>
        </w:rPr>
      </w:pPr>
      <w:r w:rsidRPr="0005118D">
        <w:rPr>
          <w:rFonts w:asciiTheme="majorBidi" w:hAnsiTheme="majorBidi" w:cstheme="majorBidi"/>
          <w:b/>
          <w:bCs/>
        </w:rPr>
        <w:t>Objective:</w:t>
      </w:r>
      <w:r w:rsidRPr="0005118D">
        <w:rPr>
          <w:rFonts w:asciiTheme="majorBidi" w:hAnsiTheme="majorBidi" w:cstheme="majorBidi"/>
        </w:rPr>
        <w:t xml:space="preserve"> To evaluate the effectiveness of structured oral hygiene interventions in Preventing ventilator associated pneumonia among mechanically ventilated ICU patients at Intensive Care Unit, Bahawalpur.</w:t>
      </w:r>
    </w:p>
    <w:p w14:paraId="5CB5E031" w14:textId="77777777" w:rsidR="0005118D" w:rsidRPr="0005118D" w:rsidRDefault="0005118D" w:rsidP="0005118D">
      <w:pPr>
        <w:pStyle w:val="TableParagraph"/>
        <w:ind w:left="448"/>
        <w:jc w:val="both"/>
        <w:rPr>
          <w:rFonts w:asciiTheme="majorBidi" w:hAnsiTheme="majorBidi" w:cstheme="majorBidi"/>
        </w:rPr>
      </w:pPr>
      <w:r w:rsidRPr="0005118D">
        <w:rPr>
          <w:rFonts w:asciiTheme="majorBidi" w:hAnsiTheme="majorBidi" w:cstheme="majorBidi"/>
          <w:b/>
          <w:bCs/>
        </w:rPr>
        <w:t>Methods:</w:t>
      </w:r>
      <w:r w:rsidRPr="0005118D">
        <w:rPr>
          <w:rFonts w:asciiTheme="majorBidi" w:hAnsiTheme="majorBidi" w:cstheme="majorBidi"/>
        </w:rPr>
        <w:t xml:space="preserve"> A quasi-experimental case and control design was used. A total of 22 mechanically ventilated ICU patients were included using purposive sampling, divided into Case (n=11) and Control (n=11) groups. The intervention consisted of structured nurse delivered oral hygiene care including tooth brushing, oral suctioning, lip care, and antiseptic application. Ventilator-associated pneumonia was assessed using the Modified Clinical Pulmonary Infection Score (CPIS) on Day 6 before and after the intervention. Data were analyzed using descriptive statistics, independent sample t-test.</w:t>
      </w:r>
    </w:p>
    <w:p w14:paraId="4866ABA4" w14:textId="77777777" w:rsidR="0005118D" w:rsidRPr="0005118D" w:rsidRDefault="0005118D" w:rsidP="0005118D">
      <w:pPr>
        <w:pStyle w:val="TableParagraph"/>
        <w:ind w:left="448"/>
        <w:jc w:val="both"/>
        <w:rPr>
          <w:rFonts w:asciiTheme="majorBidi" w:hAnsiTheme="majorBidi" w:cstheme="majorBidi"/>
        </w:rPr>
      </w:pPr>
      <w:r w:rsidRPr="0005118D">
        <w:rPr>
          <w:rFonts w:asciiTheme="majorBidi" w:hAnsiTheme="majorBidi" w:cstheme="majorBidi"/>
          <w:b/>
          <w:bCs/>
        </w:rPr>
        <w:t>Results:</w:t>
      </w:r>
      <w:r w:rsidRPr="0005118D">
        <w:rPr>
          <w:rFonts w:asciiTheme="majorBidi" w:hAnsiTheme="majorBidi" w:cstheme="majorBidi"/>
        </w:rPr>
        <w:t xml:space="preserve"> Control Group assessment showed a high VAP incidence of 7/11(63.6%) patients while Case Group assessment showed low VAP incidence of 3/11 (27.3%) patients following the structured oral hygiene intervention. Independent sample t-test results revealed significant difference on Day 6 (Mean = 6.09 vs 3.64, P = 0.009, P = 0.010). These results indicate that structured nurse led oral hygiene interventions significantly reduced CPIS scores and lowered VAP incidence among mechanically ventilated ICU patients.</w:t>
      </w:r>
    </w:p>
    <w:p w14:paraId="25D38560" w14:textId="77777777" w:rsidR="0005118D" w:rsidRPr="0005118D" w:rsidRDefault="0005118D" w:rsidP="0005118D">
      <w:pPr>
        <w:pStyle w:val="TableParagraph"/>
        <w:ind w:left="448"/>
        <w:jc w:val="both"/>
        <w:rPr>
          <w:rFonts w:asciiTheme="majorBidi" w:hAnsiTheme="majorBidi" w:cstheme="majorBidi"/>
        </w:rPr>
      </w:pPr>
      <w:r w:rsidRPr="0005118D">
        <w:rPr>
          <w:rFonts w:asciiTheme="majorBidi" w:hAnsiTheme="majorBidi" w:cstheme="majorBidi"/>
          <w:b/>
          <w:bCs/>
        </w:rPr>
        <w:t>Conclusion:</w:t>
      </w:r>
      <w:r w:rsidRPr="0005118D">
        <w:rPr>
          <w:rFonts w:asciiTheme="majorBidi" w:hAnsiTheme="majorBidi" w:cstheme="majorBidi"/>
        </w:rPr>
        <w:t xml:space="preserve"> Structured oral hygiene care significantly reduces VAP incidence and improves CPIS scores in mechanically ventilated ICU patients. Integration of nurse-led, evidence-based oral care protocols in ICU practice enhances patient safety, reduces complications, and supports improved clinical outcomes. These findings emphasize the importance of ongoing training, standardized protocols, and routine monitoring for effective infection prevention.</w:t>
      </w:r>
    </w:p>
    <w:p w14:paraId="2258FDBF" w14:textId="77777777" w:rsidR="00503D72" w:rsidRDefault="00503D72" w:rsidP="00503D72">
      <w:pPr>
        <w:pStyle w:val="TableParagraph"/>
        <w:ind w:left="450"/>
        <w:jc w:val="both"/>
        <w:rPr>
          <w:rFonts w:ascii="Times New Roman" w:hAnsi="Times New Roman" w:cs="Times New Roman"/>
          <w:sz w:val="18"/>
          <w:szCs w:val="18"/>
        </w:rPr>
      </w:pPr>
    </w:p>
    <w:p w14:paraId="4B0B5736" w14:textId="77777777" w:rsidR="00503D72" w:rsidRDefault="00503D72" w:rsidP="00CF6D80">
      <w:pPr>
        <w:pStyle w:val="TableParagraph"/>
        <w:jc w:val="both"/>
        <w:rPr>
          <w:rFonts w:ascii="Times New Roman" w:hAnsi="Times New Roman" w:cs="Times New Roman"/>
          <w:sz w:val="18"/>
          <w:szCs w:val="18"/>
        </w:rPr>
      </w:pPr>
    </w:p>
    <w:p w14:paraId="0D1D8FC2" w14:textId="77777777" w:rsidR="00503D72" w:rsidRDefault="00503D72" w:rsidP="00CF6D80">
      <w:pPr>
        <w:pStyle w:val="TableParagraph"/>
        <w:jc w:val="both"/>
        <w:rPr>
          <w:rFonts w:ascii="Times New Roman" w:hAnsi="Times New Roman" w:cs="Times New Roman"/>
          <w:sz w:val="18"/>
          <w:szCs w:val="18"/>
        </w:rPr>
      </w:pPr>
    </w:p>
    <w:p w14:paraId="4220B07C" w14:textId="77777777" w:rsidR="00CA0177" w:rsidRDefault="00CA0177" w:rsidP="00CF6D80">
      <w:pPr>
        <w:pStyle w:val="TableParagraph"/>
        <w:jc w:val="both"/>
        <w:rPr>
          <w:rFonts w:ascii="Times New Roman" w:hAnsi="Times New Roman" w:cs="Times New Roman"/>
          <w:sz w:val="18"/>
          <w:szCs w:val="18"/>
        </w:rPr>
        <w:sectPr w:rsidR="00CA0177" w:rsidSect="00711FF1">
          <w:type w:val="continuous"/>
          <w:pgSz w:w="12240" w:h="15840"/>
          <w:pgMar w:top="680" w:right="780" w:bottom="1100" w:left="780" w:header="0" w:footer="915" w:gutter="0"/>
          <w:cols w:num="2" w:space="720" w:equalWidth="0">
            <w:col w:w="3853" w:space="52"/>
            <w:col w:w="6775"/>
          </w:cols>
        </w:sectPr>
      </w:pPr>
    </w:p>
    <w:p w14:paraId="421D127E" w14:textId="77777777" w:rsidR="0005118D" w:rsidRPr="0005118D" w:rsidRDefault="0005118D" w:rsidP="0005118D">
      <w:pPr>
        <w:jc w:val="both"/>
        <w:rPr>
          <w:rFonts w:ascii="Times New Roman" w:hAnsi="Times New Roman" w:cs="Times New Roman"/>
          <w:b/>
          <w:bCs/>
          <w:sz w:val="24"/>
          <w:szCs w:val="24"/>
        </w:rPr>
      </w:pPr>
      <w:bookmarkStart w:id="2" w:name="_Toc29427"/>
      <w:bookmarkStart w:id="3" w:name="_Toc20119"/>
      <w:r w:rsidRPr="0005118D">
        <w:rPr>
          <w:rFonts w:ascii="Times New Roman" w:hAnsi="Times New Roman" w:cs="Times New Roman"/>
          <w:b/>
          <w:bCs/>
          <w:sz w:val="24"/>
          <w:szCs w:val="24"/>
        </w:rPr>
        <w:lastRenderedPageBreak/>
        <w:t>INTRODUCTION</w:t>
      </w:r>
      <w:bookmarkEnd w:id="2"/>
      <w:bookmarkEnd w:id="3"/>
    </w:p>
    <w:p w14:paraId="705B551F" w14:textId="77777777" w:rsidR="0005118D" w:rsidRPr="0005118D" w:rsidRDefault="0005118D" w:rsidP="0005118D">
      <w:pPr>
        <w:jc w:val="both"/>
        <w:rPr>
          <w:rFonts w:ascii="Times New Roman" w:hAnsi="Times New Roman" w:cs="Times New Roman"/>
          <w:bCs/>
          <w:sz w:val="24"/>
          <w:szCs w:val="24"/>
        </w:rPr>
      </w:pPr>
      <w:bookmarkStart w:id="4" w:name="_Toc30969"/>
      <w:bookmarkStart w:id="5" w:name="_Toc30235"/>
      <w:r w:rsidRPr="0005118D">
        <w:rPr>
          <w:rFonts w:ascii="Times New Roman" w:hAnsi="Times New Roman" w:cs="Times New Roman"/>
          <w:bCs/>
          <w:sz w:val="24"/>
          <w:szCs w:val="24"/>
        </w:rPr>
        <w:t xml:space="preserve">Ventilator-associated pneumonia (VAP) is defined as pneumonia that develops at least 48 hours after endotracheal intubation and initiation of mechanical ventilation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&lt;EndNote&gt;&lt;Cite&gt;&lt;Author&gt;Control&lt;/Author&gt;&lt;Year&gt;2004&lt;/Year&gt;&lt;RecNum&gt;102&lt;/RecNum&gt;&lt;DisplayText&gt;(Control and Prevention 2004)&lt;/DisplayText&gt;&lt;record&gt;&lt;rec-number&gt;102&lt;/rec-number&gt;&lt;foreign-keys&gt;&lt;key app="EN" db-id="z5wtpxx965zwahea0ra5fafu9zfs9zpxx0fe" timestamp="1775755279"&gt;102&lt;/key&gt;&lt;/foreign-keys&gt;&lt;ref-type name="Journal Article"&gt;17&lt;/ref-type&gt;&lt;contributors&gt;&lt;authors&gt;&lt;author&gt;Centers for Disease Control&lt;/author&gt;&lt;author&gt;Prevention&lt;/author&gt;&lt;/authors&gt;&lt;/contributors&gt;&lt;titles&gt;&lt;title&gt;Guidelines for preventing health-care-associated pneumonia, 2003: recommendations of CDC and the Healthcare Infection Control Practices Advisory Committee&lt;/title&gt;&lt;secondary-title&gt;MMWR&lt;/secondary-title&gt;&lt;/titles&gt;&lt;periodical&gt;&lt;full-title&gt;MMWR&lt;/full-title&gt;&lt;/periodical&gt;&lt;pages&gt;8-9&lt;/pages&gt;&lt;volume&gt;53&lt;/volume&gt;&lt;number&gt;3&lt;/number&gt;&lt;dates&gt;&lt;year&gt;2004&lt;/year&gt;&lt;/dates&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(Control and Prevention 2004)</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VAP is the second most common nosocomial infection after urinary tract infection and the most frequent infection among mechanically ventilated intensive care unit (ICU) patient, It is a major clinical concern with reported mortality rates ranging from 33% to 50%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&lt;EndNote&gt;&lt;Cite&gt;&lt;Author&gt;Kalanuria&lt;/Author&gt;&lt;Year&gt;2014&lt;/Year&gt;&lt;RecNum&gt;29&lt;/RecNum&gt;&lt;DisplayText&gt;(Kalanuria, Zai et al. 2014)&lt;/DisplayText&gt;&lt;record&gt;&lt;rec-number&gt;29&lt;/rec-number&gt;&lt;foreign-keys&gt;&lt;key app="EN" db-id="f9tsxddf1f0x5pesvzlv0zvett0992fxs5fe" timestamp="1775755505"&gt;29&lt;/key&gt;&lt;/foreign-keys&gt;&lt;ref-type name="Journal Article"&gt;17&lt;/ref-type&gt;&lt;contributors&gt;&lt;authors&gt;&lt;author&gt;Kalanuria, Atul Ashok&lt;/author&gt;&lt;author&gt;Zai, Wendy&lt;/author&gt;&lt;author&gt;Mirski, Marek&lt;/author&gt;&lt;/authors&gt;&lt;/contributors&gt;&lt;titles&gt;&lt;title&gt;Ventilator-associated pneumonia in the ICU&lt;/title&gt;&lt;secondary-title&gt;Critical care&lt;/secondary-title&gt;&lt;/titles&gt;&lt;periodical&gt;&lt;full-title&gt;Critical care&lt;/full-title&gt;&lt;/periodical&gt;&lt;pages&gt;208&lt;/pages&gt;&lt;volume&gt;18&lt;/volume&gt;&lt;number&gt;2&lt;/number&gt;&lt;dates&gt;&lt;year&gt;2014&lt;/year&gt;&lt;/dates&gt;&lt;isbn&gt;1364-8535&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(Kalanuria, Zai et al. 2014)</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7ADD6EEF"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Literature suggests that oral hygiene often deteriorates following ICU admission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&lt;EndNote&gt;&lt;Cite&gt;&lt;Author&gt;Cressoni&lt;/Author&gt;&lt;Year&gt;2015&lt;/Year&gt;&lt;RecNum&gt;30&lt;/RecNum&gt;&lt;DisplayText&gt;(Cressoni, Chiurazzi et al. 2015)&lt;/DisplayText&gt;&lt;record&gt;&lt;rec-number&gt;30&lt;/rec-number&gt;&lt;foreign-keys&gt;&lt;key app="EN" db-id="f9tsxddf1f0x5pesvzlv0zvett0992fxs5fe" timestamp="1775755558"&gt;30&lt;/key&gt;&lt;/foreign-keys&gt;&lt;ref-type name="Journal Article"&gt;17&lt;/ref-type&gt;&lt;contributors&gt;&lt;authors&gt;&lt;author&gt;Cressoni, Massimo&lt;/author&gt;&lt;author&gt;Chiurazzi, Chiara&lt;/author&gt;&lt;author&gt;Gotti, Miriam&lt;/author&gt;&lt;author&gt;Amini, Martina&lt;/author&gt;&lt;author&gt;Brioni, Matteo&lt;/author&gt;&lt;author&gt;Algieri, Ilaria&lt;/author&gt;&lt;author&gt;Cammaroto, Antonio&lt;/author&gt;&lt;author&gt;Rovati, Cristina&lt;/author&gt;&lt;author&gt;Massari, Dario&lt;/author&gt;&lt;author&gt;di Castiglione, Caterina Bacile&lt;/author&gt;&lt;/authors&gt;&lt;/contributors&gt;&lt;titles&gt;&lt;title&gt;Lung inhomogeneities and time course of ventilator-induced mechanical injuries&lt;/title&gt;&lt;secondary-title&gt;Anesthesiology&lt;/secondary-title&gt;&lt;/titles&gt;&lt;periodical&gt;&lt;full-title&gt;Anesthesiology&lt;/full-title&gt;&lt;/periodical&gt;&lt;pages&gt;618-627&lt;/pages&gt;&lt;volume&gt;123&lt;/volume&gt;&lt;number&gt;3&lt;/number&gt;&lt;dates&gt;&lt;year&gt;2015&lt;/year&gt;&lt;/dates&gt;&lt;isbn&gt;0003-3022&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(Cressoni, Chiurazzi et al. 2015)</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Patients with endotracheal intubation experience reduced oral immunity, possible oral or respiratory injury, increased mouth dryness, and limited access for oral care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&lt;EndNote&gt;&lt;Cite&gt;&lt;Author&gt;Enge&lt;/Author&gt;&lt;Year&gt;2020&lt;/Year&gt;&lt;RecNum&gt;31&lt;/RecNum&gt;&lt;DisplayText&gt;(Enge, Fleischhauer et al. 2020)&lt;/DisplayText&gt;&lt;record&gt;&lt;rec-number&gt;31&lt;/rec-number&gt;&lt;foreign-keys&gt;&lt;key app="EN" db-id="f9tsxddf1f0x5pesvzlv0zvett0992fxs5fe" timestamp="1775755638"&gt;31&lt;/key&gt;&lt;/foreign-keys&gt;&lt;ref-type name="Journal Article"&gt;17&lt;/ref-type&gt;&lt;contributors&gt;&lt;authors&gt;&lt;author&gt;Enge, Sören&lt;/author&gt;&lt;author&gt;Fleischhauer, Monika&lt;/author&gt;&lt;author&gt;Hadj-Abo, Alexander&lt;/author&gt;&lt;author&gt;Butt, Felix&lt;/author&gt;&lt;author&gt;Kirschbaum, Clemens&lt;/author&gt;&lt;author&gt;Schmidt, Kornelius&lt;/author&gt;&lt;author&gt;Miller, Robert&lt;/author&gt;&lt;/authors&gt;&lt;/contributors&gt;&lt;titles&gt;&lt;title&gt;Comparison of hair cortisol concentrations between self-and professionally-collected hair samples and the role of five-factor personality traits as potential moderators&lt;/title&gt;&lt;secondary-title&gt;Psychoneuroendocrinology&lt;/secondary-title&gt;&lt;/titles&gt;&lt;periodical&gt;&lt;full-title&gt;Psychoneuroendocrinology&lt;/full-title&gt;&lt;/periodical&gt;&lt;pages&gt;104859&lt;/pages&gt;&lt;volume&gt;122&lt;/volume&gt;&lt;dates&gt;&lt;year&gt;2020&lt;/year&gt;&lt;/dates&gt;&lt;isbn&gt;0306-4530&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(Enge, Fleischhauer et al. 2020)</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Rapid accumulation of dental plaque in these patients facilitates colonization by pathogenic microorganisms, and inadequate oral care exacerbates this risk. Reduced salivary flow due to continuous mouth opening further increases bacterial colonization, creating favorable conditions for pneumonia development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&lt;EndNote&gt;&lt;Cite&gt;&lt;Author&gt;Alhazzani&lt;/Author&gt;&lt;Year&gt;2013&lt;/Year&gt;&lt;RecNum&gt;32&lt;/RecNum&gt;&lt;DisplayText&gt;(Alhazzani, Smith et al. 2013)&lt;/DisplayText&gt;&lt;record&gt;&lt;rec-number&gt;32&lt;/rec-number&gt;&lt;foreign-keys&gt;&lt;key app="EN" db-id="f9tsxddf1f0x5pesvzlv0zvett0992fxs5fe" timestamp="1775755727"&gt;32&lt;/key&gt;&lt;/foreign-keys&gt;&lt;ref-type name="Journal Article"&gt;17&lt;/ref-type&gt;&lt;contributors&gt;&lt;authors&gt;&lt;author&gt;Alhazzani, Waleed&lt;/author&gt;&lt;author&gt;Smith, Orla&lt;/author&gt;&lt;author&gt;Muscedere, John&lt;/author&gt;&lt;author&gt;Medd, James&lt;/author&gt;&lt;author&gt;Cook, Deborah&lt;/author&gt;&lt;/authors&gt;&lt;/contributors&gt;&lt;titles&gt;&lt;title&gt;Toothbrushing for critically ill mechanically ventilated patients: a systematic review and meta-analysis of randomized trials evaluating ventilator-associated pneumonia&lt;/title&gt;&lt;secondary-title&gt;Critical care medicine&lt;/secondary-title&gt;&lt;/titles&gt;&lt;periodical&gt;&lt;full-title&gt;Critical care medicine&lt;/full-title&gt;&lt;/periodical&gt;&lt;pages&gt;646-655&lt;/pages&gt;&lt;volume&gt;41&lt;/volume&gt;&lt;number&gt;2&lt;/number&gt;&lt;dates&gt;&lt;year&gt;2013&lt;/year&gt;&lt;/dates&gt;&lt;isbn&gt;1530-0293&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(Alhazzani, Smith et al. 2013)</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1BF5BD9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Prevention of VAP is therefore a key priority in critical care medicine. Evidence indicates that inadequate oral care, leading to bacterial colonization in the oral cavity, significantly increases the risk of pneumonia in mechanically ventilated patients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&lt;EndNote&gt;&lt;Cite&gt;&lt;Author&gt;Gauthier&lt;/Author&gt;&lt;Year&gt;2012&lt;/Year&gt;&lt;RecNum&gt;33&lt;/RecNum&gt;&lt;DisplayText&gt;(Gauthier, Wolowich et al. 2012)&lt;/DisplayText&gt;&lt;record&gt;&lt;rec-number&gt;33&lt;/rec-number&gt;&lt;foreign-keys&gt;&lt;key app="EN" db-id="f9tsxddf1f0x5pesvzlv0zvett0992fxs5fe" timestamp="1775755800"&gt;33&lt;/key&gt;&lt;/foreign-keys&gt;&lt;ref-type name="Journal Article"&gt;17&lt;/ref-type&gt;&lt;contributors&gt;&lt;authors&gt;&lt;author&gt;Gauthier, Timothy P&lt;/author&gt;&lt;author&gt;Wolowich, William R&lt;/author&gt;&lt;author&gt;Reddy, Arathi&lt;/author&gt;&lt;author&gt;Cano, Ennie&lt;/author&gt;&lt;author&gt;Abbo, Lilian&lt;/author&gt;&lt;author&gt;Smith, Laura B&lt;/author&gt;&lt;/authors&gt;&lt;/contributors&gt;&lt;titles&gt;&lt;title&gt;Incidence and predictors of nephrotoxicity associated with intravenous colistin in overweight and obese patients&lt;/title&gt;&lt;secondary-title&gt;Antimicrobial agents and chemotherapy&lt;/secondary-title&gt;&lt;/titles&gt;&lt;periodical&gt;&lt;full-title&gt;Antimicrobial agents and chemotherapy&lt;/full-title&gt;&lt;/periodical&gt;&lt;pages&gt;2392-2396&lt;/pages&gt;&lt;volume&gt;56&lt;/volume&gt;&lt;number&gt;5&lt;/number&gt;&lt;dates&gt;&lt;year&gt;2012&lt;/year&gt;&lt;/dates&gt;&lt;isbn&gt;0066-4804&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(Gauthier, Wolowich et al. 2012)</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Reducing oral bacterial load through proper hygiene is a crucial preventive measure. While research on oral hygiene interventions, such as toothbrushing and antiseptic mouth rinses, has increased in recent years, consensus regarding their effectiveness in VAP prevention remains limited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&lt;EndNote&gt;&lt;Cite&gt;&lt;Author&gt;Lorente&lt;/Author&gt;&lt;Year&gt;2010&lt;/Year&gt;&lt;RecNum&gt;34&lt;/RecNum&gt;&lt;DisplayText&gt;(Lorente, Blot et al. 2010)&lt;/DisplayText&gt;&lt;record&gt;&lt;rec-number&gt;34&lt;/rec-number&gt;&lt;foreign-keys&gt;&lt;key app="EN" db-id="f9tsxddf1f0x5pesvzlv0zvett0992fxs5fe" timestamp="1775755859"&gt;34&lt;/key&gt;&lt;/foreign-keys&gt;&lt;ref-type name="Journal Article"&gt;17&lt;/ref-type&gt;&lt;contributors&gt;&lt;authors&gt;&lt;author&gt;Lorente, Leonardo&lt;/author&gt;&lt;author&gt;Blot, Stijn&lt;/author&gt;&lt;author&gt;Rello, Jordi&lt;/author&gt;&lt;/authors&gt;&lt;/contributors&gt;&lt;titles&gt;&lt;title&gt;New issues and controversies in the prevention of ventilator-associated pneumonia&lt;/title&gt;&lt;secondary-title&gt;American Journal of respiratory and critical care medicine&lt;/secondary-title&gt;&lt;/titles&gt;&lt;periodical&gt;&lt;full-title&gt;American Journal of respiratory and critical care medicine&lt;/full-title&gt;&lt;/periodical&gt;&lt;pages&gt;870-876&lt;/pages&gt;&lt;volume&gt;182&lt;/volume&gt;&lt;number&gt;7&lt;/number&gt;&lt;dates&gt;&lt;year&gt;2010&lt;/year&gt;&lt;/dates&gt;&lt;isbn&gt;1073-449X&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(Lorente, Blot et al. 2010)</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3D76F996" w14:textId="77777777" w:rsid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Research on infection control practices among ICU nurses in Punjab confirms variability in adherence, highlighting the importance of structured training and monitoring to reduce the risk of VAP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&lt;EndNote&gt;&lt;Cite&gt;&lt;Author&gt;Sattar&lt;/Author&gt;&lt;RecNum&gt;35&lt;/RecNum&gt;&lt;DisplayText&gt;(Sattar, Tehreem et al.)&lt;/DisplayText&gt;&lt;record&gt;&lt;rec-number&gt;35&lt;/rec-number&gt;&lt;foreign-keys&gt;&lt;key app="EN" db-id="f9tsxddf1f0x5pesvzlv0zvett0992fxs5fe" timestamp="1775755910"&gt;35&lt;/key&gt;&lt;/foreign-keys&gt;&lt;ref-type name="Journal Article"&gt;17&lt;/ref-type&gt;&lt;contributors&gt;&lt;authors&gt;&lt;author&gt;Sattar, Amina&lt;/author&gt;&lt;author&gt;Tehreem, Sania Yaseen&lt;/author&gt;&lt;author&gt;Batool, Fatima&lt;/author&gt;&lt;author&gt;Danish, Muhammad&lt;/author&gt;&lt;/authors&gt;&lt;/contributors&gt;&lt;titles&gt;&lt;title&gt;The Infection Control Paradox: Exploring Knowledge and Practices of ICU Nurses Across Hospitals in Punjab, Pakistan&lt;/title&gt;&lt;/titles&gt;&lt;dates&gt;&lt;/dates&gt;&lt;urls&gt;&lt;/urls&gt;&lt;/record&gt;&lt;/Cite&gt;&lt;/EndNote&gt;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(Sattar, Tehreem et al.)</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.Given these patient- and nurse-related factors, our study aimed to evaluate the effectiveness of oral hygiene interventions in preventing VAP among mechanically ventilated patients at </w:t>
      </w:r>
      <w:proofErr w:type="spellStart"/>
      <w:r w:rsidRPr="0005118D">
        <w:rPr>
          <w:rFonts w:ascii="Times New Roman" w:hAnsi="Times New Roman" w:cs="Times New Roman"/>
          <w:bCs/>
          <w:sz w:val="24"/>
          <w:szCs w:val="24"/>
        </w:rPr>
        <w:t>Bahawal</w:t>
      </w:r>
      <w:proofErr w:type="spellEnd"/>
      <w:r w:rsidRPr="0005118D">
        <w:rPr>
          <w:rFonts w:ascii="Times New Roman" w:hAnsi="Times New Roman" w:cs="Times New Roman"/>
          <w:bCs/>
          <w:sz w:val="24"/>
          <w:szCs w:val="24"/>
        </w:rPr>
        <w:t xml:space="preserve"> Victoria Hospital, Bahawalpur. By combining patient-centered interventions with insights into nursing practices, the findings of this study may support the development of evidence-based clinical guidelines for oral care in ICU patients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&lt;EndNote&gt;&lt;Cite&gt;&lt;Author&gt;Fu&lt;/Author&gt;&lt;Year&gt;2025&lt;/Year&gt;&lt;RecNum&gt;36&lt;/RecNum&gt;&lt;DisplayText&gt;(Fu, Ju et al. 2025)&lt;/DisplayText&gt;&lt;record&gt;&lt;rec-number&gt;36&lt;/rec-number&gt;&lt;foreign-keys&gt;&lt;key app="EN" db-id="f9tsxddf1f0x5pesvzlv0zvett0992fxs5fe" timestamp="1775756028"&gt;36&lt;/key&gt;&lt;/foreign-keys&gt;&lt;ref-type name="Journal Article"&gt;17&lt;/ref-type&gt;&lt;contributors&gt;&lt;authors&gt;&lt;author&gt;Fu, Cong-hui&lt;/author&gt;&lt;author&gt;Ju, Min-jie&lt;/author&gt;&lt;author&gt;Li, Yan&lt;/author&gt;&lt;author&gt;Yang, Xiao-ya&lt;/author&gt;&lt;author&gt;Liu, Ji&lt;/author&gt;&lt;author&gt;Xu, Ting-ting&lt;/author&gt;&lt;/authors&gt;&lt;/contributors&gt;&lt;titles&gt;&lt;title&gt;Delirium and Associated Risk Factors in Mechanically Ventilated Children: A Prospective Observational Study&lt;/title&gt;&lt;secondary-title&gt;Clinical Nursing Research&lt;/secondary-title&gt;&lt;/titles&gt;&lt;periodical&gt;&lt;full-title&gt;Clinical Nursing Research&lt;/full-title&gt;&lt;/periodical&gt;&lt;pages&gt;427-435&lt;/pages&gt;&lt;volume&gt;34&lt;/volume&gt;&lt;number&gt;8&lt;/number&gt;&lt;dates&gt;&lt;year&gt;2025&lt;/year&gt;&lt;/dates&gt;&lt;isbn&gt;1054-7738&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(Fu, Ju et al. 2025)</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bookmarkStart w:id="6" w:name="_Toc28479"/>
      <w:bookmarkStart w:id="7" w:name="_Toc23776"/>
      <w:bookmarkEnd w:id="4"/>
      <w:bookmarkEnd w:id="5"/>
    </w:p>
    <w:p w14:paraId="282C65EB" w14:textId="77777777" w:rsidR="0005118D" w:rsidRPr="0005118D" w:rsidRDefault="0005118D" w:rsidP="0005118D">
      <w:pPr>
        <w:jc w:val="both"/>
        <w:rPr>
          <w:rFonts w:ascii="Times New Roman" w:hAnsi="Times New Roman" w:cs="Times New Roman"/>
          <w:bCs/>
          <w:sz w:val="24"/>
          <w:szCs w:val="24"/>
        </w:rPr>
      </w:pPr>
    </w:p>
    <w:p w14:paraId="1851BE0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LITERATURE REVIEW</w:t>
      </w:r>
      <w:bookmarkEnd w:id="6"/>
      <w:bookmarkEnd w:id="7"/>
    </w:p>
    <w:p w14:paraId="12F38715"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Effective oral hygiene is important for ventilated ICU patients to help prevent ventilator-associated pneumonia (VAP). Although oral care methods varied across studies, they commonly included tooth and gum cleaning, toothbrushing, and rinsing. Using chlorhexidine mouthwash or gel as part of oral care likely reduces VAP rates from about 26% to 18%. However, it does not improve mortality, ventilation duration, or ICU stay, and there is not enough evidence to determine possible adverse effects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&lt;EndNote&gt;&lt;Cite&gt;&lt;Author&gt;Zhang&lt;/Author&gt;&lt;Year&gt;2020&lt;/Year&gt;&lt;RecNum&gt;8&lt;/RecNum&gt;&lt;DisplayText&gt;(Zhang, Li et al. 2020)&lt;/DisplayText&gt;&lt;record&gt;&lt;rec-number&gt;8&lt;/rec-number&gt;&lt;foreign-keys&gt;&lt;key app="EN" db-id="02wfzseznde2xlew2xoxdrs4sw2fz9ddat0f" timestamp="1772823091"&gt;8&lt;/key&gt;&lt;/foreign-keys&gt;&lt;ref-type name="Journal Article"&gt;17&lt;/ref-type&gt;&lt;contributors&gt;&lt;authors&gt;&lt;author&gt;Zhang, Qi&lt;/author&gt;&lt;author&gt;Li, Chunjie&lt;/author&gt;&lt;author&gt;Worthington, Helen V&lt;/author&gt;&lt;author&gt;Hua, Fang&lt;/author&gt;&lt;/authors&gt;&lt;/contributors&gt;&lt;titles&gt;&lt;title&gt;Oral hygiene care for critically ill patients to prevent ventilator‐associated pneumonia&lt;/title&gt;&lt;secondary-title&gt;Cochrane Database of Systematic Reviews&lt;/secondary-title&gt;&lt;/titles&gt;&lt;periodical&gt;&lt;full-title&gt;Cochrane Database of Systematic Reviews&lt;/full-title&gt;&lt;/periodical&gt;&lt;number&gt;12&lt;/number&gt;&lt;dates&gt;&lt;year&gt;2020&lt;/year&gt;&lt;/dates&gt;&lt;isbn&gt;1465-1858&lt;/isbn&gt;&lt;urls&gt;&lt;/urls&gt;&lt;/record&gt;&lt;/Cite&gt;&lt;/EndNote&gt;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(Zhang, Li et al. 2020)</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2391EC20"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 In Egypt, the most recent study that is concerned with an analysis of VAP studies done in Egyptian University Hospitals in the last 10 years revealed that incidence of VAP ranged from 16% to 75%, with the lowest ratio in Alexandria and the highest one in Ain Shams University, while the incidence in Mansoura University Hospitals was 22.6%</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&lt;EndNote&gt;&lt;Cite&gt;&lt;Author&gt;Fathy&lt;/Author&gt;&lt;Year&gt;2013&lt;/Year&gt;&lt;RecNum&gt;9&lt;/RecNum&gt;&lt;DisplayText&gt;(Fathy, Abdelhafeez et al. 2013)&lt;/DisplayText&gt;&lt;record&gt;&lt;rec-number&gt;9&lt;/rec-number&gt;&lt;foreign-keys&gt;&lt;key app="EN" db-id="02wfzseznde2xlew2xoxdrs4sw2fz9ddat0f" timestamp="1772823156"&gt;9&lt;/key&gt;&lt;/foreign-keys&gt;&lt;ref-type name="Journal Article"&gt;17&lt;/ref-type&gt;&lt;contributors&gt;&lt;authors&gt;&lt;author&gt;Fathy, Amal&lt;/author&gt;&lt;author&gt;Abdelhafeez, Rasha&lt;/author&gt;&lt;author&gt;Abdel-Hady, EL-Gilany&lt;/author&gt;&lt;author&gt;Abd Elhafez, Sayed Ahmad&lt;/author&gt;&lt;/authors&gt;&lt;/contributors&gt;&lt;titles&gt;&lt;title&gt;Analysis of ventilator associated pneumonia (VAP) studies in Egyptian University Hospitals&lt;/title&gt;&lt;secondary-title&gt;Egyptian Journal of Chest Diseases and Tuberculosis&lt;/secondary-title&gt;&lt;/titles&gt;&lt;periodical&gt;&lt;full-title&gt;Egyptian Journal of Chest Diseases and Tuberculosis&lt;/full-title&gt;&lt;/periodical&gt;&lt;pages&gt;17-25&lt;/pages&gt;&lt;volume&gt;62&lt;/volume&gt;&lt;number&gt;1&lt;/number&gt;&lt;dates&gt;&lt;year&gt;2013&lt;/year&gt;&lt;/dates&gt;&lt;isbn&gt;0422-7638&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(Fathy, Abdelhafeez et al. 2013)</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301C43A5"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Despite improvements in prevention and antimicrobial treatments, ventilator-associated pneumonia (VAP) continues to be a major global healthcare issue. It is one of the most frequent ICU acquired infections, representing nearly half of all infections in intensive care. Incidence rates differ across studies because of variations in diagnostic criteria and patient populations, but VAP consistently leads to poor outcomes. It typically prolongs mechanical ventilation and ICU stay by 4–10 days, increasing healthcare workload and contributing to more than 30% of the costs of healthcare-associated infections. VAP also predicts higher 90- and 180-day mortality, and even among survivors, the five-year survival rate is only about 50%. These challenges highlight the urgent need for better strategies to prevent and manage VAP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&lt;EndNote&gt;&lt;Cite&gt;&lt;Author&gt;Howroyd&lt;/Author&gt;&lt;Year&gt;2025&lt;/Year&gt;&lt;RecNum&gt;10&lt;/RecNum&gt;&lt;DisplayText&gt;(Howroyd, Gill et al. 2025)&lt;/DisplayText&gt;&lt;record&gt;&lt;rec-number&gt;10&lt;/rec-number&gt;&lt;foreign-keys&gt;&lt;key app="EN" db-id="02wfzseznde2xlew2xoxdrs4sw2fz9ddat0f" timestamp="1772823232"&gt;10&lt;/key&gt;&lt;/foreign-keys&gt;&lt;ref-type name="Journal Article"&gt;17&lt;/ref-type&gt;&lt;contributors&gt;&lt;authors&gt;&lt;author&gt;Howroyd, Fiona&lt;/author&gt;&lt;author&gt;Gill, Rebecca&lt;/author&gt;&lt;author&gt;Thompson, Jamie&lt;/author&gt;&lt;author&gt;Smith, Fang Gao&lt;/author&gt;&lt;author&gt;Nasa, Prashant&lt;/author&gt;&lt;author&gt;Gopal, Shameer&lt;/author&gt;&lt;author&gt;Duggal, Niharika A&lt;/author&gt;&lt;author&gt;Ahmed, Zubair&lt;/author&gt;&lt;author&gt;Veenith, Tonny&lt;/author&gt;&lt;/authors&gt;&lt;/contributors&gt;&lt;titles&gt;&lt;title&gt;Ventilator-associated pneumonia: mechanisms, an appraisal of current therapies and the role for inhaled antibiotics in prevention and treatment&lt;/title&gt;&lt;secondary-title&gt;Respiratory Medicine&lt;/secondary-title&gt;&lt;/titles&gt;&lt;periodical&gt;&lt;full-title&gt;Respiratory Medicine&lt;/full-title&gt;&lt;/periodical&gt;&lt;pages&gt;108275&lt;/pages&gt;&lt;dates&gt;&lt;year&gt;2025&lt;/year&gt;&lt;/dates&gt;&lt;isbn&gt;0954-6111&lt;/isbn&gt;&lt;urls&gt;&lt;/urls&gt;&lt;/record&gt;&lt;/Cite&gt;&lt;/EndNote&gt;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(Howroyd, Gill et al. 2025)</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w:t>
      </w:r>
    </w:p>
    <w:p w14:paraId="475BD760"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Many nurses are unaware of the link between oral health and VAP, because the topic is inadequately covered </w:t>
      </w:r>
      <w:r w:rsidRPr="0005118D">
        <w:rPr>
          <w:rFonts w:ascii="Times New Roman" w:hAnsi="Times New Roman" w:cs="Times New Roman"/>
          <w:bCs/>
          <w:sz w:val="24"/>
          <w:szCs w:val="24"/>
        </w:rPr>
        <w:lastRenderedPageBreak/>
        <w:t xml:space="preserve">in nursing education. Despite a number of strategies that have been proposed for preventing VAP, it was found that only a few have been demonstrated to be effective, and many others still need evaluation in large randomized clinical trials before definitive recommendations can be made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&lt;EndNote&gt;&lt;Cite&gt;&lt;Author&gt;Coppadoro&lt;/Author&gt;&lt;Year&gt;2012&lt;/Year&gt;&lt;RecNum&gt;2&lt;/RecNum&gt;&lt;DisplayText&gt;(Coppadoro, Bittner et al. 2012)&lt;/DisplayText&gt;&lt;record&gt;&lt;rec-number&gt;2&lt;/rec-number&gt;&lt;foreign-keys&gt;&lt;key app="EN" db-id="zwr55wafzd09tme59wh5t0vnrp20farvw5pp" timestamp="1772823444"&gt;2&lt;/key&gt;&lt;/foreign-keys&gt;&lt;ref-type name="Journal Article"&gt;17&lt;/ref-type&gt;&lt;contributors&gt;&lt;authors&gt;&lt;author&gt;Coppadoro, Andrea&lt;/author&gt;&lt;author&gt;Bittner, Edward&lt;/author&gt;&lt;author&gt;Berra, Lorenzo&lt;/author&gt;&lt;/authors&gt;&lt;/contributors&gt;&lt;titles&gt;&lt;title&gt;Novel preventive strategies for ventilator-associated pneumonia&lt;/title&gt;&lt;secondary-title&gt;Critical Care&lt;/secondary-title&gt;&lt;/titles&gt;&lt;periodical&gt;&lt;full-title&gt;Critical Care&lt;/full-title&gt;&lt;/periodical&gt;&lt;pages&gt;210&lt;/pages&gt;&lt;volume&gt;16&lt;/volume&gt;&lt;number&gt;2&lt;/number&gt;&lt;dates&gt;&lt;year&gt;2012&lt;/year&gt;&lt;/dates&gt;&lt;isbn&gt;1364-8535&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(Coppadoro, Bittner et al. 2012)</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29624DD3" w14:textId="77777777" w:rsidR="0005118D" w:rsidRPr="0005118D" w:rsidRDefault="0005118D" w:rsidP="0005118D">
      <w:pPr>
        <w:jc w:val="both"/>
        <w:rPr>
          <w:rFonts w:ascii="Times New Roman" w:hAnsi="Times New Roman" w:cs="Times New Roman"/>
          <w:bCs/>
          <w:sz w:val="24"/>
          <w:szCs w:val="24"/>
        </w:rPr>
      </w:pPr>
      <w:proofErr w:type="gramStart"/>
      <w:r w:rsidRPr="0005118D">
        <w:rPr>
          <w:rFonts w:ascii="Times New Roman" w:hAnsi="Times New Roman" w:cs="Times New Roman"/>
          <w:bCs/>
          <w:sz w:val="24"/>
          <w:szCs w:val="24"/>
        </w:rPr>
        <w:t>Nurses  play</w:t>
      </w:r>
      <w:proofErr w:type="gramEnd"/>
      <w:r w:rsidRPr="0005118D">
        <w:rPr>
          <w:rFonts w:ascii="Times New Roman" w:hAnsi="Times New Roman" w:cs="Times New Roman"/>
          <w:bCs/>
          <w:sz w:val="24"/>
          <w:szCs w:val="24"/>
        </w:rPr>
        <w:t xml:space="preserve"> </w:t>
      </w:r>
      <w:proofErr w:type="gramStart"/>
      <w:r w:rsidRPr="0005118D">
        <w:rPr>
          <w:rFonts w:ascii="Times New Roman" w:hAnsi="Times New Roman" w:cs="Times New Roman"/>
          <w:bCs/>
          <w:sz w:val="24"/>
          <w:szCs w:val="24"/>
        </w:rPr>
        <w:t>a  crucial</w:t>
      </w:r>
      <w:proofErr w:type="gramEnd"/>
      <w:r w:rsidRPr="0005118D">
        <w:rPr>
          <w:rFonts w:ascii="Times New Roman" w:hAnsi="Times New Roman" w:cs="Times New Roman"/>
          <w:bCs/>
          <w:sz w:val="24"/>
          <w:szCs w:val="24"/>
        </w:rPr>
        <w:t xml:space="preserve"> </w:t>
      </w:r>
      <w:proofErr w:type="gramStart"/>
      <w:r w:rsidRPr="0005118D">
        <w:rPr>
          <w:rFonts w:ascii="Times New Roman" w:hAnsi="Times New Roman" w:cs="Times New Roman"/>
          <w:bCs/>
          <w:sz w:val="24"/>
          <w:szCs w:val="24"/>
        </w:rPr>
        <w:t>role  in</w:t>
      </w:r>
      <w:proofErr w:type="gramEnd"/>
      <w:r w:rsidRPr="0005118D">
        <w:rPr>
          <w:rFonts w:ascii="Times New Roman" w:hAnsi="Times New Roman" w:cs="Times New Roman"/>
          <w:bCs/>
          <w:sz w:val="24"/>
          <w:szCs w:val="24"/>
        </w:rPr>
        <w:t xml:space="preserve">  </w:t>
      </w:r>
      <w:proofErr w:type="gramStart"/>
      <w:r w:rsidRPr="0005118D">
        <w:rPr>
          <w:rFonts w:ascii="Times New Roman" w:hAnsi="Times New Roman" w:cs="Times New Roman"/>
          <w:bCs/>
          <w:sz w:val="24"/>
          <w:szCs w:val="24"/>
        </w:rPr>
        <w:t>performing  oral</w:t>
      </w:r>
      <w:proofErr w:type="gramEnd"/>
      <w:r w:rsidRPr="0005118D">
        <w:rPr>
          <w:rFonts w:ascii="Times New Roman" w:hAnsi="Times New Roman" w:cs="Times New Roman"/>
          <w:bCs/>
          <w:sz w:val="24"/>
          <w:szCs w:val="24"/>
        </w:rPr>
        <w:t xml:space="preserve"> </w:t>
      </w:r>
      <w:proofErr w:type="gramStart"/>
      <w:r w:rsidRPr="0005118D">
        <w:rPr>
          <w:rFonts w:ascii="Times New Roman" w:hAnsi="Times New Roman" w:cs="Times New Roman"/>
          <w:bCs/>
          <w:sz w:val="24"/>
          <w:szCs w:val="24"/>
        </w:rPr>
        <w:t>hygiene  interventions</w:t>
      </w:r>
      <w:proofErr w:type="gramEnd"/>
      <w:r w:rsidRPr="0005118D">
        <w:rPr>
          <w:rFonts w:ascii="Times New Roman" w:hAnsi="Times New Roman" w:cs="Times New Roman"/>
          <w:bCs/>
          <w:sz w:val="24"/>
          <w:szCs w:val="24"/>
        </w:rPr>
        <w:t xml:space="preserve">  as </w:t>
      </w:r>
      <w:proofErr w:type="gramStart"/>
      <w:r w:rsidRPr="0005118D">
        <w:rPr>
          <w:rFonts w:ascii="Times New Roman" w:hAnsi="Times New Roman" w:cs="Times New Roman"/>
          <w:bCs/>
          <w:sz w:val="24"/>
          <w:szCs w:val="24"/>
        </w:rPr>
        <w:t>measure  prevention</w:t>
      </w:r>
      <w:proofErr w:type="gramEnd"/>
      <w:r w:rsidRPr="0005118D">
        <w:rPr>
          <w:rFonts w:ascii="Times New Roman" w:hAnsi="Times New Roman" w:cs="Times New Roman"/>
          <w:bCs/>
          <w:sz w:val="24"/>
          <w:szCs w:val="24"/>
        </w:rPr>
        <w:t xml:space="preserve">  of </w:t>
      </w:r>
      <w:proofErr w:type="gramStart"/>
      <w:r w:rsidRPr="0005118D">
        <w:rPr>
          <w:rFonts w:ascii="Times New Roman" w:hAnsi="Times New Roman" w:cs="Times New Roman"/>
          <w:bCs/>
          <w:sz w:val="24"/>
          <w:szCs w:val="24"/>
        </w:rPr>
        <w:t>the  risk</w:t>
      </w:r>
      <w:proofErr w:type="gramEnd"/>
      <w:r w:rsidRPr="0005118D">
        <w:rPr>
          <w:rFonts w:ascii="Times New Roman" w:hAnsi="Times New Roman" w:cs="Times New Roman"/>
          <w:bCs/>
          <w:sz w:val="24"/>
          <w:szCs w:val="24"/>
        </w:rPr>
        <w:t xml:space="preserve">  </w:t>
      </w:r>
      <w:proofErr w:type="gramStart"/>
      <w:r w:rsidRPr="0005118D">
        <w:rPr>
          <w:rFonts w:ascii="Times New Roman" w:hAnsi="Times New Roman" w:cs="Times New Roman"/>
          <w:bCs/>
          <w:sz w:val="24"/>
          <w:szCs w:val="24"/>
        </w:rPr>
        <w:t>of  VAP</w:t>
      </w:r>
      <w:proofErr w:type="gramEnd"/>
      <w:r w:rsidRPr="0005118D">
        <w:rPr>
          <w:rFonts w:ascii="Times New Roman" w:hAnsi="Times New Roman" w:cs="Times New Roman"/>
          <w:bCs/>
          <w:sz w:val="24"/>
          <w:szCs w:val="24"/>
        </w:rPr>
        <w:t xml:space="preserve">. Previous  studies  have  widely explained that oral health is closely related to the incidence of VAP, with an incidence of up to 117 per 1000 ventilator days with 69 patients (42.6%) developing   early-onset   VAP   at   0-48   hours   of Endotracheal Tube (ETT) use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&lt;EndNote&gt;&lt;Cite&gt;&lt;Author&gt;Celik Aysegul&lt;/Author&gt;&lt;Year&gt;2020&lt;/Year&gt;&lt;RecNum&gt;3&lt;/RecNum&gt;&lt;DisplayText&gt;(Celik Aysegul, Oznur et al. 2020)&lt;/DisplayText&gt;&lt;record&gt;&lt;rec-number&gt;3&lt;/rec-number&gt;&lt;foreign-keys&gt;&lt;key app="EN" db-id="zwr55wafzd09tme59wh5t0vnrp20farvw5pp" timestamp="1772823559"&gt;3&lt;/key&gt;&lt;/foreign-keys&gt;&lt;ref-type name="Journal Article"&gt;17&lt;/ref-type&gt;&lt;contributors&gt;&lt;authors&gt;&lt;author&gt;Celik Aysegul, RN&lt;/author&gt;&lt;author&gt;Oznur, Usta Yesilbalkan&lt;/author&gt;&lt;author&gt;Asiye, Akyol&lt;/author&gt;&lt;/authors&gt;&lt;/contributors&gt;&lt;titles&gt;&lt;title&gt;Evidence-based practices for preventing ventilator-associated pneumonia in intensive care nursing: knowledge and practice&lt;/title&gt;&lt;secondary-title&gt;International Journal of Caring Sciences&lt;/secondary-title&gt;&lt;/titles&gt;&lt;periodical&gt;&lt;full-title&gt;International Journal of Caring Sciences&lt;/full-title&gt;&lt;/periodical&gt;&lt;pages&gt;1794-1798&lt;/pages&gt;&lt;volume&gt;13&lt;/volume&gt;&lt;number&gt;3&lt;/number&gt;&lt;dates&gt;&lt;year&gt;2020&lt;/year&gt;&lt;/dates&gt;&lt;isbn&gt;1791-5201&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(Celik Aysegul, Oznur et al. 2020)</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One of the important safety </w:t>
      </w:r>
      <w:proofErr w:type="gramStart"/>
      <w:r w:rsidRPr="0005118D">
        <w:rPr>
          <w:rFonts w:ascii="Times New Roman" w:hAnsi="Times New Roman" w:cs="Times New Roman"/>
          <w:bCs/>
          <w:sz w:val="24"/>
          <w:szCs w:val="24"/>
        </w:rPr>
        <w:t>issue</w:t>
      </w:r>
      <w:proofErr w:type="gramEnd"/>
      <w:r w:rsidRPr="0005118D">
        <w:rPr>
          <w:rFonts w:ascii="Times New Roman" w:hAnsi="Times New Roman" w:cs="Times New Roman"/>
          <w:bCs/>
          <w:sz w:val="24"/>
          <w:szCs w:val="24"/>
        </w:rPr>
        <w:t xml:space="preserve"> in mechanically ventilated patients is VAP prevention. The American Association of Critical-Care Nurses (AACCN) recommended steps for reducing the incidence of VAP; these steps are based on the best practice guidelines for patients receiving MV. Called the “ventilator care bundle”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&lt;EndNote&gt;&lt;Cite&gt;&lt;Author&gt;Chen&lt;/Author&gt;&lt;Year&gt;2019&lt;/Year&gt;&lt;RecNum&gt;4&lt;/RecNum&gt;&lt;DisplayText&gt;(Chen, Huang et al. 2019)&lt;/DisplayText&gt;&lt;record&gt;&lt;rec-number&gt;4&lt;/rec-number&gt;&lt;foreign-keys&gt;&lt;key app="EN" db-id="zwr55wafzd09tme59wh5t0vnrp20farvw5pp" timestamp="1772823702"&gt;4&lt;/key&gt;&lt;/foreign-keys&gt;&lt;ref-type name="Journal Article"&gt;17&lt;/ref-type&gt;&lt;contributors&gt;&lt;authors&gt;&lt;author&gt;Chen, Su-Jung&lt;/author&gt;&lt;author&gt;Huang, Shiang-Fen&lt;/author&gt;&lt;author&gt;Chan, Yu-Jiun&lt;/author&gt;&lt;author&gt;Wang, Fu-Der&lt;/author&gt;&lt;author&gt;Chen, Hsin-Pai&lt;/author&gt;&lt;/authors&gt;&lt;/contributors&gt;&lt;titles&gt;&lt;title&gt;Clinical significance of human cytomegalovirus viruria and the effect of antiviral therapy in hematopoietic stem cell transplant recipients&lt;/title&gt;&lt;secondary-title&gt;Journal of Microbiology, Immunology and Infection&lt;/secondary-title&gt;&lt;/titles&gt;&lt;periodical&gt;&lt;full-title&gt;Journal of Microbiology, Immunology and Infection&lt;/full-title&gt;&lt;/periodical&gt;&lt;pages&gt;402-408&lt;/pages&gt;&lt;volume&gt;52&lt;/volume&gt;&lt;number&gt;3&lt;/number&gt;&lt;dates&gt;&lt;year&gt;2019&lt;/year&gt;&lt;/dates&gt;&lt;isbn&gt;1684-1182&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(Chen, Huang et al. 2019)</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Care bundle approach is an effective method for reducing complication related to MV. Care bundles are interventions that are supported by research; they include 3-5 evidence- base interventions that have been shown to improve patient outcomes. Ventilator care bundle is an important component of patient safety. Implementation of bundles can support and improve the quality and delivery of care in ICUs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&lt;EndNote&gt;&lt;Cite&gt;&lt;Author&gt;Prakash&lt;/Author&gt;&lt;Year&gt;2017&lt;/Year&gt;&lt;RecNum&gt;38&lt;/RecNum&gt;&lt;DisplayText&gt;(Prakash, Rajshekar et al. 2017)&lt;/DisplayText&gt;&lt;record&gt;&lt;rec-number&gt;38&lt;/rec-number&gt;&lt;foreign-keys&gt;&lt;key app="EN" db-id="f9tsxddf1f0x5pesvzlv0zvett0992fxs5fe" timestamp="1775756139"&gt;38&lt;/key&gt;&lt;/foreign-keys&gt;&lt;ref-type name="Journal Article"&gt;17&lt;/ref-type&gt;&lt;contributors&gt;&lt;authors&gt;&lt;author&gt;Prakash, Suman Susan&lt;/author&gt;&lt;author&gt;Rajshekar, Deepashree&lt;/author&gt;&lt;author&gt;Cherian, Anusha&lt;/author&gt;&lt;author&gt;Sastry, Apurba Sankar&lt;/author&gt;&lt;/authors&gt;&lt;/contributors&gt;&lt;titles&gt;&lt;title&gt;Care bundle approach to reduce device-associated infections in a tertiary care teaching hospital, South India&lt;/title&gt;&lt;secondary-title&gt;Journal of laboratory physicians&lt;/secondary-title&gt;&lt;/titles&gt;&lt;periodical&gt;&lt;full-title&gt;Journal of laboratory physicians&lt;/full-title&gt;&lt;/periodical&gt;&lt;pages&gt;273-278&lt;/pages&gt;&lt;volume&gt;9&lt;/volume&gt;&lt;number&gt;04&lt;/number&gt;&lt;dates&gt;&lt;year&gt;2017&lt;/year&gt;&lt;/dates&gt;&lt;isbn&gt;0974-2727&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(Prakash, Rajshekar et al. 2017)</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w:t>
      </w:r>
    </w:p>
    <w:p w14:paraId="3B506A39"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According to Eilers’s Oral Assessment Guide, numerous commercially available oral care products, such as manual and electric toothbrushes, dentifrices, oral moisturizing agents, and a variety of oral swabs and solutions, are available [19]. The effectiveness of most of these products and methods on oral health is not well known, especially in the context of intubated patients. Routine oral hygiene is encouraged in mechanically ventilated patients to reduce VAP incidence, but evidence supporting specific strategies is limited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&lt;EndNote&gt;&lt;Cite&gt;&lt;Author&gt;Singh&lt;/Author&gt;&lt;Year&gt;2022&lt;/Year&gt;&lt;RecNum&gt;39&lt;/RecNum&gt;&lt;DisplayText&gt;(Singh, Arshad et al. 2022)&lt;/DisplayText&gt;&lt;record&gt;&lt;rec-number&gt;39&lt;/rec-number&gt;&lt;foreign-keys&gt;&lt;key app="EN" db-id="f9tsxddf1f0x5pesvzlv0zvett0992fxs5fe" timestamp="1775756228"&gt;39&lt;/key&gt;&lt;/foreign-keys&gt;&lt;ref-type name="Journal Article"&gt;17&lt;/ref-type&gt;&lt;contributors&gt;&lt;authors&gt;&lt;author&gt;Singh, Pallika&lt;/author&gt;&lt;author&gt;Arshad, Zia&lt;/author&gt;&lt;author&gt;Srivastava, Vinod K&lt;/author&gt;&lt;author&gt;Singh, Gyan Prakash&lt;/author&gt;&lt;author&gt;Gangwar, Radhey S&lt;/author&gt;&lt;author&gt;SINGH Sr, PALLIKA&lt;/author&gt;&lt;author&gt;SRIVASTAVA, VINOD K&lt;/author&gt;&lt;/authors&gt;&lt;/contributors&gt;&lt;titles&gt;&lt;title&gt;Efficacy of oral care protocols in the prevention of ventilator-associated pneumonia in mechanically ventilated patients&lt;/title&gt;&lt;secondary-title&gt;Cureus&lt;/secondary-title&gt;&lt;/titles&gt;&lt;periodical&gt;&lt;full-title&gt;Cureus&lt;/full-title&gt;&lt;/periodical&gt;&lt;volume&gt;14&lt;/volume&gt;&lt;number&gt;4&lt;/number&gt;&lt;dates&gt;&lt;year&gt;2022&lt;/year&gt;&lt;/dates&gt;&lt;isbn&gt;2168-8184&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(Singh, Arshad et al. 2022)</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There is a growing body of evidence that suggests that oral care can be effective in reducing the incidence of VAP. For example, a study published in Journal of Nursing Research found that incidence of VAP was significantly lower in ICU ventilation patients received twice-daily oral care with tooth brushing using purified water, in addition to better scores for oral health and plaque index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&lt;EndNote&gt;&lt;Cite&gt;&lt;Author&gt;Mandell&lt;/Author&gt;&lt;Year&gt;2019&lt;/Year&gt;&lt;RecNum&gt;7&lt;/RecNum&gt;&lt;DisplayText&gt;(Mandell and Niederman 2019)&lt;/DisplayText&gt;&lt;record&gt;&lt;rec-number&gt;7&lt;/rec-number&gt;&lt;foreign-keys&gt;&lt;key app="EN" db-id="zwr55wafzd09tme59wh5t0vnrp20farvw5pp" timestamp="1772823969"&gt;7&lt;/key&gt;&lt;/foreign-keys&gt;&lt;ref-type name="Journal Article"&gt;17&lt;/ref-type&gt;&lt;contributors&gt;&lt;authors&gt;&lt;author&gt;Mandell, Lionel A&lt;/author&gt;&lt;author&gt;Niederman, Michael S&lt;/author&gt;&lt;/authors&gt;&lt;/contributors&gt;&lt;titles&gt;&lt;title&gt;Aspiration pneumonia&lt;/title&gt;&lt;secondary-title&gt;New England Journal of Medicine&lt;/secondary-title&gt;&lt;/titles&gt;&lt;periodical&gt;&lt;full-title&gt;New England Journal of Medicine&lt;/full-title&gt;&lt;/periodical&gt;&lt;pages&gt;651-663&lt;/pages&gt;&lt;volume&gt;380&lt;/volume&gt;&lt;number&gt;7&lt;/number&gt;&lt;dates&gt;&lt;year&gt;2019&lt;/year&gt;&lt;/dates&gt;&lt;isbn&gt;0028-4793&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(Mandell and Niederman 2019)</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1707ECFE" w14:textId="77777777" w:rsid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The current study revealed that at the end of oral care intervention (on day six), there was a highly significant lower scores or mild oral alteration among the study group who had oral care intervention done by the researcher compared to the control group who had routine oral care delivered by ICU nurses (90% and 23.3% respectively). This can be attributed to the fact that oral care intervention improves the condition of the mouth and improves the oral environment that includes lips, tongue, saliva, mucous membranes, gums and teeth</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&lt;EndNote&gt;&lt;Cite&gt;&lt;Author&gt;Coppadoro&lt;/Author&gt;&lt;Year&gt;2012&lt;/Year&gt;&lt;RecNum&gt;2&lt;/RecNum&gt;&lt;DisplayText&gt;(Coppadoro, Bittner et al. 2012)&lt;/DisplayText&gt;&lt;record&gt;&lt;rec-number&gt;2&lt;/rec-number&gt;&lt;foreign-keys&gt;&lt;key app="EN" db-id="zwr55wafzd09tme59wh5t0vnrp20farvw5pp" timestamp="1772823444"&gt;2&lt;/key&gt;&lt;/foreign-keys&gt;&lt;ref-type name="Journal Article"&gt;17&lt;/ref-type&gt;&lt;contributors&gt;&lt;authors&gt;&lt;author&gt;Coppadoro, Andrea&lt;/author&gt;&lt;author&gt;Bittner, Edward&lt;/author&gt;&lt;author&gt;Berra, Lorenzo&lt;/author&gt;&lt;/authors&gt;&lt;/contributors&gt;&lt;titles&gt;&lt;title&gt;Novel preventive strategies for ventilator-associated pneumonia&lt;/title&gt;&lt;secondary-title&gt;Critical Care&lt;/secondary-title&gt;&lt;/titles&gt;&lt;periodical&gt;&lt;full-title&gt;Critical Care&lt;/full-title&gt;&lt;/periodical&gt;&lt;pages&gt;210&lt;/pages&gt;&lt;volume&gt;16&lt;/volume&gt;&lt;number&gt;2&lt;/number&gt;&lt;dates&gt;&lt;year&gt;2012&lt;/year&gt;&lt;/dates&gt;&lt;isbn&gt;1364-8535&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(Coppadoro, Bittner et al. 2012)</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478C452C" w14:textId="77777777" w:rsidR="0005118D" w:rsidRPr="0005118D" w:rsidRDefault="0005118D" w:rsidP="0005118D">
      <w:pPr>
        <w:jc w:val="both"/>
        <w:rPr>
          <w:rFonts w:ascii="Times New Roman" w:hAnsi="Times New Roman" w:cs="Times New Roman"/>
          <w:bCs/>
          <w:sz w:val="24"/>
          <w:szCs w:val="24"/>
        </w:rPr>
      </w:pPr>
    </w:p>
    <w:p w14:paraId="261B8F69" w14:textId="77777777" w:rsidR="0005118D" w:rsidRPr="0005118D" w:rsidRDefault="0005118D" w:rsidP="0005118D">
      <w:pPr>
        <w:jc w:val="both"/>
        <w:rPr>
          <w:rFonts w:ascii="Times New Roman" w:hAnsi="Times New Roman" w:cs="Times New Roman"/>
          <w:b/>
          <w:bCs/>
          <w:sz w:val="24"/>
          <w:szCs w:val="24"/>
        </w:rPr>
      </w:pPr>
      <w:bookmarkStart w:id="8" w:name="_Toc20868"/>
      <w:r w:rsidRPr="0005118D">
        <w:rPr>
          <w:rFonts w:ascii="Times New Roman" w:hAnsi="Times New Roman" w:cs="Times New Roman"/>
          <w:b/>
          <w:bCs/>
          <w:sz w:val="24"/>
          <w:szCs w:val="24"/>
        </w:rPr>
        <w:t>METHOD</w:t>
      </w:r>
      <w:bookmarkEnd w:id="8"/>
      <w:r w:rsidRPr="0005118D">
        <w:rPr>
          <w:rFonts w:ascii="Times New Roman" w:hAnsi="Times New Roman" w:cs="Times New Roman"/>
          <w:b/>
          <w:bCs/>
          <w:sz w:val="24"/>
          <w:szCs w:val="24"/>
        </w:rPr>
        <w:t>OLOGY</w:t>
      </w:r>
    </w:p>
    <w:p w14:paraId="0A597F65" w14:textId="77777777" w:rsidR="0005118D" w:rsidRPr="0005118D" w:rsidRDefault="0005118D" w:rsidP="0005118D">
      <w:pPr>
        <w:jc w:val="both"/>
        <w:rPr>
          <w:rFonts w:ascii="Times New Roman" w:hAnsi="Times New Roman" w:cs="Times New Roman"/>
          <w:bCs/>
          <w:sz w:val="24"/>
          <w:szCs w:val="24"/>
        </w:rPr>
      </w:pPr>
      <w:bookmarkStart w:id="9" w:name="bookmark14"/>
      <w:bookmarkStart w:id="10" w:name="bookmark12"/>
      <w:bookmarkStart w:id="11" w:name="bookmark11"/>
      <w:bookmarkStart w:id="12" w:name="_Toc27378"/>
      <w:bookmarkStart w:id="13" w:name="_Toc24465"/>
      <w:bookmarkEnd w:id="9"/>
      <w:bookmarkEnd w:id="10"/>
      <w:bookmarkEnd w:id="11"/>
      <w:r w:rsidRPr="0005118D">
        <w:rPr>
          <w:rFonts w:ascii="Times New Roman" w:hAnsi="Times New Roman" w:cs="Times New Roman"/>
          <w:bCs/>
          <w:sz w:val="24"/>
          <w:szCs w:val="24"/>
        </w:rPr>
        <w:t xml:space="preserve">A quasi-experimental study design was used for this research, which was conducted in the Intensive Care Unit (ICU) in Bahawalpur. The target population consisted of adult patients admitted to the ICU who were receiving invasive mechanical ventilation through an endotracheal or tracheostomy tube. A total of 22 patients were included in the study using a non-probability purposive sampling technique based on the defined inclusion criteria. The dependent variable of the study was ventilator-associated pneumonia (VAP), while the independent variable was oral hygiene care. Prior to data collection, informed consent was obtained from each patient’s legally authorized representative to ensure anonymity, confidentiality, and voluntary participation. </w:t>
      </w:r>
    </w:p>
    <w:p w14:paraId="26790DC6" w14:textId="77777777" w:rsid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The study was conducted in three phases: first phase, which involved baseline data collection on oral hygiene practices and Clinical Pulmonary Infection Score (CPIS); second, phase, during which a structured oral hygiene care protocol was implemented for ICU patients; and third, where CPIS scores and the incidence of VAP were assessed to evaluate the effectiveness of the intervention. Data were collected using a structured checklist for demographic information and clinical assessment of VAP occurrence, with CPIS scores recorded on Day 1, and Day 6. The collected data were analyzed using SPSS software (Version 27). Descriptive statistics, including frequency and percentage, were used to summarize demographic and clinical </w:t>
      </w:r>
      <w:r w:rsidRPr="0005118D">
        <w:rPr>
          <w:rFonts w:ascii="Times New Roman" w:hAnsi="Times New Roman" w:cs="Times New Roman"/>
          <w:bCs/>
          <w:sz w:val="24"/>
          <w:szCs w:val="24"/>
        </w:rPr>
        <w:lastRenderedPageBreak/>
        <w:t>characteristics, while the independent t-test was applied for inferential statistical analysis.</w:t>
      </w:r>
    </w:p>
    <w:p w14:paraId="5AF69DAF" w14:textId="77777777" w:rsidR="0005118D" w:rsidRPr="0005118D" w:rsidRDefault="0005118D" w:rsidP="0005118D">
      <w:pPr>
        <w:jc w:val="both"/>
        <w:rPr>
          <w:rFonts w:ascii="Times New Roman" w:hAnsi="Times New Roman" w:cs="Times New Roman"/>
          <w:bCs/>
          <w:sz w:val="24"/>
          <w:szCs w:val="24"/>
        </w:rPr>
      </w:pPr>
    </w:p>
    <w:p w14:paraId="0D1234BB" w14:textId="4A64F81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RESULTS</w:t>
      </w:r>
      <w:bookmarkStart w:id="14" w:name="_Toc17240"/>
      <w:bookmarkEnd w:id="12"/>
    </w:p>
    <w:p w14:paraId="0E7DAE92"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 xml:space="preserve">Demographic Characteristics </w:t>
      </w:r>
      <w:proofErr w:type="gramStart"/>
      <w:r w:rsidRPr="0005118D">
        <w:rPr>
          <w:rFonts w:ascii="Times New Roman" w:hAnsi="Times New Roman" w:cs="Times New Roman"/>
          <w:b/>
          <w:bCs/>
          <w:sz w:val="24"/>
          <w:szCs w:val="24"/>
        </w:rPr>
        <w:t>of  Participants</w:t>
      </w:r>
      <w:bookmarkEnd w:id="14"/>
      <w:proofErr w:type="gramEnd"/>
    </w:p>
    <w:p w14:paraId="069ED934"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A total of 22 participants were included in the study. The demographic characteristics are summarized in Table 4.</w:t>
      </w:r>
      <w:proofErr w:type="gramStart"/>
      <w:r w:rsidRPr="0005118D">
        <w:rPr>
          <w:rFonts w:ascii="Times New Roman" w:hAnsi="Times New Roman" w:cs="Times New Roman"/>
          <w:bCs/>
          <w:sz w:val="24"/>
          <w:szCs w:val="24"/>
        </w:rPr>
        <w:t>1.Regarding</w:t>
      </w:r>
      <w:proofErr w:type="gramEnd"/>
      <w:r w:rsidRPr="0005118D">
        <w:rPr>
          <w:rFonts w:ascii="Times New Roman" w:hAnsi="Times New Roman" w:cs="Times New Roman"/>
          <w:bCs/>
          <w:sz w:val="24"/>
          <w:szCs w:val="24"/>
        </w:rPr>
        <w:t xml:space="preserve"> age, the majority of participants (40.9%) were in the 20-30 years age group, followed by 25.0% in the 50-60 years and 25.0% in the 60-70 years categories. Only 10.0% were aged 30-40 years and 10.0% were 40-50 years. In terms of gender, 60.0% were male and 40.0% were female, indicating a slightly higher participation of males. Regarding education, 55.0% of participants had education below the university level, 30.0% were illiterate, and 25.0% had education above the university level (Table 1.1).</w:t>
      </w:r>
    </w:p>
    <w:p w14:paraId="16FF6248"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Table 1.1: Demographic Characteristics of Participants (n = 22)</w:t>
      </w:r>
    </w:p>
    <w:tbl>
      <w:tblPr>
        <w:tblStyle w:val="TableGrid"/>
        <w:tblW w:w="0" w:type="auto"/>
        <w:jc w:val="center"/>
        <w:tblInd w:w="0" w:type="dxa"/>
        <w:tblLook w:val="04A0" w:firstRow="1" w:lastRow="0" w:firstColumn="1" w:lastColumn="0" w:noHBand="0" w:noVBand="1"/>
      </w:tblPr>
      <w:tblGrid>
        <w:gridCol w:w="1137"/>
        <w:gridCol w:w="1724"/>
        <w:gridCol w:w="1457"/>
        <w:gridCol w:w="1603"/>
      </w:tblGrid>
      <w:tr w:rsidR="0005118D" w:rsidRPr="0005118D" w14:paraId="78572D8E" w14:textId="77777777" w:rsidTr="0005118D">
        <w:trPr>
          <w:trHeight w:val="593"/>
          <w:jc w:val="center"/>
        </w:trPr>
        <w:tc>
          <w:tcPr>
            <w:tcW w:w="0" w:type="auto"/>
            <w:vAlign w:val="center"/>
          </w:tcPr>
          <w:p w14:paraId="5E6A151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Variable</w:t>
            </w:r>
          </w:p>
        </w:tc>
        <w:tc>
          <w:tcPr>
            <w:tcW w:w="0" w:type="auto"/>
            <w:vAlign w:val="center"/>
          </w:tcPr>
          <w:p w14:paraId="26B7B7EC"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Category</w:t>
            </w:r>
          </w:p>
        </w:tc>
        <w:tc>
          <w:tcPr>
            <w:tcW w:w="0" w:type="auto"/>
            <w:vAlign w:val="center"/>
          </w:tcPr>
          <w:p w14:paraId="7117A4C9"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Frequency (n)</w:t>
            </w:r>
          </w:p>
        </w:tc>
        <w:tc>
          <w:tcPr>
            <w:tcW w:w="0" w:type="auto"/>
            <w:vAlign w:val="center"/>
          </w:tcPr>
          <w:p w14:paraId="33199ADF"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Percentage (%)</w:t>
            </w:r>
          </w:p>
        </w:tc>
      </w:tr>
      <w:tr w:rsidR="0005118D" w:rsidRPr="0005118D" w14:paraId="69A3CC92" w14:textId="77777777" w:rsidTr="0005118D">
        <w:trPr>
          <w:jc w:val="center"/>
        </w:trPr>
        <w:tc>
          <w:tcPr>
            <w:tcW w:w="0" w:type="auto"/>
            <w:vAlign w:val="center"/>
          </w:tcPr>
          <w:p w14:paraId="437BAAE7"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Age (years)</w:t>
            </w:r>
          </w:p>
        </w:tc>
        <w:tc>
          <w:tcPr>
            <w:tcW w:w="0" w:type="auto"/>
            <w:vAlign w:val="center"/>
          </w:tcPr>
          <w:p w14:paraId="7A5845BE"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20-30</w:t>
            </w:r>
          </w:p>
        </w:tc>
        <w:tc>
          <w:tcPr>
            <w:tcW w:w="0" w:type="auto"/>
            <w:vAlign w:val="center"/>
          </w:tcPr>
          <w:p w14:paraId="2778847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8</w:t>
            </w:r>
          </w:p>
        </w:tc>
        <w:tc>
          <w:tcPr>
            <w:tcW w:w="0" w:type="auto"/>
            <w:vAlign w:val="center"/>
          </w:tcPr>
          <w:p w14:paraId="557E4ED9"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40.9</w:t>
            </w:r>
          </w:p>
        </w:tc>
      </w:tr>
      <w:tr w:rsidR="0005118D" w:rsidRPr="0005118D" w14:paraId="12EDE766" w14:textId="77777777" w:rsidTr="0005118D">
        <w:trPr>
          <w:jc w:val="center"/>
        </w:trPr>
        <w:tc>
          <w:tcPr>
            <w:tcW w:w="0" w:type="auto"/>
            <w:vAlign w:val="center"/>
          </w:tcPr>
          <w:p w14:paraId="4BEBF2E7"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35D2570B"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30-40</w:t>
            </w:r>
          </w:p>
        </w:tc>
        <w:tc>
          <w:tcPr>
            <w:tcW w:w="0" w:type="auto"/>
            <w:vAlign w:val="center"/>
          </w:tcPr>
          <w:p w14:paraId="616213A4"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w:t>
            </w:r>
          </w:p>
        </w:tc>
        <w:tc>
          <w:tcPr>
            <w:tcW w:w="0" w:type="auto"/>
            <w:vAlign w:val="center"/>
          </w:tcPr>
          <w:p w14:paraId="0A9861D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10.0</w:t>
            </w:r>
          </w:p>
        </w:tc>
      </w:tr>
      <w:tr w:rsidR="0005118D" w:rsidRPr="0005118D" w14:paraId="28695229" w14:textId="77777777" w:rsidTr="0005118D">
        <w:trPr>
          <w:jc w:val="center"/>
        </w:trPr>
        <w:tc>
          <w:tcPr>
            <w:tcW w:w="0" w:type="auto"/>
            <w:vAlign w:val="center"/>
          </w:tcPr>
          <w:p w14:paraId="4BD2DE50"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73A78DFB"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40-50</w:t>
            </w:r>
          </w:p>
        </w:tc>
        <w:tc>
          <w:tcPr>
            <w:tcW w:w="0" w:type="auto"/>
            <w:vAlign w:val="center"/>
          </w:tcPr>
          <w:p w14:paraId="7DFEDE1A"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w:t>
            </w:r>
          </w:p>
        </w:tc>
        <w:tc>
          <w:tcPr>
            <w:tcW w:w="0" w:type="auto"/>
            <w:vAlign w:val="center"/>
          </w:tcPr>
          <w:p w14:paraId="359B7878"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10.0</w:t>
            </w:r>
          </w:p>
        </w:tc>
      </w:tr>
      <w:tr w:rsidR="0005118D" w:rsidRPr="0005118D" w14:paraId="40A7F095" w14:textId="77777777" w:rsidTr="0005118D">
        <w:trPr>
          <w:jc w:val="center"/>
        </w:trPr>
        <w:tc>
          <w:tcPr>
            <w:tcW w:w="0" w:type="auto"/>
            <w:vAlign w:val="center"/>
          </w:tcPr>
          <w:p w14:paraId="6B81BC11"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6B18DBD3"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50-60</w:t>
            </w:r>
          </w:p>
        </w:tc>
        <w:tc>
          <w:tcPr>
            <w:tcW w:w="0" w:type="auto"/>
            <w:vAlign w:val="center"/>
          </w:tcPr>
          <w:p w14:paraId="33B60D0A"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5</w:t>
            </w:r>
          </w:p>
        </w:tc>
        <w:tc>
          <w:tcPr>
            <w:tcW w:w="0" w:type="auto"/>
            <w:vAlign w:val="center"/>
          </w:tcPr>
          <w:p w14:paraId="6A1EF4F3"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25.0</w:t>
            </w:r>
          </w:p>
        </w:tc>
      </w:tr>
      <w:tr w:rsidR="0005118D" w:rsidRPr="0005118D" w14:paraId="5ECB74BE" w14:textId="77777777" w:rsidTr="0005118D">
        <w:trPr>
          <w:jc w:val="center"/>
        </w:trPr>
        <w:tc>
          <w:tcPr>
            <w:tcW w:w="0" w:type="auto"/>
            <w:vAlign w:val="center"/>
          </w:tcPr>
          <w:p w14:paraId="05C569F6"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017EB014"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60-70</w:t>
            </w:r>
          </w:p>
        </w:tc>
        <w:tc>
          <w:tcPr>
            <w:tcW w:w="0" w:type="auto"/>
            <w:vAlign w:val="center"/>
          </w:tcPr>
          <w:p w14:paraId="74359B19"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5</w:t>
            </w:r>
          </w:p>
        </w:tc>
        <w:tc>
          <w:tcPr>
            <w:tcW w:w="0" w:type="auto"/>
            <w:vAlign w:val="center"/>
          </w:tcPr>
          <w:p w14:paraId="478BF1E3"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25.0</w:t>
            </w:r>
          </w:p>
        </w:tc>
      </w:tr>
      <w:tr w:rsidR="0005118D" w:rsidRPr="0005118D" w14:paraId="61D4826D" w14:textId="77777777" w:rsidTr="0005118D">
        <w:trPr>
          <w:jc w:val="center"/>
        </w:trPr>
        <w:tc>
          <w:tcPr>
            <w:tcW w:w="0" w:type="auto"/>
            <w:vAlign w:val="center"/>
          </w:tcPr>
          <w:p w14:paraId="3E4A90B7"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Gender</w:t>
            </w:r>
          </w:p>
        </w:tc>
        <w:tc>
          <w:tcPr>
            <w:tcW w:w="0" w:type="auto"/>
            <w:vAlign w:val="center"/>
          </w:tcPr>
          <w:p w14:paraId="4D9E8157"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Male</w:t>
            </w:r>
          </w:p>
        </w:tc>
        <w:tc>
          <w:tcPr>
            <w:tcW w:w="0" w:type="auto"/>
            <w:vAlign w:val="center"/>
          </w:tcPr>
          <w:p w14:paraId="54D4BDAC"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12</w:t>
            </w:r>
          </w:p>
        </w:tc>
        <w:tc>
          <w:tcPr>
            <w:tcW w:w="0" w:type="auto"/>
            <w:vAlign w:val="center"/>
          </w:tcPr>
          <w:p w14:paraId="007D4BE0"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60.0</w:t>
            </w:r>
          </w:p>
        </w:tc>
      </w:tr>
      <w:tr w:rsidR="0005118D" w:rsidRPr="0005118D" w14:paraId="1124D572" w14:textId="77777777" w:rsidTr="0005118D">
        <w:trPr>
          <w:jc w:val="center"/>
        </w:trPr>
        <w:tc>
          <w:tcPr>
            <w:tcW w:w="0" w:type="auto"/>
            <w:vAlign w:val="center"/>
          </w:tcPr>
          <w:p w14:paraId="309C7654"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7D743493"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Female</w:t>
            </w:r>
          </w:p>
        </w:tc>
        <w:tc>
          <w:tcPr>
            <w:tcW w:w="0" w:type="auto"/>
            <w:vAlign w:val="center"/>
          </w:tcPr>
          <w:p w14:paraId="6E11F737"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10</w:t>
            </w:r>
          </w:p>
        </w:tc>
        <w:tc>
          <w:tcPr>
            <w:tcW w:w="0" w:type="auto"/>
            <w:vAlign w:val="center"/>
          </w:tcPr>
          <w:p w14:paraId="4245F716"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40.0</w:t>
            </w:r>
          </w:p>
        </w:tc>
      </w:tr>
      <w:tr w:rsidR="0005118D" w:rsidRPr="0005118D" w14:paraId="3AAACC6B" w14:textId="77777777" w:rsidTr="0005118D">
        <w:trPr>
          <w:jc w:val="center"/>
        </w:trPr>
        <w:tc>
          <w:tcPr>
            <w:tcW w:w="0" w:type="auto"/>
            <w:vAlign w:val="center"/>
          </w:tcPr>
          <w:p w14:paraId="4D1D30B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Education</w:t>
            </w:r>
          </w:p>
        </w:tc>
        <w:tc>
          <w:tcPr>
            <w:tcW w:w="0" w:type="auto"/>
            <w:vAlign w:val="center"/>
          </w:tcPr>
          <w:p w14:paraId="73E275BA"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Illiterate</w:t>
            </w:r>
          </w:p>
        </w:tc>
        <w:tc>
          <w:tcPr>
            <w:tcW w:w="0" w:type="auto"/>
            <w:vAlign w:val="center"/>
          </w:tcPr>
          <w:p w14:paraId="51CB68F0"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6</w:t>
            </w:r>
          </w:p>
        </w:tc>
        <w:tc>
          <w:tcPr>
            <w:tcW w:w="0" w:type="auto"/>
            <w:vAlign w:val="center"/>
          </w:tcPr>
          <w:p w14:paraId="0385AF82"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30.0</w:t>
            </w:r>
          </w:p>
        </w:tc>
      </w:tr>
      <w:tr w:rsidR="0005118D" w:rsidRPr="0005118D" w14:paraId="6128D844" w14:textId="77777777" w:rsidTr="0005118D">
        <w:trPr>
          <w:jc w:val="center"/>
        </w:trPr>
        <w:tc>
          <w:tcPr>
            <w:tcW w:w="0" w:type="auto"/>
            <w:vAlign w:val="center"/>
          </w:tcPr>
          <w:p w14:paraId="4570F592"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1989AD92"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Below University</w:t>
            </w:r>
          </w:p>
        </w:tc>
        <w:tc>
          <w:tcPr>
            <w:tcW w:w="0" w:type="auto"/>
            <w:vAlign w:val="center"/>
          </w:tcPr>
          <w:p w14:paraId="51D4711C"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11</w:t>
            </w:r>
          </w:p>
        </w:tc>
        <w:tc>
          <w:tcPr>
            <w:tcW w:w="0" w:type="auto"/>
            <w:vAlign w:val="center"/>
          </w:tcPr>
          <w:p w14:paraId="5E042C6A"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55.0</w:t>
            </w:r>
          </w:p>
        </w:tc>
      </w:tr>
      <w:tr w:rsidR="0005118D" w:rsidRPr="0005118D" w14:paraId="05629B4F" w14:textId="77777777" w:rsidTr="0005118D">
        <w:trPr>
          <w:jc w:val="center"/>
        </w:trPr>
        <w:tc>
          <w:tcPr>
            <w:tcW w:w="0" w:type="auto"/>
            <w:vAlign w:val="center"/>
          </w:tcPr>
          <w:p w14:paraId="76FD88E8" w14:textId="77777777" w:rsidR="0005118D" w:rsidRPr="0005118D" w:rsidRDefault="0005118D" w:rsidP="0005118D">
            <w:pPr>
              <w:jc w:val="both"/>
              <w:rPr>
                <w:rFonts w:ascii="Times New Roman" w:hAnsi="Times New Roman" w:cs="Times New Roman"/>
                <w:b/>
                <w:bCs/>
                <w:sz w:val="24"/>
                <w:szCs w:val="24"/>
              </w:rPr>
            </w:pPr>
          </w:p>
        </w:tc>
        <w:tc>
          <w:tcPr>
            <w:tcW w:w="0" w:type="auto"/>
            <w:vAlign w:val="center"/>
          </w:tcPr>
          <w:p w14:paraId="777A352C"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Above University</w:t>
            </w:r>
          </w:p>
        </w:tc>
        <w:tc>
          <w:tcPr>
            <w:tcW w:w="0" w:type="auto"/>
            <w:vAlign w:val="center"/>
          </w:tcPr>
          <w:p w14:paraId="2656D3CB"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5</w:t>
            </w:r>
          </w:p>
        </w:tc>
        <w:tc>
          <w:tcPr>
            <w:tcW w:w="0" w:type="auto"/>
            <w:vAlign w:val="center"/>
          </w:tcPr>
          <w:p w14:paraId="6C07E17E"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Cs/>
                <w:sz w:val="24"/>
                <w:szCs w:val="24"/>
              </w:rPr>
              <w:t>25.0</w:t>
            </w:r>
          </w:p>
        </w:tc>
      </w:tr>
    </w:tbl>
    <w:p w14:paraId="32ECD4FB" w14:textId="77777777" w:rsidR="0005118D" w:rsidRPr="0005118D" w:rsidRDefault="0005118D" w:rsidP="0005118D">
      <w:pPr>
        <w:jc w:val="both"/>
        <w:rPr>
          <w:rFonts w:ascii="Times New Roman" w:hAnsi="Times New Roman" w:cs="Times New Roman"/>
          <w:b/>
          <w:bCs/>
          <w:sz w:val="24"/>
          <w:szCs w:val="24"/>
        </w:rPr>
      </w:pPr>
      <w:bookmarkStart w:id="15" w:name="_Toc27943"/>
      <w:r w:rsidRPr="0005118D">
        <w:rPr>
          <w:rFonts w:ascii="Times New Roman" w:hAnsi="Times New Roman" w:cs="Times New Roman"/>
          <w:b/>
          <w:bCs/>
          <w:sz w:val="24"/>
          <w:szCs w:val="24"/>
        </w:rPr>
        <w:t>Assessment of Control and Case Group</w:t>
      </w:r>
    </w:p>
    <w:p w14:paraId="42B36C43"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Patients were assessed using Modified Clinical Pulmonary Infection Score (CPIS). Control assessment showed Seven out of eleven patients (63.6%) were classified as VAP positive, while four patients (36.4%) were non-VAP. Case group showed three patients (27.3%) were diagnosed with VAP, while eight patients (72.7%) remained non-VAP.</w:t>
      </w:r>
    </w:p>
    <w:p w14:paraId="784D2053"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Table 2.1: Descriptive Statics of CPIS Score</w:t>
      </w:r>
    </w:p>
    <w:tbl>
      <w:tblPr>
        <w:tblStyle w:val="TableGrid"/>
        <w:tblW w:w="0" w:type="auto"/>
        <w:jc w:val="center"/>
        <w:tblInd w:w="0" w:type="dxa"/>
        <w:tblLook w:val="04A0" w:firstRow="1" w:lastRow="0" w:firstColumn="1" w:lastColumn="0" w:noHBand="0" w:noVBand="1"/>
      </w:tblPr>
      <w:tblGrid>
        <w:gridCol w:w="2754"/>
        <w:gridCol w:w="2754"/>
        <w:gridCol w:w="2754"/>
      </w:tblGrid>
      <w:tr w:rsidR="0005118D" w:rsidRPr="0005118D" w14:paraId="593FC4FE" w14:textId="77777777" w:rsidTr="0005118D">
        <w:trPr>
          <w:trHeight w:val="501"/>
          <w:jc w:val="center"/>
        </w:trPr>
        <w:tc>
          <w:tcPr>
            <w:tcW w:w="2754" w:type="dxa"/>
          </w:tcPr>
          <w:p w14:paraId="41DE1620"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Group</w:t>
            </w:r>
          </w:p>
        </w:tc>
        <w:tc>
          <w:tcPr>
            <w:tcW w:w="2754" w:type="dxa"/>
          </w:tcPr>
          <w:p w14:paraId="00039AC7"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VAP PRESENT</w:t>
            </w:r>
          </w:p>
        </w:tc>
        <w:tc>
          <w:tcPr>
            <w:tcW w:w="2754" w:type="dxa"/>
          </w:tcPr>
          <w:p w14:paraId="25556CE8"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VAP ABSENT</w:t>
            </w:r>
          </w:p>
        </w:tc>
      </w:tr>
      <w:tr w:rsidR="0005118D" w:rsidRPr="0005118D" w14:paraId="74135F1E" w14:textId="77777777" w:rsidTr="0005118D">
        <w:trPr>
          <w:trHeight w:val="483"/>
          <w:jc w:val="center"/>
        </w:trPr>
        <w:tc>
          <w:tcPr>
            <w:tcW w:w="2754" w:type="dxa"/>
          </w:tcPr>
          <w:p w14:paraId="7E751B39"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Control</w:t>
            </w:r>
          </w:p>
        </w:tc>
        <w:tc>
          <w:tcPr>
            <w:tcW w:w="2754" w:type="dxa"/>
          </w:tcPr>
          <w:p w14:paraId="6DA26539"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7 (63.6%)</w:t>
            </w:r>
          </w:p>
        </w:tc>
        <w:tc>
          <w:tcPr>
            <w:tcW w:w="2754" w:type="dxa"/>
          </w:tcPr>
          <w:p w14:paraId="0A121DF1"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4 (36.4%)</w:t>
            </w:r>
          </w:p>
        </w:tc>
      </w:tr>
      <w:tr w:rsidR="0005118D" w:rsidRPr="0005118D" w14:paraId="38FFA849" w14:textId="77777777" w:rsidTr="0005118D">
        <w:trPr>
          <w:trHeight w:val="501"/>
          <w:jc w:val="center"/>
        </w:trPr>
        <w:tc>
          <w:tcPr>
            <w:tcW w:w="2754" w:type="dxa"/>
          </w:tcPr>
          <w:p w14:paraId="2635076C"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Case</w:t>
            </w:r>
          </w:p>
        </w:tc>
        <w:tc>
          <w:tcPr>
            <w:tcW w:w="2754" w:type="dxa"/>
          </w:tcPr>
          <w:p w14:paraId="5B6A881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3 (27.3%)</w:t>
            </w:r>
          </w:p>
        </w:tc>
        <w:tc>
          <w:tcPr>
            <w:tcW w:w="2754" w:type="dxa"/>
          </w:tcPr>
          <w:p w14:paraId="20F38345" w14:textId="7777777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8 (72.7%)</w:t>
            </w:r>
          </w:p>
        </w:tc>
      </w:tr>
    </w:tbl>
    <w:p w14:paraId="42E7D787" w14:textId="77777777" w:rsidR="0005118D" w:rsidRPr="0005118D" w:rsidRDefault="0005118D" w:rsidP="0005118D">
      <w:pPr>
        <w:jc w:val="both"/>
        <w:rPr>
          <w:rFonts w:ascii="Times New Roman" w:hAnsi="Times New Roman" w:cs="Times New Roman"/>
          <w:b/>
          <w:bCs/>
          <w:sz w:val="24"/>
          <w:szCs w:val="24"/>
        </w:rPr>
      </w:pPr>
      <w:bookmarkStart w:id="16" w:name="_Toc9653"/>
      <w:bookmarkEnd w:id="15"/>
      <w:r w:rsidRPr="0005118D">
        <w:rPr>
          <w:rFonts w:ascii="Times New Roman" w:hAnsi="Times New Roman" w:cs="Times New Roman"/>
          <w:b/>
          <w:bCs/>
          <w:sz w:val="24"/>
          <w:szCs w:val="24"/>
        </w:rPr>
        <w:t>Independent Sample T-Test for Case and Control CPIS Scores</w:t>
      </w:r>
      <w:bookmarkEnd w:id="16"/>
    </w:p>
    <w:p w14:paraId="53443C2B" w14:textId="77777777" w:rsidR="0005118D" w:rsidRPr="0005118D" w:rsidRDefault="0005118D" w:rsidP="0005118D">
      <w:pPr>
        <w:jc w:val="both"/>
        <w:rPr>
          <w:rFonts w:ascii="Times New Roman" w:hAnsi="Times New Roman" w:cs="Times New Roman"/>
          <w:bCs/>
          <w:sz w:val="24"/>
          <w:szCs w:val="24"/>
        </w:rPr>
      </w:pPr>
      <w:bookmarkStart w:id="17" w:name="_Toc19493"/>
      <w:r w:rsidRPr="0005118D">
        <w:rPr>
          <w:rFonts w:ascii="Times New Roman" w:hAnsi="Times New Roman" w:cs="Times New Roman"/>
          <w:bCs/>
          <w:sz w:val="24"/>
          <w:szCs w:val="24"/>
        </w:rPr>
        <w:t>An independent samples t-test was conducted to compare CPIS scores between the Case Group and Control group on Day 6</w:t>
      </w:r>
      <w:bookmarkEnd w:id="17"/>
      <w:r w:rsidRPr="0005118D">
        <w:rPr>
          <w:rFonts w:ascii="Times New Roman" w:hAnsi="Times New Roman" w:cs="Times New Roman"/>
          <w:bCs/>
          <w:sz w:val="24"/>
          <w:szCs w:val="24"/>
        </w:rPr>
        <w:t xml:space="preserve"> (Table 2.2).</w:t>
      </w:r>
    </w:p>
    <w:p w14:paraId="7BC52D90" w14:textId="77777777" w:rsidR="0005118D" w:rsidRPr="0005118D" w:rsidRDefault="0005118D" w:rsidP="0005118D">
      <w:pPr>
        <w:jc w:val="both"/>
        <w:rPr>
          <w:rFonts w:ascii="Times New Roman" w:hAnsi="Times New Roman" w:cs="Times New Roman"/>
          <w:b/>
          <w:bCs/>
          <w:sz w:val="24"/>
          <w:szCs w:val="24"/>
        </w:rPr>
      </w:pPr>
      <w:bookmarkStart w:id="18" w:name="_Toc2702"/>
      <w:r w:rsidRPr="0005118D">
        <w:rPr>
          <w:rFonts w:ascii="Times New Roman" w:hAnsi="Times New Roman" w:cs="Times New Roman"/>
          <w:b/>
          <w:bCs/>
          <w:sz w:val="24"/>
          <w:szCs w:val="24"/>
        </w:rPr>
        <w:t>Table 2.2: Independent Sample T-Test Comparison</w:t>
      </w:r>
      <w:bookmarkEnd w:id="18"/>
    </w:p>
    <w:tbl>
      <w:tblPr>
        <w:tblStyle w:val="TableGrid"/>
        <w:tblW w:w="8357" w:type="dxa"/>
        <w:jc w:val="center"/>
        <w:tblInd w:w="0" w:type="dxa"/>
        <w:tblLook w:val="04A0" w:firstRow="1" w:lastRow="0" w:firstColumn="1" w:lastColumn="0" w:noHBand="0" w:noVBand="1"/>
      </w:tblPr>
      <w:tblGrid>
        <w:gridCol w:w="1969"/>
        <w:gridCol w:w="1375"/>
        <w:gridCol w:w="1671"/>
        <w:gridCol w:w="1671"/>
        <w:gridCol w:w="1671"/>
      </w:tblGrid>
      <w:tr w:rsidR="0005118D" w:rsidRPr="0005118D" w14:paraId="78FA77B3" w14:textId="77777777" w:rsidTr="0005118D">
        <w:trPr>
          <w:trHeight w:val="1027"/>
          <w:jc w:val="center"/>
        </w:trPr>
        <w:tc>
          <w:tcPr>
            <w:tcW w:w="1969" w:type="dxa"/>
            <w:vAlign w:val="center"/>
          </w:tcPr>
          <w:p w14:paraId="5671D563"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
                <w:bCs/>
                <w:sz w:val="24"/>
                <w:szCs w:val="24"/>
              </w:rPr>
              <w:t>Variable</w:t>
            </w:r>
          </w:p>
        </w:tc>
        <w:tc>
          <w:tcPr>
            <w:tcW w:w="1375" w:type="dxa"/>
            <w:vAlign w:val="center"/>
          </w:tcPr>
          <w:p w14:paraId="68141C5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
                <w:bCs/>
                <w:sz w:val="24"/>
                <w:szCs w:val="24"/>
              </w:rPr>
              <w:t>Group</w:t>
            </w:r>
          </w:p>
        </w:tc>
        <w:tc>
          <w:tcPr>
            <w:tcW w:w="1671" w:type="dxa"/>
            <w:vAlign w:val="center"/>
          </w:tcPr>
          <w:p w14:paraId="66902C9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
                <w:bCs/>
                <w:sz w:val="24"/>
                <w:szCs w:val="24"/>
              </w:rPr>
              <w:t>Mean</w:t>
            </w:r>
          </w:p>
        </w:tc>
        <w:tc>
          <w:tcPr>
            <w:tcW w:w="1671" w:type="dxa"/>
            <w:vAlign w:val="center"/>
          </w:tcPr>
          <w:p w14:paraId="440B87C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
                <w:bCs/>
                <w:sz w:val="24"/>
                <w:szCs w:val="24"/>
              </w:rPr>
              <w:t>SD</w:t>
            </w:r>
          </w:p>
        </w:tc>
        <w:tc>
          <w:tcPr>
            <w:tcW w:w="1671" w:type="dxa"/>
            <w:vAlign w:val="center"/>
          </w:tcPr>
          <w:p w14:paraId="0964BEDA"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
                <w:bCs/>
                <w:sz w:val="24"/>
                <w:szCs w:val="24"/>
              </w:rPr>
              <w:t>two tail significance (P)</w:t>
            </w:r>
          </w:p>
        </w:tc>
      </w:tr>
      <w:tr w:rsidR="0005118D" w:rsidRPr="0005118D" w14:paraId="6A054446" w14:textId="77777777" w:rsidTr="0005118D">
        <w:trPr>
          <w:trHeight w:val="495"/>
          <w:jc w:val="center"/>
        </w:trPr>
        <w:tc>
          <w:tcPr>
            <w:tcW w:w="1969" w:type="dxa"/>
            <w:vAlign w:val="center"/>
          </w:tcPr>
          <w:p w14:paraId="3BCF0B4F"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CPIS Day 6</w:t>
            </w:r>
          </w:p>
        </w:tc>
        <w:tc>
          <w:tcPr>
            <w:tcW w:w="1375" w:type="dxa"/>
            <w:vAlign w:val="center"/>
          </w:tcPr>
          <w:p w14:paraId="10F1A42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Control</w:t>
            </w:r>
          </w:p>
        </w:tc>
        <w:tc>
          <w:tcPr>
            <w:tcW w:w="1671" w:type="dxa"/>
          </w:tcPr>
          <w:p w14:paraId="21332677"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lang w:val="zh-CN"/>
              </w:rPr>
              <w:t>6.0909</w:t>
            </w:r>
          </w:p>
        </w:tc>
        <w:tc>
          <w:tcPr>
            <w:tcW w:w="1671" w:type="dxa"/>
          </w:tcPr>
          <w:p w14:paraId="425762D8"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lang w:val="zh-CN"/>
              </w:rPr>
              <w:t>2.25630</w:t>
            </w:r>
          </w:p>
        </w:tc>
        <w:tc>
          <w:tcPr>
            <w:tcW w:w="1671" w:type="dxa"/>
          </w:tcPr>
          <w:p w14:paraId="2D77DA7A"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0.009</w:t>
            </w:r>
          </w:p>
        </w:tc>
      </w:tr>
      <w:tr w:rsidR="0005118D" w:rsidRPr="0005118D" w14:paraId="52D76F81" w14:textId="77777777" w:rsidTr="0005118D">
        <w:trPr>
          <w:trHeight w:val="507"/>
          <w:jc w:val="center"/>
        </w:trPr>
        <w:tc>
          <w:tcPr>
            <w:tcW w:w="1969" w:type="dxa"/>
            <w:vAlign w:val="center"/>
          </w:tcPr>
          <w:p w14:paraId="671915FB" w14:textId="77777777" w:rsidR="0005118D" w:rsidRPr="0005118D" w:rsidRDefault="0005118D" w:rsidP="0005118D">
            <w:pPr>
              <w:jc w:val="both"/>
              <w:rPr>
                <w:rFonts w:ascii="Times New Roman" w:hAnsi="Times New Roman" w:cs="Times New Roman"/>
                <w:bCs/>
                <w:sz w:val="24"/>
                <w:szCs w:val="24"/>
              </w:rPr>
            </w:pPr>
          </w:p>
        </w:tc>
        <w:tc>
          <w:tcPr>
            <w:tcW w:w="1375" w:type="dxa"/>
            <w:vAlign w:val="center"/>
          </w:tcPr>
          <w:p w14:paraId="486D353F"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Case</w:t>
            </w:r>
          </w:p>
        </w:tc>
        <w:tc>
          <w:tcPr>
            <w:tcW w:w="1671" w:type="dxa"/>
          </w:tcPr>
          <w:p w14:paraId="20A07D6B"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lang w:val="zh-CN"/>
              </w:rPr>
              <w:t>3.6364</w:t>
            </w:r>
          </w:p>
        </w:tc>
        <w:tc>
          <w:tcPr>
            <w:tcW w:w="1671" w:type="dxa"/>
          </w:tcPr>
          <w:p w14:paraId="47F828F1"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lang w:val="zh-CN"/>
              </w:rPr>
              <w:t>1.68954</w:t>
            </w:r>
          </w:p>
        </w:tc>
        <w:tc>
          <w:tcPr>
            <w:tcW w:w="1671" w:type="dxa"/>
          </w:tcPr>
          <w:p w14:paraId="164792CD"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0.010</w:t>
            </w:r>
          </w:p>
        </w:tc>
      </w:tr>
    </w:tbl>
    <w:p w14:paraId="6762AC64" w14:textId="77777777" w:rsidR="0005118D" w:rsidRDefault="0005118D" w:rsidP="0005118D">
      <w:pPr>
        <w:jc w:val="both"/>
        <w:rPr>
          <w:rFonts w:ascii="Times New Roman" w:hAnsi="Times New Roman" w:cs="Times New Roman"/>
          <w:b/>
          <w:bCs/>
          <w:sz w:val="24"/>
          <w:szCs w:val="24"/>
        </w:rPr>
      </w:pPr>
      <w:bookmarkStart w:id="19" w:name="_Toc1369"/>
    </w:p>
    <w:p w14:paraId="2DDD8813" w14:textId="420C27E1"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lastRenderedPageBreak/>
        <w:t>Interpretation</w:t>
      </w:r>
      <w:bookmarkEnd w:id="19"/>
    </w:p>
    <w:p w14:paraId="26B9FD12" w14:textId="77777777" w:rsidR="0005118D" w:rsidRPr="0005118D" w:rsidRDefault="0005118D" w:rsidP="0005118D">
      <w:pPr>
        <w:numPr>
          <w:ilvl w:val="0"/>
          <w:numId w:val="7"/>
        </w:numPr>
        <w:jc w:val="both"/>
        <w:rPr>
          <w:rFonts w:ascii="Times New Roman" w:hAnsi="Times New Roman" w:cs="Times New Roman"/>
          <w:bCs/>
          <w:sz w:val="24"/>
          <w:szCs w:val="24"/>
        </w:rPr>
      </w:pPr>
      <w:r w:rsidRPr="0005118D">
        <w:rPr>
          <w:rFonts w:ascii="Times New Roman" w:hAnsi="Times New Roman" w:cs="Times New Roman"/>
          <w:bCs/>
          <w:sz w:val="24"/>
          <w:szCs w:val="24"/>
        </w:rPr>
        <w:t>Significant reductions in CPIS scores were observed on Day 6 (P = 0.009 ≤ P = 0.005) in the Case group compared to the Control group.</w:t>
      </w:r>
    </w:p>
    <w:p w14:paraId="482E6FE8" w14:textId="77777777" w:rsidR="0005118D" w:rsidRPr="0005118D" w:rsidRDefault="0005118D" w:rsidP="0005118D">
      <w:pPr>
        <w:numPr>
          <w:ilvl w:val="0"/>
          <w:numId w:val="7"/>
        </w:numPr>
        <w:jc w:val="both"/>
        <w:rPr>
          <w:rFonts w:ascii="Times New Roman" w:hAnsi="Times New Roman" w:cs="Times New Roman"/>
          <w:bCs/>
          <w:sz w:val="24"/>
          <w:szCs w:val="24"/>
        </w:rPr>
      </w:pPr>
      <w:r w:rsidRPr="0005118D">
        <w:rPr>
          <w:rFonts w:ascii="Times New Roman" w:hAnsi="Times New Roman" w:cs="Times New Roman"/>
          <w:bCs/>
          <w:sz w:val="24"/>
          <w:szCs w:val="24"/>
        </w:rPr>
        <w:t>These findings indicate that structured oral hygiene interventions significantly reduced VAP risk.</w:t>
      </w:r>
      <w:bookmarkStart w:id="20" w:name="_Toc14824"/>
      <w:bookmarkStart w:id="21" w:name="_Toc18433"/>
      <w:bookmarkStart w:id="22" w:name="_Toc14050"/>
      <w:bookmarkStart w:id="23" w:name="_Toc26601"/>
      <w:bookmarkEnd w:id="13"/>
    </w:p>
    <w:p w14:paraId="729688B1" w14:textId="77777777" w:rsidR="0005118D" w:rsidRDefault="0005118D" w:rsidP="0005118D">
      <w:pPr>
        <w:jc w:val="both"/>
        <w:rPr>
          <w:rFonts w:ascii="Times New Roman" w:hAnsi="Times New Roman" w:cs="Times New Roman"/>
          <w:b/>
          <w:bCs/>
          <w:sz w:val="24"/>
          <w:szCs w:val="24"/>
        </w:rPr>
      </w:pPr>
    </w:p>
    <w:p w14:paraId="3888055A" w14:textId="4F7C675F"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DISCUSSION:</w:t>
      </w:r>
      <w:bookmarkEnd w:id="20"/>
      <w:bookmarkEnd w:id="21"/>
      <w:bookmarkEnd w:id="22"/>
      <w:bookmarkEnd w:id="23"/>
    </w:p>
    <w:p w14:paraId="55422104" w14:textId="77777777" w:rsidR="0005118D" w:rsidRPr="0005118D" w:rsidRDefault="0005118D" w:rsidP="0005118D">
      <w:pPr>
        <w:jc w:val="both"/>
        <w:rPr>
          <w:rFonts w:ascii="Times New Roman" w:hAnsi="Times New Roman" w:cs="Times New Roman"/>
          <w:bCs/>
          <w:sz w:val="24"/>
          <w:szCs w:val="24"/>
        </w:rPr>
      </w:pPr>
      <w:bookmarkStart w:id="24" w:name="bookmark20"/>
      <w:bookmarkStart w:id="25" w:name="bookmark31"/>
      <w:bookmarkStart w:id="26" w:name="bookmark16"/>
      <w:bookmarkStart w:id="27" w:name="bookmark15"/>
      <w:bookmarkStart w:id="28" w:name="bookmark41"/>
      <w:bookmarkStart w:id="29" w:name="bookmark29"/>
      <w:bookmarkStart w:id="30" w:name="bookmark18"/>
      <w:bookmarkStart w:id="31" w:name="bookmark17"/>
      <w:bookmarkStart w:id="32" w:name="_Toc2442"/>
      <w:bookmarkStart w:id="33" w:name="_Toc7102"/>
      <w:bookmarkEnd w:id="24"/>
      <w:bookmarkEnd w:id="25"/>
      <w:bookmarkEnd w:id="26"/>
      <w:bookmarkEnd w:id="27"/>
      <w:bookmarkEnd w:id="28"/>
      <w:bookmarkEnd w:id="29"/>
      <w:bookmarkEnd w:id="30"/>
      <w:bookmarkEnd w:id="31"/>
      <w:r w:rsidRPr="0005118D">
        <w:rPr>
          <w:rFonts w:ascii="Times New Roman" w:hAnsi="Times New Roman" w:cs="Times New Roman"/>
          <w:bCs/>
          <w:sz w:val="24"/>
          <w:szCs w:val="24"/>
        </w:rPr>
        <w:t>The study demonstrated a substantial reduction in VAP incidence following the implementation of routine oral care interventions. Pre-intervention, 7 out of 11 patients (63.6%) were diagnosed with VAP, whereas post-intervention only 3 out of 11 patients (27.3%) developed VAP. This indicates that structured oral hygiene care reduced VAP occurrence by 36.3%, underscoring the critical role of nurse-delivered preventive strategies.</w:t>
      </w:r>
    </w:p>
    <w:p w14:paraId="64F96FB1"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These findings align with prior research emphasizing the importance of oral hygiene in mechanically ventilated patients. For instance,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&lt;EndNote&gt;&lt;Cite&gt;&lt;Author&gt;Alhazzani&lt;/Author&gt;&lt;Year&gt;2013&lt;/Year&gt;&lt;RecNum&gt;32&lt;/RecNum&gt;&lt;DisplayText&gt;(Alhazzani, Smith et al. 2013)&lt;/DisplayText&gt;&lt;record&gt;&lt;rec-number&gt;32&lt;/rec-number&gt;&lt;foreign-keys&gt;&lt;key app="EN" db-id="f9tsxddf1f0x5pesvzlv0zvett0992fxs5fe" timestamp="1775755727"&gt;32&lt;/key&gt;&lt;/foreign-keys&gt;&lt;ref-type name="Journal Article"&gt;17&lt;/ref-type&gt;&lt;contributors&gt;&lt;authors&gt;&lt;author&gt;Alhazzani, Waleed&lt;/author&gt;&lt;author&gt;Smith, Orla&lt;/author&gt;&lt;author&gt;Muscedere, John&lt;/author&gt;&lt;author&gt;Medd, James&lt;/author&gt;&lt;author&gt;Cook, Deborah&lt;/author&gt;&lt;/authors&gt;&lt;/contributors&gt;&lt;titles&gt;&lt;title&gt;Toothbrushing for critically ill mechanically ventilated patients: a systematic review and meta-analysis of randomized trials evaluating ventilator-associated pneumonia&lt;/title&gt;&lt;secondary-title&gt;Critical care medicine&lt;/secondary-title&gt;&lt;/titles&gt;&lt;periodical&gt;&lt;full-title&gt;Critical care medicine&lt;/full-title&gt;&lt;/periodical&gt;&lt;pages&gt;646-655&lt;/pages&gt;&lt;volume&gt;41&lt;/volume&gt;&lt;number&gt;2&lt;/number&gt;&lt;dates&gt;&lt;year&gt;2013&lt;/year&gt;&lt;/dates&gt;&lt;isbn&gt;1530-0293&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(Alhazzani, Smith et al. 2013)</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reported that systematic toothbrushing, antiseptic application, and oral suctioning significantly lower VAP rates. Similarly,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&lt;EndNote&gt;&lt;Cite&gt;&lt;Author&gt;Singh&lt;/Author&gt;&lt;Year&gt;2022&lt;/Year&gt;&lt;RecNum&gt;39&lt;/RecNum&gt;&lt;DisplayText&gt;(Singh, Arshad et al. 2022)&lt;/DisplayText&gt;&lt;record&gt;&lt;rec-number&gt;39&lt;/rec-number&gt;&lt;foreign-keys&gt;&lt;key app="EN" db-id="f9tsxddf1f0x5pesvzlv0zvett0992fxs5fe" timestamp="1775756228"&gt;39&lt;/key&gt;&lt;/foreign-keys&gt;&lt;ref-type name="Journal Article"&gt;17&lt;/ref-type&gt;&lt;contributors&gt;&lt;authors&gt;&lt;author&gt;Singh, Pallika&lt;/author&gt;&lt;author&gt;Arshad, Zia&lt;/author&gt;&lt;author&gt;Srivastava, Vinod K&lt;/author&gt;&lt;author&gt;Singh, Gyan Prakash&lt;/author&gt;&lt;author&gt;Gangwar, Radhey S&lt;/author&gt;&lt;author&gt;SINGH Sr, PALLIKA&lt;/author&gt;&lt;author&gt;SRIVASTAVA, VINOD K&lt;/author&gt;&lt;/authors&gt;&lt;/contributors&gt;&lt;titles&gt;&lt;title&gt;Efficacy of oral care protocols in the prevention of ventilator-associated pneumonia in mechanically ventilated patients&lt;/title&gt;&lt;secondary-title&gt;Cureus&lt;/secondary-title&gt;&lt;/titles&gt;&lt;periodical&gt;&lt;full-title&gt;Cureus&lt;/full-title&gt;&lt;/periodical&gt;&lt;volume&gt;14&lt;/volume&gt;&lt;number&gt;4&lt;/number&gt;&lt;dates&gt;&lt;year&gt;2022&lt;/year&gt;&lt;/dates&gt;&lt;isbn&gt;2168-8184&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(Singh, Arshad et al. 2022)</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demonstrated that structured oral care protocols reduced VAP incidence and improved oral health outcomes.</w:t>
      </w:r>
    </w:p>
    <w:p w14:paraId="503EBFF4"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The Modified CPIS scores showed significant improvement post-intervention. Most patients’ scores decreased below the VAP threshold (&lt;5), indicating a reduced infection risk. Specifically, patients 1, 2, 4, 5, 6, 8, 9, and 11 maintained CPIS scores consistently below 5 across all assessment days. Patients 3, 7, and 10, who remained VAP-positive, had moderate scores ranging from 6 to 7, suggesting that individualized factors may influence intervention effectiveness.</w:t>
      </w:r>
    </w:p>
    <w:p w14:paraId="1256C7A3"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This improvement reflects the effectiveness of structured oral care in reducing bacterial colonization in the oral cavity, a primary risk factor for VAP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w:instrTex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EN.CITE.DATA </w:instrTex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(Enge, Fleischhauer et al. 2020)</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The findings also support the premise that routine monitoring and consistent protocol adherence are essential to achieving optimal clinical outcomes in ICU patients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&lt;EndNote&gt;&lt;Cite&gt;&lt;Author&gt;Prakash&lt;/Author&gt;&lt;Year&gt;2017&lt;/Year&gt;&lt;RecNum&gt;38&lt;/RecNum&gt;&lt;DisplayText&gt;(Prakash, Rajshekar et al. 2017)&lt;/DisplayText&gt;&lt;record&gt;&lt;rec-number&gt;38&lt;/rec-number&gt;&lt;foreign-keys&gt;&lt;key app="EN" db-id="f9tsxddf1f0x5pesvzlv0zvett0992fxs5fe" timestamp="1775756139"&gt;38&lt;/key&gt;&lt;/foreign-keys&gt;&lt;ref-type name="Journal Article"&gt;17&lt;/ref-type&gt;&lt;contributors&gt;&lt;authors&gt;&lt;author&gt;Prakash, Suman Susan&lt;/author&gt;&lt;author&gt;Rajshekar, Deepashree&lt;/author&gt;&lt;author&gt;Cherian, Anusha&lt;/author&gt;&lt;author&gt;Sastry, Apurba Sankar&lt;/author&gt;&lt;/authors&gt;&lt;/contributors&gt;&lt;titles&gt;&lt;title&gt;Care bundle approach to reduce device-associated infections in a tertiary care teaching hospital, South India&lt;/title&gt;&lt;secondary-title&gt;Journal of laboratory physicians&lt;/secondary-title&gt;&lt;/titles&gt;&lt;periodical&gt;&lt;full-title&gt;Journal of laboratory physicians&lt;/full-title&gt;&lt;/periodical&gt;&lt;pages&gt;273-278&lt;/pages&gt;&lt;volume&gt;9&lt;/volume&gt;&lt;number&gt;04&lt;/number&gt;&lt;dates&gt;&lt;year&gt;2017&lt;/year&gt;&lt;/dates&gt;&lt;isbn&gt;0974-2727&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(Prakash, Rajshekar et al. 2017)</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p>
    <w:p w14:paraId="26358372"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The present study emphasizes the pivotal role of ICU nurses in VAP prevention. Through interventions such as toothbrushing, oral suctioning, lip care, and antiseptic application, nurses directly contributed to reducing bacterial load and improving oral health status. These outcomes underscore the importance of training, structured protocols, and monitoring to ensure adherence to best practices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&lt;EndNote&gt;&lt;Cite&gt;&lt;Author&gt;Sattar&lt;/Author&gt;&lt;RecNum&gt;35&lt;/RecNum&gt;&lt;DisplayText&gt;(Sattar, Tehreem et al.)&lt;/DisplayText&gt;&lt;record&gt;&lt;rec-number&gt;35&lt;/rec-number&gt;&lt;foreign-keys&gt;&lt;key app="EN" db-id="f9tsxddf1f0x5pesvzlv0zvett0992fxs5fe" timestamp="1775755910"&gt;35&lt;/key&gt;&lt;/foreign-keys&gt;&lt;ref-type name="Journal Article"&gt;17&lt;/ref-type&gt;&lt;contributors&gt;&lt;authors&gt;&lt;author&gt;Sattar, Amina&lt;/author&gt;&lt;author&gt;Tehreem, Sania Yaseen&lt;/author&gt;&lt;author&gt;Batool, Fatima&lt;/author&gt;&lt;author&gt;Danish, Muhammad&lt;/author&gt;&lt;/authors&gt;&lt;/contributors&gt;&lt;titles&gt;&lt;title&gt;The Infection Control Paradox: Exploring Knowledge and Practices of ICU Nurses Across Hospitals in Punjab, Pakistan&lt;/title&gt;&lt;/titles&gt;&lt;dates&gt;&lt;/dates&gt;&lt;urls&gt;&lt;/urls&gt;&lt;/record&gt;&lt;/Cite&gt;&lt;/EndNote&gt;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(Sattar, Tehreem et al.)</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 xml:space="preserve">; </w:t>
      </w:r>
      <w:r w:rsidRPr="0005118D">
        <w:rPr>
          <w:rFonts w:ascii="Times New Roman" w:hAnsi="Times New Roman" w:cs="Times New Roman"/>
          <w:bCs/>
          <w:sz w:val="24"/>
          <w:szCs w:val="24"/>
        </w:rPr>
        <w:fldChar w:fldCharType="begin"/>
      </w:r>
      <w:r w:rsidRPr="0005118D">
        <w:rPr>
          <w:rFonts w:ascii="Times New Roman" w:hAnsi="Times New Roman" w:cs="Times New Roman"/>
          <w:bCs/>
          <w:sz w:val="24"/>
          <w:szCs w:val="24"/>
        </w:rPr>
        <w:instrText xml:space="preserve"> ADDIN EN.CITE &lt;EndNote&gt;&lt;Cite&gt;&lt;Author&gt;Mulazim&lt;/Author&gt;&lt;Year&gt;2025&lt;/Year&gt;&lt;RecNum&gt;37&lt;/RecNum&gt;&lt;DisplayText&gt;(Mulazim, Bilal et al. 2025)&lt;/DisplayText&gt;&lt;record&gt;&lt;rec-number&gt;37&lt;/rec-number&gt;&lt;foreign-keys&gt;&lt;key app="EN" db-id="f9tsxddf1f0x5pesvzlv0zvett0992fxs5fe" timestamp="1775756095"&gt;37&lt;/key&gt;&lt;/foreign-keys&gt;&lt;ref-type name="Journal Article"&gt;17&lt;/ref-type&gt;&lt;contributors&gt;&lt;authors&gt;&lt;author&gt;Mulazim, Saima&lt;/author&gt;&lt;author&gt;Bilal, Muhammad&lt;/author&gt;&lt;author&gt;Khan, Nasir&lt;/author&gt;&lt;author&gt;Danish, Muhammad&lt;/author&gt;&lt;author&gt;Jamal, Farrukh&lt;/author&gt;&lt;/authors&gt;&lt;/contributors&gt;&lt;titles&gt;&lt;title&gt;Evaluation of Knowledge and Attitudes Toward Palliative Care Among Critical Care Nurses in Tertiary Hospitals of South Punjab, Pakistan&lt;/title&gt;&lt;secondary-title&gt;Journal of Health, Wellness and Community Research&lt;/secondary-title&gt;&lt;/titles&gt;&lt;periodical&gt;&lt;full-title&gt;Journal of Health, Wellness and Community Research&lt;/full-title&gt;&lt;/periodical&gt;&lt;pages&gt;e943-e943&lt;/pages&gt;&lt;dates&gt;&lt;year&gt;2025&lt;/year&gt;&lt;/dates&gt;&lt;isbn&gt;3007-0570&lt;/isbn&gt;&lt;urls&gt;&lt;/urls&gt;&lt;/record&gt;&lt;/Cite&gt;&lt;/EndNote&gt;</w:instrText>
      </w:r>
      <w:r w:rsidRPr="0005118D">
        <w:rPr>
          <w:rFonts w:ascii="Times New Roman" w:hAnsi="Times New Roman" w:cs="Times New Roman"/>
          <w:bCs/>
          <w:sz w:val="24"/>
          <w:szCs w:val="24"/>
        </w:rPr>
        <w:fldChar w:fldCharType="separate"/>
      </w:r>
      <w:r w:rsidRPr="0005118D">
        <w:rPr>
          <w:rFonts w:ascii="Times New Roman" w:hAnsi="Times New Roman" w:cs="Times New Roman"/>
          <w:bCs/>
          <w:sz w:val="24"/>
          <w:szCs w:val="24"/>
        </w:rPr>
        <w:t>(Mulazim, Bilal et al. 2025)</w:t>
      </w:r>
      <w:r w:rsidRPr="0005118D">
        <w:rPr>
          <w:rFonts w:ascii="Times New Roman" w:hAnsi="Times New Roman" w:cs="Times New Roman"/>
          <w:bCs/>
          <w:sz w:val="24"/>
          <w:szCs w:val="24"/>
        </w:rPr>
        <w:fldChar w:fldCharType="end"/>
      </w:r>
      <w:r w:rsidRPr="0005118D">
        <w:rPr>
          <w:rFonts w:ascii="Times New Roman" w:hAnsi="Times New Roman" w:cs="Times New Roman"/>
          <w:bCs/>
          <w:sz w:val="24"/>
          <w:szCs w:val="24"/>
        </w:rPr>
        <w:t>.</w:t>
      </w:r>
      <w:bookmarkStart w:id="34" w:name="_Toc7706"/>
      <w:bookmarkStart w:id="35" w:name="_Toc20429"/>
      <w:bookmarkEnd w:id="32"/>
      <w:bookmarkEnd w:id="33"/>
    </w:p>
    <w:p w14:paraId="669A17D2" w14:textId="77777777" w:rsidR="0005118D" w:rsidRDefault="0005118D" w:rsidP="0005118D">
      <w:pPr>
        <w:jc w:val="both"/>
        <w:rPr>
          <w:rFonts w:ascii="Times New Roman" w:hAnsi="Times New Roman" w:cs="Times New Roman"/>
          <w:b/>
          <w:bCs/>
          <w:sz w:val="24"/>
          <w:szCs w:val="24"/>
        </w:rPr>
      </w:pPr>
    </w:p>
    <w:p w14:paraId="6E006DF9" w14:textId="1406DEB2"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CONCLUSION</w:t>
      </w:r>
      <w:bookmarkEnd w:id="34"/>
      <w:bookmarkEnd w:id="35"/>
    </w:p>
    <w:p w14:paraId="2187E730"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The present study evaluated the effectiveness of a structured oral hygiene intervention in preventing ventilator-associated pneumonia (VAP) among mechanically ventilated patients in the Intensive Care Unit (ICU) at intensive care unit, Bahawalpur. The findings revealed a marked reduction in VAP incidence following the intervention, from 63.6% control group to 27.3% case, demonstrating the significant impact of routine nursing care, including toothbrushing, secretion suctioning, lip care, and antiseptic application, on patients’ respiratory outcomes.</w:t>
      </w:r>
    </w:p>
    <w:p w14:paraId="0D119157" w14:textId="77777777" w:rsidR="0005118D" w:rsidRDefault="0005118D" w:rsidP="0005118D">
      <w:pPr>
        <w:jc w:val="both"/>
        <w:rPr>
          <w:rFonts w:ascii="Times New Roman" w:hAnsi="Times New Roman" w:cs="Times New Roman"/>
          <w:b/>
          <w:bCs/>
          <w:sz w:val="24"/>
          <w:szCs w:val="24"/>
        </w:rPr>
      </w:pPr>
      <w:bookmarkStart w:id="36" w:name="_Toc11133"/>
    </w:p>
    <w:p w14:paraId="75BCEE7B" w14:textId="4090C63B"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Limitations</w:t>
      </w:r>
      <w:bookmarkEnd w:id="36"/>
    </w:p>
    <w:p w14:paraId="6C15E0EA" w14:textId="77777777" w:rsidR="0005118D" w:rsidRPr="0005118D" w:rsidRDefault="0005118D" w:rsidP="0005118D">
      <w:pPr>
        <w:numPr>
          <w:ilvl w:val="0"/>
          <w:numId w:val="3"/>
        </w:numPr>
        <w:jc w:val="both"/>
        <w:rPr>
          <w:rFonts w:ascii="Times New Roman" w:hAnsi="Times New Roman" w:cs="Times New Roman"/>
          <w:bCs/>
          <w:sz w:val="24"/>
          <w:szCs w:val="24"/>
        </w:rPr>
      </w:pPr>
      <w:r w:rsidRPr="0005118D">
        <w:rPr>
          <w:rFonts w:ascii="Times New Roman" w:hAnsi="Times New Roman" w:cs="Times New Roman"/>
          <w:bCs/>
          <w:sz w:val="24"/>
          <w:szCs w:val="24"/>
        </w:rPr>
        <w:t xml:space="preserve">The study was limited to short term outcomes (six days), and </w:t>
      </w:r>
      <w:proofErr w:type="gramStart"/>
      <w:r w:rsidRPr="0005118D">
        <w:rPr>
          <w:rFonts w:ascii="Times New Roman" w:hAnsi="Times New Roman" w:cs="Times New Roman"/>
          <w:bCs/>
          <w:sz w:val="24"/>
          <w:szCs w:val="24"/>
        </w:rPr>
        <w:t>long term</w:t>
      </w:r>
      <w:proofErr w:type="gramEnd"/>
      <w:r w:rsidRPr="0005118D">
        <w:rPr>
          <w:rFonts w:ascii="Times New Roman" w:hAnsi="Times New Roman" w:cs="Times New Roman"/>
          <w:bCs/>
          <w:sz w:val="24"/>
          <w:szCs w:val="24"/>
        </w:rPr>
        <w:t xml:space="preserve"> effects on VAP recurrence or patient mortality were not assessed.</w:t>
      </w:r>
    </w:p>
    <w:p w14:paraId="1E625125" w14:textId="77777777" w:rsidR="0005118D" w:rsidRPr="0005118D" w:rsidRDefault="0005118D" w:rsidP="0005118D">
      <w:pPr>
        <w:numPr>
          <w:ilvl w:val="0"/>
          <w:numId w:val="3"/>
        </w:numPr>
        <w:jc w:val="both"/>
        <w:rPr>
          <w:rFonts w:ascii="Times New Roman" w:hAnsi="Times New Roman" w:cs="Times New Roman"/>
          <w:bCs/>
          <w:sz w:val="24"/>
          <w:szCs w:val="24"/>
        </w:rPr>
      </w:pPr>
      <w:r w:rsidRPr="0005118D">
        <w:rPr>
          <w:rFonts w:ascii="Times New Roman" w:hAnsi="Times New Roman" w:cs="Times New Roman"/>
          <w:bCs/>
          <w:sz w:val="24"/>
          <w:szCs w:val="24"/>
        </w:rPr>
        <w:t>Variability in baseline patient conditions and co-morbidities may have influenced the response to the oral care intervention.</w:t>
      </w:r>
    </w:p>
    <w:p w14:paraId="2F52592C" w14:textId="77777777" w:rsidR="0005118D" w:rsidRDefault="0005118D" w:rsidP="0005118D">
      <w:pPr>
        <w:jc w:val="both"/>
        <w:rPr>
          <w:rFonts w:ascii="Times New Roman" w:hAnsi="Times New Roman" w:cs="Times New Roman"/>
          <w:b/>
          <w:bCs/>
          <w:sz w:val="24"/>
          <w:szCs w:val="24"/>
        </w:rPr>
      </w:pPr>
      <w:bookmarkStart w:id="37" w:name="_Toc25456"/>
    </w:p>
    <w:p w14:paraId="3CCFADB7" w14:textId="76016A27"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Recommendations</w:t>
      </w:r>
      <w:bookmarkEnd w:id="37"/>
    </w:p>
    <w:p w14:paraId="064824F1" w14:textId="77777777" w:rsidR="0005118D" w:rsidRPr="0005118D" w:rsidRDefault="0005118D" w:rsidP="0005118D">
      <w:pPr>
        <w:numPr>
          <w:ilvl w:val="0"/>
          <w:numId w:val="28"/>
        </w:numPr>
        <w:tabs>
          <w:tab w:val="clear" w:pos="425"/>
        </w:tabs>
        <w:jc w:val="both"/>
        <w:rPr>
          <w:rFonts w:ascii="Times New Roman" w:hAnsi="Times New Roman" w:cs="Times New Roman"/>
          <w:bCs/>
          <w:sz w:val="24"/>
          <w:szCs w:val="24"/>
        </w:rPr>
      </w:pPr>
      <w:r w:rsidRPr="0005118D">
        <w:rPr>
          <w:rFonts w:ascii="Times New Roman" w:hAnsi="Times New Roman" w:cs="Times New Roman"/>
          <w:b/>
          <w:bCs/>
          <w:sz w:val="24"/>
          <w:szCs w:val="24"/>
        </w:rPr>
        <w:t>Implementation in ICUs:</w:t>
      </w:r>
      <w:r w:rsidRPr="0005118D">
        <w:rPr>
          <w:rFonts w:ascii="Times New Roman" w:hAnsi="Times New Roman" w:cs="Times New Roman"/>
          <w:bCs/>
          <w:sz w:val="24"/>
          <w:szCs w:val="24"/>
        </w:rPr>
        <w:t xml:space="preserve"> Standardized oral hygiene protocols should be adopted across ICUs to reduce </w:t>
      </w:r>
      <w:r w:rsidRPr="0005118D">
        <w:rPr>
          <w:rFonts w:ascii="Times New Roman" w:hAnsi="Times New Roman" w:cs="Times New Roman"/>
          <w:bCs/>
          <w:sz w:val="24"/>
          <w:szCs w:val="24"/>
        </w:rPr>
        <w:lastRenderedPageBreak/>
        <w:t>VAP incidence and enhance patient outcomes.</w:t>
      </w:r>
    </w:p>
    <w:p w14:paraId="18BDF4C4" w14:textId="77777777" w:rsidR="0005118D" w:rsidRPr="0005118D" w:rsidRDefault="0005118D" w:rsidP="0005118D">
      <w:pPr>
        <w:numPr>
          <w:ilvl w:val="0"/>
          <w:numId w:val="28"/>
        </w:numPr>
        <w:tabs>
          <w:tab w:val="clear" w:pos="425"/>
        </w:tabs>
        <w:jc w:val="both"/>
        <w:rPr>
          <w:rFonts w:ascii="Times New Roman" w:hAnsi="Times New Roman" w:cs="Times New Roman"/>
          <w:bCs/>
          <w:sz w:val="24"/>
          <w:szCs w:val="24"/>
        </w:rPr>
      </w:pPr>
      <w:r w:rsidRPr="0005118D">
        <w:rPr>
          <w:rFonts w:ascii="Times New Roman" w:hAnsi="Times New Roman" w:cs="Times New Roman"/>
          <w:b/>
          <w:bCs/>
          <w:sz w:val="24"/>
          <w:szCs w:val="24"/>
        </w:rPr>
        <w:t>Nursing Training:</w:t>
      </w:r>
      <w:r w:rsidRPr="0005118D">
        <w:rPr>
          <w:rFonts w:ascii="Times New Roman" w:hAnsi="Times New Roman" w:cs="Times New Roman"/>
          <w:bCs/>
          <w:sz w:val="24"/>
          <w:szCs w:val="24"/>
        </w:rPr>
        <w:t xml:space="preserve"> Continuous professional development programs should be provided to ICU nurses to strengthen knowledge and skills in oral care and infection prevention.</w:t>
      </w:r>
    </w:p>
    <w:p w14:paraId="4A63B40E" w14:textId="77777777" w:rsidR="0005118D" w:rsidRPr="0005118D" w:rsidRDefault="0005118D" w:rsidP="0005118D">
      <w:pPr>
        <w:numPr>
          <w:ilvl w:val="0"/>
          <w:numId w:val="28"/>
        </w:numPr>
        <w:tabs>
          <w:tab w:val="clear" w:pos="425"/>
        </w:tabs>
        <w:jc w:val="both"/>
        <w:rPr>
          <w:rFonts w:ascii="Times New Roman" w:hAnsi="Times New Roman" w:cs="Times New Roman"/>
          <w:bCs/>
          <w:sz w:val="24"/>
          <w:szCs w:val="24"/>
        </w:rPr>
      </w:pPr>
      <w:r w:rsidRPr="0005118D">
        <w:rPr>
          <w:rFonts w:ascii="Times New Roman" w:hAnsi="Times New Roman" w:cs="Times New Roman"/>
          <w:b/>
          <w:bCs/>
          <w:sz w:val="24"/>
          <w:szCs w:val="24"/>
        </w:rPr>
        <w:t>Monitoring and Evaluation:</w:t>
      </w:r>
      <w:r w:rsidRPr="0005118D">
        <w:rPr>
          <w:rFonts w:ascii="Times New Roman" w:hAnsi="Times New Roman" w:cs="Times New Roman"/>
          <w:bCs/>
          <w:sz w:val="24"/>
          <w:szCs w:val="24"/>
        </w:rPr>
        <w:t xml:space="preserve"> Regular assessment of oral care practices and patient outcomes should be conducted to ensure adherence to guidelines and effectiveness of interventions.</w:t>
      </w:r>
    </w:p>
    <w:p w14:paraId="6DFF6768" w14:textId="77777777" w:rsidR="0005118D" w:rsidRPr="0005118D" w:rsidRDefault="0005118D" w:rsidP="0005118D">
      <w:pPr>
        <w:numPr>
          <w:ilvl w:val="0"/>
          <w:numId w:val="28"/>
        </w:numPr>
        <w:tabs>
          <w:tab w:val="clear" w:pos="425"/>
        </w:tabs>
        <w:jc w:val="both"/>
        <w:rPr>
          <w:rFonts w:ascii="Times New Roman" w:hAnsi="Times New Roman" w:cs="Times New Roman"/>
          <w:bCs/>
          <w:sz w:val="24"/>
          <w:szCs w:val="24"/>
        </w:rPr>
      </w:pPr>
      <w:r w:rsidRPr="0005118D">
        <w:rPr>
          <w:rFonts w:ascii="Times New Roman" w:hAnsi="Times New Roman" w:cs="Times New Roman"/>
          <w:b/>
          <w:bCs/>
          <w:sz w:val="24"/>
          <w:szCs w:val="24"/>
        </w:rPr>
        <w:t>Resource Optimization:</w:t>
      </w:r>
      <w:r w:rsidRPr="0005118D">
        <w:rPr>
          <w:rFonts w:ascii="Times New Roman" w:hAnsi="Times New Roman" w:cs="Times New Roman"/>
          <w:bCs/>
          <w:sz w:val="24"/>
          <w:szCs w:val="24"/>
        </w:rPr>
        <w:t xml:space="preserve"> Hospitals should ensure availability of necessary oral care supplies, including toothbrushes, antiseptic solutions, and suction devices, to facilitate routine implementation.</w:t>
      </w:r>
    </w:p>
    <w:p w14:paraId="7A2EF751" w14:textId="77777777" w:rsidR="0005118D" w:rsidRPr="0005118D" w:rsidRDefault="0005118D" w:rsidP="0005118D">
      <w:pPr>
        <w:numPr>
          <w:ilvl w:val="0"/>
          <w:numId w:val="28"/>
        </w:numPr>
        <w:tabs>
          <w:tab w:val="clear" w:pos="425"/>
        </w:tabs>
        <w:jc w:val="both"/>
        <w:rPr>
          <w:rFonts w:ascii="Times New Roman" w:hAnsi="Times New Roman" w:cs="Times New Roman"/>
          <w:bCs/>
          <w:sz w:val="24"/>
          <w:szCs w:val="24"/>
        </w:rPr>
      </w:pPr>
      <w:r w:rsidRPr="0005118D">
        <w:rPr>
          <w:rFonts w:ascii="Times New Roman" w:hAnsi="Times New Roman" w:cs="Times New Roman"/>
          <w:b/>
          <w:bCs/>
          <w:sz w:val="24"/>
          <w:szCs w:val="24"/>
        </w:rPr>
        <w:t>Future Research:</w:t>
      </w:r>
      <w:r w:rsidRPr="0005118D">
        <w:rPr>
          <w:rFonts w:ascii="Times New Roman" w:hAnsi="Times New Roman" w:cs="Times New Roman"/>
          <w:bCs/>
          <w:sz w:val="24"/>
          <w:szCs w:val="24"/>
        </w:rPr>
        <w:t xml:space="preserve"> Larger multi-center studies are recommended to assess long-term impact, cost-effectiveness, and potential integration of oral care interventions with other VAP prevention strategies, such as ventilator care bundles.</w:t>
      </w:r>
    </w:p>
    <w:p w14:paraId="2DB2E616" w14:textId="77777777" w:rsidR="0005118D" w:rsidRDefault="0005118D" w:rsidP="0005118D">
      <w:pPr>
        <w:jc w:val="both"/>
        <w:rPr>
          <w:rFonts w:ascii="Times New Roman" w:hAnsi="Times New Roman" w:cs="Times New Roman"/>
          <w:b/>
          <w:bCs/>
          <w:sz w:val="24"/>
          <w:szCs w:val="24"/>
        </w:rPr>
      </w:pPr>
      <w:bookmarkStart w:id="38" w:name="_Toc9858"/>
    </w:p>
    <w:p w14:paraId="76D2C60C" w14:textId="0533C255" w:rsidR="0005118D" w:rsidRPr="0005118D" w:rsidRDefault="0005118D" w:rsidP="0005118D">
      <w:pPr>
        <w:jc w:val="both"/>
        <w:rPr>
          <w:rFonts w:ascii="Times New Roman" w:hAnsi="Times New Roman" w:cs="Times New Roman"/>
          <w:b/>
          <w:bCs/>
          <w:sz w:val="24"/>
          <w:szCs w:val="24"/>
        </w:rPr>
      </w:pPr>
      <w:r w:rsidRPr="0005118D">
        <w:rPr>
          <w:rFonts w:ascii="Times New Roman" w:hAnsi="Times New Roman" w:cs="Times New Roman"/>
          <w:b/>
          <w:bCs/>
          <w:sz w:val="24"/>
          <w:szCs w:val="24"/>
        </w:rPr>
        <w:t>Overall Implication</w:t>
      </w:r>
      <w:bookmarkEnd w:id="38"/>
    </w:p>
    <w:p w14:paraId="0F04C2A8" w14:textId="77777777" w:rsidR="0005118D" w:rsidRPr="0005118D" w:rsidRDefault="0005118D" w:rsidP="0005118D">
      <w:pPr>
        <w:jc w:val="both"/>
        <w:rPr>
          <w:rFonts w:ascii="Times New Roman" w:hAnsi="Times New Roman" w:cs="Times New Roman"/>
          <w:bCs/>
          <w:sz w:val="24"/>
          <w:szCs w:val="24"/>
        </w:rPr>
      </w:pPr>
      <w:r w:rsidRPr="0005118D">
        <w:rPr>
          <w:rFonts w:ascii="Times New Roman" w:hAnsi="Times New Roman" w:cs="Times New Roman"/>
          <w:bCs/>
          <w:sz w:val="24"/>
          <w:szCs w:val="24"/>
        </w:rPr>
        <w:t>This study provides robust evidence that structured oral hygiene interventions are highly effective in reducing the incidence of ventilator-associated pneumonia in ICU patients. By emphasizing nurse-delivered preventive care, early oral assessment, and standardized protocols, hospitals can enhance patient safety, reduce morbidity, and improve clinical outcomes in critically ill populations. The findings offer practical guidance for ICU nursing practice, infection control policy, and future research aimed at minimizing VAP-related complications in resource-constrained healthcare settings.</w:t>
      </w:r>
    </w:p>
    <w:p w14:paraId="7DB1AEB3" w14:textId="77777777" w:rsidR="00F70F57" w:rsidRPr="004656A2" w:rsidRDefault="00F70F57" w:rsidP="004656A2">
      <w:pPr>
        <w:jc w:val="both"/>
        <w:rPr>
          <w:rFonts w:ascii="Times New Roman" w:eastAsia="Times New Roman" w:hAnsi="Times New Roman" w:cs="Times New Roman"/>
          <w:sz w:val="24"/>
          <w:szCs w:val="24"/>
        </w:rPr>
      </w:pPr>
    </w:p>
    <w:bookmarkStart w:id="39" w:name="_Toc212758081" w:displacedByCustomXml="next"/>
    <w:sdt>
      <w:sdtPr>
        <w:rPr>
          <w:rFonts w:ascii="Times New Roman" w:eastAsiaTheme="minorHAnsi" w:hAnsi="Times New Roman" w:cs="Times New Roman"/>
          <w:sz w:val="24"/>
          <w:szCs w:val="24"/>
        </w:rPr>
        <w:id w:val="-117224806"/>
      </w:sdtPr>
      <w:sdtEndPr>
        <w:rPr>
          <w:rFonts w:eastAsia="Bookman Old Style"/>
        </w:rPr>
      </w:sdtEndPr>
      <w:sdtContent>
        <w:p w14:paraId="24881465" w14:textId="77777777" w:rsidR="00F70F57" w:rsidRPr="004656A2" w:rsidRDefault="00F70F57" w:rsidP="00C9647E">
          <w:pPr>
            <w:pStyle w:val="Heading1"/>
            <w:spacing w:before="0"/>
            <w:ind w:left="0"/>
            <w:jc w:val="both"/>
            <w:rPr>
              <w:rFonts w:ascii="Times New Roman" w:eastAsiaTheme="minorHAnsi" w:hAnsi="Times New Roman" w:cs="Times New Roman"/>
              <w:sz w:val="24"/>
              <w:szCs w:val="24"/>
            </w:rPr>
          </w:pPr>
          <w:r w:rsidRPr="004656A2">
            <w:rPr>
              <w:rFonts w:ascii="Times New Roman" w:hAnsi="Times New Roman" w:cs="Times New Roman"/>
              <w:b/>
              <w:sz w:val="24"/>
              <w:szCs w:val="24"/>
            </w:rPr>
            <w:t>References</w:t>
          </w:r>
        </w:p>
        <w:bookmarkEnd w:id="39" w:displacedByCustomXml="next"/>
      </w:sdtContent>
    </w:sdt>
    <w:p w14:paraId="53A8A569" w14:textId="77777777" w:rsidR="00C9647E" w:rsidRPr="00C9647E" w:rsidRDefault="00F70F57" w:rsidP="00C9647E">
      <w:pPr>
        <w:pStyle w:val="EndNoteBibliography"/>
        <w:spacing w:after="0"/>
        <w:ind w:left="720" w:hanging="720"/>
        <w:rPr>
          <w:rFonts w:ascii="Times New Roman" w:hAnsi="Times New Roman" w:cs="Times New Roman"/>
          <w:noProof/>
          <w:sz w:val="24"/>
          <w:szCs w:val="24"/>
        </w:rPr>
      </w:pPr>
      <w:r w:rsidRPr="004656A2">
        <w:rPr>
          <w:rFonts w:ascii="Times New Roman" w:hAnsi="Times New Roman" w:cs="Times New Roman"/>
          <w:sz w:val="24"/>
          <w:szCs w:val="24"/>
        </w:rPr>
        <w:fldChar w:fldCharType="begin"/>
      </w:r>
      <w:r w:rsidRPr="004656A2">
        <w:rPr>
          <w:rFonts w:ascii="Times New Roman" w:hAnsi="Times New Roman" w:cs="Times New Roman"/>
          <w:sz w:val="24"/>
          <w:szCs w:val="24"/>
        </w:rPr>
        <w:instrText xml:space="preserve"> ADDIN EN.REFLIST </w:instrText>
      </w:r>
      <w:r w:rsidRPr="004656A2">
        <w:rPr>
          <w:rFonts w:ascii="Times New Roman" w:hAnsi="Times New Roman" w:cs="Times New Roman"/>
          <w:sz w:val="24"/>
          <w:szCs w:val="24"/>
        </w:rPr>
        <w:fldChar w:fldCharType="separate"/>
      </w:r>
      <w:r w:rsidR="00C9647E" w:rsidRPr="00C9647E">
        <w:rPr>
          <w:rFonts w:ascii="Times New Roman" w:hAnsi="Times New Roman" w:cs="Times New Roman"/>
          <w:noProof/>
          <w:sz w:val="24"/>
          <w:szCs w:val="24"/>
        </w:rPr>
        <w:fldChar w:fldCharType="begin"/>
      </w:r>
      <w:r w:rsidR="00C9647E" w:rsidRPr="00C9647E">
        <w:rPr>
          <w:rFonts w:ascii="Times New Roman" w:hAnsi="Times New Roman" w:cs="Times New Roman"/>
          <w:noProof/>
          <w:sz w:val="24"/>
          <w:szCs w:val="24"/>
        </w:rPr>
        <w:instrText xml:space="preserve"> ADDIN EN.REFLIST </w:instrText>
      </w:r>
      <w:r w:rsidR="00C9647E" w:rsidRPr="00C9647E">
        <w:rPr>
          <w:rFonts w:ascii="Times New Roman" w:hAnsi="Times New Roman" w:cs="Times New Roman"/>
          <w:noProof/>
          <w:sz w:val="24"/>
          <w:szCs w:val="24"/>
        </w:rPr>
        <w:fldChar w:fldCharType="separate"/>
      </w:r>
      <w:r w:rsidR="00C9647E" w:rsidRPr="00C9647E">
        <w:rPr>
          <w:rFonts w:ascii="Times New Roman" w:hAnsi="Times New Roman" w:cs="Times New Roman"/>
          <w:noProof/>
          <w:sz w:val="24"/>
          <w:szCs w:val="24"/>
        </w:rPr>
        <w:t xml:space="preserve">Alhazzani, W., et al. (2013). "Toothbrushing for critically ill mechanically ventilated patients: a systematic review and meta-analysis of randomized trials evaluating ventilator-associated pneumonia." </w:t>
      </w:r>
      <w:r w:rsidR="00C9647E" w:rsidRPr="00C9647E">
        <w:rPr>
          <w:rFonts w:ascii="Times New Roman" w:hAnsi="Times New Roman" w:cs="Times New Roman"/>
          <w:noProof/>
          <w:sz w:val="24"/>
          <w:szCs w:val="24"/>
          <w:u w:val="single"/>
        </w:rPr>
        <w:t>Critical care medicine</w:t>
      </w:r>
      <w:r w:rsidR="00C9647E" w:rsidRPr="00C9647E">
        <w:rPr>
          <w:rFonts w:ascii="Times New Roman" w:hAnsi="Times New Roman" w:cs="Times New Roman"/>
          <w:b/>
          <w:noProof/>
          <w:sz w:val="24"/>
          <w:szCs w:val="24"/>
        </w:rPr>
        <w:t>41</w:t>
      </w:r>
      <w:r w:rsidR="00C9647E" w:rsidRPr="00C9647E">
        <w:rPr>
          <w:rFonts w:ascii="Times New Roman" w:hAnsi="Times New Roman" w:cs="Times New Roman"/>
          <w:noProof/>
          <w:sz w:val="24"/>
          <w:szCs w:val="24"/>
        </w:rPr>
        <w:t>(2): 646-655.</w:t>
      </w:r>
    </w:p>
    <w:p w14:paraId="07DE8B55"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7F93FBB7"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Celik Aysegul, R., et al. (2020). "Evidence-based practices for preventing ventilator-associated pneumonia in intensive care nursing: knowledge and practice." </w:t>
      </w:r>
      <w:r w:rsidRPr="00C9647E">
        <w:rPr>
          <w:rFonts w:ascii="Times New Roman" w:hAnsi="Times New Roman" w:cs="Times New Roman"/>
          <w:noProof/>
          <w:sz w:val="24"/>
          <w:szCs w:val="24"/>
          <w:u w:val="single"/>
        </w:rPr>
        <w:t>International Journal of Caring Sciences</w:t>
      </w:r>
      <w:r w:rsidRPr="00C9647E">
        <w:rPr>
          <w:rFonts w:ascii="Times New Roman" w:hAnsi="Times New Roman" w:cs="Times New Roman"/>
          <w:b/>
          <w:noProof/>
          <w:sz w:val="24"/>
          <w:szCs w:val="24"/>
        </w:rPr>
        <w:t>13</w:t>
      </w:r>
      <w:r w:rsidRPr="00C9647E">
        <w:rPr>
          <w:rFonts w:ascii="Times New Roman" w:hAnsi="Times New Roman" w:cs="Times New Roman"/>
          <w:noProof/>
          <w:sz w:val="24"/>
          <w:szCs w:val="24"/>
        </w:rPr>
        <w:t>(3): 1794-1798.</w:t>
      </w:r>
    </w:p>
    <w:p w14:paraId="6B2C9264"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7F8EA5C"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Chen, S.-J., et al. (2019). "Clinical significance of human cytomegalovirus viruria and the effect of antiviral therapy in hematopoietic stem cell transplant recipients." </w:t>
      </w:r>
      <w:r w:rsidRPr="00C9647E">
        <w:rPr>
          <w:rFonts w:ascii="Times New Roman" w:hAnsi="Times New Roman" w:cs="Times New Roman"/>
          <w:noProof/>
          <w:sz w:val="24"/>
          <w:szCs w:val="24"/>
          <w:u w:val="single"/>
        </w:rPr>
        <w:t>Journal of Microbiology, Immunology and Infection</w:t>
      </w:r>
      <w:r w:rsidRPr="00C9647E">
        <w:rPr>
          <w:rFonts w:ascii="Times New Roman" w:hAnsi="Times New Roman" w:cs="Times New Roman"/>
          <w:b/>
          <w:noProof/>
          <w:sz w:val="24"/>
          <w:szCs w:val="24"/>
        </w:rPr>
        <w:t>52</w:t>
      </w:r>
      <w:r w:rsidRPr="00C9647E">
        <w:rPr>
          <w:rFonts w:ascii="Times New Roman" w:hAnsi="Times New Roman" w:cs="Times New Roman"/>
          <w:noProof/>
          <w:sz w:val="24"/>
          <w:szCs w:val="24"/>
        </w:rPr>
        <w:t>(3): 402-408.</w:t>
      </w:r>
    </w:p>
    <w:p w14:paraId="134391C8"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23C6EA3"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Control, C. f. D. and Prevention (2004). "Guidelines for preventing health-care-associated pneumonia, 2003: recommendations of CDC and the Healthcare Infection Control Practices Advisory Committee." </w:t>
      </w:r>
      <w:r w:rsidRPr="00C9647E">
        <w:rPr>
          <w:rFonts w:ascii="Times New Roman" w:hAnsi="Times New Roman" w:cs="Times New Roman"/>
          <w:noProof/>
          <w:sz w:val="24"/>
          <w:szCs w:val="24"/>
          <w:u w:val="single"/>
        </w:rPr>
        <w:t>MMWR</w:t>
      </w:r>
      <w:r w:rsidRPr="00C9647E">
        <w:rPr>
          <w:rFonts w:ascii="Times New Roman" w:hAnsi="Times New Roman" w:cs="Times New Roman"/>
          <w:b/>
          <w:noProof/>
          <w:sz w:val="24"/>
          <w:szCs w:val="24"/>
        </w:rPr>
        <w:t>53</w:t>
      </w:r>
      <w:r w:rsidRPr="00C9647E">
        <w:rPr>
          <w:rFonts w:ascii="Times New Roman" w:hAnsi="Times New Roman" w:cs="Times New Roman"/>
          <w:noProof/>
          <w:sz w:val="24"/>
          <w:szCs w:val="24"/>
        </w:rPr>
        <w:t>(3): 8-9.</w:t>
      </w:r>
    </w:p>
    <w:p w14:paraId="036D39E9"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10535931"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Coppadoro, A., et al. (2012). "Novel preventive strategies for ventilator-associated pneumonia." </w:t>
      </w:r>
      <w:r w:rsidRPr="00C9647E">
        <w:rPr>
          <w:rFonts w:ascii="Times New Roman" w:hAnsi="Times New Roman" w:cs="Times New Roman"/>
          <w:noProof/>
          <w:sz w:val="24"/>
          <w:szCs w:val="24"/>
          <w:u w:val="single"/>
        </w:rPr>
        <w:t>Critical Care</w:t>
      </w:r>
      <w:r w:rsidRPr="00C9647E">
        <w:rPr>
          <w:rFonts w:ascii="Times New Roman" w:hAnsi="Times New Roman" w:cs="Times New Roman"/>
          <w:b/>
          <w:noProof/>
          <w:sz w:val="24"/>
          <w:szCs w:val="24"/>
        </w:rPr>
        <w:t>16</w:t>
      </w:r>
      <w:r w:rsidRPr="00C9647E">
        <w:rPr>
          <w:rFonts w:ascii="Times New Roman" w:hAnsi="Times New Roman" w:cs="Times New Roman"/>
          <w:noProof/>
          <w:sz w:val="24"/>
          <w:szCs w:val="24"/>
        </w:rPr>
        <w:t>(2): 210.</w:t>
      </w:r>
    </w:p>
    <w:p w14:paraId="68917375"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F07345C"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Cressoni, M., et al. (2015). "Lung inhomogeneities and time course of ventilator-induced mechanical injuries." </w:t>
      </w:r>
      <w:r w:rsidRPr="00C9647E">
        <w:rPr>
          <w:rFonts w:ascii="Times New Roman" w:hAnsi="Times New Roman" w:cs="Times New Roman"/>
          <w:noProof/>
          <w:sz w:val="24"/>
          <w:szCs w:val="24"/>
          <w:u w:val="single"/>
        </w:rPr>
        <w:t>Anesthesiology</w:t>
      </w:r>
      <w:r w:rsidRPr="00C9647E">
        <w:rPr>
          <w:rFonts w:ascii="Times New Roman" w:hAnsi="Times New Roman" w:cs="Times New Roman"/>
          <w:b/>
          <w:noProof/>
          <w:sz w:val="24"/>
          <w:szCs w:val="24"/>
        </w:rPr>
        <w:t>123</w:t>
      </w:r>
      <w:r w:rsidRPr="00C9647E">
        <w:rPr>
          <w:rFonts w:ascii="Times New Roman" w:hAnsi="Times New Roman" w:cs="Times New Roman"/>
          <w:noProof/>
          <w:sz w:val="24"/>
          <w:szCs w:val="24"/>
        </w:rPr>
        <w:t>(3): 618-627.</w:t>
      </w:r>
    </w:p>
    <w:p w14:paraId="427073A1"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6F10C8E4"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Enge, S., et al. (2020). "Comparison of hair cortisol concentrations between self-and professionally-collected hair samples and the role of five-factor personality traits as potential moderators." </w:t>
      </w:r>
      <w:r w:rsidRPr="00C9647E">
        <w:rPr>
          <w:rFonts w:ascii="Times New Roman" w:hAnsi="Times New Roman" w:cs="Times New Roman"/>
          <w:noProof/>
          <w:sz w:val="24"/>
          <w:szCs w:val="24"/>
          <w:u w:val="single"/>
        </w:rPr>
        <w:t>Psychoneuroendocrinology</w:t>
      </w:r>
      <w:r w:rsidRPr="00C9647E">
        <w:rPr>
          <w:rFonts w:ascii="Times New Roman" w:hAnsi="Times New Roman" w:cs="Times New Roman"/>
          <w:b/>
          <w:noProof/>
          <w:sz w:val="24"/>
          <w:szCs w:val="24"/>
        </w:rPr>
        <w:t>122</w:t>
      </w:r>
      <w:r w:rsidRPr="00C9647E">
        <w:rPr>
          <w:rFonts w:ascii="Times New Roman" w:hAnsi="Times New Roman" w:cs="Times New Roman"/>
          <w:noProof/>
          <w:sz w:val="24"/>
          <w:szCs w:val="24"/>
        </w:rPr>
        <w:t>: 104859.</w:t>
      </w:r>
    </w:p>
    <w:p w14:paraId="71F7D81F"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4C2B22DC"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lastRenderedPageBreak/>
        <w:t xml:space="preserve">Fathy, A., et al. (2013). "Analysis of ventilator associated pneumonia (VAP) studies in Egyptian University Hospitals." </w:t>
      </w:r>
      <w:r w:rsidRPr="00C9647E">
        <w:rPr>
          <w:rFonts w:ascii="Times New Roman" w:hAnsi="Times New Roman" w:cs="Times New Roman"/>
          <w:noProof/>
          <w:sz w:val="24"/>
          <w:szCs w:val="24"/>
          <w:u w:val="single"/>
        </w:rPr>
        <w:t>Egyptian Journal of Chest Diseases and Tuberculosis</w:t>
      </w:r>
      <w:r w:rsidRPr="00C9647E">
        <w:rPr>
          <w:rFonts w:ascii="Times New Roman" w:hAnsi="Times New Roman" w:cs="Times New Roman"/>
          <w:b/>
          <w:noProof/>
          <w:sz w:val="24"/>
          <w:szCs w:val="24"/>
        </w:rPr>
        <w:t>62</w:t>
      </w:r>
      <w:r w:rsidRPr="00C9647E">
        <w:rPr>
          <w:rFonts w:ascii="Times New Roman" w:hAnsi="Times New Roman" w:cs="Times New Roman"/>
          <w:noProof/>
          <w:sz w:val="24"/>
          <w:szCs w:val="24"/>
        </w:rPr>
        <w:t>(1): 17-25.</w:t>
      </w:r>
    </w:p>
    <w:p w14:paraId="2DE526AB"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4B09324E"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Fu, C.-h., et al. (2025). "Delirium and Associated Risk Factors in Mechanically Ventilated Children: A Prospective Observational Study." </w:t>
      </w:r>
      <w:r w:rsidRPr="00C9647E">
        <w:rPr>
          <w:rFonts w:ascii="Times New Roman" w:hAnsi="Times New Roman" w:cs="Times New Roman"/>
          <w:noProof/>
          <w:sz w:val="24"/>
          <w:szCs w:val="24"/>
          <w:u w:val="single"/>
        </w:rPr>
        <w:t>Clinical Nursing Research</w:t>
      </w:r>
      <w:r w:rsidRPr="00C9647E">
        <w:rPr>
          <w:rFonts w:ascii="Times New Roman" w:hAnsi="Times New Roman" w:cs="Times New Roman"/>
          <w:b/>
          <w:noProof/>
          <w:sz w:val="24"/>
          <w:szCs w:val="24"/>
        </w:rPr>
        <w:t>34</w:t>
      </w:r>
      <w:r w:rsidRPr="00C9647E">
        <w:rPr>
          <w:rFonts w:ascii="Times New Roman" w:hAnsi="Times New Roman" w:cs="Times New Roman"/>
          <w:noProof/>
          <w:sz w:val="24"/>
          <w:szCs w:val="24"/>
        </w:rPr>
        <w:t>(8): 427-435.</w:t>
      </w:r>
    </w:p>
    <w:p w14:paraId="3ADBBF6A"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1B4B20A0"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Gauthier, T. P., et al. (2012). "Incidence and predictors of nephrotoxicity associated with intravenous colistin in overweight and obese patients." </w:t>
      </w:r>
      <w:r w:rsidRPr="00C9647E">
        <w:rPr>
          <w:rFonts w:ascii="Times New Roman" w:hAnsi="Times New Roman" w:cs="Times New Roman"/>
          <w:noProof/>
          <w:sz w:val="24"/>
          <w:szCs w:val="24"/>
          <w:u w:val="single"/>
        </w:rPr>
        <w:t>Antimicrobial agents and chemotherapy</w:t>
      </w:r>
      <w:r w:rsidRPr="00C9647E">
        <w:rPr>
          <w:rFonts w:ascii="Times New Roman" w:hAnsi="Times New Roman" w:cs="Times New Roman"/>
          <w:b/>
          <w:noProof/>
          <w:sz w:val="24"/>
          <w:szCs w:val="24"/>
        </w:rPr>
        <w:t>56</w:t>
      </w:r>
      <w:r w:rsidRPr="00C9647E">
        <w:rPr>
          <w:rFonts w:ascii="Times New Roman" w:hAnsi="Times New Roman" w:cs="Times New Roman"/>
          <w:noProof/>
          <w:sz w:val="24"/>
          <w:szCs w:val="24"/>
        </w:rPr>
        <w:t>(5): 2392-2396.</w:t>
      </w:r>
    </w:p>
    <w:p w14:paraId="2C2F48CF"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D08E6E5"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Howroyd, F., et al. (2025). "Ventilator-associated pneumonia: mechanisms, an appraisal of current therapies and the role for inhaled antibiotics in prevention and treatment." </w:t>
      </w:r>
      <w:r w:rsidRPr="00C9647E">
        <w:rPr>
          <w:rFonts w:ascii="Times New Roman" w:hAnsi="Times New Roman" w:cs="Times New Roman"/>
          <w:noProof/>
          <w:sz w:val="24"/>
          <w:szCs w:val="24"/>
          <w:u w:val="single"/>
        </w:rPr>
        <w:t>Respiratory Medicine</w:t>
      </w:r>
      <w:r w:rsidRPr="00C9647E">
        <w:rPr>
          <w:rFonts w:ascii="Times New Roman" w:hAnsi="Times New Roman" w:cs="Times New Roman"/>
          <w:noProof/>
          <w:sz w:val="24"/>
          <w:szCs w:val="24"/>
        </w:rPr>
        <w:t>: 108275.</w:t>
      </w:r>
    </w:p>
    <w:p w14:paraId="498EB3C9"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029402A3"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Kalanuria, A. A., et al. (2014). "Ventilator-associated pneumonia in the ICU." </w:t>
      </w:r>
      <w:r w:rsidRPr="00C9647E">
        <w:rPr>
          <w:rFonts w:ascii="Times New Roman" w:hAnsi="Times New Roman" w:cs="Times New Roman"/>
          <w:noProof/>
          <w:sz w:val="24"/>
          <w:szCs w:val="24"/>
          <w:u w:val="single"/>
        </w:rPr>
        <w:t>Critical care</w:t>
      </w:r>
      <w:r w:rsidRPr="00C9647E">
        <w:rPr>
          <w:rFonts w:ascii="Times New Roman" w:hAnsi="Times New Roman" w:cs="Times New Roman"/>
          <w:b/>
          <w:noProof/>
          <w:sz w:val="24"/>
          <w:szCs w:val="24"/>
        </w:rPr>
        <w:t>18</w:t>
      </w:r>
      <w:r w:rsidRPr="00C9647E">
        <w:rPr>
          <w:rFonts w:ascii="Times New Roman" w:hAnsi="Times New Roman" w:cs="Times New Roman"/>
          <w:noProof/>
          <w:sz w:val="24"/>
          <w:szCs w:val="24"/>
        </w:rPr>
        <w:t>(2): 208.</w:t>
      </w:r>
    </w:p>
    <w:p w14:paraId="0335C7D0"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413F2A91"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Lorente, L., et al. (2010). "New issues and controversies in the prevention of ventilator-associated pneumonia." </w:t>
      </w:r>
      <w:r w:rsidRPr="00C9647E">
        <w:rPr>
          <w:rFonts w:ascii="Times New Roman" w:hAnsi="Times New Roman" w:cs="Times New Roman"/>
          <w:noProof/>
          <w:sz w:val="24"/>
          <w:szCs w:val="24"/>
          <w:u w:val="single"/>
        </w:rPr>
        <w:t>American Journal of respiratory and critical care medicine</w:t>
      </w:r>
      <w:r w:rsidRPr="00C9647E">
        <w:rPr>
          <w:rFonts w:ascii="Times New Roman" w:hAnsi="Times New Roman" w:cs="Times New Roman"/>
          <w:b/>
          <w:noProof/>
          <w:sz w:val="24"/>
          <w:szCs w:val="24"/>
        </w:rPr>
        <w:t>182</w:t>
      </w:r>
      <w:r w:rsidRPr="00C9647E">
        <w:rPr>
          <w:rFonts w:ascii="Times New Roman" w:hAnsi="Times New Roman" w:cs="Times New Roman"/>
          <w:noProof/>
          <w:sz w:val="24"/>
          <w:szCs w:val="24"/>
        </w:rPr>
        <w:t>(7): 870-876.</w:t>
      </w:r>
    </w:p>
    <w:p w14:paraId="2F50C966"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494B2040"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Mandell, L. A. and M. S. Niederman (2019). "Aspiration pneumonia." </w:t>
      </w:r>
      <w:r w:rsidRPr="00C9647E">
        <w:rPr>
          <w:rFonts w:ascii="Times New Roman" w:hAnsi="Times New Roman" w:cs="Times New Roman"/>
          <w:noProof/>
          <w:sz w:val="24"/>
          <w:szCs w:val="24"/>
          <w:u w:val="single"/>
        </w:rPr>
        <w:t>New England Journal of Medicine</w:t>
      </w:r>
      <w:r w:rsidRPr="00C9647E">
        <w:rPr>
          <w:rFonts w:ascii="Times New Roman" w:hAnsi="Times New Roman" w:cs="Times New Roman"/>
          <w:b/>
          <w:noProof/>
          <w:sz w:val="24"/>
          <w:szCs w:val="24"/>
        </w:rPr>
        <w:t>380</w:t>
      </w:r>
      <w:r w:rsidRPr="00C9647E">
        <w:rPr>
          <w:rFonts w:ascii="Times New Roman" w:hAnsi="Times New Roman" w:cs="Times New Roman"/>
          <w:noProof/>
          <w:sz w:val="24"/>
          <w:szCs w:val="24"/>
        </w:rPr>
        <w:t>(7): 651-663.</w:t>
      </w:r>
    </w:p>
    <w:p w14:paraId="62211B0D"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B17BFD4"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Mulazim, S., et al. (2025). "Evaluation of Knowledge and Attitudes Toward Palliative Care Among Critical Care Nurses in Tertiary Hospitals of South Punjab, Pakistan." </w:t>
      </w:r>
      <w:r w:rsidRPr="00C9647E">
        <w:rPr>
          <w:rFonts w:ascii="Times New Roman" w:hAnsi="Times New Roman" w:cs="Times New Roman"/>
          <w:noProof/>
          <w:sz w:val="24"/>
          <w:szCs w:val="24"/>
          <w:u w:val="single"/>
        </w:rPr>
        <w:t>Journal of Health, Wellness and Community Research</w:t>
      </w:r>
      <w:r w:rsidRPr="00C9647E">
        <w:rPr>
          <w:rFonts w:ascii="Times New Roman" w:hAnsi="Times New Roman" w:cs="Times New Roman"/>
          <w:noProof/>
          <w:sz w:val="24"/>
          <w:szCs w:val="24"/>
        </w:rPr>
        <w:t>: e943-e943.</w:t>
      </w:r>
    </w:p>
    <w:p w14:paraId="4926F664"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76C73404"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Prakash, S. S., et al. (2017). "Care bundle approach to reduce device-associated infections in a tertiary care teaching hospital, South India." </w:t>
      </w:r>
      <w:r w:rsidRPr="00C9647E">
        <w:rPr>
          <w:rFonts w:ascii="Times New Roman" w:hAnsi="Times New Roman" w:cs="Times New Roman"/>
          <w:noProof/>
          <w:sz w:val="24"/>
          <w:szCs w:val="24"/>
          <w:u w:val="single"/>
        </w:rPr>
        <w:t>Journal of laboratory physicians</w:t>
      </w:r>
      <w:r w:rsidRPr="00C9647E">
        <w:rPr>
          <w:rFonts w:ascii="Times New Roman" w:hAnsi="Times New Roman" w:cs="Times New Roman"/>
          <w:b/>
          <w:noProof/>
          <w:sz w:val="24"/>
          <w:szCs w:val="24"/>
        </w:rPr>
        <w:t>9</w:t>
      </w:r>
      <w:r w:rsidRPr="00C9647E">
        <w:rPr>
          <w:rFonts w:ascii="Times New Roman" w:hAnsi="Times New Roman" w:cs="Times New Roman"/>
          <w:noProof/>
          <w:sz w:val="24"/>
          <w:szCs w:val="24"/>
        </w:rPr>
        <w:t>(04): 273-278.</w:t>
      </w:r>
    </w:p>
    <w:p w14:paraId="5323678D"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10486DDC"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Sattar, A., et al. "The Infection Control Paradox: Exploring Knowledge and Practices of ICU Nurses Across Hospitals in Punjab, Pakistan."</w:t>
      </w:r>
    </w:p>
    <w:p w14:paraId="45AB3809"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54918410"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Singh, P., et al. (2022). "Efficacy of oral care protocols in the prevention of ventilator-associated pneumonia in mechanically ventilated patients." </w:t>
      </w:r>
      <w:r w:rsidRPr="00C9647E">
        <w:rPr>
          <w:rFonts w:ascii="Times New Roman" w:hAnsi="Times New Roman" w:cs="Times New Roman"/>
          <w:noProof/>
          <w:sz w:val="24"/>
          <w:szCs w:val="24"/>
          <w:u w:val="single"/>
        </w:rPr>
        <w:t>Cureus</w:t>
      </w:r>
      <w:r w:rsidRPr="00C9647E">
        <w:rPr>
          <w:rFonts w:ascii="Times New Roman" w:hAnsi="Times New Roman" w:cs="Times New Roman"/>
          <w:b/>
          <w:noProof/>
          <w:sz w:val="24"/>
          <w:szCs w:val="24"/>
        </w:rPr>
        <w:t>14</w:t>
      </w:r>
      <w:r w:rsidRPr="00C9647E">
        <w:rPr>
          <w:rFonts w:ascii="Times New Roman" w:hAnsi="Times New Roman" w:cs="Times New Roman"/>
          <w:noProof/>
          <w:sz w:val="24"/>
          <w:szCs w:val="24"/>
        </w:rPr>
        <w:t>(4).</w:t>
      </w:r>
    </w:p>
    <w:p w14:paraId="6D844EFF"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07D79024" w14:textId="77777777" w:rsidR="00C9647E" w:rsidRPr="00C9647E" w:rsidRDefault="00C9647E" w:rsidP="00C9647E">
      <w:pPr>
        <w:pStyle w:val="EndNoteBibliography"/>
        <w:spacing w:after="0"/>
        <w:ind w:left="720" w:hanging="720"/>
        <w:rPr>
          <w:rFonts w:ascii="Times New Roman" w:hAnsi="Times New Roman" w:cs="Times New Roman"/>
          <w:noProof/>
          <w:sz w:val="24"/>
          <w:szCs w:val="24"/>
        </w:rPr>
      </w:pPr>
      <w:r w:rsidRPr="00C9647E">
        <w:rPr>
          <w:rFonts w:ascii="Times New Roman" w:hAnsi="Times New Roman" w:cs="Times New Roman"/>
          <w:noProof/>
          <w:sz w:val="24"/>
          <w:szCs w:val="24"/>
        </w:rPr>
        <w:t xml:space="preserve">Zhang, Q., et al. (2020). "Oral hygiene care for critically ill patients to prevent ventilator‐associated pneumonia." </w:t>
      </w:r>
      <w:r w:rsidRPr="00C9647E">
        <w:rPr>
          <w:rFonts w:ascii="Times New Roman" w:hAnsi="Times New Roman" w:cs="Times New Roman"/>
          <w:noProof/>
          <w:sz w:val="24"/>
          <w:szCs w:val="24"/>
          <w:u w:val="single"/>
        </w:rPr>
        <w:t>Cochrane Database of Systematic Reviews</w:t>
      </w:r>
      <w:r w:rsidRPr="00C9647E">
        <w:rPr>
          <w:rFonts w:ascii="Times New Roman" w:hAnsi="Times New Roman" w:cs="Times New Roman"/>
          <w:noProof/>
          <w:sz w:val="24"/>
          <w:szCs w:val="24"/>
        </w:rPr>
        <w:t>(12).</w:t>
      </w:r>
    </w:p>
    <w:p w14:paraId="73C16029" w14:textId="77777777" w:rsidR="00C9647E" w:rsidRPr="00C9647E" w:rsidRDefault="00C9647E" w:rsidP="00C9647E">
      <w:pPr>
        <w:pStyle w:val="EndNoteBibliography"/>
        <w:spacing w:after="0"/>
        <w:rPr>
          <w:rFonts w:ascii="Times New Roman" w:hAnsi="Times New Roman" w:cs="Times New Roman"/>
          <w:noProof/>
          <w:sz w:val="24"/>
          <w:szCs w:val="24"/>
        </w:rPr>
      </w:pPr>
      <w:r w:rsidRPr="00C9647E">
        <w:rPr>
          <w:rFonts w:ascii="Times New Roman" w:hAnsi="Times New Roman" w:cs="Times New Roman"/>
          <w:noProof/>
          <w:sz w:val="24"/>
          <w:szCs w:val="24"/>
        </w:rPr>
        <w:tab/>
      </w:r>
    </w:p>
    <w:p w14:paraId="257C0B9F" w14:textId="5C92EFBE" w:rsidR="00F70F57" w:rsidRPr="004656A2" w:rsidRDefault="00C9647E" w:rsidP="00C9647E">
      <w:pPr>
        <w:pStyle w:val="EndNoteBibliography"/>
        <w:spacing w:after="0"/>
        <w:ind w:left="720" w:hanging="720"/>
        <w:jc w:val="both"/>
        <w:rPr>
          <w:rFonts w:ascii="Times New Roman" w:hAnsi="Times New Roman" w:cs="Times New Roman"/>
          <w:noProof/>
          <w:sz w:val="24"/>
          <w:szCs w:val="24"/>
        </w:rPr>
      </w:pPr>
      <w:r w:rsidRPr="00C9647E">
        <w:rPr>
          <w:rFonts w:ascii="Times New Roman" w:hAnsi="Times New Roman" w:cs="Times New Roman"/>
          <w:noProof/>
          <w:sz w:val="24"/>
          <w:szCs w:val="24"/>
        </w:rPr>
        <w:fldChar w:fldCharType="end"/>
      </w:r>
    </w:p>
    <w:p w14:paraId="22D68989" w14:textId="77777777" w:rsidR="00F70F57" w:rsidRPr="004656A2" w:rsidRDefault="00F70F57" w:rsidP="00C9647E">
      <w:pPr>
        <w:jc w:val="both"/>
        <w:rPr>
          <w:rFonts w:ascii="Times New Roman" w:hAnsi="Times New Roman" w:cs="Times New Roman"/>
          <w:sz w:val="24"/>
          <w:szCs w:val="24"/>
        </w:rPr>
      </w:pPr>
      <w:r w:rsidRPr="004656A2">
        <w:rPr>
          <w:rFonts w:ascii="Times New Roman" w:hAnsi="Times New Roman" w:cs="Times New Roman"/>
          <w:sz w:val="24"/>
          <w:szCs w:val="24"/>
        </w:rPr>
        <w:fldChar w:fldCharType="end"/>
      </w:r>
    </w:p>
    <w:p w14:paraId="1B671E25" w14:textId="77777777" w:rsidR="00F70F57" w:rsidRPr="004656A2" w:rsidRDefault="00F70F57" w:rsidP="004656A2">
      <w:pPr>
        <w:jc w:val="both"/>
        <w:rPr>
          <w:rFonts w:ascii="Times New Roman" w:hAnsi="Times New Roman" w:cs="Times New Roman"/>
          <w:sz w:val="24"/>
          <w:szCs w:val="24"/>
        </w:rPr>
      </w:pPr>
    </w:p>
    <w:p w14:paraId="5DFC2EF5" w14:textId="77777777" w:rsidR="00F70F57" w:rsidRPr="004656A2" w:rsidRDefault="00F70F57" w:rsidP="004656A2">
      <w:pPr>
        <w:jc w:val="both"/>
        <w:rPr>
          <w:rFonts w:ascii="Times New Roman" w:hAnsi="Times New Roman" w:cs="Times New Roman"/>
          <w:sz w:val="24"/>
          <w:szCs w:val="24"/>
        </w:rPr>
      </w:pPr>
    </w:p>
    <w:p w14:paraId="2EA24BB7" w14:textId="77777777" w:rsidR="00F70F57" w:rsidRPr="004656A2" w:rsidRDefault="00F70F57" w:rsidP="004656A2">
      <w:pPr>
        <w:jc w:val="both"/>
        <w:rPr>
          <w:rFonts w:ascii="Times New Roman" w:hAnsi="Times New Roman" w:cs="Times New Roman"/>
          <w:sz w:val="24"/>
          <w:szCs w:val="24"/>
        </w:rPr>
      </w:pPr>
      <w:r w:rsidRPr="004656A2">
        <w:rPr>
          <w:rFonts w:ascii="Times New Roman" w:hAnsi="Times New Roman" w:cs="Times New Roman"/>
          <w:sz w:val="24"/>
          <w:szCs w:val="24"/>
        </w:rPr>
        <w:fldChar w:fldCharType="begin"/>
      </w:r>
      <w:r w:rsidRPr="004656A2">
        <w:rPr>
          <w:rFonts w:ascii="Times New Roman" w:hAnsi="Times New Roman" w:cs="Times New Roman"/>
          <w:sz w:val="24"/>
          <w:szCs w:val="24"/>
        </w:rPr>
        <w:instrText xml:space="preserve"> ADDIN </w:instrText>
      </w:r>
      <w:r w:rsidRPr="004656A2">
        <w:rPr>
          <w:rFonts w:ascii="Times New Roman" w:hAnsi="Times New Roman" w:cs="Times New Roman"/>
          <w:sz w:val="24"/>
          <w:szCs w:val="24"/>
        </w:rPr>
        <w:fldChar w:fldCharType="end"/>
      </w:r>
    </w:p>
    <w:p w14:paraId="233F75BD" w14:textId="77777777" w:rsidR="00F70F57" w:rsidRPr="004656A2" w:rsidRDefault="00F70F57" w:rsidP="004656A2">
      <w:pPr>
        <w:jc w:val="both"/>
        <w:rPr>
          <w:rFonts w:ascii="Times New Roman" w:hAnsi="Times New Roman" w:cs="Times New Roman"/>
          <w:b/>
          <w:bCs/>
          <w:sz w:val="24"/>
          <w:szCs w:val="24"/>
        </w:rPr>
      </w:pPr>
    </w:p>
    <w:p w14:paraId="5494875C" w14:textId="77777777" w:rsidR="00F70F57" w:rsidRPr="004656A2" w:rsidRDefault="00F70F57" w:rsidP="004656A2">
      <w:pPr>
        <w:jc w:val="both"/>
        <w:rPr>
          <w:rFonts w:ascii="Times New Roman" w:hAnsi="Times New Roman" w:cs="Times New Roman"/>
          <w:b/>
          <w:bCs/>
          <w:sz w:val="24"/>
          <w:szCs w:val="24"/>
        </w:rPr>
      </w:pPr>
      <w:r w:rsidRPr="004656A2">
        <w:rPr>
          <w:rFonts w:ascii="Times New Roman" w:hAnsi="Times New Roman" w:cs="Times New Roman"/>
          <w:b/>
          <w:bCs/>
          <w:sz w:val="24"/>
          <w:szCs w:val="24"/>
        </w:rPr>
        <w:fldChar w:fldCharType="begin"/>
      </w:r>
      <w:r w:rsidRPr="004656A2">
        <w:rPr>
          <w:rFonts w:ascii="Times New Roman" w:hAnsi="Times New Roman" w:cs="Times New Roman"/>
          <w:b/>
          <w:bCs/>
          <w:sz w:val="24"/>
          <w:szCs w:val="24"/>
        </w:rPr>
        <w:instrText xml:space="preserve"> ADDIN </w:instrText>
      </w:r>
      <w:r w:rsidRPr="004656A2">
        <w:rPr>
          <w:rFonts w:ascii="Times New Roman" w:hAnsi="Times New Roman" w:cs="Times New Roman"/>
          <w:b/>
          <w:bCs/>
          <w:sz w:val="24"/>
          <w:szCs w:val="24"/>
        </w:rPr>
        <w:fldChar w:fldCharType="end"/>
      </w:r>
    </w:p>
    <w:p w14:paraId="6119BAFF" w14:textId="77777777" w:rsidR="00F70F57" w:rsidRPr="004656A2" w:rsidRDefault="00F70F57" w:rsidP="004656A2">
      <w:pPr>
        <w:jc w:val="both"/>
        <w:rPr>
          <w:rFonts w:ascii="Times New Roman" w:hAnsi="Times New Roman" w:cs="Times New Roman"/>
          <w:b/>
          <w:bCs/>
          <w:sz w:val="24"/>
          <w:szCs w:val="24"/>
          <w:u w:val="single"/>
        </w:rPr>
      </w:pPr>
    </w:p>
    <w:p w14:paraId="3327BC07" w14:textId="77777777" w:rsidR="00F70F57" w:rsidRPr="004656A2" w:rsidRDefault="00F70F57" w:rsidP="004656A2">
      <w:pPr>
        <w:jc w:val="both"/>
        <w:rPr>
          <w:rFonts w:ascii="Times New Roman" w:hAnsi="Times New Roman" w:cs="Times New Roman"/>
          <w:b/>
          <w:bCs/>
          <w:sz w:val="24"/>
          <w:szCs w:val="24"/>
          <w:u w:val="single"/>
        </w:rPr>
      </w:pPr>
    </w:p>
    <w:p w14:paraId="166527E5" w14:textId="77777777" w:rsidR="00A73AC4" w:rsidRPr="004656A2" w:rsidRDefault="00A73AC4" w:rsidP="004656A2">
      <w:pPr>
        <w:jc w:val="both"/>
        <w:rPr>
          <w:rFonts w:ascii="Times New Roman" w:hAnsi="Times New Roman" w:cs="Times New Roman"/>
          <w:sz w:val="24"/>
          <w:szCs w:val="24"/>
        </w:rPr>
      </w:pPr>
    </w:p>
    <w:sectPr w:rsidR="00A73AC4" w:rsidRPr="004656A2" w:rsidSect="0000653B">
      <w:footerReference w:type="default" r:id="rId12"/>
      <w:pgSz w:w="12240" w:h="15840"/>
      <w:pgMar w:top="1360" w:right="720" w:bottom="1080" w:left="1080" w:header="0" w:footer="4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E7867" w14:textId="77777777" w:rsidR="003F457A" w:rsidRDefault="003F457A">
      <w:r>
        <w:separator/>
      </w:r>
    </w:p>
  </w:endnote>
  <w:endnote w:type="continuationSeparator" w:id="0">
    <w:p w14:paraId="3B50547A" w14:textId="77777777" w:rsidR="003F457A" w:rsidRDefault="003F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00000001" w:usb1="5000E07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6697638"/>
      <w:docPartObj>
        <w:docPartGallery w:val="Page Numbers (Bottom of Page)"/>
        <w:docPartUnique/>
      </w:docPartObj>
    </w:sdtPr>
    <w:sdtEndPr>
      <w:rPr>
        <w:noProof/>
      </w:rPr>
    </w:sdtEndPr>
    <w:sdtContent>
      <w:p w14:paraId="4EC5D1B7" w14:textId="77777777" w:rsidR="00F70F57" w:rsidRDefault="00F70F57">
        <w:pPr>
          <w:pStyle w:val="Footer"/>
          <w:jc w:val="center"/>
        </w:pPr>
        <w:r>
          <w:rPr>
            <w:noProof/>
            <w:sz w:val="20"/>
          </w:rPr>
          <mc:AlternateContent>
            <mc:Choice Requires="wps">
              <w:drawing>
                <wp:anchor distT="0" distB="0" distL="114300" distR="114300" simplePos="0" relativeHeight="251660800" behindDoc="0" locked="0" layoutInCell="1" allowOverlap="1" wp14:anchorId="60B4AF0D" wp14:editId="0EAC80E8">
                  <wp:simplePos x="0" y="0"/>
                  <wp:positionH relativeFrom="column">
                    <wp:posOffset>2162175</wp:posOffset>
                  </wp:positionH>
                  <wp:positionV relativeFrom="paragraph">
                    <wp:posOffset>-203200</wp:posOffset>
                  </wp:positionV>
                  <wp:extent cx="2296160" cy="242570"/>
                  <wp:effectExtent l="0" t="0" r="2540" b="11430"/>
                  <wp:wrapNone/>
                  <wp:docPr id="18" name="Rectangles 4"/>
                  <wp:cNvGraphicFramePr/>
                  <a:graphic xmlns:a="http://schemas.openxmlformats.org/drawingml/2006/main">
                    <a:graphicData uri="http://schemas.microsoft.com/office/word/2010/wordprocessingShape">
                      <wps:wsp>
                        <wps:cNvSpPr/>
                        <wps:spPr>
                          <a:xfrm>
                            <a:off x="0" y="0"/>
                            <a:ext cx="2296160" cy="242570"/>
                          </a:xfrm>
                          <a:prstGeom prst="rect">
                            <a:avLst/>
                          </a:prstGeom>
                          <a:solidFill>
                            <a:schemeClr val="tx1"/>
                          </a:solidFill>
                          <a:ln w="25400" cap="flat" cmpd="sng" algn="ctr">
                            <a:noFill/>
                            <a:prstDash val="solid"/>
                          </a:ln>
                          <a:effectLst>
                            <a:softEdge rad="31750"/>
                          </a:effectLst>
                        </wps:spPr>
                        <wps:style>
                          <a:lnRef idx="2">
                            <a:schemeClr val="accent1">
                              <a:lumMod val="75000"/>
                            </a:schemeClr>
                          </a:lnRef>
                          <a:fillRef idx="1">
                            <a:schemeClr val="accent1"/>
                          </a:fillRef>
                          <a:effectRef idx="0">
                            <a:srgbClr val="FFFFFF"/>
                          </a:effectRef>
                          <a:fontRef idx="minor">
                            <a:schemeClr val="lt1"/>
                          </a:fontRef>
                        </wps:style>
                        <wps:txbx>
                          <w:txbxContent>
                            <w:p w14:paraId="02AD249B" w14:textId="77777777" w:rsidR="00F70F57" w:rsidRDefault="00F70F57" w:rsidP="00583F31">
                              <w:pPr>
                                <w:rPr>
                                  <w:sz w:val="16"/>
                                  <w:szCs w:val="16"/>
                                </w:rPr>
                              </w:pPr>
                              <w:r>
                                <w:rPr>
                                  <w:sz w:val="16"/>
                                  <w:szCs w:val="16"/>
                                </w:rPr>
                                <w:t>https://msra.online/index.php/Journal/about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0B4AF0D" id="Rectangles 4" o:spid="_x0000_s1040" style="position:absolute;left:0;text-align:left;margin-left:170.25pt;margin-top:-16pt;width:180.8pt;height:19.1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" fillcolor="black [3213]" stroked="f" strokeweight="2pt">
                  <v:textbox>
                    <w:txbxContent>
                      <w:p w14:paraId="02AD249B" w14:textId="77777777" w:rsidR="00F70F57" w:rsidRDefault="00F70F57" w:rsidP="00583F31">
                        <w:pPr>
                          <w:rPr>
                            <w:sz w:val="16"/>
                            <w:szCs w:val="16"/>
                          </w:rPr>
                        </w:pPr>
                        <w:r>
                          <w:rPr>
                            <w:sz w:val="16"/>
                            <w:szCs w:val="16"/>
                          </w:rPr>
                          <w:t>https://msra.online/index.php/Journal/about</w:t>
                        </w:r>
                      </w:p>
                    </w:txbxContent>
                  </v:textbox>
                </v:rect>
              </w:pict>
            </mc:Fallback>
          </mc:AlternateContent>
        </w:r>
        <w:r>
          <w:rPr>
            <w:noProof/>
            <w:sz w:val="24"/>
          </w:rPr>
          <mc:AlternateContent>
            <mc:Choice Requires="wps">
              <w:drawing>
                <wp:anchor distT="0" distB="0" distL="114300" distR="114300" simplePos="0" relativeHeight="251659776" behindDoc="1" locked="0" layoutInCell="1" allowOverlap="1" wp14:anchorId="0ADA0F70" wp14:editId="6A8EF647">
                  <wp:simplePos x="0" y="0"/>
                  <wp:positionH relativeFrom="column">
                    <wp:posOffset>11430</wp:posOffset>
                  </wp:positionH>
                  <wp:positionV relativeFrom="paragraph">
                    <wp:posOffset>-63500</wp:posOffset>
                  </wp:positionV>
                  <wp:extent cx="2150745" cy="251460"/>
                  <wp:effectExtent l="69850" t="69850" r="27305" b="21590"/>
                  <wp:wrapNone/>
                  <wp:docPr id="9" name="docshape2"/>
                  <wp:cNvGraphicFramePr/>
                  <a:graphic xmlns:a="http://schemas.openxmlformats.org/drawingml/2006/main">
                    <a:graphicData uri="http://schemas.microsoft.com/office/word/2010/wordprocessingShape">
                      <wps:wsp>
                        <wps:cNvSpPr/>
                        <wps:spPr bwMode="auto">
                          <a:xfrm>
                            <a:off x="0" y="0"/>
                            <a:ext cx="2150745" cy="251460"/>
                          </a:xfrm>
                          <a:custGeom>
                            <a:avLst/>
                            <a:gdLst>
                              <a:gd name="T0" fmla="+- 0 4093 904"/>
                              <a:gd name="T1" fmla="*/ T0 w 3387"/>
                              <a:gd name="T2" fmla="+- 0 14725 14725"/>
                              <a:gd name="T3" fmla="*/ 14725 h 396"/>
                              <a:gd name="T4" fmla="+- 0 904 904"/>
                              <a:gd name="T5" fmla="*/ T4 w 3387"/>
                              <a:gd name="T6" fmla="+- 0 14725 14725"/>
                              <a:gd name="T7" fmla="*/ 14725 h 396"/>
                              <a:gd name="T8" fmla="+- 0 904 904"/>
                              <a:gd name="T9" fmla="*/ T8 w 3387"/>
                              <a:gd name="T10" fmla="+- 0 14922 14725"/>
                              <a:gd name="T11" fmla="*/ 14922 h 396"/>
                              <a:gd name="T12" fmla="+- 0 920 904"/>
                              <a:gd name="T13" fmla="*/ T12 w 3387"/>
                              <a:gd name="T14" fmla="+- 0 14999 14725"/>
                              <a:gd name="T15" fmla="*/ 14999 h 396"/>
                              <a:gd name="T16" fmla="+- 0 962 904"/>
                              <a:gd name="T17" fmla="*/ T16 w 3387"/>
                              <a:gd name="T18" fmla="+- 0 15062 14725"/>
                              <a:gd name="T19" fmla="*/ 15062 h 396"/>
                              <a:gd name="T20" fmla="+- 0 1025 904"/>
                              <a:gd name="T21" fmla="*/ T20 w 3387"/>
                              <a:gd name="T22" fmla="+- 0 15104 14725"/>
                              <a:gd name="T23" fmla="*/ 15104 h 396"/>
                              <a:gd name="T24" fmla="+- 0 1102 904"/>
                              <a:gd name="T25" fmla="*/ T24 w 3387"/>
                              <a:gd name="T26" fmla="+- 0 15120 14725"/>
                              <a:gd name="T27" fmla="*/ 15120 h 396"/>
                              <a:gd name="T28" fmla="+- 0 4290 904"/>
                              <a:gd name="T29" fmla="*/ T28 w 3387"/>
                              <a:gd name="T30" fmla="+- 0 15120 14725"/>
                              <a:gd name="T31" fmla="*/ 15120 h 396"/>
                              <a:gd name="T32" fmla="+- 0 4290 904"/>
                              <a:gd name="T33" fmla="*/ T32 w 3387"/>
                              <a:gd name="T34" fmla="+- 0 14922 14725"/>
                              <a:gd name="T35" fmla="*/ 14922 h 396"/>
                              <a:gd name="T36" fmla="+- 0 4275 904"/>
                              <a:gd name="T37" fmla="*/ T36 w 3387"/>
                              <a:gd name="T38" fmla="+- 0 14846 14725"/>
                              <a:gd name="T39" fmla="*/ 14846 h 396"/>
                              <a:gd name="T40" fmla="+- 0 4232 904"/>
                              <a:gd name="T41" fmla="*/ T40 w 3387"/>
                              <a:gd name="T42" fmla="+- 0 14783 14725"/>
                              <a:gd name="T43" fmla="*/ 14783 h 396"/>
                              <a:gd name="T44" fmla="+- 0 4169 904"/>
                              <a:gd name="T45" fmla="*/ T44 w 3387"/>
                              <a:gd name="T46" fmla="+- 0 14741 14725"/>
                              <a:gd name="T47" fmla="*/ 14741 h 396"/>
                              <a:gd name="T48" fmla="+- 0 4093 904"/>
                              <a:gd name="T49" fmla="*/ T48 w 3387"/>
                              <a:gd name="T50" fmla="+- 0 14725 14725"/>
                              <a:gd name="T51" fmla="*/ 14725 h 3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3387" h="396">
                                <a:moveTo>
                                  <a:pt x="3189" y="0"/>
                                </a:moveTo>
                                <a:lnTo>
                                  <a:pt x="0" y="0"/>
                                </a:lnTo>
                                <a:lnTo>
                                  <a:pt x="0" y="197"/>
                                </a:lnTo>
                                <a:lnTo>
                                  <a:pt x="16" y="274"/>
                                </a:lnTo>
                                <a:lnTo>
                                  <a:pt x="58" y="337"/>
                                </a:lnTo>
                                <a:lnTo>
                                  <a:pt x="121" y="379"/>
                                </a:lnTo>
                                <a:lnTo>
                                  <a:pt x="198" y="395"/>
                                </a:lnTo>
                                <a:lnTo>
                                  <a:pt x="3386" y="395"/>
                                </a:lnTo>
                                <a:lnTo>
                                  <a:pt x="3386" y="197"/>
                                </a:lnTo>
                                <a:lnTo>
                                  <a:pt x="3371" y="121"/>
                                </a:lnTo>
                                <a:lnTo>
                                  <a:pt x="3328" y="58"/>
                                </a:lnTo>
                                <a:lnTo>
                                  <a:pt x="3265" y="16"/>
                                </a:lnTo>
                                <a:lnTo>
                                  <a:pt x="3189" y="0"/>
                                </a:lnTo>
                                <a:close/>
                              </a:path>
                            </a:pathLst>
                          </a:custGeom>
                          <a:solidFill>
                            <a:srgbClr val="00B0F0"/>
                          </a:solidFill>
                          <a:ln>
                            <a:noFill/>
                          </a:ln>
                          <a:effectLst>
                            <a:outerShdw blurRad="50800" dist="38100" dir="13500000" algn="br" rotWithShape="0">
                              <a:prstClr val="black">
                                <a:alpha val="40000"/>
                              </a:prstClr>
                            </a:outerShdw>
                          </a:effectLst>
                        </wps:spPr>
                        <wps:txbx>
                          <w:txbxContent>
                            <w:p w14:paraId="14C05B26" w14:textId="77777777" w:rsidR="00F70F57" w:rsidRDefault="00F70F57" w:rsidP="00583F31">
                              <w:pPr>
                                <w:spacing w:before="25"/>
                                <w:rPr>
                                  <w:rFonts w:ascii="Calibri"/>
                                  <w:b/>
                                  <w:sz w:val="20"/>
                                </w:rPr>
                              </w:pPr>
                              <w:r>
                                <w:rPr>
                                  <w:rFonts w:ascii="Calibri"/>
                                  <w:b/>
                                  <w:color w:val="FFFFFF"/>
                                  <w:w w:val="110"/>
                                  <w:sz w:val="20"/>
                                </w:rPr>
                                <w:t xml:space="preserve">MSRA    </w:t>
                              </w:r>
                              <w:r>
                                <w:rPr>
                                  <w:rFonts w:ascii="Calibri"/>
                                  <w:b/>
                                  <w:color w:val="FFFFFF"/>
                                  <w:spacing w:val="-12"/>
                                  <w:w w:val="110"/>
                                  <w:sz w:val="20"/>
                                </w:rPr>
                                <w:t xml:space="preserve"> </w:t>
                              </w:r>
                              <w:r>
                                <w:rPr>
                                  <w:rFonts w:ascii="Calibri"/>
                                  <w:b/>
                                  <w:color w:val="FFFFFF"/>
                                  <w:w w:val="110"/>
                                  <w:sz w:val="20"/>
                                </w:rPr>
                                <w:t>VOL.</w:t>
                              </w:r>
                              <w:r>
                                <w:rPr>
                                  <w:rFonts w:ascii="Calibri"/>
                                  <w:b/>
                                  <w:color w:val="FFFFFF"/>
                                  <w:spacing w:val="-12"/>
                                  <w:w w:val="110"/>
                                  <w:sz w:val="20"/>
                                </w:rPr>
                                <w:t xml:space="preserve"> 3</w:t>
                              </w:r>
                              <w:r>
                                <w:rPr>
                                  <w:rFonts w:ascii="Calibri"/>
                                  <w:b/>
                                  <w:color w:val="FFFFFF"/>
                                  <w:w w:val="110"/>
                                  <w:sz w:val="20"/>
                                </w:rPr>
                                <w:t xml:space="preserve">   </w:t>
                              </w:r>
                              <w:r>
                                <w:rPr>
                                  <w:rFonts w:ascii="Calibri"/>
                                  <w:b/>
                                  <w:color w:val="FFFFFF"/>
                                  <w:spacing w:val="-12"/>
                                  <w:w w:val="110"/>
                                  <w:sz w:val="20"/>
                                </w:rPr>
                                <w:t xml:space="preserve"> </w:t>
                              </w:r>
                              <w:r>
                                <w:rPr>
                                  <w:rFonts w:ascii="Calibri"/>
                                  <w:b/>
                                  <w:color w:val="FFFFFF"/>
                                  <w:w w:val="110"/>
                                  <w:sz w:val="20"/>
                                </w:rPr>
                                <w:t>Issue.</w:t>
                              </w:r>
                              <w:r>
                                <w:rPr>
                                  <w:rFonts w:ascii="Calibri"/>
                                  <w:b/>
                                  <w:color w:val="FFFFFF"/>
                                  <w:spacing w:val="-12"/>
                                  <w:w w:val="110"/>
                                  <w:sz w:val="20"/>
                                </w:rPr>
                                <w:t xml:space="preserve"> 6</w:t>
                              </w:r>
                              <w:r>
                                <w:rPr>
                                  <w:rFonts w:ascii="Calibri"/>
                                  <w:b/>
                                  <w:color w:val="FFFFFF"/>
                                  <w:w w:val="110"/>
                                  <w:sz w:val="20"/>
                                </w:rPr>
                                <w:t xml:space="preserve">  </w:t>
                              </w:r>
                              <w:r>
                                <w:rPr>
                                  <w:rFonts w:ascii="Calibri"/>
                                  <w:b/>
                                  <w:color w:val="FFFFFF"/>
                                  <w:spacing w:val="-12"/>
                                  <w:w w:val="110"/>
                                  <w:sz w:val="20"/>
                                </w:rPr>
                                <w:t xml:space="preserve"> </w:t>
                              </w:r>
                              <w:r>
                                <w:rPr>
                                  <w:rFonts w:ascii="Calibri"/>
                                  <w:b/>
                                  <w:color w:val="FFFFFF"/>
                                  <w:w w:val="110"/>
                                  <w:sz w:val="20"/>
                                </w:rPr>
                                <w:t>2025</w:t>
                              </w:r>
                            </w:p>
                            <w:p w14:paraId="32756B11" w14:textId="77777777" w:rsidR="00F70F57" w:rsidRDefault="00F70F57" w:rsidP="00583F31">
                              <w:pPr>
                                <w:jc w:val="center"/>
                              </w:pPr>
                            </w:p>
                          </w:txbxContent>
                        </wps:txbx>
                        <wps:bodyPr rot="0" vert="horz" wrap="square" lIns="91440" tIns="45720" rIns="91440" bIns="45720" anchor="t" anchorCtr="0" upright="1">
                          <a:noAutofit/>
                        </wps:bodyPr>
                      </wps:wsp>
                    </a:graphicData>
                  </a:graphic>
                </wp:anchor>
              </w:drawing>
            </mc:Choice>
            <mc:Fallback>
              <w:pict>
                <v:shape w14:anchorId="0ADA0F70" id="docshape2" o:spid="_x0000_s1041" style="position:absolute;left:0;text-align:left;margin-left:.9pt;margin-top:-5pt;width:169.35pt;height:19.8pt;z-index:-251656704;visibility:visible;mso-wrap-style:square;mso-wrap-distance-left:9pt;mso-wrap-distance-top:0;mso-wrap-distance-right:9pt;mso-wrap-distance-bottom:0;mso-position-horizontal:absolute;mso-position-horizontal-relative:text;mso-position-vertical:absolute;mso-position-vertical-relative:text;v-text-anchor:top" coordsize="3387,3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" adj="-11796480,,5400" path="m3189,l,,,197r16,77l58,337r63,42l198,395r3188,l3386,197r-15,-76l3328,58,3265,16,3189,xe" fillcolor="#00b0f0" stroked="f">
                  <v:stroke joinstyle="miter"/>
                  <v:shadow on="t" color="black" opacity="26214f" origin=".5,.5" offset="-.74836mm,-.74836mm"/>
                  <v:formulas/>
                  <v:path arrowok="t" o:connecttype="custom" o:connectlocs="2025015,9350375;0,9350375;0,9475470;10160,9524365;36830,9564370;76835,9591040;125730,9601200;2150110,9601200;2150110,9475470;2140585,9427210;2113280,9387205;2073275,9360535;2025015,9350375" o:connectangles="0,0,0,0,0,0,0,0,0,0,0,0,0" textboxrect="0,0,3387,396"/>
                  <v:textbox>
                    <w:txbxContent>
                      <w:p w14:paraId="14C05B26" w14:textId="77777777" w:rsidR="00F70F57" w:rsidRDefault="00F70F57" w:rsidP="00583F31">
                        <w:pPr>
                          <w:spacing w:before="25"/>
                          <w:rPr>
                            <w:rFonts w:ascii="Calibri"/>
                            <w:b/>
                            <w:sz w:val="20"/>
                          </w:rPr>
                        </w:pPr>
                        <w:r>
                          <w:rPr>
                            <w:rFonts w:ascii="Calibri"/>
                            <w:b/>
                            <w:color w:val="FFFFFF"/>
                            <w:w w:val="110"/>
                            <w:sz w:val="20"/>
                          </w:rPr>
                          <w:t xml:space="preserve">MSRA    </w:t>
                        </w:r>
                        <w:r>
                          <w:rPr>
                            <w:rFonts w:ascii="Calibri"/>
                            <w:b/>
                            <w:color w:val="FFFFFF"/>
                            <w:spacing w:val="-12"/>
                            <w:w w:val="110"/>
                            <w:sz w:val="20"/>
                          </w:rPr>
                          <w:t xml:space="preserve"> </w:t>
                        </w:r>
                        <w:r>
                          <w:rPr>
                            <w:rFonts w:ascii="Calibri"/>
                            <w:b/>
                            <w:color w:val="FFFFFF"/>
                            <w:w w:val="110"/>
                            <w:sz w:val="20"/>
                          </w:rPr>
                          <w:t>VOL.</w:t>
                        </w:r>
                        <w:r>
                          <w:rPr>
                            <w:rFonts w:ascii="Calibri"/>
                            <w:b/>
                            <w:color w:val="FFFFFF"/>
                            <w:spacing w:val="-12"/>
                            <w:w w:val="110"/>
                            <w:sz w:val="20"/>
                          </w:rPr>
                          <w:t xml:space="preserve"> 3</w:t>
                        </w:r>
                        <w:r>
                          <w:rPr>
                            <w:rFonts w:ascii="Calibri"/>
                            <w:b/>
                            <w:color w:val="FFFFFF"/>
                            <w:w w:val="110"/>
                            <w:sz w:val="20"/>
                          </w:rPr>
                          <w:t xml:space="preserve">   </w:t>
                        </w:r>
                        <w:r>
                          <w:rPr>
                            <w:rFonts w:ascii="Calibri"/>
                            <w:b/>
                            <w:color w:val="FFFFFF"/>
                            <w:spacing w:val="-12"/>
                            <w:w w:val="110"/>
                            <w:sz w:val="20"/>
                          </w:rPr>
                          <w:t xml:space="preserve"> </w:t>
                        </w:r>
                        <w:r>
                          <w:rPr>
                            <w:rFonts w:ascii="Calibri"/>
                            <w:b/>
                            <w:color w:val="FFFFFF"/>
                            <w:w w:val="110"/>
                            <w:sz w:val="20"/>
                          </w:rPr>
                          <w:t>Issue.</w:t>
                        </w:r>
                        <w:r>
                          <w:rPr>
                            <w:rFonts w:ascii="Calibri"/>
                            <w:b/>
                            <w:color w:val="FFFFFF"/>
                            <w:spacing w:val="-12"/>
                            <w:w w:val="110"/>
                            <w:sz w:val="20"/>
                          </w:rPr>
                          <w:t xml:space="preserve"> 6</w:t>
                        </w:r>
                        <w:r>
                          <w:rPr>
                            <w:rFonts w:ascii="Calibri"/>
                            <w:b/>
                            <w:color w:val="FFFFFF"/>
                            <w:w w:val="110"/>
                            <w:sz w:val="20"/>
                          </w:rPr>
                          <w:t xml:space="preserve">  </w:t>
                        </w:r>
                        <w:r>
                          <w:rPr>
                            <w:rFonts w:ascii="Calibri"/>
                            <w:b/>
                            <w:color w:val="FFFFFF"/>
                            <w:spacing w:val="-12"/>
                            <w:w w:val="110"/>
                            <w:sz w:val="20"/>
                          </w:rPr>
                          <w:t xml:space="preserve"> </w:t>
                        </w:r>
                        <w:r>
                          <w:rPr>
                            <w:rFonts w:ascii="Calibri"/>
                            <w:b/>
                            <w:color w:val="FFFFFF"/>
                            <w:w w:val="110"/>
                            <w:sz w:val="20"/>
                          </w:rPr>
                          <w:t>2025</w:t>
                        </w:r>
                      </w:p>
                      <w:p w14:paraId="32756B11" w14:textId="77777777" w:rsidR="00F70F57" w:rsidRDefault="00F70F57" w:rsidP="00583F31">
                        <w:pPr>
                          <w:jc w:val="center"/>
                        </w:pPr>
                      </w:p>
                    </w:txbxContent>
                  </v:textbox>
                </v:shape>
              </w:pict>
            </mc:Fallback>
          </mc:AlternateContent>
        </w:r>
        <w:r>
          <w:rPr>
            <w:noProof/>
            <w:sz w:val="24"/>
          </w:rPr>
          <mc:AlternateContent>
            <mc:Choice Requires="wps">
              <w:drawing>
                <wp:anchor distT="0" distB="0" distL="114300" distR="114300" simplePos="0" relativeHeight="251661824" behindDoc="0" locked="0" layoutInCell="1" allowOverlap="1" wp14:anchorId="098B03A6" wp14:editId="3517A277">
                  <wp:simplePos x="0" y="0"/>
                  <wp:positionH relativeFrom="column">
                    <wp:posOffset>4514850</wp:posOffset>
                  </wp:positionH>
                  <wp:positionV relativeFrom="paragraph">
                    <wp:posOffset>-352425</wp:posOffset>
                  </wp:positionV>
                  <wp:extent cx="1518285" cy="412750"/>
                  <wp:effectExtent l="0" t="0" r="0" b="0"/>
                  <wp:wrapNone/>
                  <wp:docPr id="22" name="Rectangles 21"/>
                  <wp:cNvGraphicFramePr/>
                  <a:graphic xmlns:a="http://schemas.openxmlformats.org/drawingml/2006/main">
                    <a:graphicData uri="http://schemas.microsoft.com/office/word/2010/wordprocessingShape">
                      <wps:wsp>
                        <wps:cNvSpPr/>
                        <wps:spPr>
                          <a:xfrm>
                            <a:off x="0" y="0"/>
                            <a:ext cx="1518285" cy="412750"/>
                          </a:xfrm>
                          <a:prstGeom prst="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8C920DA" w14:textId="77777777" w:rsidR="00F70F57" w:rsidRDefault="00F70F57" w:rsidP="00583F31">
                              <w:pPr>
                                <w:rPr>
                                  <w:color w:val="0D0D0D" w:themeColor="text1" w:themeTint="F2"/>
                                  <w:sz w:val="40"/>
                                  <w:szCs w:val="40"/>
                                </w:rPr>
                              </w:pPr>
                              <w:r>
                                <w:rPr>
                                  <w:rFonts w:ascii="Segoe UI" w:eastAsia="Segoe UI" w:hAnsi="Segoe UI" w:cs="Segoe UI"/>
                                  <w:b/>
                                  <w:bCs/>
                                  <w:color w:val="0D0D0D" w:themeColor="text1" w:themeTint="F2"/>
                                  <w:sz w:val="21"/>
                                  <w:szCs w:val="21"/>
                                  <w:shd w:val="clear" w:color="auto" w:fill="FFFFFF"/>
                                </w:rPr>
                                <w:t>DOI: Availability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98B03A6" id="Rectangles 21" o:spid="_x0000_s1042" style="position:absolute;left:0;text-align:left;margin-left:355.5pt;margin-top:-27.75pt;width:119.55pt;height:32.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" filled="f" stroked="f" strokeweight="2pt">
                  <v:textbox>
                    <w:txbxContent>
                      <w:p w14:paraId="58C920DA" w14:textId="77777777" w:rsidR="00F70F57" w:rsidRDefault="00F70F57" w:rsidP="00583F31">
                        <w:pPr>
                          <w:rPr>
                            <w:color w:val="0D0D0D" w:themeColor="text1" w:themeTint="F2"/>
                            <w:sz w:val="40"/>
                            <w:szCs w:val="40"/>
                          </w:rPr>
                        </w:pPr>
                        <w:r>
                          <w:rPr>
                            <w:rFonts w:ascii="Segoe UI" w:eastAsia="Segoe UI" w:hAnsi="Segoe UI" w:cs="Segoe UI"/>
                            <w:b/>
                            <w:bCs/>
                            <w:color w:val="0D0D0D" w:themeColor="text1" w:themeTint="F2"/>
                            <w:sz w:val="21"/>
                            <w:szCs w:val="21"/>
                            <w:shd w:val="clear" w:color="auto" w:fill="FFFFFF"/>
                          </w:rPr>
                          <w:t>DOI: Availability</w:t>
                        </w:r>
                      </w:p>
                    </w:txbxContent>
                  </v:textbox>
                </v:rect>
              </w:pict>
            </mc:Fallback>
          </mc:AlternateContent>
        </w:r>
        <w:r>
          <w:fldChar w:fldCharType="begin"/>
        </w:r>
        <w:r>
          <w:instrText xml:space="preserve"> PAGE   \* MERGEFORMAT </w:instrText>
        </w:r>
        <w:r>
          <w:fldChar w:fldCharType="separate"/>
        </w:r>
        <w:r>
          <w:rPr>
            <w:noProof/>
          </w:rPr>
          <w:t>549</w:t>
        </w:r>
        <w:r>
          <w:rPr>
            <w:noProof/>
          </w:rPr>
          <w:fldChar w:fldCharType="end"/>
        </w:r>
      </w:p>
    </w:sdtContent>
  </w:sdt>
  <w:p w14:paraId="160B3D37" w14:textId="77777777" w:rsidR="00F70F57" w:rsidRDefault="00F70F57">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FBD3" w14:textId="77777777" w:rsidR="00F70F57" w:rsidRDefault="00F70F57">
    <w:pPr>
      <w:pStyle w:val="Footer"/>
      <w:jc w:val="center"/>
    </w:pPr>
  </w:p>
  <w:p w14:paraId="5C6CA6F7" w14:textId="77777777" w:rsidR="00F70F57" w:rsidRDefault="00000000">
    <w:pPr>
      <w:pStyle w:val="Footer"/>
      <w:jc w:val="center"/>
    </w:pPr>
    <w:sdt>
      <w:sdtPr>
        <w:id w:val="30085429"/>
        <w:docPartObj>
          <w:docPartGallery w:val="Page Numbers (Bottom of Page)"/>
          <w:docPartUnique/>
        </w:docPartObj>
      </w:sdtPr>
      <w:sdtEndPr>
        <w:rPr>
          <w:noProof/>
        </w:rPr>
      </w:sdtEndPr>
      <w:sdtContent>
        <w:r w:rsidR="00F70F57">
          <w:fldChar w:fldCharType="begin"/>
        </w:r>
        <w:r w:rsidR="00F70F57">
          <w:instrText xml:space="preserve"> PAGE   \* MERGEFORMAT </w:instrText>
        </w:r>
        <w:r w:rsidR="00F70F57">
          <w:fldChar w:fldCharType="separate"/>
        </w:r>
        <w:r w:rsidR="001016AB">
          <w:rPr>
            <w:noProof/>
          </w:rPr>
          <w:t>655</w:t>
        </w:r>
        <w:r w:rsidR="00F70F57">
          <w:rPr>
            <w:noProof/>
          </w:rPr>
          <w:fldChar w:fldCharType="end"/>
        </w:r>
      </w:sdtContent>
    </w:sdt>
  </w:p>
  <w:p w14:paraId="4F4E3F5A" w14:textId="77777777" w:rsidR="00F70F57" w:rsidRDefault="00F70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622407"/>
      <w:docPartObj>
        <w:docPartGallery w:val="Page Numbers (Bottom of Page)"/>
        <w:docPartUnique/>
      </w:docPartObj>
    </w:sdtPr>
    <w:sdtEndPr>
      <w:rPr>
        <w:noProof/>
      </w:rPr>
    </w:sdtEndPr>
    <w:sdtContent>
      <w:p w14:paraId="64EABFA4" w14:textId="77777777" w:rsidR="00F70F57" w:rsidRDefault="00F70F57">
        <w:pPr>
          <w:pStyle w:val="Footer"/>
          <w:jc w:val="center"/>
        </w:pPr>
        <w:r>
          <w:fldChar w:fldCharType="begin"/>
        </w:r>
        <w:r>
          <w:instrText xml:space="preserve"> PAGE   \* MERGEFORMAT </w:instrText>
        </w:r>
        <w:r>
          <w:fldChar w:fldCharType="separate"/>
        </w:r>
        <w:r w:rsidR="001016AB">
          <w:rPr>
            <w:noProof/>
          </w:rPr>
          <w:t>671</w:t>
        </w:r>
        <w:r>
          <w:rPr>
            <w:noProof/>
          </w:rPr>
          <w:fldChar w:fldCharType="end"/>
        </w:r>
      </w:p>
    </w:sdtContent>
  </w:sdt>
  <w:p w14:paraId="1CC6DAFC" w14:textId="77777777" w:rsidR="00F70F57" w:rsidRDefault="00F70F57" w:rsidP="00F70F57">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D613" w14:textId="77777777" w:rsidR="003F457A" w:rsidRDefault="003F457A">
      <w:r>
        <w:separator/>
      </w:r>
    </w:p>
  </w:footnote>
  <w:footnote w:type="continuationSeparator" w:id="0">
    <w:p w14:paraId="2F6D294F" w14:textId="77777777" w:rsidR="003F457A" w:rsidRDefault="003F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552E" w14:textId="77777777" w:rsidR="00F70F57" w:rsidRDefault="00F70F57">
    <w:pPr>
      <w:pStyle w:val="Header"/>
    </w:pPr>
    <w:r>
      <w:rPr>
        <w:noProof/>
      </w:rPr>
      <mc:AlternateContent>
        <mc:Choice Requires="wpg">
          <w:drawing>
            <wp:anchor distT="0" distB="0" distL="0" distR="0" simplePos="0" relativeHeight="251655680" behindDoc="1" locked="0" layoutInCell="1" allowOverlap="1" wp14:anchorId="60573062" wp14:editId="0BE80FD9">
              <wp:simplePos x="0" y="0"/>
              <wp:positionH relativeFrom="page">
                <wp:posOffset>575945</wp:posOffset>
              </wp:positionH>
              <wp:positionV relativeFrom="paragraph">
                <wp:posOffset>-5715</wp:posOffset>
              </wp:positionV>
              <wp:extent cx="6649720" cy="829310"/>
              <wp:effectExtent l="0" t="4445" r="5080" b="17145"/>
              <wp:wrapTopAndBottom/>
              <wp:docPr id="11" name="docshapegroup12"/>
              <wp:cNvGraphicFramePr/>
              <a:graphic xmlns:a="http://schemas.openxmlformats.org/drawingml/2006/main">
                <a:graphicData uri="http://schemas.microsoft.com/office/word/2010/wordprocessingGroup">
                  <wpg:wgp>
                    <wpg:cNvGrpSpPr/>
                    <wpg:grpSpPr>
                      <a:xfrm>
                        <a:off x="0" y="0"/>
                        <a:ext cx="6649720" cy="829310"/>
                        <a:chOff x="896" y="186"/>
                        <a:chExt cx="10479" cy="1672"/>
                      </a:xfrm>
                      <a:solidFill>
                        <a:srgbClr val="00B0F0"/>
                      </a:solidFill>
                    </wpg:grpSpPr>
                    <wps:wsp>
                      <wps:cNvPr id="12" name="docshape13"/>
                      <wps:cNvSpPr>
                        <a:spLocks noChangeArrowheads="1"/>
                      </wps:cNvSpPr>
                      <wps:spPr bwMode="auto">
                        <a:xfrm>
                          <a:off x="935" y="306"/>
                          <a:ext cx="10440" cy="1440"/>
                        </a:xfrm>
                        <a:prstGeom prst="rect">
                          <a:avLst/>
                        </a:prstGeom>
                        <a:grpFill/>
                        <a:ln>
                          <a:noFill/>
                        </a:ln>
                      </wps:spPr>
                      <wps:bodyPr rot="0" vert="horz" wrap="square" lIns="91440" tIns="45720" rIns="91440" bIns="45720" anchor="t" anchorCtr="0" upright="1">
                        <a:noAutofit/>
                      </wps:bodyPr>
                    </wps:wsp>
                    <wps:wsp>
                      <wps:cNvPr id="13" name="Line 48"/>
                      <wps:cNvCnPr>
                        <a:cxnSpLocks noChangeShapeType="1"/>
                      </wps:cNvCnPr>
                      <wps:spPr bwMode="auto">
                        <a:xfrm>
                          <a:off x="896" y="186"/>
                          <a:ext cx="10440" cy="0"/>
                        </a:xfrm>
                        <a:prstGeom prst="line">
                          <a:avLst/>
                        </a:prstGeom>
                        <a:grpFill/>
                        <a:ln w="9525">
                          <a:solidFill>
                            <a:srgbClr val="231F20"/>
                          </a:solidFill>
                          <a:prstDash val="solid"/>
                          <a:round/>
                        </a:ln>
                      </wps:spPr>
                      <wps:bodyPr/>
                    </wps:wsp>
                    <wps:wsp>
                      <wps:cNvPr id="15" name="Line 47"/>
                      <wps:cNvCnPr>
                        <a:cxnSpLocks noChangeShapeType="1"/>
                      </wps:cNvCnPr>
                      <wps:spPr bwMode="auto">
                        <a:xfrm>
                          <a:off x="904" y="1858"/>
                          <a:ext cx="10440" cy="0"/>
                        </a:xfrm>
                        <a:prstGeom prst="line">
                          <a:avLst/>
                        </a:prstGeom>
                        <a:grpFill/>
                        <a:ln w="12701">
                          <a:solidFill>
                            <a:srgbClr val="231F20"/>
                          </a:solidFill>
                          <a:prstDash val="solid"/>
                          <a:round/>
                        </a:ln>
                      </wps:spPr>
                      <wps:bodyPr/>
                    </wps:wsp>
                    <wps:wsp>
                      <wps:cNvPr id="16" name="docshape23"/>
                      <wps:cNvSpPr txBox="1">
                        <a:spLocks noChangeArrowheads="1"/>
                      </wps:cNvSpPr>
                      <wps:spPr bwMode="auto">
                        <a:xfrm>
                          <a:off x="987" y="306"/>
                          <a:ext cx="10288" cy="1440"/>
                        </a:xfrm>
                        <a:prstGeom prst="rect">
                          <a:avLst/>
                        </a:prstGeom>
                        <a:grpFill/>
                        <a:ln>
                          <a:noFill/>
                        </a:ln>
                      </wps:spPr>
                      <wps:txbx>
                        <w:txbxContent>
                          <w:p w14:paraId="0BF45F4A" w14:textId="77777777" w:rsidR="00F70F57" w:rsidRDefault="00F70F57" w:rsidP="00E37A4C">
                            <w:pPr>
                              <w:spacing w:before="8"/>
                              <w:ind w:right="2590" w:firstLineChars="250" w:firstLine="873"/>
                              <w:jc w:val="center"/>
                              <w:rPr>
                                <w:rFonts w:ascii="Calisto MT" w:hAnsi="Calisto MT" w:cs="Calisto MT"/>
                                <w:b/>
                                <w:bCs/>
                                <w:color w:val="FFFFFF" w:themeColor="background1"/>
                                <w:sz w:val="20"/>
                              </w:rPr>
                            </w:pPr>
                            <w:r>
                              <w:rPr>
                                <w:rFonts w:ascii="Calisto MT" w:hAnsi="Calisto MT"/>
                                <w:b/>
                                <w:color w:val="FFFFFF"/>
                                <w:spacing w:val="-2"/>
                                <w:w w:val="110"/>
                                <w:sz w:val="32"/>
                                <w:szCs w:val="24"/>
                              </w:rPr>
                              <w:t xml:space="preserve">Multidisciplinary Surgical Research Annals </w:t>
                            </w:r>
                            <w:r>
                              <w:rPr>
                                <w:rFonts w:ascii="Calisto MT" w:hAnsi="Calisto MT"/>
                                <w:b/>
                                <w:bCs/>
                                <w:color w:val="FFFFFF" w:themeColor="background1"/>
                                <w:sz w:val="20"/>
                              </w:rPr>
                              <w:t>https://msra.online/index.php/Journal/about</w:t>
                            </w:r>
                          </w:p>
                          <w:p w14:paraId="38F85D78" w14:textId="7ABFD8D8" w:rsidR="00F70F57" w:rsidRDefault="00F70F57">
                            <w:pPr>
                              <w:spacing w:before="8"/>
                              <w:ind w:left="2589" w:right="2590"/>
                              <w:jc w:val="right"/>
                              <w:rPr>
                                <w:rFonts w:ascii="Calisto MT" w:hAnsi="Calisto MT" w:cs="Calisto MT"/>
                                <w:b/>
                                <w:bCs/>
                                <w:sz w:val="24"/>
                                <w:szCs w:val="24"/>
                              </w:rPr>
                            </w:pPr>
                            <w:r>
                              <w:rPr>
                                <w:rFonts w:ascii="Calisto MT" w:hAnsi="Calisto MT" w:cs="Calisto MT"/>
                                <w:b/>
                                <w:bCs/>
                                <w:color w:val="FFFFFF"/>
                                <w:spacing w:val="-4"/>
                                <w:sz w:val="24"/>
                                <w:szCs w:val="24"/>
                              </w:rPr>
                              <w:t>Volume</w:t>
                            </w:r>
                            <w:r>
                              <w:rPr>
                                <w:rFonts w:ascii="Calisto MT" w:hAnsi="Calisto MT" w:cs="Calisto MT"/>
                                <w:b/>
                                <w:bCs/>
                                <w:color w:val="FFFFFF"/>
                                <w:spacing w:val="-20"/>
                                <w:sz w:val="24"/>
                                <w:szCs w:val="24"/>
                              </w:rPr>
                              <w:t xml:space="preserve"> 4</w:t>
                            </w:r>
                            <w:r>
                              <w:rPr>
                                <w:rFonts w:ascii="Calisto MT" w:hAnsi="Calisto MT" w:cs="Calisto MT"/>
                                <w:b/>
                                <w:bCs/>
                                <w:color w:val="FFFFFF"/>
                                <w:spacing w:val="-4"/>
                                <w:sz w:val="24"/>
                                <w:szCs w:val="24"/>
                              </w:rPr>
                              <w:t>,</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Issue</w:t>
                            </w:r>
                            <w:r>
                              <w:rPr>
                                <w:rFonts w:ascii="Calisto MT" w:hAnsi="Calisto MT" w:cs="Calisto MT"/>
                                <w:b/>
                                <w:bCs/>
                                <w:color w:val="FFFFFF"/>
                                <w:spacing w:val="-20"/>
                                <w:sz w:val="24"/>
                                <w:szCs w:val="24"/>
                              </w:rPr>
                              <w:t xml:space="preserve"> </w:t>
                            </w:r>
                            <w:r w:rsidR="001E5476">
                              <w:rPr>
                                <w:rFonts w:ascii="Calisto MT" w:hAnsi="Calisto MT" w:cs="Calisto MT"/>
                                <w:b/>
                                <w:bCs/>
                                <w:color w:val="FFFFFF"/>
                                <w:spacing w:val="-20"/>
                                <w:sz w:val="24"/>
                                <w:szCs w:val="24"/>
                              </w:rPr>
                              <w:t>2</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(2026)</w:t>
                            </w:r>
                          </w:p>
                        </w:txbxContent>
                      </wps:txbx>
                      <wps:bodyPr rot="0" vert="horz" wrap="square" lIns="0" tIns="0" rIns="0" bIns="0" anchor="t" anchorCtr="0" upright="1">
                        <a:noAutofit/>
                      </wps:bodyPr>
                    </wps:wsp>
                  </wpg:wgp>
                </a:graphicData>
              </a:graphic>
            </wp:anchor>
          </w:drawing>
        </mc:Choice>
        <mc:Fallback>
          <w:pict>
            <v:group w14:anchorId="60573062" id="_x0000_s1035" style="position:absolute;margin-left:45.35pt;margin-top:-.45pt;width:523.6pt;height:65.3pt;z-index:-251660800;mso-wrap-distance-left:0;mso-wrap-distance-right:0;mso-position-horizontal-relative:page" coordorigin="896,186" coordsize="10479,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">
              <v:rect id="docshape13" o:spid="_x0000_s1036" style="position:absolute;left:935;top:306;width:1044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line id="Line 48" o:spid="_x0000_s1037" style="position:absolute;visibility:visible;mso-wrap-style:square" from="896,186" to="11336,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" strokecolor="#231f20"/>
              <v:line id="Line 47" o:spid="_x0000_s1038" style="position:absolute;visibility:visible;mso-wrap-style:square" from="904,1858" to="11344,1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" strokecolor="#231f20" strokeweight=".35281mm"/>
              <v:shapetype id="_x0000_t202" coordsize="21600,21600" o:spt="202" path="m,l,21600r21600,l21600,xe">
                <v:stroke joinstyle="miter"/>
                <v:path gradientshapeok="t" o:connecttype="rect"/>
              </v:shapetype>
              <v:shape id="docshape23" o:spid="_x0000_s1039" type="#_x0000_t202" style="position:absolute;left:987;top:306;width:1028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0BF45F4A" w14:textId="77777777" w:rsidR="00F70F57" w:rsidRDefault="00F70F57" w:rsidP="00E37A4C">
                      <w:pPr>
                        <w:spacing w:before="8"/>
                        <w:ind w:right="2590" w:firstLineChars="250" w:firstLine="873"/>
                        <w:jc w:val="center"/>
                        <w:rPr>
                          <w:rFonts w:ascii="Calisto MT" w:hAnsi="Calisto MT" w:cs="Calisto MT"/>
                          <w:b/>
                          <w:bCs/>
                          <w:color w:val="FFFFFF" w:themeColor="background1"/>
                          <w:sz w:val="20"/>
                        </w:rPr>
                      </w:pPr>
                      <w:r>
                        <w:rPr>
                          <w:rFonts w:ascii="Calisto MT" w:hAnsi="Calisto MT"/>
                          <w:b/>
                          <w:color w:val="FFFFFF"/>
                          <w:spacing w:val="-2"/>
                          <w:w w:val="110"/>
                          <w:sz w:val="32"/>
                          <w:szCs w:val="24"/>
                        </w:rPr>
                        <w:t xml:space="preserve">Multidisciplinary Surgical Research Annals </w:t>
                      </w:r>
                      <w:r>
                        <w:rPr>
                          <w:rFonts w:ascii="Calisto MT" w:hAnsi="Calisto MT"/>
                          <w:b/>
                          <w:bCs/>
                          <w:color w:val="FFFFFF" w:themeColor="background1"/>
                          <w:sz w:val="20"/>
                        </w:rPr>
                        <w:t>https://msra.online/index.php/Journal/about</w:t>
                      </w:r>
                    </w:p>
                    <w:p w14:paraId="38F85D78" w14:textId="7ABFD8D8" w:rsidR="00F70F57" w:rsidRDefault="00F70F57">
                      <w:pPr>
                        <w:spacing w:before="8"/>
                        <w:ind w:left="2589" w:right="2590"/>
                        <w:jc w:val="right"/>
                        <w:rPr>
                          <w:rFonts w:ascii="Calisto MT" w:hAnsi="Calisto MT" w:cs="Calisto MT"/>
                          <w:b/>
                          <w:bCs/>
                          <w:sz w:val="24"/>
                          <w:szCs w:val="24"/>
                        </w:rPr>
                      </w:pPr>
                      <w:r>
                        <w:rPr>
                          <w:rFonts w:ascii="Calisto MT" w:hAnsi="Calisto MT" w:cs="Calisto MT"/>
                          <w:b/>
                          <w:bCs/>
                          <w:color w:val="FFFFFF"/>
                          <w:spacing w:val="-4"/>
                          <w:sz w:val="24"/>
                          <w:szCs w:val="24"/>
                        </w:rPr>
                        <w:t>Volume</w:t>
                      </w:r>
                      <w:r>
                        <w:rPr>
                          <w:rFonts w:ascii="Calisto MT" w:hAnsi="Calisto MT" w:cs="Calisto MT"/>
                          <w:b/>
                          <w:bCs/>
                          <w:color w:val="FFFFFF"/>
                          <w:spacing w:val="-20"/>
                          <w:sz w:val="24"/>
                          <w:szCs w:val="24"/>
                        </w:rPr>
                        <w:t xml:space="preserve"> 4</w:t>
                      </w:r>
                      <w:r>
                        <w:rPr>
                          <w:rFonts w:ascii="Calisto MT" w:hAnsi="Calisto MT" w:cs="Calisto MT"/>
                          <w:b/>
                          <w:bCs/>
                          <w:color w:val="FFFFFF"/>
                          <w:spacing w:val="-4"/>
                          <w:sz w:val="24"/>
                          <w:szCs w:val="24"/>
                        </w:rPr>
                        <w:t>,</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Issue</w:t>
                      </w:r>
                      <w:r>
                        <w:rPr>
                          <w:rFonts w:ascii="Calisto MT" w:hAnsi="Calisto MT" w:cs="Calisto MT"/>
                          <w:b/>
                          <w:bCs/>
                          <w:color w:val="FFFFFF"/>
                          <w:spacing w:val="-20"/>
                          <w:sz w:val="24"/>
                          <w:szCs w:val="24"/>
                        </w:rPr>
                        <w:t xml:space="preserve"> </w:t>
                      </w:r>
                      <w:r w:rsidR="001E5476">
                        <w:rPr>
                          <w:rFonts w:ascii="Calisto MT" w:hAnsi="Calisto MT" w:cs="Calisto MT"/>
                          <w:b/>
                          <w:bCs/>
                          <w:color w:val="FFFFFF"/>
                          <w:spacing w:val="-20"/>
                          <w:sz w:val="24"/>
                          <w:szCs w:val="24"/>
                        </w:rPr>
                        <w:t>2</w:t>
                      </w:r>
                      <w:r>
                        <w:rPr>
                          <w:rFonts w:ascii="Calisto MT" w:hAnsi="Calisto MT" w:cs="Calisto MT"/>
                          <w:b/>
                          <w:bCs/>
                          <w:color w:val="FFFFFF"/>
                          <w:spacing w:val="-20"/>
                          <w:sz w:val="24"/>
                          <w:szCs w:val="24"/>
                        </w:rPr>
                        <w:t xml:space="preserve"> </w:t>
                      </w:r>
                      <w:r>
                        <w:rPr>
                          <w:rFonts w:ascii="Calisto MT" w:hAnsi="Calisto MT" w:cs="Calisto MT"/>
                          <w:b/>
                          <w:bCs/>
                          <w:color w:val="FFFFFF"/>
                          <w:spacing w:val="-4"/>
                          <w:sz w:val="24"/>
                          <w:szCs w:val="24"/>
                        </w:rPr>
                        <w:t>(2026)</w:t>
                      </w:r>
                    </w:p>
                  </w:txbxContent>
                </v:textbox>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2"/>
    <w:multiLevelType w:val="multilevel"/>
    <w:tmpl w:val="07A24220"/>
    <w:lvl w:ilvl="0">
      <w:start w:val="2"/>
      <w:numFmt w:val="decimal"/>
      <w:lvlText w:val="%1"/>
      <w:lvlJc w:val="left"/>
      <w:pPr>
        <w:ind w:left="724" w:hanging="365"/>
      </w:pPr>
      <w:rPr>
        <w:rFonts w:hint="default"/>
        <w:lang w:val="en-US" w:eastAsia="en-US" w:bidi="ar-SA"/>
      </w:rPr>
    </w:lvl>
    <w:lvl w:ilvl="1">
      <w:start w:val="1"/>
      <w:numFmt w:val="decimal"/>
      <w:lvlText w:val="%1.%2"/>
      <w:lvlJc w:val="left"/>
      <w:pPr>
        <w:ind w:left="724" w:hanging="365"/>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1.%2.%3"/>
      <w:lvlJc w:val="left"/>
      <w:pPr>
        <w:ind w:left="360" w:hanging="581"/>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bullet"/>
      <w:lvlText w:val="•"/>
      <w:lvlJc w:val="left"/>
      <w:pPr>
        <w:ind w:left="2880" w:hanging="581"/>
      </w:pPr>
      <w:rPr>
        <w:rFonts w:hint="default"/>
        <w:lang w:val="en-US" w:eastAsia="en-US" w:bidi="ar-SA"/>
      </w:rPr>
    </w:lvl>
    <w:lvl w:ilvl="4">
      <w:start w:val="1"/>
      <w:numFmt w:val="bullet"/>
      <w:lvlText w:val="•"/>
      <w:lvlJc w:val="left"/>
      <w:pPr>
        <w:ind w:left="3960" w:hanging="581"/>
      </w:pPr>
      <w:rPr>
        <w:rFonts w:hint="default"/>
        <w:lang w:val="en-US" w:eastAsia="en-US" w:bidi="ar-SA"/>
      </w:rPr>
    </w:lvl>
    <w:lvl w:ilvl="5">
      <w:start w:val="1"/>
      <w:numFmt w:val="bullet"/>
      <w:lvlText w:val="•"/>
      <w:lvlJc w:val="left"/>
      <w:pPr>
        <w:ind w:left="5040" w:hanging="581"/>
      </w:pPr>
      <w:rPr>
        <w:rFonts w:hint="default"/>
        <w:lang w:val="en-US" w:eastAsia="en-US" w:bidi="ar-SA"/>
      </w:rPr>
    </w:lvl>
    <w:lvl w:ilvl="6">
      <w:start w:val="1"/>
      <w:numFmt w:val="bullet"/>
      <w:lvlText w:val="•"/>
      <w:lvlJc w:val="left"/>
      <w:pPr>
        <w:ind w:left="6120" w:hanging="581"/>
      </w:pPr>
      <w:rPr>
        <w:rFonts w:hint="default"/>
        <w:lang w:val="en-US" w:eastAsia="en-US" w:bidi="ar-SA"/>
      </w:rPr>
    </w:lvl>
    <w:lvl w:ilvl="7">
      <w:start w:val="1"/>
      <w:numFmt w:val="bullet"/>
      <w:lvlText w:val="•"/>
      <w:lvlJc w:val="left"/>
      <w:pPr>
        <w:ind w:left="7200" w:hanging="581"/>
      </w:pPr>
      <w:rPr>
        <w:rFonts w:hint="default"/>
        <w:lang w:val="en-US" w:eastAsia="en-US" w:bidi="ar-SA"/>
      </w:rPr>
    </w:lvl>
    <w:lvl w:ilvl="8">
      <w:start w:val="1"/>
      <w:numFmt w:val="bullet"/>
      <w:lvlText w:val="•"/>
      <w:lvlJc w:val="left"/>
      <w:pPr>
        <w:ind w:left="8280" w:hanging="581"/>
      </w:pPr>
      <w:rPr>
        <w:rFonts w:hint="default"/>
        <w:lang w:val="en-US" w:eastAsia="en-US" w:bidi="ar-SA"/>
      </w:rPr>
    </w:lvl>
  </w:abstractNum>
  <w:abstractNum w:abstractNumId="2" w15:restartNumberingAfterBreak="0">
    <w:nsid w:val="00000003"/>
    <w:multiLevelType w:val="multilevel"/>
    <w:tmpl w:val="1B72251E"/>
    <w:lvl w:ilvl="0">
      <w:start w:val="6"/>
      <w:numFmt w:val="decimal"/>
      <w:lvlText w:val="%1"/>
      <w:lvlJc w:val="left"/>
      <w:pPr>
        <w:ind w:left="724" w:hanging="365"/>
      </w:pPr>
      <w:rPr>
        <w:rFonts w:hint="default"/>
        <w:lang w:val="en-US" w:eastAsia="en-US" w:bidi="ar-SA"/>
      </w:rPr>
    </w:lvl>
    <w:lvl w:ilvl="1">
      <w:start w:val="1"/>
      <w:numFmt w:val="decimal"/>
      <w:lvlText w:val="%1.%2"/>
      <w:lvlJc w:val="left"/>
      <w:pPr>
        <w:ind w:left="724" w:hanging="365"/>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bullet"/>
      <w:lvlText w:val="•"/>
      <w:lvlJc w:val="left"/>
      <w:pPr>
        <w:ind w:left="2664" w:hanging="365"/>
      </w:pPr>
      <w:rPr>
        <w:rFonts w:hint="default"/>
        <w:lang w:val="en-US" w:eastAsia="en-US" w:bidi="ar-SA"/>
      </w:rPr>
    </w:lvl>
    <w:lvl w:ilvl="3">
      <w:start w:val="1"/>
      <w:numFmt w:val="bullet"/>
      <w:lvlText w:val="•"/>
      <w:lvlJc w:val="left"/>
      <w:pPr>
        <w:ind w:left="3636" w:hanging="365"/>
      </w:pPr>
      <w:rPr>
        <w:rFonts w:hint="default"/>
        <w:lang w:val="en-US" w:eastAsia="en-US" w:bidi="ar-SA"/>
      </w:rPr>
    </w:lvl>
    <w:lvl w:ilvl="4">
      <w:start w:val="1"/>
      <w:numFmt w:val="bullet"/>
      <w:lvlText w:val="•"/>
      <w:lvlJc w:val="left"/>
      <w:pPr>
        <w:ind w:left="4608" w:hanging="365"/>
      </w:pPr>
      <w:rPr>
        <w:rFonts w:hint="default"/>
        <w:lang w:val="en-US" w:eastAsia="en-US" w:bidi="ar-SA"/>
      </w:rPr>
    </w:lvl>
    <w:lvl w:ilvl="5">
      <w:start w:val="1"/>
      <w:numFmt w:val="bullet"/>
      <w:lvlText w:val="•"/>
      <w:lvlJc w:val="left"/>
      <w:pPr>
        <w:ind w:left="5580" w:hanging="365"/>
      </w:pPr>
      <w:rPr>
        <w:rFonts w:hint="default"/>
        <w:lang w:val="en-US" w:eastAsia="en-US" w:bidi="ar-SA"/>
      </w:rPr>
    </w:lvl>
    <w:lvl w:ilvl="6">
      <w:start w:val="1"/>
      <w:numFmt w:val="bullet"/>
      <w:lvlText w:val="•"/>
      <w:lvlJc w:val="left"/>
      <w:pPr>
        <w:ind w:left="6552" w:hanging="365"/>
      </w:pPr>
      <w:rPr>
        <w:rFonts w:hint="default"/>
        <w:lang w:val="en-US" w:eastAsia="en-US" w:bidi="ar-SA"/>
      </w:rPr>
    </w:lvl>
    <w:lvl w:ilvl="7">
      <w:start w:val="1"/>
      <w:numFmt w:val="bullet"/>
      <w:lvlText w:val="•"/>
      <w:lvlJc w:val="left"/>
      <w:pPr>
        <w:ind w:left="7524" w:hanging="365"/>
      </w:pPr>
      <w:rPr>
        <w:rFonts w:hint="default"/>
        <w:lang w:val="en-US" w:eastAsia="en-US" w:bidi="ar-SA"/>
      </w:rPr>
    </w:lvl>
    <w:lvl w:ilvl="8">
      <w:start w:val="1"/>
      <w:numFmt w:val="bullet"/>
      <w:lvlText w:val="•"/>
      <w:lvlJc w:val="left"/>
      <w:pPr>
        <w:ind w:left="8496" w:hanging="365"/>
      </w:pPr>
      <w:rPr>
        <w:rFonts w:hint="default"/>
        <w:lang w:val="en-US" w:eastAsia="en-US" w:bidi="ar-SA"/>
      </w:rPr>
    </w:lvl>
  </w:abstractNum>
  <w:abstractNum w:abstractNumId="3" w15:restartNumberingAfterBreak="0">
    <w:nsid w:val="00000004"/>
    <w:multiLevelType w:val="multilevel"/>
    <w:tmpl w:val="624C984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000005"/>
    <w:multiLevelType w:val="multilevel"/>
    <w:tmpl w:val="400C5FA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0000006"/>
    <w:multiLevelType w:val="hybridMultilevel"/>
    <w:tmpl w:val="53E6EFDE"/>
    <w:lvl w:ilvl="0" w:tplc="D5F4A6DE">
      <w:start w:val="1"/>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tplc="1F1CE6B2">
      <w:start w:val="1"/>
      <w:numFmt w:val="bullet"/>
      <w:lvlText w:val="•"/>
      <w:lvlJc w:val="left"/>
      <w:pPr>
        <w:ind w:left="1384" w:hanging="360"/>
      </w:pPr>
      <w:rPr>
        <w:rFonts w:hint="default"/>
        <w:lang w:val="en-US" w:eastAsia="en-US" w:bidi="ar-SA"/>
      </w:rPr>
    </w:lvl>
    <w:lvl w:ilvl="2" w:tplc="C6FA04A4">
      <w:start w:val="1"/>
      <w:numFmt w:val="bullet"/>
      <w:lvlText w:val="•"/>
      <w:lvlJc w:val="left"/>
      <w:pPr>
        <w:ind w:left="2049" w:hanging="360"/>
      </w:pPr>
      <w:rPr>
        <w:rFonts w:hint="default"/>
        <w:lang w:val="en-US" w:eastAsia="en-US" w:bidi="ar-SA"/>
      </w:rPr>
    </w:lvl>
    <w:lvl w:ilvl="3" w:tplc="6DC0C3DC">
      <w:start w:val="1"/>
      <w:numFmt w:val="bullet"/>
      <w:lvlText w:val="•"/>
      <w:lvlJc w:val="left"/>
      <w:pPr>
        <w:ind w:left="2713" w:hanging="360"/>
      </w:pPr>
      <w:rPr>
        <w:rFonts w:hint="default"/>
        <w:lang w:val="en-US" w:eastAsia="en-US" w:bidi="ar-SA"/>
      </w:rPr>
    </w:lvl>
    <w:lvl w:ilvl="4" w:tplc="6EFAF00C">
      <w:start w:val="1"/>
      <w:numFmt w:val="bullet"/>
      <w:lvlText w:val="•"/>
      <w:lvlJc w:val="left"/>
      <w:pPr>
        <w:ind w:left="3378" w:hanging="360"/>
      </w:pPr>
      <w:rPr>
        <w:rFonts w:hint="default"/>
        <w:lang w:val="en-US" w:eastAsia="en-US" w:bidi="ar-SA"/>
      </w:rPr>
    </w:lvl>
    <w:lvl w:ilvl="5" w:tplc="8CEE2A06">
      <w:start w:val="1"/>
      <w:numFmt w:val="bullet"/>
      <w:lvlText w:val="•"/>
      <w:lvlJc w:val="left"/>
      <w:pPr>
        <w:ind w:left="4043" w:hanging="360"/>
      </w:pPr>
      <w:rPr>
        <w:rFonts w:hint="default"/>
        <w:lang w:val="en-US" w:eastAsia="en-US" w:bidi="ar-SA"/>
      </w:rPr>
    </w:lvl>
    <w:lvl w:ilvl="6" w:tplc="B49427DA">
      <w:start w:val="1"/>
      <w:numFmt w:val="bullet"/>
      <w:lvlText w:val="•"/>
      <w:lvlJc w:val="left"/>
      <w:pPr>
        <w:ind w:left="4707" w:hanging="360"/>
      </w:pPr>
      <w:rPr>
        <w:rFonts w:hint="default"/>
        <w:lang w:val="en-US" w:eastAsia="en-US" w:bidi="ar-SA"/>
      </w:rPr>
    </w:lvl>
    <w:lvl w:ilvl="7" w:tplc="1E46DD08">
      <w:start w:val="1"/>
      <w:numFmt w:val="bullet"/>
      <w:lvlText w:val="•"/>
      <w:lvlJc w:val="left"/>
      <w:pPr>
        <w:ind w:left="5372" w:hanging="360"/>
      </w:pPr>
      <w:rPr>
        <w:rFonts w:hint="default"/>
        <w:lang w:val="en-US" w:eastAsia="en-US" w:bidi="ar-SA"/>
      </w:rPr>
    </w:lvl>
    <w:lvl w:ilvl="8" w:tplc="2190EE0E">
      <w:start w:val="1"/>
      <w:numFmt w:val="bullet"/>
      <w:lvlText w:val="•"/>
      <w:lvlJc w:val="left"/>
      <w:pPr>
        <w:ind w:left="6036" w:hanging="360"/>
      </w:pPr>
      <w:rPr>
        <w:rFonts w:hint="default"/>
        <w:lang w:val="en-US" w:eastAsia="en-US" w:bidi="ar-SA"/>
      </w:rPr>
    </w:lvl>
  </w:abstractNum>
  <w:abstractNum w:abstractNumId="6" w15:restartNumberingAfterBreak="0">
    <w:nsid w:val="00000007"/>
    <w:multiLevelType w:val="singleLevel"/>
    <w:tmpl w:val="00000007"/>
    <w:lvl w:ilvl="0">
      <w:start w:val="1"/>
      <w:numFmt w:val="decimal"/>
      <w:lvlText w:val="%1."/>
      <w:lvlJc w:val="left"/>
      <w:pPr>
        <w:tabs>
          <w:tab w:val="left" w:pos="425"/>
        </w:tabs>
        <w:ind w:left="425" w:hanging="425"/>
      </w:pPr>
      <w:rPr>
        <w:rFonts w:hint="default"/>
      </w:rPr>
    </w:lvl>
  </w:abstractNum>
  <w:abstractNum w:abstractNumId="7" w15:restartNumberingAfterBreak="0">
    <w:nsid w:val="00000008"/>
    <w:multiLevelType w:val="hybridMultilevel"/>
    <w:tmpl w:val="1004BC02"/>
    <w:lvl w:ilvl="0" w:tplc="0E565E14">
      <w:start w:val="1"/>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tplc="AD7E4622">
      <w:start w:val="1"/>
      <w:numFmt w:val="bullet"/>
      <w:lvlText w:val="•"/>
      <w:lvlJc w:val="left"/>
      <w:pPr>
        <w:ind w:left="1277" w:hanging="360"/>
      </w:pPr>
      <w:rPr>
        <w:rFonts w:hint="default"/>
        <w:lang w:val="en-US" w:eastAsia="en-US" w:bidi="ar-SA"/>
      </w:rPr>
    </w:lvl>
    <w:lvl w:ilvl="2" w:tplc="020CD06E">
      <w:start w:val="1"/>
      <w:numFmt w:val="bullet"/>
      <w:lvlText w:val="•"/>
      <w:lvlJc w:val="left"/>
      <w:pPr>
        <w:ind w:left="1835" w:hanging="360"/>
      </w:pPr>
      <w:rPr>
        <w:rFonts w:hint="default"/>
        <w:lang w:val="en-US" w:eastAsia="en-US" w:bidi="ar-SA"/>
      </w:rPr>
    </w:lvl>
    <w:lvl w:ilvl="3" w:tplc="BE844A92">
      <w:start w:val="1"/>
      <w:numFmt w:val="bullet"/>
      <w:lvlText w:val="•"/>
      <w:lvlJc w:val="left"/>
      <w:pPr>
        <w:ind w:left="2392" w:hanging="360"/>
      </w:pPr>
      <w:rPr>
        <w:rFonts w:hint="default"/>
        <w:lang w:val="en-US" w:eastAsia="en-US" w:bidi="ar-SA"/>
      </w:rPr>
    </w:lvl>
    <w:lvl w:ilvl="4" w:tplc="134CAC1A">
      <w:start w:val="1"/>
      <w:numFmt w:val="bullet"/>
      <w:lvlText w:val="•"/>
      <w:lvlJc w:val="left"/>
      <w:pPr>
        <w:ind w:left="2950" w:hanging="360"/>
      </w:pPr>
      <w:rPr>
        <w:rFonts w:hint="default"/>
        <w:lang w:val="en-US" w:eastAsia="en-US" w:bidi="ar-SA"/>
      </w:rPr>
    </w:lvl>
    <w:lvl w:ilvl="5" w:tplc="0AF4B2AC">
      <w:start w:val="1"/>
      <w:numFmt w:val="bullet"/>
      <w:lvlText w:val="•"/>
      <w:lvlJc w:val="left"/>
      <w:pPr>
        <w:ind w:left="3507" w:hanging="360"/>
      </w:pPr>
      <w:rPr>
        <w:rFonts w:hint="default"/>
        <w:lang w:val="en-US" w:eastAsia="en-US" w:bidi="ar-SA"/>
      </w:rPr>
    </w:lvl>
    <w:lvl w:ilvl="6" w:tplc="E3B88E1C">
      <w:start w:val="1"/>
      <w:numFmt w:val="bullet"/>
      <w:lvlText w:val="•"/>
      <w:lvlJc w:val="left"/>
      <w:pPr>
        <w:ind w:left="4065" w:hanging="360"/>
      </w:pPr>
      <w:rPr>
        <w:rFonts w:hint="default"/>
        <w:lang w:val="en-US" w:eastAsia="en-US" w:bidi="ar-SA"/>
      </w:rPr>
    </w:lvl>
    <w:lvl w:ilvl="7" w:tplc="4678EECC">
      <w:start w:val="1"/>
      <w:numFmt w:val="bullet"/>
      <w:lvlText w:val="•"/>
      <w:lvlJc w:val="left"/>
      <w:pPr>
        <w:ind w:left="4622" w:hanging="360"/>
      </w:pPr>
      <w:rPr>
        <w:rFonts w:hint="default"/>
        <w:lang w:val="en-US" w:eastAsia="en-US" w:bidi="ar-SA"/>
      </w:rPr>
    </w:lvl>
    <w:lvl w:ilvl="8" w:tplc="AA6CA226">
      <w:start w:val="1"/>
      <w:numFmt w:val="bullet"/>
      <w:lvlText w:val="•"/>
      <w:lvlJc w:val="left"/>
      <w:pPr>
        <w:ind w:left="5180" w:hanging="360"/>
      </w:pPr>
      <w:rPr>
        <w:rFonts w:hint="default"/>
        <w:lang w:val="en-US" w:eastAsia="en-US" w:bidi="ar-SA"/>
      </w:rPr>
    </w:lvl>
  </w:abstractNum>
  <w:abstractNum w:abstractNumId="8" w15:restartNumberingAfterBreak="0">
    <w:nsid w:val="00000009"/>
    <w:multiLevelType w:val="hybridMultilevel"/>
    <w:tmpl w:val="C748BFCC"/>
    <w:lvl w:ilvl="0" w:tplc="8EA0229E">
      <w:start w:val="1"/>
      <w:numFmt w:val="bullet"/>
      <w:lvlText w:val=""/>
      <w:lvlJc w:val="left"/>
      <w:pPr>
        <w:ind w:left="1081" w:hanging="361"/>
      </w:pPr>
      <w:rPr>
        <w:rFonts w:ascii="Symbol" w:eastAsia="Symbol" w:hAnsi="Symbol" w:cs="Symbol" w:hint="default"/>
        <w:b w:val="0"/>
        <w:bCs w:val="0"/>
        <w:i w:val="0"/>
        <w:iCs w:val="0"/>
        <w:spacing w:val="0"/>
        <w:w w:val="100"/>
        <w:sz w:val="24"/>
        <w:szCs w:val="24"/>
        <w:lang w:val="en-US" w:eastAsia="en-US" w:bidi="ar-SA"/>
      </w:rPr>
    </w:lvl>
    <w:lvl w:ilvl="1" w:tplc="59D0E518">
      <w:start w:val="1"/>
      <w:numFmt w:val="bullet"/>
      <w:lvlText w:val="o"/>
      <w:lvlJc w:val="left"/>
      <w:pPr>
        <w:ind w:left="1801" w:hanging="360"/>
      </w:pPr>
      <w:rPr>
        <w:rFonts w:ascii="Courier New" w:eastAsia="Courier New" w:hAnsi="Courier New" w:cs="Courier New" w:hint="default"/>
        <w:b w:val="0"/>
        <w:bCs w:val="0"/>
        <w:i w:val="0"/>
        <w:iCs w:val="0"/>
        <w:spacing w:val="0"/>
        <w:w w:val="100"/>
        <w:sz w:val="24"/>
        <w:szCs w:val="24"/>
        <w:lang w:val="en-US" w:eastAsia="en-US" w:bidi="ar-SA"/>
      </w:rPr>
    </w:lvl>
    <w:lvl w:ilvl="2" w:tplc="6E02A28E">
      <w:start w:val="1"/>
      <w:numFmt w:val="bullet"/>
      <w:lvlText w:val="•"/>
      <w:lvlJc w:val="left"/>
      <w:pPr>
        <w:ind w:left="2760" w:hanging="360"/>
      </w:pPr>
      <w:rPr>
        <w:rFonts w:hint="default"/>
        <w:lang w:val="en-US" w:eastAsia="en-US" w:bidi="ar-SA"/>
      </w:rPr>
    </w:lvl>
    <w:lvl w:ilvl="3" w:tplc="99CCB06A">
      <w:start w:val="1"/>
      <w:numFmt w:val="bullet"/>
      <w:lvlText w:val="•"/>
      <w:lvlJc w:val="left"/>
      <w:pPr>
        <w:ind w:left="3720" w:hanging="360"/>
      </w:pPr>
      <w:rPr>
        <w:rFonts w:hint="default"/>
        <w:lang w:val="en-US" w:eastAsia="en-US" w:bidi="ar-SA"/>
      </w:rPr>
    </w:lvl>
    <w:lvl w:ilvl="4" w:tplc="7B32D15A">
      <w:start w:val="1"/>
      <w:numFmt w:val="bullet"/>
      <w:lvlText w:val="•"/>
      <w:lvlJc w:val="left"/>
      <w:pPr>
        <w:ind w:left="4680" w:hanging="360"/>
      </w:pPr>
      <w:rPr>
        <w:rFonts w:hint="default"/>
        <w:lang w:val="en-US" w:eastAsia="en-US" w:bidi="ar-SA"/>
      </w:rPr>
    </w:lvl>
    <w:lvl w:ilvl="5" w:tplc="E0163B96">
      <w:start w:val="1"/>
      <w:numFmt w:val="bullet"/>
      <w:lvlText w:val="•"/>
      <w:lvlJc w:val="left"/>
      <w:pPr>
        <w:ind w:left="5640" w:hanging="360"/>
      </w:pPr>
      <w:rPr>
        <w:rFonts w:hint="default"/>
        <w:lang w:val="en-US" w:eastAsia="en-US" w:bidi="ar-SA"/>
      </w:rPr>
    </w:lvl>
    <w:lvl w:ilvl="6" w:tplc="6D028308">
      <w:start w:val="1"/>
      <w:numFmt w:val="bullet"/>
      <w:lvlText w:val="•"/>
      <w:lvlJc w:val="left"/>
      <w:pPr>
        <w:ind w:left="6600" w:hanging="360"/>
      </w:pPr>
      <w:rPr>
        <w:rFonts w:hint="default"/>
        <w:lang w:val="en-US" w:eastAsia="en-US" w:bidi="ar-SA"/>
      </w:rPr>
    </w:lvl>
    <w:lvl w:ilvl="7" w:tplc="32265BB0">
      <w:start w:val="1"/>
      <w:numFmt w:val="bullet"/>
      <w:lvlText w:val="•"/>
      <w:lvlJc w:val="left"/>
      <w:pPr>
        <w:ind w:left="7560" w:hanging="360"/>
      </w:pPr>
      <w:rPr>
        <w:rFonts w:hint="default"/>
        <w:lang w:val="en-US" w:eastAsia="en-US" w:bidi="ar-SA"/>
      </w:rPr>
    </w:lvl>
    <w:lvl w:ilvl="8" w:tplc="CC8EEA2A">
      <w:start w:val="1"/>
      <w:numFmt w:val="bullet"/>
      <w:lvlText w:val="•"/>
      <w:lvlJc w:val="left"/>
      <w:pPr>
        <w:ind w:left="8520" w:hanging="360"/>
      </w:pPr>
      <w:rPr>
        <w:rFonts w:hint="default"/>
        <w:lang w:val="en-US" w:eastAsia="en-US" w:bidi="ar-SA"/>
      </w:rPr>
    </w:lvl>
  </w:abstractNum>
  <w:abstractNum w:abstractNumId="9" w15:restartNumberingAfterBreak="0">
    <w:nsid w:val="0000000A"/>
    <w:multiLevelType w:val="multilevel"/>
    <w:tmpl w:val="C72EA5A0"/>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0" w15:restartNumberingAfterBreak="0">
    <w:nsid w:val="0000000B"/>
    <w:multiLevelType w:val="multilevel"/>
    <w:tmpl w:val="DCFAF97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000000C"/>
    <w:multiLevelType w:val="multilevel"/>
    <w:tmpl w:val="97180DA4"/>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2" w15:restartNumberingAfterBreak="0">
    <w:nsid w:val="0000000D"/>
    <w:multiLevelType w:val="multilevel"/>
    <w:tmpl w:val="539A997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000000E"/>
    <w:multiLevelType w:val="multilevel"/>
    <w:tmpl w:val="4EF2F56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000000F"/>
    <w:multiLevelType w:val="multilevel"/>
    <w:tmpl w:val="492A24C0"/>
    <w:lvl w:ilvl="0">
      <w:start w:val="3"/>
      <w:numFmt w:val="decimal"/>
      <w:lvlText w:val="%1"/>
      <w:lvlJc w:val="left"/>
      <w:pPr>
        <w:ind w:left="1469" w:hanging="365"/>
      </w:pPr>
      <w:rPr>
        <w:rFonts w:hint="default"/>
        <w:lang w:val="en-US" w:eastAsia="en-US" w:bidi="ar-SA"/>
      </w:rPr>
    </w:lvl>
    <w:lvl w:ilvl="1">
      <w:start w:val="7"/>
      <w:numFmt w:val="decimal"/>
      <w:lvlText w:val="%1.%2"/>
      <w:lvlJc w:val="left"/>
      <w:pPr>
        <w:ind w:left="1469" w:hanging="365"/>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1.%2.%3"/>
      <w:lvlJc w:val="left"/>
      <w:pPr>
        <w:ind w:left="1632" w:hanging="528"/>
      </w:pPr>
      <w:rPr>
        <w:rFonts w:ascii="Times New Roman" w:eastAsia="Times New Roman" w:hAnsi="Times New Roman" w:cs="Times New Roman" w:hint="default"/>
        <w:b/>
        <w:bCs/>
        <w:i w:val="0"/>
        <w:iCs w:val="0"/>
        <w:spacing w:val="-5"/>
        <w:w w:val="100"/>
        <w:sz w:val="24"/>
        <w:szCs w:val="24"/>
        <w:lang w:val="en-US" w:eastAsia="en-US" w:bidi="ar-SA"/>
      </w:rPr>
    </w:lvl>
    <w:lvl w:ilvl="3">
      <w:start w:val="1"/>
      <w:numFmt w:val="bullet"/>
      <w:lvlText w:val="•"/>
      <w:lvlJc w:val="left"/>
      <w:pPr>
        <w:ind w:left="3595" w:hanging="528"/>
      </w:pPr>
      <w:rPr>
        <w:rFonts w:hint="default"/>
        <w:lang w:val="en-US" w:eastAsia="en-US" w:bidi="ar-SA"/>
      </w:rPr>
    </w:lvl>
    <w:lvl w:ilvl="4">
      <w:start w:val="1"/>
      <w:numFmt w:val="bullet"/>
      <w:lvlText w:val="•"/>
      <w:lvlJc w:val="left"/>
      <w:pPr>
        <w:ind w:left="4573" w:hanging="528"/>
      </w:pPr>
      <w:rPr>
        <w:rFonts w:hint="default"/>
        <w:lang w:val="en-US" w:eastAsia="en-US" w:bidi="ar-SA"/>
      </w:rPr>
    </w:lvl>
    <w:lvl w:ilvl="5">
      <w:start w:val="1"/>
      <w:numFmt w:val="bullet"/>
      <w:lvlText w:val="•"/>
      <w:lvlJc w:val="left"/>
      <w:pPr>
        <w:ind w:left="5551" w:hanging="528"/>
      </w:pPr>
      <w:rPr>
        <w:rFonts w:hint="default"/>
        <w:lang w:val="en-US" w:eastAsia="en-US" w:bidi="ar-SA"/>
      </w:rPr>
    </w:lvl>
    <w:lvl w:ilvl="6">
      <w:start w:val="1"/>
      <w:numFmt w:val="bullet"/>
      <w:lvlText w:val="•"/>
      <w:lvlJc w:val="left"/>
      <w:pPr>
        <w:ind w:left="6528" w:hanging="528"/>
      </w:pPr>
      <w:rPr>
        <w:rFonts w:hint="default"/>
        <w:lang w:val="en-US" w:eastAsia="en-US" w:bidi="ar-SA"/>
      </w:rPr>
    </w:lvl>
    <w:lvl w:ilvl="7">
      <w:start w:val="1"/>
      <w:numFmt w:val="bullet"/>
      <w:lvlText w:val="•"/>
      <w:lvlJc w:val="left"/>
      <w:pPr>
        <w:ind w:left="7506" w:hanging="528"/>
      </w:pPr>
      <w:rPr>
        <w:rFonts w:hint="default"/>
        <w:lang w:val="en-US" w:eastAsia="en-US" w:bidi="ar-SA"/>
      </w:rPr>
    </w:lvl>
    <w:lvl w:ilvl="8">
      <w:start w:val="1"/>
      <w:numFmt w:val="bullet"/>
      <w:lvlText w:val="•"/>
      <w:lvlJc w:val="left"/>
      <w:pPr>
        <w:ind w:left="8484" w:hanging="528"/>
      </w:pPr>
      <w:rPr>
        <w:rFonts w:hint="default"/>
        <w:lang w:val="en-US" w:eastAsia="en-US" w:bidi="ar-SA"/>
      </w:rPr>
    </w:lvl>
  </w:abstractNum>
  <w:abstractNum w:abstractNumId="15" w15:restartNumberingAfterBreak="0">
    <w:nsid w:val="00000010"/>
    <w:multiLevelType w:val="multilevel"/>
    <w:tmpl w:val="AFB05F0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0000011"/>
    <w:multiLevelType w:val="multilevel"/>
    <w:tmpl w:val="137497D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00000012"/>
    <w:multiLevelType w:val="multilevel"/>
    <w:tmpl w:val="53B2453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00000013"/>
    <w:multiLevelType w:val="hybridMultilevel"/>
    <w:tmpl w:val="9836F3C2"/>
    <w:lvl w:ilvl="0" w:tplc="F0CC8A7C">
      <w:start w:val="1"/>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tplc="4FE093F0">
      <w:start w:val="1"/>
      <w:numFmt w:val="bullet"/>
      <w:lvlText w:val="•"/>
      <w:lvlJc w:val="left"/>
      <w:pPr>
        <w:ind w:left="1277" w:hanging="360"/>
      </w:pPr>
      <w:rPr>
        <w:rFonts w:hint="default"/>
        <w:lang w:val="en-US" w:eastAsia="en-US" w:bidi="ar-SA"/>
      </w:rPr>
    </w:lvl>
    <w:lvl w:ilvl="2" w:tplc="D85A72C0">
      <w:start w:val="1"/>
      <w:numFmt w:val="bullet"/>
      <w:lvlText w:val="•"/>
      <w:lvlJc w:val="left"/>
      <w:pPr>
        <w:ind w:left="1835" w:hanging="360"/>
      </w:pPr>
      <w:rPr>
        <w:rFonts w:hint="default"/>
        <w:lang w:val="en-US" w:eastAsia="en-US" w:bidi="ar-SA"/>
      </w:rPr>
    </w:lvl>
    <w:lvl w:ilvl="3" w:tplc="BC00C5E2">
      <w:start w:val="1"/>
      <w:numFmt w:val="bullet"/>
      <w:lvlText w:val="•"/>
      <w:lvlJc w:val="left"/>
      <w:pPr>
        <w:ind w:left="2392" w:hanging="360"/>
      </w:pPr>
      <w:rPr>
        <w:rFonts w:hint="default"/>
        <w:lang w:val="en-US" w:eastAsia="en-US" w:bidi="ar-SA"/>
      </w:rPr>
    </w:lvl>
    <w:lvl w:ilvl="4" w:tplc="F4CE15E6">
      <w:start w:val="1"/>
      <w:numFmt w:val="bullet"/>
      <w:lvlText w:val="•"/>
      <w:lvlJc w:val="left"/>
      <w:pPr>
        <w:ind w:left="2950" w:hanging="360"/>
      </w:pPr>
      <w:rPr>
        <w:rFonts w:hint="default"/>
        <w:lang w:val="en-US" w:eastAsia="en-US" w:bidi="ar-SA"/>
      </w:rPr>
    </w:lvl>
    <w:lvl w:ilvl="5" w:tplc="7D18771A">
      <w:start w:val="1"/>
      <w:numFmt w:val="bullet"/>
      <w:lvlText w:val="•"/>
      <w:lvlJc w:val="left"/>
      <w:pPr>
        <w:ind w:left="3507" w:hanging="360"/>
      </w:pPr>
      <w:rPr>
        <w:rFonts w:hint="default"/>
        <w:lang w:val="en-US" w:eastAsia="en-US" w:bidi="ar-SA"/>
      </w:rPr>
    </w:lvl>
    <w:lvl w:ilvl="6" w:tplc="99863978">
      <w:start w:val="1"/>
      <w:numFmt w:val="bullet"/>
      <w:lvlText w:val="•"/>
      <w:lvlJc w:val="left"/>
      <w:pPr>
        <w:ind w:left="4065" w:hanging="360"/>
      </w:pPr>
      <w:rPr>
        <w:rFonts w:hint="default"/>
        <w:lang w:val="en-US" w:eastAsia="en-US" w:bidi="ar-SA"/>
      </w:rPr>
    </w:lvl>
    <w:lvl w:ilvl="7" w:tplc="046AD11E">
      <w:start w:val="1"/>
      <w:numFmt w:val="bullet"/>
      <w:lvlText w:val="•"/>
      <w:lvlJc w:val="left"/>
      <w:pPr>
        <w:ind w:left="4622" w:hanging="360"/>
      </w:pPr>
      <w:rPr>
        <w:rFonts w:hint="default"/>
        <w:lang w:val="en-US" w:eastAsia="en-US" w:bidi="ar-SA"/>
      </w:rPr>
    </w:lvl>
    <w:lvl w:ilvl="8" w:tplc="E5EE5AF6">
      <w:start w:val="1"/>
      <w:numFmt w:val="bullet"/>
      <w:lvlText w:val="•"/>
      <w:lvlJc w:val="left"/>
      <w:pPr>
        <w:ind w:left="5180" w:hanging="360"/>
      </w:pPr>
      <w:rPr>
        <w:rFonts w:hint="default"/>
        <w:lang w:val="en-US" w:eastAsia="en-US" w:bidi="ar-SA"/>
      </w:rPr>
    </w:lvl>
  </w:abstractNum>
  <w:abstractNum w:abstractNumId="19" w15:restartNumberingAfterBreak="0">
    <w:nsid w:val="00000014"/>
    <w:multiLevelType w:val="hybridMultilevel"/>
    <w:tmpl w:val="6E30BAE2"/>
    <w:lvl w:ilvl="0" w:tplc="DFF8C2CC">
      <w:start w:val="1"/>
      <w:numFmt w:val="bullet"/>
      <w:lvlText w:val=""/>
      <w:lvlJc w:val="left"/>
      <w:pPr>
        <w:ind w:left="1081" w:hanging="361"/>
      </w:pPr>
      <w:rPr>
        <w:rFonts w:ascii="Wingdings" w:eastAsia="Wingdings" w:hAnsi="Wingdings" w:cs="Wingdings" w:hint="default"/>
        <w:b w:val="0"/>
        <w:bCs w:val="0"/>
        <w:i w:val="0"/>
        <w:iCs w:val="0"/>
        <w:spacing w:val="0"/>
        <w:w w:val="100"/>
        <w:sz w:val="24"/>
        <w:szCs w:val="24"/>
        <w:lang w:val="en-US" w:eastAsia="en-US" w:bidi="ar-SA"/>
      </w:rPr>
    </w:lvl>
    <w:lvl w:ilvl="1" w:tplc="C4D6F256">
      <w:start w:val="1"/>
      <w:numFmt w:val="bullet"/>
      <w:lvlText w:val="o"/>
      <w:lvlJc w:val="left"/>
      <w:pPr>
        <w:ind w:left="1801" w:hanging="360"/>
      </w:pPr>
      <w:rPr>
        <w:rFonts w:ascii="Courier New" w:eastAsia="Courier New" w:hAnsi="Courier New" w:cs="Courier New" w:hint="default"/>
        <w:b w:val="0"/>
        <w:bCs w:val="0"/>
        <w:i w:val="0"/>
        <w:iCs w:val="0"/>
        <w:spacing w:val="0"/>
        <w:w w:val="100"/>
        <w:sz w:val="24"/>
        <w:szCs w:val="24"/>
        <w:lang w:val="en-US" w:eastAsia="en-US" w:bidi="ar-SA"/>
      </w:rPr>
    </w:lvl>
    <w:lvl w:ilvl="2" w:tplc="67800E08">
      <w:start w:val="1"/>
      <w:numFmt w:val="bullet"/>
      <w:lvlText w:val="•"/>
      <w:lvlJc w:val="left"/>
      <w:pPr>
        <w:ind w:left="2760" w:hanging="360"/>
      </w:pPr>
      <w:rPr>
        <w:rFonts w:hint="default"/>
        <w:lang w:val="en-US" w:eastAsia="en-US" w:bidi="ar-SA"/>
      </w:rPr>
    </w:lvl>
    <w:lvl w:ilvl="3" w:tplc="B49C5902">
      <w:start w:val="1"/>
      <w:numFmt w:val="bullet"/>
      <w:lvlText w:val="•"/>
      <w:lvlJc w:val="left"/>
      <w:pPr>
        <w:ind w:left="3720" w:hanging="360"/>
      </w:pPr>
      <w:rPr>
        <w:rFonts w:hint="default"/>
        <w:lang w:val="en-US" w:eastAsia="en-US" w:bidi="ar-SA"/>
      </w:rPr>
    </w:lvl>
    <w:lvl w:ilvl="4" w:tplc="3CA4B38E">
      <w:start w:val="1"/>
      <w:numFmt w:val="bullet"/>
      <w:lvlText w:val="•"/>
      <w:lvlJc w:val="left"/>
      <w:pPr>
        <w:ind w:left="4680" w:hanging="360"/>
      </w:pPr>
      <w:rPr>
        <w:rFonts w:hint="default"/>
        <w:lang w:val="en-US" w:eastAsia="en-US" w:bidi="ar-SA"/>
      </w:rPr>
    </w:lvl>
    <w:lvl w:ilvl="5" w:tplc="EA1CFA1E">
      <w:start w:val="1"/>
      <w:numFmt w:val="bullet"/>
      <w:lvlText w:val="•"/>
      <w:lvlJc w:val="left"/>
      <w:pPr>
        <w:ind w:left="5640" w:hanging="360"/>
      </w:pPr>
      <w:rPr>
        <w:rFonts w:hint="default"/>
        <w:lang w:val="en-US" w:eastAsia="en-US" w:bidi="ar-SA"/>
      </w:rPr>
    </w:lvl>
    <w:lvl w:ilvl="6" w:tplc="17489BD2">
      <w:start w:val="1"/>
      <w:numFmt w:val="bullet"/>
      <w:lvlText w:val="•"/>
      <w:lvlJc w:val="left"/>
      <w:pPr>
        <w:ind w:left="6600" w:hanging="360"/>
      </w:pPr>
      <w:rPr>
        <w:rFonts w:hint="default"/>
        <w:lang w:val="en-US" w:eastAsia="en-US" w:bidi="ar-SA"/>
      </w:rPr>
    </w:lvl>
    <w:lvl w:ilvl="7" w:tplc="6EDEB876">
      <w:start w:val="1"/>
      <w:numFmt w:val="bullet"/>
      <w:lvlText w:val="•"/>
      <w:lvlJc w:val="left"/>
      <w:pPr>
        <w:ind w:left="7560" w:hanging="360"/>
      </w:pPr>
      <w:rPr>
        <w:rFonts w:hint="default"/>
        <w:lang w:val="en-US" w:eastAsia="en-US" w:bidi="ar-SA"/>
      </w:rPr>
    </w:lvl>
    <w:lvl w:ilvl="8" w:tplc="0CF67B28">
      <w:start w:val="1"/>
      <w:numFmt w:val="bullet"/>
      <w:lvlText w:val="•"/>
      <w:lvlJc w:val="left"/>
      <w:pPr>
        <w:ind w:left="8520" w:hanging="360"/>
      </w:pPr>
      <w:rPr>
        <w:rFonts w:hint="default"/>
        <w:lang w:val="en-US" w:eastAsia="en-US" w:bidi="ar-SA"/>
      </w:rPr>
    </w:lvl>
  </w:abstractNum>
  <w:abstractNum w:abstractNumId="20" w15:restartNumberingAfterBreak="0">
    <w:nsid w:val="00000015"/>
    <w:multiLevelType w:val="multilevel"/>
    <w:tmpl w:val="D03645E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5F01E16"/>
    <w:multiLevelType w:val="hybridMultilevel"/>
    <w:tmpl w:val="0D0E1F02"/>
    <w:lvl w:ilvl="0" w:tplc="E6A62078">
      <w:start w:val="1"/>
      <w:numFmt w:val="bullet"/>
      <w:lvlText w:val=""/>
      <w:lvlJc w:val="left"/>
      <w:pPr>
        <w:ind w:left="724" w:hanging="360"/>
      </w:pPr>
      <w:rPr>
        <w:rFonts w:ascii="Symbol" w:eastAsia="Symbol" w:hAnsi="Symbol" w:cs="Symbol" w:hint="default"/>
        <w:b w:val="0"/>
        <w:bCs w:val="0"/>
        <w:i w:val="0"/>
        <w:iCs w:val="0"/>
        <w:spacing w:val="0"/>
        <w:w w:val="100"/>
        <w:sz w:val="24"/>
        <w:szCs w:val="24"/>
        <w:lang w:val="en-US" w:eastAsia="en-US" w:bidi="ar-SA"/>
      </w:rPr>
    </w:lvl>
    <w:lvl w:ilvl="1" w:tplc="F1944E1E">
      <w:start w:val="1"/>
      <w:numFmt w:val="bullet"/>
      <w:lvlText w:val="•"/>
      <w:lvlJc w:val="left"/>
      <w:pPr>
        <w:ind w:left="1277" w:hanging="360"/>
      </w:pPr>
      <w:rPr>
        <w:rFonts w:hint="default"/>
        <w:lang w:val="en-US" w:eastAsia="en-US" w:bidi="ar-SA"/>
      </w:rPr>
    </w:lvl>
    <w:lvl w:ilvl="2" w:tplc="42DE9B3A">
      <w:start w:val="1"/>
      <w:numFmt w:val="bullet"/>
      <w:lvlText w:val="•"/>
      <w:lvlJc w:val="left"/>
      <w:pPr>
        <w:ind w:left="1835" w:hanging="360"/>
      </w:pPr>
      <w:rPr>
        <w:rFonts w:hint="default"/>
        <w:lang w:val="en-US" w:eastAsia="en-US" w:bidi="ar-SA"/>
      </w:rPr>
    </w:lvl>
    <w:lvl w:ilvl="3" w:tplc="68669A14">
      <w:start w:val="1"/>
      <w:numFmt w:val="bullet"/>
      <w:lvlText w:val="•"/>
      <w:lvlJc w:val="left"/>
      <w:pPr>
        <w:ind w:left="2392" w:hanging="360"/>
      </w:pPr>
      <w:rPr>
        <w:rFonts w:hint="default"/>
        <w:lang w:val="en-US" w:eastAsia="en-US" w:bidi="ar-SA"/>
      </w:rPr>
    </w:lvl>
    <w:lvl w:ilvl="4" w:tplc="A014A688">
      <w:start w:val="1"/>
      <w:numFmt w:val="bullet"/>
      <w:lvlText w:val="•"/>
      <w:lvlJc w:val="left"/>
      <w:pPr>
        <w:ind w:left="2950" w:hanging="360"/>
      </w:pPr>
      <w:rPr>
        <w:rFonts w:hint="default"/>
        <w:lang w:val="en-US" w:eastAsia="en-US" w:bidi="ar-SA"/>
      </w:rPr>
    </w:lvl>
    <w:lvl w:ilvl="5" w:tplc="5378774A">
      <w:start w:val="1"/>
      <w:numFmt w:val="bullet"/>
      <w:lvlText w:val="•"/>
      <w:lvlJc w:val="left"/>
      <w:pPr>
        <w:ind w:left="3507" w:hanging="360"/>
      </w:pPr>
      <w:rPr>
        <w:rFonts w:hint="default"/>
        <w:lang w:val="en-US" w:eastAsia="en-US" w:bidi="ar-SA"/>
      </w:rPr>
    </w:lvl>
    <w:lvl w:ilvl="6" w:tplc="EAFA3630">
      <w:start w:val="1"/>
      <w:numFmt w:val="bullet"/>
      <w:lvlText w:val="•"/>
      <w:lvlJc w:val="left"/>
      <w:pPr>
        <w:ind w:left="4065" w:hanging="360"/>
      </w:pPr>
      <w:rPr>
        <w:rFonts w:hint="default"/>
        <w:lang w:val="en-US" w:eastAsia="en-US" w:bidi="ar-SA"/>
      </w:rPr>
    </w:lvl>
    <w:lvl w:ilvl="7" w:tplc="50F8C914">
      <w:start w:val="1"/>
      <w:numFmt w:val="bullet"/>
      <w:lvlText w:val="•"/>
      <w:lvlJc w:val="left"/>
      <w:pPr>
        <w:ind w:left="4622" w:hanging="360"/>
      </w:pPr>
      <w:rPr>
        <w:rFonts w:hint="default"/>
        <w:lang w:val="en-US" w:eastAsia="en-US" w:bidi="ar-SA"/>
      </w:rPr>
    </w:lvl>
    <w:lvl w:ilvl="8" w:tplc="90F2FB38">
      <w:start w:val="1"/>
      <w:numFmt w:val="bullet"/>
      <w:lvlText w:val="•"/>
      <w:lvlJc w:val="left"/>
      <w:pPr>
        <w:ind w:left="5180" w:hanging="360"/>
      </w:pPr>
      <w:rPr>
        <w:rFonts w:hint="default"/>
        <w:lang w:val="en-US" w:eastAsia="en-US" w:bidi="ar-SA"/>
      </w:rPr>
    </w:lvl>
  </w:abstractNum>
  <w:abstractNum w:abstractNumId="22" w15:restartNumberingAfterBreak="0">
    <w:nsid w:val="33BC749C"/>
    <w:multiLevelType w:val="multilevel"/>
    <w:tmpl w:val="33BC7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962C3A"/>
    <w:multiLevelType w:val="multilevel"/>
    <w:tmpl w:val="34962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66013D"/>
    <w:multiLevelType w:val="singleLevel"/>
    <w:tmpl w:val="909B058D"/>
    <w:lvl w:ilvl="0">
      <w:start w:val="1"/>
      <w:numFmt w:val="lowerRoman"/>
      <w:lvlText w:val="%1."/>
      <w:lvlJc w:val="left"/>
      <w:pPr>
        <w:tabs>
          <w:tab w:val="left" w:pos="425"/>
        </w:tabs>
        <w:ind w:left="425" w:hanging="425"/>
      </w:pPr>
      <w:rPr>
        <w:rFonts w:hint="default"/>
      </w:rPr>
    </w:lvl>
  </w:abstractNum>
  <w:abstractNum w:abstractNumId="25" w15:restartNumberingAfterBreak="0">
    <w:nsid w:val="67B43A7D"/>
    <w:multiLevelType w:val="multilevel"/>
    <w:tmpl w:val="2AA0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BF1E0E"/>
    <w:multiLevelType w:val="multilevel"/>
    <w:tmpl w:val="57D29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3F11AC"/>
    <w:multiLevelType w:val="multilevel"/>
    <w:tmpl w:val="2BEC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841634">
    <w:abstractNumId w:val="0"/>
  </w:num>
  <w:num w:numId="2" w16cid:durableId="317462960">
    <w:abstractNumId w:val="6"/>
  </w:num>
  <w:num w:numId="3" w16cid:durableId="2115007626">
    <w:abstractNumId w:val="1"/>
  </w:num>
  <w:num w:numId="4" w16cid:durableId="22752036">
    <w:abstractNumId w:val="5"/>
  </w:num>
  <w:num w:numId="5" w16cid:durableId="1151485015">
    <w:abstractNumId w:val="8"/>
  </w:num>
  <w:num w:numId="6" w16cid:durableId="983661032">
    <w:abstractNumId w:val="19"/>
  </w:num>
  <w:num w:numId="7" w16cid:durableId="1836218229">
    <w:abstractNumId w:val="2"/>
  </w:num>
  <w:num w:numId="8" w16cid:durableId="163591389">
    <w:abstractNumId w:val="14"/>
  </w:num>
  <w:num w:numId="9" w16cid:durableId="1220282612">
    <w:abstractNumId w:val="18"/>
  </w:num>
  <w:num w:numId="10" w16cid:durableId="371542975">
    <w:abstractNumId w:val="21"/>
  </w:num>
  <w:num w:numId="11" w16cid:durableId="2029477001">
    <w:abstractNumId w:val="7"/>
  </w:num>
  <w:num w:numId="12" w16cid:durableId="1427002371">
    <w:abstractNumId w:val="11"/>
  </w:num>
  <w:num w:numId="13" w16cid:durableId="818300445">
    <w:abstractNumId w:val="20"/>
  </w:num>
  <w:num w:numId="14" w16cid:durableId="1722051227">
    <w:abstractNumId w:val="15"/>
  </w:num>
  <w:num w:numId="15" w16cid:durableId="1459571162">
    <w:abstractNumId w:val="17"/>
  </w:num>
  <w:num w:numId="16" w16cid:durableId="1589582239">
    <w:abstractNumId w:val="10"/>
  </w:num>
  <w:num w:numId="17" w16cid:durableId="12267707">
    <w:abstractNumId w:val="9"/>
  </w:num>
  <w:num w:numId="18" w16cid:durableId="1739980905">
    <w:abstractNumId w:val="16"/>
  </w:num>
  <w:num w:numId="19" w16cid:durableId="1971662748">
    <w:abstractNumId w:val="4"/>
  </w:num>
  <w:num w:numId="20" w16cid:durableId="641884562">
    <w:abstractNumId w:val="13"/>
  </w:num>
  <w:num w:numId="21" w16cid:durableId="1881210935">
    <w:abstractNumId w:val="3"/>
  </w:num>
  <w:num w:numId="22" w16cid:durableId="1809277000">
    <w:abstractNumId w:val="12"/>
  </w:num>
  <w:num w:numId="23" w16cid:durableId="1967539017">
    <w:abstractNumId w:val="27"/>
  </w:num>
  <w:num w:numId="24" w16cid:durableId="2067295498">
    <w:abstractNumId w:val="25"/>
  </w:num>
  <w:num w:numId="25" w16cid:durableId="1078791240">
    <w:abstractNumId w:val="26"/>
  </w:num>
  <w:num w:numId="26" w16cid:durableId="1734695854">
    <w:abstractNumId w:val="22"/>
  </w:num>
  <w:num w:numId="27" w16cid:durableId="421797981">
    <w:abstractNumId w:val="23"/>
  </w:num>
  <w:num w:numId="28" w16cid:durableId="16106233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916"/>
    <w:rsid w:val="000027D5"/>
    <w:rsid w:val="00003236"/>
    <w:rsid w:val="0000653B"/>
    <w:rsid w:val="00015247"/>
    <w:rsid w:val="0001725F"/>
    <w:rsid w:val="0005118D"/>
    <w:rsid w:val="00051DA2"/>
    <w:rsid w:val="00072420"/>
    <w:rsid w:val="000867BC"/>
    <w:rsid w:val="000A61DB"/>
    <w:rsid w:val="000D23A1"/>
    <w:rsid w:val="000D4BB2"/>
    <w:rsid w:val="000D62A0"/>
    <w:rsid w:val="000E7AC3"/>
    <w:rsid w:val="000F1532"/>
    <w:rsid w:val="000F64F7"/>
    <w:rsid w:val="001016AB"/>
    <w:rsid w:val="001039A1"/>
    <w:rsid w:val="00104C58"/>
    <w:rsid w:val="00105560"/>
    <w:rsid w:val="001174F5"/>
    <w:rsid w:val="0012029B"/>
    <w:rsid w:val="00125ECE"/>
    <w:rsid w:val="00145A24"/>
    <w:rsid w:val="00145E29"/>
    <w:rsid w:val="001661F0"/>
    <w:rsid w:val="001673E4"/>
    <w:rsid w:val="001742B6"/>
    <w:rsid w:val="00195DD0"/>
    <w:rsid w:val="0019763E"/>
    <w:rsid w:val="001B4542"/>
    <w:rsid w:val="001E5476"/>
    <w:rsid w:val="00202DB1"/>
    <w:rsid w:val="00215131"/>
    <w:rsid w:val="00223D33"/>
    <w:rsid w:val="002406E8"/>
    <w:rsid w:val="00250829"/>
    <w:rsid w:val="00250F35"/>
    <w:rsid w:val="00256BAD"/>
    <w:rsid w:val="00262728"/>
    <w:rsid w:val="002746D5"/>
    <w:rsid w:val="00287C80"/>
    <w:rsid w:val="00291868"/>
    <w:rsid w:val="002A53EA"/>
    <w:rsid w:val="002A7067"/>
    <w:rsid w:val="002D15E9"/>
    <w:rsid w:val="002D58AA"/>
    <w:rsid w:val="00310490"/>
    <w:rsid w:val="003233F7"/>
    <w:rsid w:val="00325501"/>
    <w:rsid w:val="00341909"/>
    <w:rsid w:val="00343AE0"/>
    <w:rsid w:val="003546AE"/>
    <w:rsid w:val="00364916"/>
    <w:rsid w:val="003819DF"/>
    <w:rsid w:val="00383FF6"/>
    <w:rsid w:val="003A4EED"/>
    <w:rsid w:val="003C0CE3"/>
    <w:rsid w:val="003D087D"/>
    <w:rsid w:val="003D1593"/>
    <w:rsid w:val="003D1F36"/>
    <w:rsid w:val="003D41EA"/>
    <w:rsid w:val="003D71B4"/>
    <w:rsid w:val="003F457A"/>
    <w:rsid w:val="00406855"/>
    <w:rsid w:val="004270AF"/>
    <w:rsid w:val="00437AEC"/>
    <w:rsid w:val="00441684"/>
    <w:rsid w:val="004629F2"/>
    <w:rsid w:val="00463691"/>
    <w:rsid w:val="004656A2"/>
    <w:rsid w:val="00484EBC"/>
    <w:rsid w:val="004A7C2F"/>
    <w:rsid w:val="004C30ED"/>
    <w:rsid w:val="004C3B86"/>
    <w:rsid w:val="004D086E"/>
    <w:rsid w:val="004D2848"/>
    <w:rsid w:val="004E0B88"/>
    <w:rsid w:val="004E7D30"/>
    <w:rsid w:val="004F57D9"/>
    <w:rsid w:val="00503D72"/>
    <w:rsid w:val="0051260B"/>
    <w:rsid w:val="00516BF1"/>
    <w:rsid w:val="00524DCA"/>
    <w:rsid w:val="00540F64"/>
    <w:rsid w:val="0054351E"/>
    <w:rsid w:val="0054389B"/>
    <w:rsid w:val="00545172"/>
    <w:rsid w:val="00555EB4"/>
    <w:rsid w:val="005628E1"/>
    <w:rsid w:val="005632C1"/>
    <w:rsid w:val="00583F31"/>
    <w:rsid w:val="0058409C"/>
    <w:rsid w:val="00594911"/>
    <w:rsid w:val="005B4C0D"/>
    <w:rsid w:val="005B6F54"/>
    <w:rsid w:val="005C57F7"/>
    <w:rsid w:val="005D5400"/>
    <w:rsid w:val="005E0A92"/>
    <w:rsid w:val="005E307B"/>
    <w:rsid w:val="00651C56"/>
    <w:rsid w:val="006550AC"/>
    <w:rsid w:val="006777D1"/>
    <w:rsid w:val="0068047D"/>
    <w:rsid w:val="00687544"/>
    <w:rsid w:val="00687B87"/>
    <w:rsid w:val="00697319"/>
    <w:rsid w:val="006A0741"/>
    <w:rsid w:val="006B5556"/>
    <w:rsid w:val="006B5FD0"/>
    <w:rsid w:val="006E58F7"/>
    <w:rsid w:val="006E6D57"/>
    <w:rsid w:val="006F14DA"/>
    <w:rsid w:val="00703F33"/>
    <w:rsid w:val="00707CA3"/>
    <w:rsid w:val="00711FF1"/>
    <w:rsid w:val="007121EB"/>
    <w:rsid w:val="00716CF4"/>
    <w:rsid w:val="00723357"/>
    <w:rsid w:val="00725E61"/>
    <w:rsid w:val="0073741A"/>
    <w:rsid w:val="00744604"/>
    <w:rsid w:val="00747394"/>
    <w:rsid w:val="00754D1D"/>
    <w:rsid w:val="0076636F"/>
    <w:rsid w:val="00775A1F"/>
    <w:rsid w:val="00777724"/>
    <w:rsid w:val="007B6028"/>
    <w:rsid w:val="007D0F92"/>
    <w:rsid w:val="00802F18"/>
    <w:rsid w:val="008232FA"/>
    <w:rsid w:val="00836EBF"/>
    <w:rsid w:val="00855365"/>
    <w:rsid w:val="00893144"/>
    <w:rsid w:val="008A5EC0"/>
    <w:rsid w:val="008C78CF"/>
    <w:rsid w:val="008D3605"/>
    <w:rsid w:val="008E2AA6"/>
    <w:rsid w:val="008F2B97"/>
    <w:rsid w:val="00901AE3"/>
    <w:rsid w:val="0090595D"/>
    <w:rsid w:val="00906BFE"/>
    <w:rsid w:val="009134AB"/>
    <w:rsid w:val="00915EAE"/>
    <w:rsid w:val="00930603"/>
    <w:rsid w:val="009324B3"/>
    <w:rsid w:val="00941183"/>
    <w:rsid w:val="00955B1F"/>
    <w:rsid w:val="009615B0"/>
    <w:rsid w:val="00996FC6"/>
    <w:rsid w:val="009A0757"/>
    <w:rsid w:val="009B5C8E"/>
    <w:rsid w:val="009F6272"/>
    <w:rsid w:val="00A03236"/>
    <w:rsid w:val="00A466E9"/>
    <w:rsid w:val="00A638B1"/>
    <w:rsid w:val="00A713E4"/>
    <w:rsid w:val="00A73AC4"/>
    <w:rsid w:val="00A757A4"/>
    <w:rsid w:val="00AB3B36"/>
    <w:rsid w:val="00AC0F66"/>
    <w:rsid w:val="00AE18F2"/>
    <w:rsid w:val="00AE3554"/>
    <w:rsid w:val="00B00BC2"/>
    <w:rsid w:val="00B30DF9"/>
    <w:rsid w:val="00B40933"/>
    <w:rsid w:val="00B536B2"/>
    <w:rsid w:val="00B81332"/>
    <w:rsid w:val="00BA2155"/>
    <w:rsid w:val="00BB4784"/>
    <w:rsid w:val="00BB5689"/>
    <w:rsid w:val="00BE69EB"/>
    <w:rsid w:val="00BF012F"/>
    <w:rsid w:val="00C0490E"/>
    <w:rsid w:val="00C149B0"/>
    <w:rsid w:val="00C36163"/>
    <w:rsid w:val="00C820BB"/>
    <w:rsid w:val="00C91E94"/>
    <w:rsid w:val="00C9647E"/>
    <w:rsid w:val="00CA0177"/>
    <w:rsid w:val="00CE0FC9"/>
    <w:rsid w:val="00CF6D80"/>
    <w:rsid w:val="00D224BE"/>
    <w:rsid w:val="00D335C7"/>
    <w:rsid w:val="00D6794C"/>
    <w:rsid w:val="00D9349B"/>
    <w:rsid w:val="00D96BA1"/>
    <w:rsid w:val="00DA0939"/>
    <w:rsid w:val="00DD26D9"/>
    <w:rsid w:val="00DE4FAA"/>
    <w:rsid w:val="00DF05A1"/>
    <w:rsid w:val="00DF1A89"/>
    <w:rsid w:val="00DF5711"/>
    <w:rsid w:val="00E0759E"/>
    <w:rsid w:val="00E16F1D"/>
    <w:rsid w:val="00E34D97"/>
    <w:rsid w:val="00E37A4C"/>
    <w:rsid w:val="00E55A29"/>
    <w:rsid w:val="00E72734"/>
    <w:rsid w:val="00E819A5"/>
    <w:rsid w:val="00E8762E"/>
    <w:rsid w:val="00EC248D"/>
    <w:rsid w:val="00ED2701"/>
    <w:rsid w:val="00F13581"/>
    <w:rsid w:val="00F17F7B"/>
    <w:rsid w:val="00F56862"/>
    <w:rsid w:val="00F70F57"/>
    <w:rsid w:val="00F76C94"/>
    <w:rsid w:val="00F7741B"/>
    <w:rsid w:val="00F87E13"/>
    <w:rsid w:val="00F87E45"/>
    <w:rsid w:val="00FB2055"/>
    <w:rsid w:val="00FB43AD"/>
    <w:rsid w:val="00FD1CF9"/>
    <w:rsid w:val="00FD7E73"/>
    <w:rsid w:val="010853C2"/>
    <w:rsid w:val="01D76D14"/>
    <w:rsid w:val="04BB3044"/>
    <w:rsid w:val="05654966"/>
    <w:rsid w:val="063125EE"/>
    <w:rsid w:val="06F47335"/>
    <w:rsid w:val="07DF2608"/>
    <w:rsid w:val="0A0213CF"/>
    <w:rsid w:val="0A542580"/>
    <w:rsid w:val="0CA44513"/>
    <w:rsid w:val="0CB4704F"/>
    <w:rsid w:val="0D494B5D"/>
    <w:rsid w:val="0DA46170"/>
    <w:rsid w:val="0F5409E6"/>
    <w:rsid w:val="103E6CC5"/>
    <w:rsid w:val="10CA3499"/>
    <w:rsid w:val="12D25739"/>
    <w:rsid w:val="132C635A"/>
    <w:rsid w:val="137455F6"/>
    <w:rsid w:val="14B51486"/>
    <w:rsid w:val="14CB1A71"/>
    <w:rsid w:val="15433673"/>
    <w:rsid w:val="15A738BA"/>
    <w:rsid w:val="16596DA3"/>
    <w:rsid w:val="17244A82"/>
    <w:rsid w:val="179802C4"/>
    <w:rsid w:val="18767CB3"/>
    <w:rsid w:val="18D80D9D"/>
    <w:rsid w:val="19213D00"/>
    <w:rsid w:val="1B0B13C2"/>
    <w:rsid w:val="1C2E0CC8"/>
    <w:rsid w:val="1C3A035E"/>
    <w:rsid w:val="1C530F07"/>
    <w:rsid w:val="1CCD084A"/>
    <w:rsid w:val="1E356518"/>
    <w:rsid w:val="21004440"/>
    <w:rsid w:val="216D7966"/>
    <w:rsid w:val="23CA0273"/>
    <w:rsid w:val="257552AB"/>
    <w:rsid w:val="25BF65FB"/>
    <w:rsid w:val="2770559C"/>
    <w:rsid w:val="27D86C6A"/>
    <w:rsid w:val="28FF0D21"/>
    <w:rsid w:val="29084DDE"/>
    <w:rsid w:val="2CC001E4"/>
    <w:rsid w:val="2D961B87"/>
    <w:rsid w:val="2E273409"/>
    <w:rsid w:val="2FCE2B17"/>
    <w:rsid w:val="305B6CE0"/>
    <w:rsid w:val="32A152B1"/>
    <w:rsid w:val="3415093E"/>
    <w:rsid w:val="347D19AD"/>
    <w:rsid w:val="353558D8"/>
    <w:rsid w:val="36E865A3"/>
    <w:rsid w:val="37EF5A09"/>
    <w:rsid w:val="3941547E"/>
    <w:rsid w:val="3E235F81"/>
    <w:rsid w:val="3F2D3F03"/>
    <w:rsid w:val="3F6D721C"/>
    <w:rsid w:val="405A0C25"/>
    <w:rsid w:val="40A82753"/>
    <w:rsid w:val="41595743"/>
    <w:rsid w:val="41697F5C"/>
    <w:rsid w:val="423D31AC"/>
    <w:rsid w:val="44F73476"/>
    <w:rsid w:val="45483DAD"/>
    <w:rsid w:val="4653042B"/>
    <w:rsid w:val="467E7FB4"/>
    <w:rsid w:val="46C155A5"/>
    <w:rsid w:val="48072039"/>
    <w:rsid w:val="481935D8"/>
    <w:rsid w:val="48B76708"/>
    <w:rsid w:val="49865D2D"/>
    <w:rsid w:val="4A7D0844"/>
    <w:rsid w:val="4CF95A56"/>
    <w:rsid w:val="4DFE2A04"/>
    <w:rsid w:val="4EE8096B"/>
    <w:rsid w:val="4F09713E"/>
    <w:rsid w:val="53381997"/>
    <w:rsid w:val="544F115F"/>
    <w:rsid w:val="548712B9"/>
    <w:rsid w:val="55ED7906"/>
    <w:rsid w:val="568A7075"/>
    <w:rsid w:val="57A03585"/>
    <w:rsid w:val="57F116EE"/>
    <w:rsid w:val="589715D5"/>
    <w:rsid w:val="58AC55FE"/>
    <w:rsid w:val="5A3F5302"/>
    <w:rsid w:val="5C3F18E4"/>
    <w:rsid w:val="5DAF0841"/>
    <w:rsid w:val="5FBB6974"/>
    <w:rsid w:val="62006143"/>
    <w:rsid w:val="62C35BFF"/>
    <w:rsid w:val="673F04DE"/>
    <w:rsid w:val="68570585"/>
    <w:rsid w:val="69775D94"/>
    <w:rsid w:val="69DD483F"/>
    <w:rsid w:val="6A415B27"/>
    <w:rsid w:val="6AAC2B72"/>
    <w:rsid w:val="6B221653"/>
    <w:rsid w:val="6B2A380B"/>
    <w:rsid w:val="6C2E3A39"/>
    <w:rsid w:val="6CBD35F3"/>
    <w:rsid w:val="6CDF712A"/>
    <w:rsid w:val="6D885ECE"/>
    <w:rsid w:val="6DAC0977"/>
    <w:rsid w:val="6E0E551E"/>
    <w:rsid w:val="6F686A54"/>
    <w:rsid w:val="70AC33C3"/>
    <w:rsid w:val="710542A6"/>
    <w:rsid w:val="71D00147"/>
    <w:rsid w:val="725D5385"/>
    <w:rsid w:val="737636E4"/>
    <w:rsid w:val="73D55BA1"/>
    <w:rsid w:val="773A7C2A"/>
    <w:rsid w:val="77946C56"/>
    <w:rsid w:val="79772A57"/>
    <w:rsid w:val="7B5D39AF"/>
    <w:rsid w:val="7D871368"/>
    <w:rsid w:val="7E570319"/>
    <w:rsid w:val="7F1412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359048"/>
  <w15:docId w15:val="{13120821-7DDB-4A8A-A1B7-EAD8CBAE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ahoma" w:eastAsia="Tahoma" w:hAnsi="Tahoma" w:cs="Tahoma"/>
      <w:sz w:val="22"/>
      <w:szCs w:val="22"/>
    </w:rPr>
  </w:style>
  <w:style w:type="paragraph" w:styleId="Heading1">
    <w:name w:val="heading 1"/>
    <w:basedOn w:val="Normal"/>
    <w:next w:val="Normal"/>
    <w:link w:val="Heading1Char"/>
    <w:uiPriority w:val="9"/>
    <w:qFormat/>
    <w:pPr>
      <w:spacing w:before="10"/>
      <w:ind w:left="107"/>
      <w:outlineLvl w:val="0"/>
    </w:pPr>
    <w:rPr>
      <w:rFonts w:ascii="Bookman Old Style" w:eastAsia="Bookman Old Style" w:hAnsi="Bookman Old Style" w:cs="Bookman Old Style"/>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uiPriority w:val="9"/>
    <w:qFormat/>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Caption">
    <w:name w:val="caption"/>
    <w:basedOn w:val="Normal"/>
    <w:next w:val="Normal"/>
    <w:qFormat/>
    <w:pPr>
      <w:widowControl/>
      <w:autoSpaceDE/>
      <w:autoSpaceDN/>
    </w:pPr>
    <w:rPr>
      <w:rFonts w:ascii="Times New Roman" w:eastAsia="Times New Roman" w:hAnsi="Times New Roman" w:cs="Times New Roman"/>
      <w:b/>
      <w:bCs/>
      <w:sz w:val="20"/>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Title">
    <w:name w:val="Title"/>
    <w:basedOn w:val="Normal"/>
    <w:uiPriority w:val="1"/>
    <w:qFormat/>
    <w:pPr>
      <w:spacing w:before="80"/>
      <w:ind w:left="190" w:right="516"/>
    </w:pPr>
    <w:rPr>
      <w:rFonts w:ascii="Bookman Old Style" w:eastAsia="Bookman Old Style" w:hAnsi="Bookman Old Style" w:cs="Bookman Old Style"/>
      <w:sz w:val="25"/>
      <w:szCs w:val="25"/>
    </w:rPr>
  </w:style>
  <w:style w:type="paragraph" w:styleId="ListParagraph">
    <w:name w:val="List Paragraph"/>
    <w:basedOn w:val="Normal"/>
    <w:uiPriority w:val="34"/>
    <w:qFormat/>
    <w:pPr>
      <w:ind w:left="608" w:right="5587" w:hanging="496"/>
      <w:jc w:val="both"/>
    </w:pPr>
  </w:style>
  <w:style w:type="paragraph" w:customStyle="1" w:styleId="TableParagraph">
    <w:name w:val="Table Paragraph"/>
    <w:basedOn w:val="Normal"/>
    <w:uiPriority w:val="1"/>
    <w:qFormat/>
    <w:pPr>
      <w:jc w:val="center"/>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ahoma" w:eastAsia="Tahoma" w:hAnsi="Tahoma" w:cs="Tahoma"/>
    </w:rPr>
  </w:style>
  <w:style w:type="character" w:customStyle="1" w:styleId="FooterChar">
    <w:name w:val="Footer Char"/>
    <w:basedOn w:val="DefaultParagraphFont"/>
    <w:link w:val="Footer"/>
    <w:uiPriority w:val="99"/>
    <w:qFormat/>
    <w:rPr>
      <w:rFonts w:ascii="Tahoma" w:eastAsia="Tahoma" w:hAnsi="Tahoma" w:cs="Tahoma"/>
    </w:rPr>
  </w:style>
  <w:style w:type="paragraph" w:customStyle="1" w:styleId="Els-Affiliation">
    <w:name w:val="Els-Affiliation"/>
    <w:next w:val="Normal"/>
    <w:qFormat/>
    <w:pPr>
      <w:suppressAutoHyphens/>
      <w:spacing w:line="200" w:lineRule="exact"/>
      <w:jc w:val="center"/>
    </w:pPr>
    <w:rPr>
      <w:i/>
      <w:sz w:val="16"/>
    </w:rPr>
  </w:style>
  <w:style w:type="paragraph" w:customStyle="1" w:styleId="Els-Abstract-text">
    <w:name w:val="Els-Abstract-text"/>
    <w:next w:val="Normal"/>
    <w:qFormat/>
    <w:pPr>
      <w:spacing w:line="220" w:lineRule="exact"/>
      <w:jc w:val="both"/>
    </w:pPr>
    <w:rPr>
      <w:sz w:val="18"/>
    </w:rPr>
  </w:style>
  <w:style w:type="paragraph" w:customStyle="1" w:styleId="Default">
    <w:name w:val="Default"/>
    <w:qFormat/>
    <w:pPr>
      <w:autoSpaceDE w:val="0"/>
      <w:autoSpaceDN w:val="0"/>
      <w:adjustRightInd w:val="0"/>
    </w:pPr>
    <w:rPr>
      <w:rFonts w:ascii="Minion Pro" w:eastAsiaTheme="minorEastAsia" w:hAnsi="Minion Pro" w:cs="Minion Pro"/>
      <w:color w:val="000000"/>
      <w:sz w:val="24"/>
      <w:szCs w:val="24"/>
      <w:lang w:val="en-AU" w:eastAsia="en-AU"/>
    </w:rPr>
  </w:style>
  <w:style w:type="table" w:customStyle="1" w:styleId="ListTable6Colorful1">
    <w:name w:val="List Table 6 Colorful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rPr>
      <w:rFonts w:asciiTheme="minorHAnsi" w:eastAsiaTheme="minorHAnsi" w:hAnsiTheme="minorHAnsi" w:cstheme="minorBidi"/>
      <w:sz w:val="22"/>
      <w:szCs w:val="22"/>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markdown-paragraph">
    <w:name w:val="ds-markdown-paragraph"/>
    <w:basedOn w:val="Normal"/>
    <w:qFormat/>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css-x5hiaf">
    <w:name w:val="css-x5hiaf"/>
    <w:basedOn w:val="DefaultParagraphFont"/>
    <w:qFormat/>
  </w:style>
  <w:style w:type="character" w:customStyle="1" w:styleId="css-0">
    <w:name w:val="css-0"/>
    <w:basedOn w:val="DefaultParagraphFont"/>
    <w:qFormat/>
  </w:style>
  <w:style w:type="character" w:customStyle="1" w:styleId="css-rh820s">
    <w:name w:val="css-rh820s"/>
    <w:basedOn w:val="DefaultParagraphFont"/>
    <w:qFormat/>
  </w:style>
  <w:style w:type="character" w:customStyle="1" w:styleId="css-1ber87j">
    <w:name w:val="css-1ber87j"/>
    <w:basedOn w:val="DefaultParagraphFont"/>
    <w:qFormat/>
  </w:style>
  <w:style w:type="character" w:customStyle="1" w:styleId="css-2yp7ui">
    <w:name w:val="css-2yp7ui"/>
    <w:basedOn w:val="DefaultParagraphFont"/>
    <w:qFormat/>
  </w:style>
  <w:style w:type="character" w:customStyle="1" w:styleId="css-15iwe0d">
    <w:name w:val="css-15iwe0d"/>
    <w:basedOn w:val="DefaultParagraphFont"/>
    <w:qFormat/>
  </w:style>
  <w:style w:type="character" w:customStyle="1" w:styleId="css-1eh0vfs">
    <w:name w:val="css-1eh0vfs"/>
    <w:basedOn w:val="DefaultParagraphFont"/>
    <w:qFormat/>
  </w:style>
  <w:style w:type="character" w:customStyle="1" w:styleId="15">
    <w:name w:val="15"/>
    <w:basedOn w:val="DefaultParagraphFont"/>
    <w:qFormat/>
    <w:rPr>
      <w:rFonts w:ascii="Times New Roman" w:hAnsi="Times New Roman" w:cs="Times New Roman" w:hint="default"/>
      <w:color w:val="0563C1"/>
      <w:u w:val="single"/>
    </w:rPr>
  </w:style>
  <w:style w:type="character" w:customStyle="1" w:styleId="16">
    <w:name w:val="16"/>
    <w:basedOn w:val="DefaultParagraphFont"/>
    <w:qFormat/>
    <w:rPr>
      <w:rFonts w:ascii="Times New Roman" w:hAnsi="Times New Roman" w:cs="Times New Roman" w:hint="default"/>
      <w:i/>
      <w:iCs/>
    </w:rPr>
  </w:style>
  <w:style w:type="paragraph" w:customStyle="1" w:styleId="EndNoteBibliography">
    <w:name w:val="EndNote Bibliography"/>
    <w:basedOn w:val="Normal"/>
    <w:link w:val="EndNoteBibliographyChar"/>
    <w:qFormat/>
    <w:pPr>
      <w:widowControl/>
      <w:autoSpaceDE/>
      <w:autoSpaceDN/>
      <w:spacing w:after="160"/>
    </w:pPr>
    <w:rPr>
      <w:rFonts w:ascii="Calibri" w:eastAsiaTheme="minorHAnsi" w:hAnsi="Calibri" w:cs="Calibri"/>
    </w:rPr>
  </w:style>
  <w:style w:type="character" w:customStyle="1" w:styleId="EndNoteBibliographyChar">
    <w:name w:val="EndNote Bibliography Char"/>
    <w:basedOn w:val="DefaultParagraphFont"/>
    <w:link w:val="EndNoteBibliography"/>
    <w:qFormat/>
    <w:rPr>
      <w:rFonts w:ascii="Calibri" w:eastAsiaTheme="minorHAnsi" w:hAnsi="Calibri" w:cs="Calibri"/>
      <w:sz w:val="22"/>
      <w:szCs w:val="22"/>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BalloonText">
    <w:name w:val="Balloon Text"/>
    <w:basedOn w:val="Normal"/>
    <w:link w:val="BalloonTextChar"/>
    <w:uiPriority w:val="99"/>
    <w:rsid w:val="00CA0177"/>
    <w:rPr>
      <w:rFonts w:eastAsia="Times New Roman"/>
      <w:sz w:val="16"/>
      <w:szCs w:val="16"/>
    </w:rPr>
  </w:style>
  <w:style w:type="character" w:customStyle="1" w:styleId="BalloonTextChar">
    <w:name w:val="Balloon Text Char"/>
    <w:basedOn w:val="DefaultParagraphFont"/>
    <w:link w:val="BalloonText"/>
    <w:uiPriority w:val="99"/>
    <w:rsid w:val="00CA0177"/>
    <w:rPr>
      <w:rFonts w:ascii="Tahoma" w:eastAsia="Times New Roman" w:hAnsi="Tahoma" w:cs="Tahoma"/>
      <w:sz w:val="16"/>
      <w:szCs w:val="16"/>
    </w:rPr>
  </w:style>
  <w:style w:type="paragraph" w:customStyle="1" w:styleId="my-0">
    <w:name w:val="my-0"/>
    <w:basedOn w:val="Normal"/>
    <w:rsid w:val="00CA017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overbg-super">
    <w:name w:val="hover:bg-super"/>
    <w:basedOn w:val="DefaultParagraphFont"/>
    <w:rsid w:val="00CA0177"/>
  </w:style>
  <w:style w:type="character" w:customStyle="1" w:styleId="whitespace-nowrap">
    <w:name w:val="whitespace-nowrap"/>
    <w:basedOn w:val="DefaultParagraphFont"/>
    <w:rsid w:val="00CA0177"/>
  </w:style>
  <w:style w:type="character" w:customStyle="1" w:styleId="Heading1Char">
    <w:name w:val="Heading 1 Char"/>
    <w:basedOn w:val="DefaultParagraphFont"/>
    <w:link w:val="Heading1"/>
    <w:uiPriority w:val="9"/>
    <w:rsid w:val="00CA0177"/>
    <w:rPr>
      <w:rFonts w:ascii="Bookman Old Style" w:eastAsia="Bookman Old Style" w:hAnsi="Bookman Old Style" w:cs="Bookman Old Style"/>
      <w:sz w:val="22"/>
      <w:szCs w:val="22"/>
    </w:rPr>
  </w:style>
  <w:style w:type="character" w:customStyle="1" w:styleId="Heading2Char">
    <w:name w:val="Heading 2 Char"/>
    <w:basedOn w:val="DefaultParagraphFont"/>
    <w:link w:val="Heading2"/>
    <w:uiPriority w:val="9"/>
    <w:rsid w:val="00CA0177"/>
    <w:rPr>
      <w:rFonts w:asciiTheme="majorHAnsi" w:eastAsiaTheme="majorEastAsia" w:hAnsiTheme="majorHAnsi" w:cstheme="majorBidi"/>
      <w:color w:val="365F91" w:themeColor="accent1" w:themeShade="BF"/>
      <w:sz w:val="26"/>
      <w:szCs w:val="26"/>
    </w:rPr>
  </w:style>
  <w:style w:type="character" w:styleId="FollowedHyperlink">
    <w:name w:val="FollowedHyperlink"/>
    <w:basedOn w:val="DefaultParagraphFont"/>
    <w:uiPriority w:val="99"/>
    <w:rsid w:val="00CA0177"/>
    <w:rPr>
      <w:color w:val="800080"/>
      <w:u w:val="single"/>
    </w:rPr>
  </w:style>
  <w:style w:type="character" w:customStyle="1" w:styleId="line-clamp-1">
    <w:name w:val="line-clamp-1"/>
    <w:basedOn w:val="DefaultParagraphFont"/>
    <w:rsid w:val="00CA0177"/>
  </w:style>
  <w:style w:type="character" w:customStyle="1" w:styleId="katex">
    <w:name w:val="katex"/>
    <w:basedOn w:val="DefaultParagraphFont"/>
    <w:rsid w:val="00CA0177"/>
  </w:style>
  <w:style w:type="character" w:customStyle="1" w:styleId="katex-mathml">
    <w:name w:val="katex-mathml"/>
    <w:basedOn w:val="DefaultParagraphFont"/>
    <w:rsid w:val="00CA0177"/>
  </w:style>
  <w:style w:type="character" w:customStyle="1" w:styleId="katex-html">
    <w:name w:val="katex-html"/>
    <w:basedOn w:val="DefaultParagraphFont"/>
    <w:rsid w:val="00CA0177"/>
  </w:style>
  <w:style w:type="character" w:customStyle="1" w:styleId="katex-display">
    <w:name w:val="katex-display"/>
    <w:basedOn w:val="DefaultParagraphFont"/>
    <w:rsid w:val="00CA0177"/>
  </w:style>
  <w:style w:type="character" w:customStyle="1" w:styleId="base">
    <w:name w:val="base"/>
    <w:basedOn w:val="DefaultParagraphFont"/>
    <w:rsid w:val="00CA0177"/>
  </w:style>
  <w:style w:type="character" w:customStyle="1" w:styleId="strut">
    <w:name w:val="strut"/>
    <w:basedOn w:val="DefaultParagraphFont"/>
    <w:rsid w:val="00CA0177"/>
  </w:style>
  <w:style w:type="character" w:customStyle="1" w:styleId="mord">
    <w:name w:val="mord"/>
    <w:basedOn w:val="DefaultParagraphFont"/>
    <w:rsid w:val="00CA0177"/>
  </w:style>
  <w:style w:type="character" w:customStyle="1" w:styleId="mspace">
    <w:name w:val="mspace"/>
    <w:basedOn w:val="DefaultParagraphFont"/>
    <w:rsid w:val="00CA0177"/>
  </w:style>
  <w:style w:type="character" w:customStyle="1" w:styleId="mrel">
    <w:name w:val="mrel"/>
    <w:basedOn w:val="DefaultParagraphFont"/>
    <w:rsid w:val="00CA0177"/>
  </w:style>
  <w:style w:type="character" w:customStyle="1" w:styleId="mopen">
    <w:name w:val="mopen"/>
    <w:basedOn w:val="DefaultParagraphFont"/>
    <w:rsid w:val="00CA0177"/>
  </w:style>
  <w:style w:type="character" w:customStyle="1" w:styleId="mfrac">
    <w:name w:val="mfrac"/>
    <w:basedOn w:val="DefaultParagraphFont"/>
    <w:rsid w:val="00CA0177"/>
  </w:style>
  <w:style w:type="character" w:customStyle="1" w:styleId="vlist-t">
    <w:name w:val="vlist-t"/>
    <w:basedOn w:val="DefaultParagraphFont"/>
    <w:rsid w:val="00CA0177"/>
  </w:style>
  <w:style w:type="character" w:customStyle="1" w:styleId="vlist-r">
    <w:name w:val="vlist-r"/>
    <w:basedOn w:val="DefaultParagraphFont"/>
    <w:rsid w:val="00CA0177"/>
  </w:style>
  <w:style w:type="character" w:customStyle="1" w:styleId="vlist">
    <w:name w:val="vlist"/>
    <w:basedOn w:val="DefaultParagraphFont"/>
    <w:rsid w:val="00CA0177"/>
  </w:style>
  <w:style w:type="character" w:customStyle="1" w:styleId="pstrut">
    <w:name w:val="pstrut"/>
    <w:basedOn w:val="DefaultParagraphFont"/>
    <w:rsid w:val="00CA0177"/>
  </w:style>
  <w:style w:type="character" w:customStyle="1" w:styleId="frac-line">
    <w:name w:val="frac-line"/>
    <w:basedOn w:val="DefaultParagraphFont"/>
    <w:rsid w:val="00CA0177"/>
  </w:style>
  <w:style w:type="character" w:customStyle="1" w:styleId="mbin">
    <w:name w:val="mbin"/>
    <w:basedOn w:val="DefaultParagraphFont"/>
    <w:rsid w:val="00CA0177"/>
  </w:style>
  <w:style w:type="character" w:customStyle="1" w:styleId="vlist-s">
    <w:name w:val="vlist-s"/>
    <w:basedOn w:val="DefaultParagraphFont"/>
    <w:rsid w:val="00CA0177"/>
  </w:style>
  <w:style w:type="character" w:customStyle="1" w:styleId="mclose">
    <w:name w:val="mclose"/>
    <w:basedOn w:val="DefaultParagraphFont"/>
    <w:rsid w:val="00CA0177"/>
  </w:style>
  <w:style w:type="character" w:customStyle="1" w:styleId="relative">
    <w:name w:val="relative"/>
    <w:basedOn w:val="DefaultParagraphFont"/>
    <w:rsid w:val="00CA0177"/>
  </w:style>
  <w:style w:type="character" w:customStyle="1" w:styleId="mpunct">
    <w:name w:val="mpunct"/>
    <w:basedOn w:val="DefaultParagraphFont"/>
    <w:rsid w:val="00CA0177"/>
  </w:style>
  <w:style w:type="character" w:customStyle="1" w:styleId="svg-align">
    <w:name w:val="svg-align"/>
    <w:basedOn w:val="DefaultParagraphFont"/>
    <w:rsid w:val="00CA0177"/>
  </w:style>
  <w:style w:type="character" w:customStyle="1" w:styleId="hide-tail">
    <w:name w:val="hide-tail"/>
    <w:basedOn w:val="DefaultParagraphFont"/>
    <w:rsid w:val="00CA0177"/>
  </w:style>
  <w:style w:type="character" w:customStyle="1" w:styleId="mt-md">
    <w:name w:val="mt-md"/>
    <w:basedOn w:val="DefaultParagraphFont"/>
    <w:rsid w:val="00CA0177"/>
  </w:style>
  <w:style w:type="character" w:customStyle="1" w:styleId="msupsub">
    <w:name w:val="msupsub"/>
    <w:basedOn w:val="DefaultParagraphFont"/>
    <w:rsid w:val="00CA0177"/>
  </w:style>
  <w:style w:type="character" w:customStyle="1" w:styleId="sizing">
    <w:name w:val="sizing"/>
    <w:basedOn w:val="DefaultParagraphFont"/>
    <w:rsid w:val="00CA0177"/>
  </w:style>
  <w:style w:type="character" w:customStyle="1" w:styleId="minner">
    <w:name w:val="minner"/>
    <w:basedOn w:val="DefaultParagraphFont"/>
    <w:rsid w:val="00CA0177"/>
  </w:style>
  <w:style w:type="character" w:customStyle="1" w:styleId="thinbox">
    <w:name w:val="thinbox"/>
    <w:basedOn w:val="DefaultParagraphFont"/>
    <w:rsid w:val="00CA0177"/>
  </w:style>
  <w:style w:type="character" w:customStyle="1" w:styleId="rlap">
    <w:name w:val="rlap"/>
    <w:basedOn w:val="DefaultParagraphFont"/>
    <w:rsid w:val="00CA0177"/>
  </w:style>
  <w:style w:type="character" w:customStyle="1" w:styleId="inner">
    <w:name w:val="inner"/>
    <w:basedOn w:val="DefaultParagraphFont"/>
    <w:rsid w:val="00CA0177"/>
  </w:style>
  <w:style w:type="character" w:customStyle="1" w:styleId="fix">
    <w:name w:val="fix"/>
    <w:basedOn w:val="DefaultParagraphFont"/>
    <w:rsid w:val="00CA0177"/>
  </w:style>
  <w:style w:type="character" w:customStyle="1" w:styleId="accent-body">
    <w:name w:val="accent-body"/>
    <w:basedOn w:val="DefaultParagraphFont"/>
    <w:rsid w:val="00CA0177"/>
  </w:style>
  <w:style w:type="character" w:customStyle="1" w:styleId="delimsizing">
    <w:name w:val="delimsizing"/>
    <w:basedOn w:val="DefaultParagraphFont"/>
    <w:rsid w:val="00CA0177"/>
  </w:style>
  <w:style w:type="character" w:customStyle="1" w:styleId="mtight">
    <w:name w:val="mtight"/>
    <w:basedOn w:val="DefaultParagraphFont"/>
    <w:rsid w:val="00CA0177"/>
  </w:style>
  <w:style w:type="paragraph" w:customStyle="1" w:styleId="StyleJustifiedLeft05">
    <w:name w:val="Style Justified Left:  0.5&quot;"/>
    <w:basedOn w:val="Normal"/>
    <w:rsid w:val="00DD26D9"/>
    <w:pPr>
      <w:adjustRightInd w:val="0"/>
      <w:spacing w:before="240" w:after="240" w:line="480" w:lineRule="auto"/>
      <w:ind w:left="720"/>
      <w:jc w:val="both"/>
    </w:pPr>
    <w:rPr>
      <w:rFonts w:ascii="Times New Roman" w:eastAsia="Times New Roman" w:hAnsi="Times New Roman" w:cs="Times New Roman"/>
      <w:sz w:val="24"/>
      <w:szCs w:val="24"/>
    </w:rPr>
  </w:style>
  <w:style w:type="paragraph" w:styleId="TOCHeading">
    <w:name w:val="TOC Heading"/>
    <w:basedOn w:val="Heading1"/>
    <w:next w:val="Normal"/>
    <w:uiPriority w:val="39"/>
    <w:qFormat/>
    <w:rsid w:val="00DD26D9"/>
    <w:pPr>
      <w:keepNext/>
      <w:keepLines/>
      <w:widowControl/>
      <w:autoSpaceDE/>
      <w:autoSpaceDN/>
      <w:spacing w:before="240" w:line="259" w:lineRule="auto"/>
      <w:ind w:left="0"/>
      <w:outlineLvl w:val="9"/>
    </w:pPr>
    <w:rPr>
      <w:rFonts w:ascii="Calibri Light" w:eastAsia="Times New Roman" w:hAnsi="Calibri Light" w:cs="Times New Roman"/>
      <w:b/>
      <w:smallCaps/>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69418">
      <w:bodyDiv w:val="1"/>
      <w:marLeft w:val="0"/>
      <w:marRight w:val="0"/>
      <w:marTop w:val="0"/>
      <w:marBottom w:val="0"/>
      <w:divBdr>
        <w:top w:val="none" w:sz="0" w:space="0" w:color="auto"/>
        <w:left w:val="none" w:sz="0" w:space="0" w:color="auto"/>
        <w:bottom w:val="none" w:sz="0" w:space="0" w:color="auto"/>
        <w:right w:val="none" w:sz="0" w:space="0" w:color="auto"/>
      </w:divBdr>
    </w:div>
    <w:div w:id="501745866">
      <w:bodyDiv w:val="1"/>
      <w:marLeft w:val="0"/>
      <w:marRight w:val="0"/>
      <w:marTop w:val="0"/>
      <w:marBottom w:val="0"/>
      <w:divBdr>
        <w:top w:val="none" w:sz="0" w:space="0" w:color="auto"/>
        <w:left w:val="none" w:sz="0" w:space="0" w:color="auto"/>
        <w:bottom w:val="none" w:sz="0" w:space="0" w:color="auto"/>
        <w:right w:val="none" w:sz="0" w:space="0" w:color="auto"/>
      </w:divBdr>
    </w:div>
    <w:div w:id="996566653">
      <w:bodyDiv w:val="1"/>
      <w:marLeft w:val="0"/>
      <w:marRight w:val="0"/>
      <w:marTop w:val="0"/>
      <w:marBottom w:val="0"/>
      <w:divBdr>
        <w:top w:val="none" w:sz="0" w:space="0" w:color="auto"/>
        <w:left w:val="none" w:sz="0" w:space="0" w:color="auto"/>
        <w:bottom w:val="none" w:sz="0" w:space="0" w:color="auto"/>
        <w:right w:val="none" w:sz="0" w:space="0" w:color="auto"/>
      </w:divBdr>
    </w:div>
    <w:div w:id="1186796920">
      <w:bodyDiv w:val="1"/>
      <w:marLeft w:val="0"/>
      <w:marRight w:val="0"/>
      <w:marTop w:val="0"/>
      <w:marBottom w:val="0"/>
      <w:divBdr>
        <w:top w:val="none" w:sz="0" w:space="0" w:color="auto"/>
        <w:left w:val="none" w:sz="0" w:space="0" w:color="auto"/>
        <w:bottom w:val="none" w:sz="0" w:space="0" w:color="auto"/>
        <w:right w:val="none" w:sz="0" w:space="0" w:color="auto"/>
      </w:divBdr>
    </w:div>
    <w:div w:id="1671984717">
      <w:bodyDiv w:val="1"/>
      <w:marLeft w:val="0"/>
      <w:marRight w:val="0"/>
      <w:marTop w:val="0"/>
      <w:marBottom w:val="0"/>
      <w:divBdr>
        <w:top w:val="none" w:sz="0" w:space="0" w:color="auto"/>
        <w:left w:val="none" w:sz="0" w:space="0" w:color="auto"/>
        <w:bottom w:val="none" w:sz="0" w:space="0" w:color="auto"/>
        <w:right w:val="none" w:sz="0" w:space="0" w:color="auto"/>
      </w:divBdr>
    </w:div>
    <w:div w:id="2145653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C92BF4-9FEC-4456-B8FA-DD84B4F0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6757</Words>
  <Characters>38521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Incidence of Hepatitis B due to Multiple Transfusions in Patients of β-Thalassemia.cdr</vt:lpstr>
    </vt:vector>
  </TitlesOfParts>
  <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Incidence of Hepatitis B due to Multiple Transfusions in Patients of β-Thalassemia.cdr</dc:title>
  <dc:creator>LMRC</dc:creator>
  <cp:lastModifiedBy>Abdur Rahman</cp:lastModifiedBy>
  <cp:revision>3</cp:revision>
  <cp:lastPrinted>2025-07-12T05:16:00Z</cp:lastPrinted>
  <dcterms:created xsi:type="dcterms:W3CDTF">2026-04-23T07:33:00Z</dcterms:created>
  <dcterms:modified xsi:type="dcterms:W3CDTF">2026-04-23T09:42:00Z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2023-02-20T00:00:00Z</vt:filetime>
  </property>
  <property fmtid="{D5CDD505-2E9C-101B-9397-08002B2CF9AE}" pid="3" name="Creator">
    <vt:lpwstr>CorelDRAW 2021</vt:lpwstr>
  </property>
  <property fmtid="{D5CDD505-2E9C-101B-9397-08002B2CF9AE}" pid="4" name="LastSaved">
    <vt:filetime>2023-06-18T00:00:00Z</vt:filetime>
  </property>
  <property fmtid="{D5CDD505-2E9C-101B-9397-08002B2CF9AE}" pid="5" name="Producer">
    <vt:lpwstr>Corel PDF Engine Version 23.1.0.389</vt:lpwstr>
  </property>
  <property fmtid="{D5CDD505-2E9C-101B-9397-08002B2CF9AE}" pid="6" name="KSOProductBuildVer">
    <vt:lpwstr>1033-12.2.0.21546</vt:lpwstr>
  </property>
  <property fmtid="{D5CDD505-2E9C-101B-9397-08002B2CF9AE}" pid="7" name="ICV">
    <vt:lpwstr>3CB3CC2D8A474BE4AD3DF8A04A7DAC7D_13</vt:lpwstr>
  </property>
  <property fmtid="{D5CDD505-2E9C-101B-9397-08002B2CF9AE}" pid="8" name="GrammarlyDocumentId">
    <vt:lpwstr>704b2b6b-e05b-43e7-8e0a-b2ec9ba7007e</vt:lpwstr>
  </property>
</Properties>
</file>