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MANUAL</w:t>
      </w:r>
      <w:r>
        <w:t xml:space="preserve"> </w:t>
      </w:r>
      <w:r>
        <w:t xml:space="preserve">OFICIAL</w:t>
      </w:r>
      <w:r>
        <w:t xml:space="preserve"> </w:t>
      </w:r>
      <w:r>
        <w:t xml:space="preserve">DE</w:t>
      </w:r>
      <w:r>
        <w:t xml:space="preserve"> </w:t>
      </w:r>
      <w:r>
        <w:t xml:space="preserve">USO</w:t>
      </w:r>
      <w:r>
        <w:t xml:space="preserve"> </w:t>
      </w:r>
      <w:r>
        <w:t xml:space="preserve">—</w:t>
      </w:r>
      <w:r>
        <w:t xml:space="preserve"> </w:t>
      </w:r>
      <w:r>
        <w:t xml:space="preserve">ΔΩcₜN</w:t>
      </w:r>
      <w:r>
        <w:t xml:space="preserve"> </w:t>
      </w:r>
      <w:r>
        <w:t xml:space="preserve">V3</w:t>
      </w:r>
    </w:p>
    <w:p>
      <w:pPr>
        <w:pStyle w:val="Subtitle"/>
      </w:pPr>
      <w:r>
        <w:t xml:space="preserve">Pipeline</w:t>
      </w:r>
      <w:r>
        <w:t xml:space="preserve"> </w:t>
      </w:r>
      <w:r>
        <w:t xml:space="preserve">del</w:t>
      </w:r>
      <w:r>
        <w:t xml:space="preserve"> </w:t>
      </w:r>
      <w:r>
        <w:t xml:space="preserve">cierre</w:t>
      </w:r>
      <w:r>
        <w:t xml:space="preserve"> </w:t>
      </w:r>
      <w:r>
        <w:t xml:space="preserve">correlacional</w:t>
      </w:r>
      <w:r>
        <w:t xml:space="preserve"> </w:t>
      </w:r>
      <w:r>
        <w:t xml:space="preserve">con</w:t>
      </w:r>
      <w:r>
        <w:t xml:space="preserve"> </w:t>
      </w:r>
      <w:r>
        <w:t xml:space="preserve">trayectorias</w:t>
      </w:r>
      <w:r>
        <w:t xml:space="preserve"> </w:t>
      </w:r>
      <w:r>
        <w:t xml:space="preserve">para</w:t>
      </w:r>
      <w:r>
        <w:t xml:space="preserve"> </w:t>
      </w:r>
      <w:r>
        <w:t xml:space="preserve">HDC–CBC</w:t>
      </w:r>
      <w:r>
        <w:t xml:space="preserve"> </w:t>
      </w:r>
      <w:r>
        <w:t xml:space="preserve">/</w:t>
      </w:r>
      <w:r>
        <w:t xml:space="preserve"> </w:t>
      </w:r>
      <w:r>
        <w:t xml:space="preserve">ΔΩcₜ</w:t>
      </w:r>
    </w:p>
    <w:p>
      <w:pPr>
        <w:pStyle w:val="Author"/>
      </w:pPr>
      <w:r>
        <w:t xml:space="preserve">Jordi</w:t>
      </w:r>
      <w:r>
        <w:t xml:space="preserve"> </w:t>
      </w:r>
      <w:r>
        <w:t xml:space="preserve">Audet</w:t>
      </w:r>
      <w:r>
        <w:t xml:space="preserve"> </w:t>
      </w:r>
      <w:r>
        <w:t xml:space="preserve">Palau</w:t>
      </w:r>
      <w:r>
        <w:t xml:space="preserve"> </w:t>
      </w:r>
      <w:r>
        <w:t xml:space="preserve">—</w:t>
      </w:r>
      <w:r>
        <w:t xml:space="preserve"> </w:t>
      </w:r>
      <w:r>
        <w:t xml:space="preserve">Independent</w:t>
      </w:r>
      <w:r>
        <w:t xml:space="preserve"> </w:t>
      </w:r>
      <w:r>
        <w:t xml:space="preserve">Researcher</w:t>
      </w:r>
    </w:p>
    <w:p>
      <w:pPr>
        <w:pStyle w:val="Date"/>
      </w:pPr>
      <w:r>
        <w:t xml:space="preserve">V3</w:t>
      </w:r>
      <w:r>
        <w:t xml:space="preserve"> </w:t>
      </w:r>
      <w:r>
        <w:t xml:space="preserve">—</w:t>
      </w:r>
      <w:r>
        <w:t xml:space="preserve"> </w:t>
      </w:r>
      <w:r>
        <w:t xml:space="preserve">abril</w:t>
      </w:r>
      <w:r>
        <w:t xml:space="preserve"> </w:t>
      </w:r>
      <w:r>
        <w:t xml:space="preserve">de</w:t>
      </w:r>
      <w:r>
        <w:t xml:space="preserve"> </w:t>
      </w:r>
      <w:r>
        <w:t xml:space="preserve">2026</w:t>
      </w:r>
    </w:p>
    <w:bookmarkStart w:id="21" w:name="manual-oficial-de-uso"/>
    <w:p>
      <w:pPr>
        <w:pStyle w:val="Heading1"/>
      </w:pPr>
      <w:r>
        <w:t xml:space="preserve">MANUAL OFICIAL DE USO</w:t>
      </w:r>
    </w:p>
    <w:bookmarkStart w:id="20" w:name="δωcₜn-v3"/>
    <w:p>
      <w:pPr>
        <w:pStyle w:val="Heading2"/>
      </w:pPr>
      <w:r>
        <w:t xml:space="preserve">ΔΩcₜN V3</w:t>
      </w:r>
    </w:p>
    <w:p>
      <w:pPr>
        <w:pStyle w:val="FirstParagraph"/>
      </w:pPr>
      <w:r>
        <w:rPr>
          <w:b/>
          <w:bCs/>
        </w:rPr>
        <w:t xml:space="preserve">Pipeline del cierre correlacional con trayectorias para HDC–CBC / ΔΩcₜ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Campo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Valor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Proyecto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ΔΩcₜN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Marco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HDC–CBC / ΔΩcₜ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Versión pública recomendada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Versiones operativas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V3 · V3 Chat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Configuración clásica más fiel al paper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const | multiple | paper | quick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Smoke test de trayectoria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deltaomegact | single | ICCUB | quick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Criterio global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 cualquier sector devuelve</w:t>
            </w:r>
            <w:r>
              <w:t xml:space="preserve"> </w:t>
            </w:r>
            <w:r>
              <w:rPr>
                <w:rStyle w:val="VerbatimChar"/>
              </w:rPr>
              <w:t xml:space="preserve">FAIL</w:t>
            </w:r>
            <w:r>
              <w:t xml:space="preserve">, el resultado global es</w:t>
            </w:r>
            <w:r>
              <w:t xml:space="preserve"> </w:t>
            </w:r>
            <w:r>
              <w:rPr>
                <w:rStyle w:val="VerbatimChar"/>
              </w:rPr>
              <w:t xml:space="preserve">BROKEN</w:t>
            </w:r>
          </w:p>
        </w:tc>
      </w:tr>
    </w:tbl>
    <w:bookmarkEnd w:id="20"/>
    <w:bookmarkEnd w:id="21"/>
    <w:bookmarkStart w:id="22" w:name="presentación"/>
    <w:p>
      <w:pPr>
        <w:pStyle w:val="Heading1"/>
      </w:pPr>
      <w:r>
        <w:t xml:space="preserve">1. Presentación</w:t>
      </w:r>
    </w:p>
    <w:p>
      <w:pPr>
        <w:pStyle w:val="FirstParagraph"/>
      </w:pPr>
      <w:r>
        <w:t xml:space="preserve">ΔΩcₜN V3 es la versión pública recomendada del pipeline operativo desarrollado para traducir el cierre dinámico efectivo de HDC–CBC / ΔΩcₜ en un sistema numérico ejecutable, reproducible y falsable.</w:t>
      </w:r>
    </w:p>
    <w:p>
      <w:pPr>
        <w:pStyle w:val="BodyText"/>
      </w:pPr>
      <w:r>
        <w:t xml:space="preserve">V3 conserva la capa benchmark clásica heredada de ΩCt/N y añade una capa explícita de trayectorias históricas. En esta capa, el índice correlacional deja de tratarse únicamente como un valor fijo y puede generarse mediante una evolución efectiva de coherencia.</w:t>
      </w:r>
    </w:p>
    <w:p>
      <w:pPr>
        <w:pStyle w:val="BodyText"/>
      </w:pPr>
      <w:r>
        <w:t xml:space="preserve">La versión V3 sustituye a V2 como versión recomendada porque corrige cinco puntos operativos: acepta aliases bilingües, hace efectiva la normalización, implementa el potencial cuártico como familia real del core, elimina la contradicción de la política antigua de proxies y declara dependencias mínimas.</w:t>
      </w:r>
    </w:p>
    <w:bookmarkEnd w:id="22"/>
    <w:bookmarkStart w:id="23" w:name="finalidad-del-pipeline"/>
    <w:p>
      <w:pPr>
        <w:pStyle w:val="Heading1"/>
      </w:pPr>
      <w:r>
        <w:t xml:space="preserve">2. Finalidad del pipeline</w:t>
      </w:r>
    </w:p>
    <w:p>
      <w:pPr>
        <w:pStyle w:val="FirstParagraph"/>
      </w:pPr>
      <w:r>
        <w:t xml:space="preserve">La finalidad de ΔΩcₜN V3 es doble:</w:t>
      </w:r>
    </w:p>
    <w:p>
      <w:pPr>
        <w:pStyle w:val="Compact"/>
        <w:numPr>
          <w:ilvl w:val="0"/>
          <w:numId w:val="1001"/>
        </w:numPr>
      </w:pPr>
      <w:r>
        <w:t xml:space="preserve">reproducir de forma fiel el barrido clásico de ΩCt/N;</w:t>
      </w:r>
    </w:p>
    <w:p>
      <w:pPr>
        <w:pStyle w:val="Compact"/>
        <w:numPr>
          <w:ilvl w:val="0"/>
          <w:numId w:val="1001"/>
        </w:numPr>
      </w:pPr>
      <w:r>
        <w:t xml:space="preserve">comprobar si trayectorias históricas completas</w:t>
      </w:r>
      <w:r>
        <w:t xml:space="preserve"> </w:t>
      </w:r>
      <w:r>
        <w:rPr>
          <w:rStyle w:val="VerbatimChar"/>
        </w:rPr>
        <w:t xml:space="preserve">I_c(a)</w:t>
      </w:r>
      <w:r>
        <w:t xml:space="preserve"> </w:t>
      </w:r>
      <w:r>
        <w:t xml:space="preserve">permanecen estructural y observacionalmente admisibles.</w:t>
      </w:r>
    </w:p>
    <w:p>
      <w:pPr>
        <w:pStyle w:val="FirstParagraph"/>
      </w:pPr>
      <w:r>
        <w:t xml:space="preserve">En términos prácticos, el pipeline permite:</w:t>
      </w:r>
    </w:p>
    <w:p>
      <w:pPr>
        <w:pStyle w:val="Compact"/>
        <w:numPr>
          <w:ilvl w:val="0"/>
          <w:numId w:val="1002"/>
        </w:numPr>
      </w:pPr>
      <w:r>
        <w:t xml:space="preserve">cartografiar la ventana operativa estable del benchmark clásico;</w:t>
      </w:r>
    </w:p>
    <w:p>
      <w:pPr>
        <w:pStyle w:val="Compact"/>
        <w:numPr>
          <w:ilvl w:val="0"/>
          <w:numId w:val="1002"/>
        </w:numPr>
      </w:pPr>
      <w:r>
        <w:t xml:space="preserve">construir historias</w:t>
      </w:r>
      <w:r>
        <w:t xml:space="preserve"> </w:t>
      </w:r>
      <w:r>
        <w:rPr>
          <w:rStyle w:val="VerbatimChar"/>
        </w:rPr>
        <w:t xml:space="preserve">I_c(a)</w:t>
      </w:r>
      <w:r>
        <w:t xml:space="preserve"> </w:t>
      </w:r>
      <w:r>
        <w:t xml:space="preserve">a partir de una ley efectiva de cierre;</w:t>
      </w:r>
    </w:p>
    <w:p>
      <w:pPr>
        <w:pStyle w:val="Compact"/>
        <w:numPr>
          <w:ilvl w:val="0"/>
          <w:numId w:val="1002"/>
        </w:numPr>
      </w:pPr>
      <w:r>
        <w:t xml:space="preserve">identificar qué observable rompe primero cuando el sistema se fuerza hacia la ruptura;</w:t>
      </w:r>
    </w:p>
    <w:p>
      <w:pPr>
        <w:pStyle w:val="Compact"/>
        <w:numPr>
          <w:ilvl w:val="0"/>
          <w:numId w:val="1002"/>
        </w:numPr>
      </w:pPr>
      <w:r>
        <w:t xml:space="preserve">distinguir entre historias buenas, marginales, rotas e inestables;</w:t>
      </w:r>
    </w:p>
    <w:p>
      <w:pPr>
        <w:pStyle w:val="Compact"/>
        <w:numPr>
          <w:ilvl w:val="0"/>
          <w:numId w:val="1002"/>
        </w:numPr>
      </w:pPr>
      <w:r>
        <w:t xml:space="preserve">exportar tablas, reportes y diagnósticos reproducibles.</w:t>
      </w:r>
    </w:p>
    <w:bookmarkEnd w:id="23"/>
    <w:bookmarkStart w:id="24" w:name="alcance-y-filosofía-de-diseño"/>
    <w:p>
      <w:pPr>
        <w:pStyle w:val="Heading1"/>
      </w:pPr>
      <w:r>
        <w:t xml:space="preserve">3. Alcance y filosofía de diseño</w:t>
      </w:r>
    </w:p>
    <w:p>
      <w:pPr>
        <w:pStyle w:val="FirstParagraph"/>
      </w:pPr>
      <w:r>
        <w:t xml:space="preserve">ΔΩcₜN V3 no es un integrador Boltzmann completo, no sustituye a CLASS, CAMB o hi_class, y no constituye todavía un pipeline bayesiano/MCMC final.</w:t>
      </w:r>
    </w:p>
    <w:p>
      <w:pPr>
        <w:pStyle w:val="BodyText"/>
      </w:pPr>
      <w:r>
        <w:t xml:space="preserve">Su función es estructural: evaluar admisibilidad, estabilidad, consistencia interna y ruptura operativa bajo una batería mínima de validación. Las cantidades como</w:t>
      </w:r>
      <w:r>
        <w:t xml:space="preserve"> </w:t>
      </w:r>
      <w:r>
        <w:rPr>
          <w:rStyle w:val="VerbatimChar"/>
        </w:rPr>
        <w:t xml:space="preserve">S8</w:t>
      </w:r>
      <w:r>
        <w:t xml:space="preserve">,</w:t>
      </w:r>
      <w:r>
        <w:t xml:space="preserve"> </w:t>
      </w:r>
      <w:r>
        <w:rPr>
          <w:rStyle w:val="VerbatimChar"/>
        </w:rPr>
        <w:t xml:space="preserve">sigma8</w:t>
      </w:r>
      <w:r>
        <w:t xml:space="preserve">,</w:t>
      </w:r>
      <w:r>
        <w:t xml:space="preserve"> </w:t>
      </w:r>
      <w:r>
        <w:rPr>
          <w:rStyle w:val="VerbatimChar"/>
        </w:rPr>
        <w:t xml:space="preserve">ISW_proxy</w:t>
      </w:r>
      <w:r>
        <w:t xml:space="preserve">,</w:t>
      </w:r>
      <w:r>
        <w:t xml:space="preserve"> </w:t>
      </w:r>
      <w:r>
        <w:rPr>
          <w:rStyle w:val="VerbatimChar"/>
        </w:rPr>
        <w:t xml:space="preserve">Lensing_proxy</w:t>
      </w:r>
      <w:r>
        <w:t xml:space="preserve"> </w:t>
      </w:r>
      <w:r>
        <w:t xml:space="preserve">o diagnósticos tensoriales deben leerse como proxies ligeros y no como observables cosmológicos de precisión.</w:t>
      </w:r>
    </w:p>
    <w:p>
      <w:pPr>
        <w:pStyle w:val="BodyText"/>
      </w:pPr>
      <w:r>
        <w:t xml:space="preserve">La regla central permanece inalterada:</w:t>
      </w:r>
    </w:p>
    <w:p>
      <w:pPr>
        <w:pStyle w:val="BlockText"/>
      </w:pPr>
      <w:r>
        <w:t xml:space="preserve">Si cualquier sector devuelve</w:t>
      </w:r>
      <w:r>
        <w:t xml:space="preserve"> </w:t>
      </w:r>
      <w:r>
        <w:rPr>
          <w:rStyle w:val="VerbatimChar"/>
        </w:rPr>
        <w:t xml:space="preserve">FAIL</w:t>
      </w:r>
      <w:r>
        <w:t xml:space="preserve">, el resultado global es</w:t>
      </w:r>
      <w:r>
        <w:t xml:space="preserve"> </w:t>
      </w:r>
      <w:r>
        <w:rPr>
          <w:rStyle w:val="VerbatimChar"/>
        </w:rPr>
        <w:t xml:space="preserve">BROKEN</w:t>
      </w:r>
      <w:r>
        <w:t xml:space="preserve">; si no aparece ningún</w:t>
      </w:r>
      <w:r>
        <w:t xml:space="preserve"> </w:t>
      </w:r>
      <w:r>
        <w:rPr>
          <w:rStyle w:val="VerbatimChar"/>
        </w:rPr>
        <w:t xml:space="preserve">FAIL</w:t>
      </w:r>
      <w:r>
        <w:t xml:space="preserve">, el resultado global es</w:t>
      </w:r>
      <w:r>
        <w:t xml:space="preserve"> </w:t>
      </w:r>
      <w:r>
        <w:rPr>
          <w:rStyle w:val="VerbatimChar"/>
        </w:rPr>
        <w:t xml:space="preserve">OK</w:t>
      </w:r>
      <w:r>
        <w:t xml:space="preserve">.</w:t>
      </w:r>
    </w:p>
    <w:bookmarkEnd w:id="24"/>
    <w:bookmarkStart w:id="25" w:name="versiones-disponibles"/>
    <w:p>
      <w:pPr>
        <w:pStyle w:val="Heading1"/>
      </w:pPr>
      <w:r>
        <w:t xml:space="preserve">4. Versiones disponibles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Versión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Perfil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Descripción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Clásico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Ejecución desde terminal o scripts. Recomendada para barridos controlados y exportaciones.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V3 Chat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Conversacional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Ejecución guiada con prompts, aliases bilingües y parámetros de trayectoria expuestos paso a paso.</w:t>
            </w:r>
          </w:p>
        </w:tc>
      </w:tr>
    </w:tbl>
    <w:p>
      <w:pPr>
        <w:pStyle w:val="BodyText"/>
      </w:pPr>
      <w:r>
        <w:t xml:space="preserve">Ambas versiones comparten el mismo núcleo físico y numérico. La diferencia está en la capa de interacción.</w:t>
      </w:r>
    </w:p>
    <w:bookmarkEnd w:id="25"/>
    <w:bookmarkStart w:id="26" w:name="requisitos-previos"/>
    <w:p>
      <w:pPr>
        <w:pStyle w:val="Heading1"/>
      </w:pPr>
      <w:r>
        <w:t xml:space="preserve">5. Requisitos previos</w:t>
      </w:r>
    </w:p>
    <w:p>
      <w:pPr>
        <w:pStyle w:val="FirstParagraph"/>
      </w:pPr>
      <w:r>
        <w:t xml:space="preserve">Se recomienda:</w:t>
      </w:r>
    </w:p>
    <w:p>
      <w:pPr>
        <w:pStyle w:val="Compact"/>
        <w:numPr>
          <w:ilvl w:val="0"/>
          <w:numId w:val="1003"/>
        </w:numPr>
      </w:pPr>
      <w:r>
        <w:t xml:space="preserve">Python 3.10 o superior;</w:t>
      </w:r>
    </w:p>
    <w:p>
      <w:pPr>
        <w:pStyle w:val="Compact"/>
        <w:numPr>
          <w:ilvl w:val="0"/>
          <w:numId w:val="1003"/>
        </w:numPr>
      </w:pPr>
      <w:r>
        <w:t xml:space="preserve">Windows, macOS o Linux;</w:t>
      </w:r>
    </w:p>
    <w:p>
      <w:pPr>
        <w:pStyle w:val="Compact"/>
        <w:numPr>
          <w:ilvl w:val="0"/>
          <w:numId w:val="1003"/>
        </w:numPr>
      </w:pPr>
      <w:r>
        <w:t xml:space="preserve">permisos de lectura y escritura en la carpeta de trabajo;</w:t>
      </w:r>
    </w:p>
    <w:p>
      <w:pPr>
        <w:pStyle w:val="Compact"/>
        <w:numPr>
          <w:ilvl w:val="0"/>
          <w:numId w:val="1003"/>
        </w:numPr>
      </w:pPr>
      <w:r>
        <w:t xml:space="preserve">terminal o shell estándar;</w:t>
      </w:r>
    </w:p>
    <w:p>
      <w:pPr>
        <w:pStyle w:val="Compact"/>
        <w:numPr>
          <w:ilvl w:val="0"/>
          <w:numId w:val="1003"/>
        </w:numPr>
      </w:pPr>
      <w:r>
        <w:t xml:space="preserve">paquetes Python mínimos declarados en</w:t>
      </w:r>
      <w:r>
        <w:t xml:space="preserve"> </w:t>
      </w:r>
      <w:r>
        <w:rPr>
          <w:rStyle w:val="VerbatimChar"/>
        </w:rPr>
        <w:t xml:space="preserve">requirements.txt</w:t>
      </w:r>
      <w:r>
        <w:t xml:space="preserve">.</w:t>
      </w:r>
    </w:p>
    <w:p>
      <w:pPr>
        <w:pStyle w:val="FirstParagraph"/>
      </w:pPr>
      <w:r>
        <w:t xml:space="preserve">Instalación de dependencias:</w:t>
      </w:r>
    </w:p>
    <w:p>
      <w:pPr>
        <w:pStyle w:val="BodyText"/>
      </w:pPr>
      <w:r>
        <w:rPr>
          <w:rStyle w:val="VerbatimChar"/>
        </w:rPr>
        <w:t xml:space="preserve">pip install -r requirements.txt</w:t>
      </w:r>
    </w:p>
    <w:p>
      <w:pPr>
        <w:pStyle w:val="BodyText"/>
      </w:pPr>
      <w:r>
        <w:t xml:space="preserve">Dependencias mínimas:</w:t>
      </w:r>
    </w:p>
    <w:p>
      <w:pPr>
        <w:pStyle w:val="BodyText"/>
      </w:pPr>
      <w:r>
        <w:rPr>
          <w:rStyle w:val="VerbatimChar"/>
        </w:rPr>
        <w:t xml:space="preserve">numpy&gt;=1.24</w:t>
      </w:r>
      <w:r>
        <w:t xml:space="preserve">,</w:t>
      </w:r>
      <w:r>
        <w:t xml:space="preserve"> </w:t>
      </w:r>
      <w:r>
        <w:rPr>
          <w:rStyle w:val="VerbatimChar"/>
        </w:rPr>
        <w:t xml:space="preserve">matplotlib&gt;=3.7</w:t>
      </w:r>
      <w:r>
        <w:t xml:space="preserve">,</w:t>
      </w:r>
      <w:r>
        <w:t xml:space="preserve"> </w:t>
      </w:r>
      <w:r>
        <w:rPr>
          <w:rStyle w:val="VerbatimChar"/>
        </w:rPr>
        <w:t xml:space="preserve">pandas&gt;=2.0</w:t>
      </w:r>
    </w:p>
    <w:p>
      <w:pPr>
        <w:pStyle w:val="BodyText"/>
      </w:pPr>
      <w:r>
        <w:rPr>
          <w:rStyle w:val="VerbatimChar"/>
        </w:rPr>
        <w:t xml:space="preserve">pandas</w:t>
      </w:r>
      <w:r>
        <w:t xml:space="preserve"> </w:t>
      </w:r>
      <w:r>
        <w:t xml:space="preserve">se usa principalmente para exportación y reporting; el paquete lo declara para asegurar una experiencia reproducible y evitar errores de entorno.</w:t>
      </w:r>
    </w:p>
    <w:bookmarkEnd w:id="26"/>
    <w:bookmarkStart w:id="27" w:name="instalación"/>
    <w:p>
      <w:pPr>
        <w:pStyle w:val="Heading1"/>
      </w:pPr>
      <w:r>
        <w:t xml:space="preserve">6. Instalación</w:t>
      </w:r>
    </w:p>
    <w:p>
      <w:pPr>
        <w:pStyle w:val="Compact"/>
        <w:numPr>
          <w:ilvl w:val="0"/>
          <w:numId w:val="1004"/>
        </w:numPr>
      </w:pPr>
      <w:r>
        <w:t xml:space="preserve">Descargar el paquete correspondiente:</w:t>
      </w:r>
    </w:p>
    <w:p>
      <w:pPr>
        <w:pStyle w:val="Compact"/>
        <w:numPr>
          <w:ilvl w:val="1"/>
          <w:numId w:val="1005"/>
        </w:numPr>
      </w:pPr>
      <w:r>
        <w:rPr>
          <w:rStyle w:val="VerbatimChar"/>
        </w:rPr>
        <w:t xml:space="preserve">DeltaOmegaCtN_V3.zip</w:t>
      </w:r>
    </w:p>
    <w:p>
      <w:pPr>
        <w:pStyle w:val="Compact"/>
        <w:numPr>
          <w:ilvl w:val="1"/>
          <w:numId w:val="1005"/>
        </w:numPr>
      </w:pPr>
      <w:r>
        <w:rPr>
          <w:rStyle w:val="VerbatimChar"/>
        </w:rPr>
        <w:t xml:space="preserve">DeltaOmegaCtN_V3_Chat.zip</w:t>
      </w:r>
    </w:p>
    <w:p>
      <w:pPr>
        <w:pStyle w:val="Compact"/>
        <w:numPr>
          <w:ilvl w:val="0"/>
          <w:numId w:val="1004"/>
        </w:numPr>
      </w:pPr>
      <w:r>
        <w:t xml:space="preserve">Descomprimirlo en una carpeta local.</w:t>
      </w:r>
    </w:p>
    <w:p>
      <w:pPr>
        <w:pStyle w:val="Compact"/>
        <w:numPr>
          <w:ilvl w:val="0"/>
          <w:numId w:val="1004"/>
        </w:numPr>
      </w:pPr>
      <w:r>
        <w:t xml:space="preserve">Abrir una terminal dentro de esa carpeta.</w:t>
      </w:r>
    </w:p>
    <w:p>
      <w:pPr>
        <w:pStyle w:val="Compact"/>
        <w:numPr>
          <w:ilvl w:val="0"/>
          <w:numId w:val="1004"/>
        </w:numPr>
      </w:pPr>
      <w:r>
        <w:t xml:space="preserve">Instalar dependencias con</w:t>
      </w:r>
      <w:r>
        <w:t xml:space="preserve"> </w:t>
      </w:r>
      <w:r>
        <w:rPr>
          <w:rStyle w:val="VerbatimChar"/>
        </w:rPr>
        <w:t xml:space="preserve">pip install -r requirements.txt</w:t>
      </w:r>
      <w:r>
        <w:t xml:space="preserve">.</w:t>
      </w:r>
    </w:p>
    <w:p>
      <w:pPr>
        <w:pStyle w:val="Compact"/>
        <w:numPr>
          <w:ilvl w:val="0"/>
          <w:numId w:val="1004"/>
        </w:numPr>
      </w:pPr>
      <w:r>
        <w:t xml:space="preserve">Ejecutar el launcher o el script principal.</w:t>
      </w:r>
    </w:p>
    <w:p>
      <w:pPr>
        <w:pStyle w:val="Compact"/>
        <w:numPr>
          <w:ilvl w:val="0"/>
          <w:numId w:val="1004"/>
        </w:numPr>
      </w:pPr>
      <w:r>
        <w:t xml:space="preserve">Realizar un smoke test antes de lanzar barridos largos.</w:t>
      </w:r>
    </w:p>
    <w:bookmarkEnd w:id="27"/>
    <w:bookmarkStart w:id="28" w:name="ejecución-de-v3-clásica"/>
    <w:p>
      <w:pPr>
        <w:pStyle w:val="Heading1"/>
      </w:pPr>
      <w:r>
        <w:t xml:space="preserve">7. Ejecución de V3 clásica</w:t>
      </w:r>
    </w:p>
    <w:p>
      <w:pPr>
        <w:pStyle w:val="FirstParagraph"/>
      </w:pPr>
      <w:r>
        <w:t xml:space="preserve">Launcher recomendado:</w:t>
      </w:r>
    </w:p>
    <w:p>
      <w:pPr>
        <w:pStyle w:val="BodyText"/>
      </w:pPr>
      <w:r>
        <w:rPr>
          <w:rStyle w:val="VerbatimChar"/>
        </w:rPr>
        <w:t xml:space="preserve">./run_full_reviewer_ready.sh</w:t>
      </w:r>
    </w:p>
    <w:p>
      <w:pPr>
        <w:pStyle w:val="BodyText"/>
      </w:pPr>
      <w:r>
        <w:t xml:space="preserve">En Windows:</w:t>
      </w:r>
    </w:p>
    <w:p>
      <w:pPr>
        <w:pStyle w:val="BodyText"/>
      </w:pPr>
      <w:r>
        <w:rPr>
          <w:rStyle w:val="VerbatimChar"/>
        </w:rPr>
        <w:t xml:space="preserve">run_full_reviewer_ready.bat</w:t>
      </w:r>
    </w:p>
    <w:p>
      <w:pPr>
        <w:pStyle w:val="BodyText"/>
      </w:pPr>
      <w:r>
        <w:t xml:space="preserve">Ejecución directa:</w:t>
      </w:r>
    </w:p>
    <w:p>
      <w:pPr>
        <w:pStyle w:val="BodyText"/>
      </w:pPr>
      <w:r>
        <w:rPr>
          <w:rStyle w:val="VerbatimChar"/>
        </w:rPr>
        <w:t xml:space="preserve">python3 DeltaOmegaCtN_V3.py</w:t>
      </w:r>
    </w:p>
    <w:p>
      <w:pPr>
        <w:pStyle w:val="BodyText"/>
      </w:pPr>
      <w:r>
        <w:t xml:space="preserve">La versión clásica solicita los campos principales y, si se elige</w:t>
      </w:r>
      <w:r>
        <w:t xml:space="preserve"> </w:t>
      </w:r>
      <w:r>
        <w:rPr>
          <w:rStyle w:val="VerbatimChar"/>
        </w:rPr>
        <w:t xml:space="preserve">deltaomegact</w:t>
      </w:r>
      <w:r>
        <w:t xml:space="preserve">, activa las preguntas de trayectoria.</w:t>
      </w:r>
    </w:p>
    <w:bookmarkEnd w:id="28"/>
    <w:bookmarkStart w:id="29" w:name="ejecución-de-v3-chat"/>
    <w:p>
      <w:pPr>
        <w:pStyle w:val="Heading1"/>
      </w:pPr>
      <w:r>
        <w:t xml:space="preserve">8. Ejecución de V3 Chat</w:t>
      </w:r>
    </w:p>
    <w:p>
      <w:pPr>
        <w:pStyle w:val="FirstParagraph"/>
      </w:pPr>
      <w:r>
        <w:t xml:space="preserve">Launcher recomendado:</w:t>
      </w:r>
    </w:p>
    <w:p>
      <w:pPr>
        <w:pStyle w:val="BodyText"/>
      </w:pPr>
      <w:r>
        <w:rPr>
          <w:rStyle w:val="VerbatimChar"/>
        </w:rPr>
        <w:t xml:space="preserve">./run_full_reviewer_ready.sh</w:t>
      </w:r>
    </w:p>
    <w:p>
      <w:pPr>
        <w:pStyle w:val="BodyText"/>
      </w:pPr>
      <w:r>
        <w:t xml:space="preserve">Ejecución directa:</w:t>
      </w:r>
    </w:p>
    <w:p>
      <w:pPr>
        <w:pStyle w:val="BodyText"/>
      </w:pPr>
      <w:r>
        <w:rPr>
          <w:rStyle w:val="VerbatimChar"/>
        </w:rPr>
        <w:t xml:space="preserve">python3 DeltaOmegaCtN_V3_Chat.py</w:t>
      </w:r>
    </w:p>
    <w:p>
      <w:pPr>
        <w:pStyle w:val="BodyText"/>
      </w:pPr>
      <w:r>
        <w:t xml:space="preserve">La versión Chat comienza con la palabra:</w:t>
      </w:r>
    </w:p>
    <w:p>
      <w:pPr>
        <w:pStyle w:val="BodyText"/>
      </w:pPr>
      <w:r>
        <w:rPr>
          <w:rStyle w:val="VerbatimChar"/>
        </w:rPr>
        <w:t xml:space="preserve">Ejecutar</w:t>
      </w:r>
    </w:p>
    <w:p>
      <w:pPr>
        <w:pStyle w:val="BodyText"/>
      </w:pPr>
      <w:r>
        <w:t xml:space="preserve">Después guía la selección de familia, tipo de ejecución, ancla o valor de</w:t>
      </w:r>
      <w:r>
        <w:t xml:space="preserve"> </w:t>
      </w:r>
      <w:r>
        <w:rPr>
          <w:rStyle w:val="VerbatimChar"/>
        </w:rPr>
        <w:t xml:space="preserve">I_c</w:t>
      </w:r>
      <w:r>
        <w:t xml:space="preserve">, profundidad y parámetros históricos.</w:t>
      </w:r>
    </w:p>
    <w:bookmarkEnd w:id="29"/>
    <w:bookmarkStart w:id="30" w:name="familias-disponibles"/>
    <w:p>
      <w:pPr>
        <w:pStyle w:val="Heading1"/>
      </w:pPr>
      <w:r>
        <w:t xml:space="preserve">9. Familias disponibles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Familia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Función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const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Reproduce el modo clásico de índice correlacional constante.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tanh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Usa una transición suave tipo tangente hiperbólica.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piecewise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Usa una transición por tramos.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deltaomegact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Activa la capa histórica ΔΩcₜ con trayectoria efectiva</w:t>
            </w:r>
            <w:r>
              <w:t xml:space="preserve"> </w:t>
            </w:r>
            <w:r>
              <w:rPr>
                <w:rStyle w:val="VerbatimChar"/>
              </w:rPr>
              <w:t xml:space="preserve">I_c(a)</w:t>
            </w:r>
            <w:r>
              <w:t xml:space="preserve">.</w:t>
            </w:r>
          </w:p>
        </w:tc>
      </w:tr>
    </w:tbl>
    <w:p>
      <w:pPr>
        <w:pStyle w:val="BodyText"/>
      </w:pPr>
      <w:r>
        <w:t xml:space="preserve">La familia más importante para el paper ΔΩcₜ es</w:t>
      </w:r>
      <w:r>
        <w:t xml:space="preserve"> </w:t>
      </w:r>
      <w:r>
        <w:rPr>
          <w:rStyle w:val="VerbatimChar"/>
        </w:rPr>
        <w:t xml:space="preserve">deltaomegact</w:t>
      </w:r>
      <w:r>
        <w:t xml:space="preserve">.</w:t>
      </w:r>
    </w:p>
    <w:bookmarkEnd w:id="30"/>
    <w:bookmarkStart w:id="31" w:name="tipos-de-ejecución"/>
    <w:p>
      <w:pPr>
        <w:pStyle w:val="Heading1"/>
      </w:pPr>
      <w:r>
        <w:t xml:space="preserve">10. Tipos de ejecución</w:t>
      </w:r>
    </w:p>
    <w:p>
      <w:pPr>
        <w:pStyle w:val="FirstParagraph"/>
      </w:pPr>
      <w:r>
        <w:t xml:space="preserve">V3 acepta aliases bilingües.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Entrada aceptada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Significado interno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sencillo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Una única corrida.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single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Alias inglés de</w:t>
            </w:r>
            <w:r>
              <w:t xml:space="preserve"> </w:t>
            </w:r>
            <w:r>
              <w:rPr>
                <w:rStyle w:val="VerbatimChar"/>
              </w:rPr>
              <w:t xml:space="preserve">sencillo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simple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Alias adicional de</w:t>
            </w:r>
            <w:r>
              <w:t xml:space="preserve"> </w:t>
            </w:r>
            <w:r>
              <w:rPr>
                <w:rStyle w:val="VerbatimChar"/>
              </w:rPr>
              <w:t xml:space="preserve">sencillo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multiple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Varias corridas indicadas por lista o por</w:t>
            </w:r>
            <w:r>
              <w:t xml:space="preserve"> </w:t>
            </w:r>
            <w:r>
              <w:rPr>
                <w:rStyle w:val="VerbatimChar"/>
              </w:rPr>
              <w:t xml:space="preserve">paper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auto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Modo automático de exploración.</w:t>
            </w:r>
          </w:p>
        </w:tc>
      </w:tr>
    </w:tbl>
    <w:p>
      <w:pPr>
        <w:pStyle w:val="BodyText"/>
      </w:pPr>
      <w:r>
        <w:t xml:space="preserve">Esto corrige el problema de V2 en el que el manual inglés recomendaba</w:t>
      </w:r>
      <w:r>
        <w:t xml:space="preserve"> </w:t>
      </w:r>
      <w:r>
        <w:rPr>
          <w:rStyle w:val="VerbatimChar"/>
        </w:rPr>
        <w:t xml:space="preserve">single</w:t>
      </w:r>
      <w:r>
        <w:t xml:space="preserve">, pero el wrapper solo aceptaba</w:t>
      </w:r>
      <w:r>
        <w:t xml:space="preserve"> </w:t>
      </w:r>
      <w:r>
        <w:rPr>
          <w:rStyle w:val="VerbatimChar"/>
        </w:rPr>
        <w:t xml:space="preserve">sencillo</w:t>
      </w:r>
      <w:r>
        <w:t xml:space="preserve">.</w:t>
      </w:r>
    </w:p>
    <w:bookmarkEnd w:id="31"/>
    <w:bookmarkStart w:id="32" w:name="profundidad-de-ejecución"/>
    <w:p>
      <w:pPr>
        <w:pStyle w:val="Heading1"/>
      </w:pPr>
      <w:r>
        <w:t xml:space="preserve">11. Profundidad de ejecución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Profundidad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Uso recomendado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quick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Smoke tests, pruebas rápidas y validación básica.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standard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Ejecución normal con mayor estabilidad.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Barridos más densos y revisión avanzada.</w:t>
            </w:r>
          </w:p>
        </w:tc>
      </w:tr>
    </w:tbl>
    <w:p>
      <w:pPr>
        <w:pStyle w:val="BodyText"/>
      </w:pPr>
      <w:r>
        <w:t xml:space="preserve">Para reproducir el barrido del paper se recomienda comenzar con</w:t>
      </w:r>
      <w:r>
        <w:t xml:space="preserve"> </w:t>
      </w:r>
      <w:r>
        <w:rPr>
          <w:rStyle w:val="VerbatimChar"/>
        </w:rPr>
        <w:t xml:space="preserve">quick</w:t>
      </w:r>
      <w:r>
        <w:t xml:space="preserve"> </w:t>
      </w:r>
      <w:r>
        <w:t xml:space="preserve">y repetir con</w:t>
      </w:r>
      <w:r>
        <w:t xml:space="preserve"> </w:t>
      </w:r>
      <w:r>
        <w:rPr>
          <w:rStyle w:val="VerbatimChar"/>
        </w:rPr>
        <w:t xml:space="preserve">standard</w:t>
      </w:r>
      <w:r>
        <w:t xml:space="preserve"> </w:t>
      </w:r>
      <w:r>
        <w:t xml:space="preserve">o</w:t>
      </w:r>
      <w:r>
        <w:t xml:space="preserve"> </w:t>
      </w:r>
      <w:r>
        <w:rPr>
          <w:rStyle w:val="VerbatimChar"/>
        </w:rPr>
        <w:t xml:space="preserve">full</w:t>
      </w:r>
      <w:r>
        <w:t xml:space="preserve"> </w:t>
      </w:r>
      <w:r>
        <w:t xml:space="preserve">si el entorno lo permite.</w:t>
      </w:r>
    </w:p>
    <w:bookmarkEnd w:id="32"/>
    <w:bookmarkStart w:id="33" w:name="anclas-reconocidas"/>
    <w:p>
      <w:pPr>
        <w:pStyle w:val="Heading1"/>
      </w:pPr>
      <w:r>
        <w:t xml:space="preserve">12. Anclas reconocidas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Ancla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Interpretación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PLANCK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Región de referencia cercana al cierre temprano.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ICCUB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Valor central operativo del índice correlacional.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SH0ES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Región local elevada de H0.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break-(BAO)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Frontera negativa de ruptura BAO.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break+(WL)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Frontera positiva de ruptura lensing/WL.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paper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Lista completa de puntos usados para el barrido clásico.</w:t>
            </w:r>
          </w:p>
        </w:tc>
      </w:tr>
    </w:tbl>
    <w:p>
      <w:pPr>
        <w:pStyle w:val="BodyText"/>
      </w:pPr>
      <w:r>
        <w:t xml:space="preserve">También pueden introducirse valores numéricos directos, por ejemplo</w:t>
      </w:r>
      <w:r>
        <w:t xml:space="preserve"> </w:t>
      </w:r>
      <w:r>
        <w:rPr>
          <w:rStyle w:val="VerbatimChar"/>
        </w:rPr>
        <w:t xml:space="preserve">0.016</w:t>
      </w:r>
      <w:r>
        <w:t xml:space="preserve"> </w:t>
      </w:r>
      <w:r>
        <w:t xml:space="preserve">o</w:t>
      </w:r>
      <w:r>
        <w:t xml:space="preserve"> </w:t>
      </w:r>
      <w:r>
        <w:rPr>
          <w:rStyle w:val="VerbatimChar"/>
        </w:rPr>
        <w:t xml:space="preserve">-0.044</w:t>
      </w:r>
      <w:r>
        <w:t xml:space="preserve">, y listas separadas por</w:t>
      </w:r>
      <w:r>
        <w:t xml:space="preserve"> </w:t>
      </w:r>
      <w:r>
        <w:rPr>
          <w:rStyle w:val="VerbatimChar"/>
        </w:rPr>
        <w:t xml:space="preserve">/</w:t>
      </w:r>
      <w:r>
        <w:t xml:space="preserve">.</w:t>
      </w:r>
    </w:p>
    <w:bookmarkEnd w:id="33"/>
    <w:bookmarkStart w:id="34" w:name="modo-clásico"/>
    <w:p>
      <w:pPr>
        <w:pStyle w:val="Heading1"/>
      </w:pPr>
      <w:r>
        <w:t xml:space="preserve">13. Modo clásico</w:t>
      </w:r>
    </w:p>
    <w:p>
      <w:pPr>
        <w:pStyle w:val="FirstParagraph"/>
      </w:pPr>
      <w:r>
        <w:t xml:space="preserve">Configuración clásica más fiel al paper:</w:t>
      </w:r>
    </w:p>
    <w:p>
      <w:pPr>
        <w:pStyle w:val="BodyText"/>
      </w:pPr>
      <w:r>
        <w:rPr>
          <w:rStyle w:val="VerbatimChar"/>
        </w:rPr>
        <w:t xml:space="preserve">const | multiple | paper | quick</w:t>
      </w:r>
    </w:p>
    <w:p>
      <w:pPr>
        <w:pStyle w:val="BodyText"/>
      </w:pPr>
      <w:r>
        <w:t xml:space="preserve">Esta configuración reproduce la capa benchmark heredada de ΩCt/N. Es útil para verificar que el paquete conserva la continuidad con el paper ΩCt y con la capa de comparación clásica.</w:t>
      </w:r>
    </w:p>
    <w:bookmarkEnd w:id="34"/>
    <w:bookmarkStart w:id="35" w:name="modo-trayectoria-δωcₜ"/>
    <w:p>
      <w:pPr>
        <w:pStyle w:val="Heading1"/>
      </w:pPr>
      <w:r>
        <w:t xml:space="preserve">14. Modo trayectoria ΔΩcₜ</w:t>
      </w:r>
    </w:p>
    <w:p>
      <w:pPr>
        <w:pStyle w:val="FirstParagraph"/>
      </w:pPr>
      <w:r>
        <w:t xml:space="preserve">Smoke test recomendado:</w:t>
      </w:r>
    </w:p>
    <w:p>
      <w:pPr>
        <w:pStyle w:val="BodyText"/>
      </w:pPr>
      <w:r>
        <w:rPr>
          <w:rStyle w:val="VerbatimChar"/>
        </w:rPr>
        <w:t xml:space="preserve">deltaomegact | single | ICCUB | quick</w:t>
      </w:r>
    </w:p>
    <w:p>
      <w:pPr>
        <w:pStyle w:val="BodyText"/>
      </w:pPr>
      <w:r>
        <w:t xml:space="preserve">También se acepta:</w:t>
      </w:r>
    </w:p>
    <w:p>
      <w:pPr>
        <w:pStyle w:val="BodyText"/>
      </w:pPr>
      <w:r>
        <w:rPr>
          <w:rStyle w:val="VerbatimChar"/>
        </w:rPr>
        <w:t xml:space="preserve">deltaomegact | sencillo | ICCUB | quick</w:t>
      </w:r>
    </w:p>
    <w:p>
      <w:pPr>
        <w:pStyle w:val="BodyText"/>
      </w:pPr>
      <w:r>
        <w:t xml:space="preserve">Al elegir</w:t>
      </w:r>
      <w:r>
        <w:t xml:space="preserve"> </w:t>
      </w:r>
      <w:r>
        <w:rPr>
          <w:rStyle w:val="VerbatimChar"/>
        </w:rPr>
        <w:t xml:space="preserve">deltaomegact</w:t>
      </w:r>
      <w:r>
        <w:t xml:space="preserve">, V3 solicita controles históricos explícitos: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Parámetro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Valores / rango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Función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potential_model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quadratic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plateau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quartic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Familia efectiva del potencial correlacional.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lambda_eff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recomendado</w:t>
            </w:r>
            <w:r>
              <w:t xml:space="preserve"> </w:t>
            </w:r>
            <w:r>
              <w:rPr>
                <w:rStyle w:val="VerbatimChar"/>
              </w:rPr>
              <w:t xml:space="preserve">0.001–0.030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Ritmo efectivo de cierre histórico.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branch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+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transition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Rama de realización correlacional.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normalization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present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omega-based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Convención operativa de normalización.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positivo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Normalización correlacional de referencia.</w:t>
            </w:r>
          </w:p>
        </w:tc>
      </w:tr>
    </w:tbl>
    <w:bookmarkEnd w:id="35"/>
    <w:bookmarkStart w:id="36" w:name="potenciales-implementados"/>
    <w:p>
      <w:pPr>
        <w:pStyle w:val="Heading1"/>
      </w:pPr>
      <w:r>
        <w:t xml:space="preserve">15. Potenciales implementados</w:t>
      </w:r>
    </w:p>
    <w:p>
      <w:pPr>
        <w:pStyle w:val="FirstParagraph"/>
      </w:pPr>
      <w:r>
        <w:t xml:space="preserve">V3 implementa tres familias de potencial diferenciadas: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Opción de manual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Familia interna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Comentario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quadratic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quad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Potencial cuadrático alrededor de</w:t>
            </w:r>
            <w:r>
              <w:t xml:space="preserve"> </w:t>
            </w:r>
            <w:r>
              <w:rPr>
                <w:rStyle w:val="VerbatimChar"/>
              </w:rPr>
              <w:t xml:space="preserve">C0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plateau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tanh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Potencial suave de saturación.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quartic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quartic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Potencial cuártico explícito:</w:t>
            </w:r>
            <w:r>
              <w:t xml:space="preserve"> </w:t>
            </w:r>
            <w:r>
              <w:rPr>
                <w:rStyle w:val="VerbatimChar"/>
              </w:rPr>
              <w:t xml:space="preserve">U = U0 + 0.5*mC2*(C-C0)^2 + lambda4*(C-C0)^4</w:t>
            </w:r>
            <w:r>
              <w:t xml:space="preserve">.</w:t>
            </w:r>
          </w:p>
        </w:tc>
      </w:tr>
    </w:tbl>
    <w:p>
      <w:pPr>
        <w:pStyle w:val="BodyText"/>
      </w:pPr>
      <w:r>
        <w:t xml:space="preserve">En V2,</w:t>
      </w:r>
      <w:r>
        <w:t xml:space="preserve"> </w:t>
      </w:r>
      <w:r>
        <w:rPr>
          <w:rStyle w:val="VerbatimChar"/>
        </w:rPr>
        <w:t xml:space="preserve">quartic</w:t>
      </w:r>
      <w:r>
        <w:t xml:space="preserve"> </w:t>
      </w:r>
      <w:r>
        <w:t xml:space="preserve">era todavía una opción efectiva. En V3 queda implementado como familia real del núcleo.</w:t>
      </w:r>
    </w:p>
    <w:bookmarkEnd w:id="36"/>
    <w:bookmarkStart w:id="37" w:name="normalización-operativa"/>
    <w:p>
      <w:pPr>
        <w:pStyle w:val="Heading1"/>
      </w:pPr>
      <w:r>
        <w:t xml:space="preserve">16. Normalización operativa</w:t>
      </w:r>
    </w:p>
    <w:p>
      <w:pPr>
        <w:pStyle w:val="FirstParagraph"/>
      </w:pPr>
      <w:r>
        <w:t xml:space="preserve">V3 hace que</w:t>
      </w:r>
      <w:r>
        <w:t xml:space="preserve"> </w:t>
      </w:r>
      <w:r>
        <w:rPr>
          <w:rStyle w:val="VerbatimChar"/>
        </w:rPr>
        <w:t xml:space="preserve">normalization</w:t>
      </w:r>
      <w:r>
        <w:t xml:space="preserve"> </w:t>
      </w:r>
      <w:r>
        <w:t xml:space="preserve">tenga efecto real: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present</w:t>
      </w:r>
      <w:r>
        <w:t xml:space="preserve">: usa</w:t>
      </w:r>
      <w:r>
        <w:t xml:space="preserve"> </w:t>
      </w:r>
      <w:r>
        <w:rPr>
          <w:rStyle w:val="VerbatimChar"/>
        </w:rPr>
        <w:t xml:space="preserve">C0</w:t>
      </w:r>
      <w:r>
        <w:t xml:space="preserve"> </w:t>
      </w:r>
      <w:r>
        <w:t xml:space="preserve">directamente;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omega-based</w:t>
      </w:r>
      <w:r>
        <w:t xml:space="preserve">: reescala la línea base para que</w:t>
      </w:r>
      <w:r>
        <w:t xml:space="preserve"> </w:t>
      </w:r>
      <w:r>
        <w:rPr>
          <w:rStyle w:val="VerbatimChar"/>
        </w:rPr>
        <w:t xml:space="preserve">Ct(a=1)=C0</w:t>
      </w:r>
      <w:r>
        <w:t xml:space="preserve"> </w:t>
      </w:r>
      <w:r>
        <w:t xml:space="preserve">en la trayectoria seleccionada.</w:t>
      </w:r>
    </w:p>
    <w:p>
      <w:pPr>
        <w:pStyle w:val="FirstParagraph"/>
      </w:pPr>
      <w:r>
        <w:t xml:space="preserve">Esto evita que</w:t>
      </w:r>
      <w:r>
        <w:t xml:space="preserve"> </w:t>
      </w:r>
      <w:r>
        <w:rPr>
          <w:rStyle w:val="VerbatimChar"/>
        </w:rPr>
        <w:t xml:space="preserve">normalization</w:t>
      </w:r>
      <w:r>
        <w:t xml:space="preserve"> </w:t>
      </w:r>
      <w:r>
        <w:t xml:space="preserve">sea solo metadato y la convierte en una convención ejecutable.</w:t>
      </w:r>
    </w:p>
    <w:bookmarkEnd w:id="37"/>
    <w:bookmarkStart w:id="38" w:name="resultados-entregados"/>
    <w:p>
      <w:pPr>
        <w:pStyle w:val="Heading1"/>
      </w:pPr>
      <w:r>
        <w:t xml:space="preserve">17. Resultados entregados</w:t>
      </w:r>
    </w:p>
    <w:p>
      <w:pPr>
        <w:pStyle w:val="FirstParagraph"/>
      </w:pPr>
      <w:r>
        <w:t xml:space="preserve">El pipeline genera, según el modo seleccionado: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summary.json</w:t>
      </w:r>
      <w:r>
        <w:t xml:space="preserve">;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checklist.json</w:t>
      </w:r>
      <w:r>
        <w:t xml:space="preserve">;</w:t>
      </w:r>
    </w:p>
    <w:p>
      <w:pPr>
        <w:pStyle w:val="Compact"/>
        <w:numPr>
          <w:ilvl w:val="0"/>
          <w:numId w:val="1007"/>
        </w:numPr>
      </w:pPr>
      <w:r>
        <w:t xml:space="preserve">tablas CSV;</w:t>
      </w:r>
    </w:p>
    <w:p>
      <w:pPr>
        <w:pStyle w:val="Compact"/>
        <w:numPr>
          <w:ilvl w:val="0"/>
          <w:numId w:val="1007"/>
        </w:numPr>
      </w:pPr>
      <w:r>
        <w:t xml:space="preserve">reportes Markdown/HTML;</w:t>
      </w:r>
    </w:p>
    <w:p>
      <w:pPr>
        <w:pStyle w:val="Compact"/>
        <w:numPr>
          <w:ilvl w:val="0"/>
          <w:numId w:val="1007"/>
        </w:numPr>
      </w:pPr>
      <w:r>
        <w:t xml:space="preserve">logs de ejecución;</w:t>
      </w:r>
    </w:p>
    <w:p>
      <w:pPr>
        <w:pStyle w:val="Compact"/>
        <w:numPr>
          <w:ilvl w:val="0"/>
          <w:numId w:val="1007"/>
        </w:numPr>
      </w:pPr>
      <w:r>
        <w:t xml:space="preserve">diagnóstico de primer sector roto;</w:t>
      </w:r>
    </w:p>
    <w:p>
      <w:pPr>
        <w:pStyle w:val="Compact"/>
        <w:numPr>
          <w:ilvl w:val="0"/>
          <w:numId w:val="1007"/>
        </w:numPr>
      </w:pPr>
      <w:r>
        <w:t xml:space="preserve">parámetros de trayectoria utilizados;</w:t>
      </w:r>
    </w:p>
    <w:p>
      <w:pPr>
        <w:pStyle w:val="Compact"/>
        <w:numPr>
          <w:ilvl w:val="0"/>
          <w:numId w:val="1007"/>
        </w:numPr>
      </w:pPr>
      <w:r>
        <w:t xml:space="preserve">resultados globales</w:t>
      </w:r>
      <w:r>
        <w:t xml:space="preserve"> </w:t>
      </w:r>
      <w:r>
        <w:rPr>
          <w:rStyle w:val="VerbatimChar"/>
        </w:rPr>
        <w:t xml:space="preserve">OK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BROKEN</w:t>
      </w:r>
      <w:r>
        <w:t xml:space="preserve">.</w:t>
      </w:r>
    </w:p>
    <w:bookmarkEnd w:id="38"/>
    <w:bookmarkStart w:id="39" w:name="interpretación-de-resultados"/>
    <w:p>
      <w:pPr>
        <w:pStyle w:val="Heading1"/>
      </w:pPr>
      <w:r>
        <w:t xml:space="preserve">18. Interpretación de resultados</w:t>
      </w:r>
    </w:p>
    <w:p>
      <w:pPr>
        <w:pStyle w:val="FirstParagraph"/>
      </w:pPr>
      <w:r>
        <w:t xml:space="preserve">La interpretación debe hacerse en tres niveles: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Nivel estructural:</w:t>
      </w:r>
      <w:r>
        <w:t xml:space="preserve"> </w:t>
      </w:r>
      <w:r>
        <w:t xml:space="preserve">si el modelo conserva estabilidad y coherencia interna.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Nivel proxy-observacional:</w:t>
      </w:r>
      <w:r>
        <w:t xml:space="preserve"> </w:t>
      </w:r>
      <w:r>
        <w:t xml:space="preserve">si los proxies mínimos no rompen de forma inmediata.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Nivel de falsabilidad:</w:t>
      </w:r>
      <w:r>
        <w:t xml:space="preserve"> </w:t>
      </w:r>
      <w:r>
        <w:t xml:space="preserve">qué sector falla primero y bajo qué dirección de deformación.</w:t>
      </w:r>
    </w:p>
    <w:p>
      <w:pPr>
        <w:pStyle w:val="FirstParagraph"/>
      </w:pPr>
      <w:r>
        <w:t xml:space="preserve">Un resultado</w:t>
      </w:r>
      <w:r>
        <w:t xml:space="preserve"> </w:t>
      </w:r>
      <w:r>
        <w:rPr>
          <w:rStyle w:val="VerbatimChar"/>
        </w:rPr>
        <w:t xml:space="preserve">OK</w:t>
      </w:r>
      <w:r>
        <w:t xml:space="preserve"> </w:t>
      </w:r>
      <w:r>
        <w:t xml:space="preserve">no significa validación cosmológica final. Significa que la realización supera la batería mínima de consistencia estructural de V3.</w:t>
      </w:r>
    </w:p>
    <w:bookmarkEnd w:id="39"/>
    <w:bookmarkStart w:id="40" w:name="política-de-proxies-v3"/>
    <w:p>
      <w:pPr>
        <w:pStyle w:val="Heading1"/>
      </w:pPr>
      <w:r>
        <w:t xml:space="preserve">19. Política de proxies V3</w:t>
      </w:r>
    </w:p>
    <w:p>
      <w:pPr>
        <w:pStyle w:val="FirstParagraph"/>
      </w:pPr>
      <w:r>
        <w:t xml:space="preserve">V3 incluye</w:t>
      </w:r>
      <w:r>
        <w:t xml:space="preserve"> </w:t>
      </w:r>
      <w:r>
        <w:rPr>
          <w:rStyle w:val="VerbatimChar"/>
        </w:rPr>
        <w:t xml:space="preserve">PROXY_VALIDATION_POLICY_V3.md</w:t>
      </w:r>
      <w:r>
        <w:t xml:space="preserve">. La política es:</w:t>
      </w:r>
    </w:p>
    <w:p>
      <w:pPr>
        <w:pStyle w:val="Compact"/>
        <w:numPr>
          <w:ilvl w:val="0"/>
          <w:numId w:val="1009"/>
        </w:numPr>
      </w:pPr>
      <w:r>
        <w:t xml:space="preserve">los proxies son diagnósticos estructurales ligeros;</w:t>
      </w:r>
    </w:p>
    <w:p>
      <w:pPr>
        <w:pStyle w:val="Compact"/>
        <w:numPr>
          <w:ilvl w:val="0"/>
          <w:numId w:val="1009"/>
        </w:numPr>
      </w:pPr>
      <w:r>
        <w:t xml:space="preserve">no sustituyen CLASS, CAMB ni hi_class;</w:t>
      </w:r>
    </w:p>
    <w:p>
      <w:pPr>
        <w:pStyle w:val="Compact"/>
        <w:numPr>
          <w:ilvl w:val="0"/>
          <w:numId w:val="1009"/>
        </w:numPr>
      </w:pPr>
      <w:r>
        <w:t xml:space="preserve">no son un MCMC ni una inferencia bayesiana final;</w:t>
      </w:r>
    </w:p>
    <w:p>
      <w:pPr>
        <w:pStyle w:val="Compact"/>
        <w:numPr>
          <w:ilvl w:val="0"/>
          <w:numId w:val="1009"/>
        </w:numPr>
      </w:pPr>
      <w:r>
        <w:t xml:space="preserve">deben usarse para admisibilidad, ruptura y comparación preliminar;</w:t>
      </w:r>
    </w:p>
    <w:p>
      <w:pPr>
        <w:pStyle w:val="Compact"/>
        <w:numPr>
          <w:ilvl w:val="0"/>
          <w:numId w:val="1009"/>
        </w:numPr>
      </w:pPr>
      <w:r>
        <w:t xml:space="preserve">no deben presentarse como espectros CMB,</w:t>
      </w:r>
      <w:r>
        <w:t xml:space="preserve"> </w:t>
      </w:r>
      <w:r>
        <w:rPr>
          <w:rStyle w:val="VerbatimChar"/>
        </w:rPr>
        <w:t xml:space="preserve">P(k)</w:t>
      </w:r>
      <w:r>
        <w:t xml:space="preserve"> </w:t>
      </w:r>
      <w:r>
        <w:t xml:space="preserve">o estimaciones finales de parámetros.</w:t>
      </w:r>
    </w:p>
    <w:bookmarkEnd w:id="40"/>
    <w:bookmarkStart w:id="41" w:name="relación-con-el-paper-δωcₜ"/>
    <w:p>
      <w:pPr>
        <w:pStyle w:val="Heading1"/>
      </w:pPr>
      <w:r>
        <w:t xml:space="preserve">20. Relación con el paper ΔΩcₜ</w:t>
      </w:r>
    </w:p>
    <w:p>
      <w:pPr>
        <w:pStyle w:val="FirstParagraph"/>
      </w:pPr>
      <w:r>
        <w:t xml:space="preserve">El paper ΔΩcₜ formula el cierre dinámico efectivo entre la ruptura basal Δ y la coherencia histórica Ωcₜ. ΔΩcₜN V3 actúa como su capa operativa: permite ejecutar la lectura histórica del índice correlacional y comparar trayectorias admisibles frente a la capa benchmark clásica.</w:t>
      </w:r>
    </w:p>
    <w:p>
      <w:pPr>
        <w:pStyle w:val="BodyText"/>
      </w:pPr>
      <w:r>
        <w:t xml:space="preserve">La correspondencia es: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Paper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Pipeline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Cierre Δ → Ωcₜ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Familia</w:t>
            </w:r>
            <w:r>
              <w:t xml:space="preserve"> </w:t>
            </w:r>
            <w:r>
              <w:rPr>
                <w:rStyle w:val="VerbatimChar"/>
              </w:rPr>
              <w:t xml:space="preserve">deltaomegact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Trayectoria histórica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I_c(a)</w:t>
            </w:r>
            <w:r>
              <w:t xml:space="preserve"> </w:t>
            </w:r>
            <w:r>
              <w:t xml:space="preserve">con</w:t>
            </w:r>
            <w:r>
              <w:t xml:space="preserve"> </w:t>
            </w:r>
            <w:r>
              <w:rPr>
                <w:rStyle w:val="VerbatimChar"/>
              </w:rPr>
              <w:t xml:space="preserve">lambda_eff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Ramas correlacionales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branch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Convención de normalización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normalization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Admisibilidad operativa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Checklist y resultado global</w:t>
            </w:r>
          </w:p>
        </w:tc>
      </w:tr>
    </w:tbl>
    <w:bookmarkEnd w:id="41"/>
    <w:bookmarkStart w:id="42" w:name="limitaciones-conocidas"/>
    <w:p>
      <w:pPr>
        <w:pStyle w:val="Heading1"/>
      </w:pPr>
      <w:r>
        <w:t xml:space="preserve">21. Limitaciones conocidas</w:t>
      </w:r>
    </w:p>
    <w:p>
      <w:pPr>
        <w:pStyle w:val="FirstParagraph"/>
      </w:pPr>
      <w:r>
        <w:t xml:space="preserve">V3 no debe interpretarse como:</w:t>
      </w:r>
    </w:p>
    <w:p>
      <w:pPr>
        <w:pStyle w:val="Compact"/>
        <w:numPr>
          <w:ilvl w:val="0"/>
          <w:numId w:val="1010"/>
        </w:numPr>
      </w:pPr>
      <w:r>
        <w:t xml:space="preserve">un integrador Boltzmann completo;</w:t>
      </w:r>
    </w:p>
    <w:p>
      <w:pPr>
        <w:pStyle w:val="Compact"/>
        <w:numPr>
          <w:ilvl w:val="0"/>
          <w:numId w:val="1010"/>
        </w:numPr>
      </w:pPr>
      <w:r>
        <w:t xml:space="preserve">un sustituto de CLASS/CAMB/hi_class;</w:t>
      </w:r>
    </w:p>
    <w:p>
      <w:pPr>
        <w:pStyle w:val="Compact"/>
        <w:numPr>
          <w:ilvl w:val="0"/>
          <w:numId w:val="1010"/>
        </w:numPr>
      </w:pPr>
      <w:r>
        <w:t xml:space="preserve">una inferencia bayesiana final;</w:t>
      </w:r>
    </w:p>
    <w:p>
      <w:pPr>
        <w:pStyle w:val="Compact"/>
        <w:numPr>
          <w:ilvl w:val="0"/>
          <w:numId w:val="1010"/>
        </w:numPr>
      </w:pPr>
      <w:r>
        <w:t xml:space="preserve">una validación observacional definitiva;</w:t>
      </w:r>
    </w:p>
    <w:p>
      <w:pPr>
        <w:pStyle w:val="Compact"/>
        <w:numPr>
          <w:ilvl w:val="0"/>
          <w:numId w:val="1010"/>
        </w:numPr>
      </w:pPr>
      <w:r>
        <w:t xml:space="preserve">una microfísica UV completa.</w:t>
      </w:r>
    </w:p>
    <w:p>
      <w:pPr>
        <w:pStyle w:val="FirstParagraph"/>
      </w:pPr>
      <w:r>
        <w:t xml:space="preserve">V3 sí debe interpretarse como:</w:t>
      </w:r>
    </w:p>
    <w:p>
      <w:pPr>
        <w:pStyle w:val="Compact"/>
        <w:numPr>
          <w:ilvl w:val="0"/>
          <w:numId w:val="1011"/>
        </w:numPr>
      </w:pPr>
      <w:r>
        <w:t xml:space="preserve">un pipeline reviewer-ready de consistencia estructural;</w:t>
      </w:r>
    </w:p>
    <w:p>
      <w:pPr>
        <w:pStyle w:val="Compact"/>
        <w:numPr>
          <w:ilvl w:val="0"/>
          <w:numId w:val="1011"/>
        </w:numPr>
      </w:pPr>
      <w:r>
        <w:t xml:space="preserve">una capa ejecutable de trayectorias ΔΩcₜ;</w:t>
      </w:r>
    </w:p>
    <w:p>
      <w:pPr>
        <w:pStyle w:val="Compact"/>
        <w:numPr>
          <w:ilvl w:val="0"/>
          <w:numId w:val="1011"/>
        </w:numPr>
      </w:pPr>
      <w:r>
        <w:t xml:space="preserve">una herramienta para detectar ruptura operacional;</w:t>
      </w:r>
    </w:p>
    <w:p>
      <w:pPr>
        <w:pStyle w:val="Compact"/>
        <w:numPr>
          <w:ilvl w:val="0"/>
          <w:numId w:val="1011"/>
        </w:numPr>
      </w:pPr>
      <w:r>
        <w:t xml:space="preserve">una base limpia para generaciones posteriores G4/G5.</w:t>
      </w:r>
    </w:p>
    <w:bookmarkEnd w:id="42"/>
    <w:bookmarkStart w:id="43" w:name="resolución-de-problemas"/>
    <w:p>
      <w:pPr>
        <w:pStyle w:val="Heading1"/>
      </w:pPr>
      <w:r>
        <w:t xml:space="preserve">22. Resolución de problemas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Problema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Solución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single</w:t>
            </w:r>
            <w:r>
              <w:t xml:space="preserve"> </w:t>
            </w:r>
            <w:r>
              <w:t xml:space="preserve">no funciona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V3 sí funciona. Si falla, verificar que se está usando V3 y no V2.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Falta</w:t>
            </w:r>
            <w:r>
              <w:t xml:space="preserve"> </w:t>
            </w:r>
            <w:r>
              <w:rPr>
                <w:rStyle w:val="VerbatimChar"/>
              </w:rPr>
              <w:t xml:space="preserve">matplotlib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Ejecutar</w:t>
            </w:r>
            <w:r>
              <w:t xml:space="preserve"> </w:t>
            </w:r>
            <w:r>
              <w:rPr>
                <w:rStyle w:val="VerbatimChar"/>
              </w:rPr>
              <w:t xml:space="preserve">pip install -r requirements.txt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El resultado global es</w:t>
            </w:r>
            <w:r>
              <w:t xml:space="preserve"> </w:t>
            </w:r>
            <w:r>
              <w:rPr>
                <w:rStyle w:val="VerbatimChar"/>
              </w:rPr>
              <w:t xml:space="preserve">BROKEN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Revisar qué sector devuelve</w:t>
            </w:r>
            <w:r>
              <w:t xml:space="preserve"> </w:t>
            </w:r>
            <w:r>
              <w:rPr>
                <w:rStyle w:val="VerbatimChar"/>
              </w:rPr>
              <w:t xml:space="preserve">FAIL</w:t>
            </w:r>
            <w:r>
              <w:t xml:space="preserve">; puede ser un resultado físico del test.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No aparecen gráficos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Verificar permisos de escritura y backend de matplotlib.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El modo</w:t>
            </w:r>
            <w:r>
              <w:t xml:space="preserve"> </w:t>
            </w:r>
            <w:r>
              <w:rPr>
                <w:rStyle w:val="VerbatimChar"/>
              </w:rPr>
              <w:t xml:space="preserve">quartic</w:t>
            </w:r>
            <w:r>
              <w:t xml:space="preserve"> </w:t>
            </w:r>
            <w:r>
              <w:t xml:space="preserve">no se reconoce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Verificar que el core sea V3.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El launcher abre V2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Confirmar que el paquete descomprimido sea</w:t>
            </w:r>
            <w:r>
              <w:t xml:space="preserve"> </w:t>
            </w:r>
            <w:r>
              <w:rPr>
                <w:rStyle w:val="VerbatimChar"/>
              </w:rPr>
              <w:t xml:space="preserve">DeltaOmegaCtN_V3</w:t>
            </w:r>
            <w:r>
              <w:t xml:space="preserve">.</w:t>
            </w:r>
          </w:p>
        </w:tc>
      </w:tr>
    </w:tbl>
    <w:bookmarkEnd w:id="43"/>
    <w:bookmarkStart w:id="44" w:name="buenas-prácticas"/>
    <w:p>
      <w:pPr>
        <w:pStyle w:val="Heading1"/>
      </w:pPr>
      <w:r>
        <w:t xml:space="preserve">23. Buenas prácticas</w:t>
      </w:r>
    </w:p>
    <w:p>
      <w:pPr>
        <w:pStyle w:val="Compact"/>
        <w:numPr>
          <w:ilvl w:val="0"/>
          <w:numId w:val="1012"/>
        </w:numPr>
      </w:pPr>
      <w:r>
        <w:t xml:space="preserve">Ejecutar primero un smoke test.</w:t>
      </w:r>
    </w:p>
    <w:p>
      <w:pPr>
        <w:pStyle w:val="Compact"/>
        <w:numPr>
          <w:ilvl w:val="0"/>
          <w:numId w:val="1012"/>
        </w:numPr>
      </w:pPr>
      <w:r>
        <w:t xml:space="preserve">No empezar por</w:t>
      </w:r>
      <w:r>
        <w:t xml:space="preserve"> </w:t>
      </w:r>
      <w:r>
        <w:rPr>
          <w:rStyle w:val="VerbatimChar"/>
        </w:rPr>
        <w:t xml:space="preserve">full</w:t>
      </w:r>
      <w:r>
        <w:t xml:space="preserve"> </w:t>
      </w:r>
      <w:r>
        <w:t xml:space="preserve">si el entorno no está comprobado.</w:t>
      </w:r>
    </w:p>
    <w:p>
      <w:pPr>
        <w:pStyle w:val="Compact"/>
        <w:numPr>
          <w:ilvl w:val="0"/>
          <w:numId w:val="1012"/>
        </w:numPr>
      </w:pPr>
      <w:r>
        <w:t xml:space="preserve">Guardar logs completos.</w:t>
      </w:r>
    </w:p>
    <w:p>
      <w:pPr>
        <w:pStyle w:val="Compact"/>
        <w:numPr>
          <w:ilvl w:val="0"/>
          <w:numId w:val="1012"/>
        </w:numPr>
      </w:pPr>
      <w:r>
        <w:t xml:space="preserve">No mezclar resultados de V2 y V3.</w:t>
      </w:r>
    </w:p>
    <w:p>
      <w:pPr>
        <w:pStyle w:val="Compact"/>
        <w:numPr>
          <w:ilvl w:val="0"/>
          <w:numId w:val="1012"/>
        </w:numPr>
      </w:pPr>
      <w:r>
        <w:t xml:space="preserve">Citar claramente que los outputs observacionales son proxies estructurales.</w:t>
      </w:r>
    </w:p>
    <w:p>
      <w:pPr>
        <w:pStyle w:val="Compact"/>
        <w:numPr>
          <w:ilvl w:val="0"/>
          <w:numId w:val="1012"/>
        </w:numPr>
      </w:pPr>
      <w:r>
        <w:t xml:space="preserve">Usar</w:t>
      </w:r>
      <w:r>
        <w:t xml:space="preserve"> </w:t>
      </w:r>
      <w:r>
        <w:rPr>
          <w:rStyle w:val="VerbatimChar"/>
        </w:rPr>
        <w:t xml:space="preserve">const | multiple | paper | quick</w:t>
      </w:r>
      <w:r>
        <w:t xml:space="preserve"> </w:t>
      </w:r>
      <w:r>
        <w:t xml:space="preserve">para reproducibilidad clásica.</w:t>
      </w:r>
    </w:p>
    <w:p>
      <w:pPr>
        <w:pStyle w:val="Compact"/>
        <w:numPr>
          <w:ilvl w:val="0"/>
          <w:numId w:val="1012"/>
        </w:numPr>
      </w:pPr>
      <w:r>
        <w:t xml:space="preserve">Usar</w:t>
      </w:r>
      <w:r>
        <w:t xml:space="preserve"> </w:t>
      </w:r>
      <w:r>
        <w:rPr>
          <w:rStyle w:val="VerbatimChar"/>
        </w:rPr>
        <w:t xml:space="preserve">deltaomegact | single | ICCUB | quick</w:t>
      </w:r>
      <w:r>
        <w:t xml:space="preserve"> </w:t>
      </w:r>
      <w:r>
        <w:t xml:space="preserve">para validar la trayectoria mínima.</w:t>
      </w:r>
    </w:p>
    <w:bookmarkEnd w:id="44"/>
    <w:bookmarkStart w:id="45" w:name="historial-de-versiones"/>
    <w:p>
      <w:pPr>
        <w:pStyle w:val="Heading1"/>
      </w:pPr>
      <w:r>
        <w:t xml:space="preserve">24. Historial de versiones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Versión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Estado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Comentario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Transicional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Primera capa ΔΩcₜ, todavía limitada.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Mejorada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Expuso trayectoria, pero mantenía algunos desajustes.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Recomendada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Corrige aliases, normalización, cuártico, política de proxies y dependencias.</w:t>
            </w:r>
          </w:p>
        </w:tc>
      </w:tr>
    </w:tbl>
    <w:bookmarkEnd w:id="45"/>
    <w:bookmarkStart w:id="46" w:name="conclusión"/>
    <w:p>
      <w:pPr>
        <w:pStyle w:val="Heading1"/>
      </w:pPr>
      <w:r>
        <w:t xml:space="preserve">25. Conclusión</w:t>
      </w:r>
    </w:p>
    <w:p>
      <w:pPr>
        <w:pStyle w:val="FirstParagraph"/>
      </w:pPr>
      <w:r>
        <w:t xml:space="preserve">ΔΩcₜN V3 es la versión recomendada para acompañar el preprint HDC–CBC/ΔΩcₜ. Su valor no está en sustituir a los grandes códigos cosmológicos, sino en ofrecer una herramienta ejecutable, reproducible y honesta para comprobar si las trayectorias históricas del índice correlacional pueden sostener un régimen proyectado admisible bajo una batería estructural mínima.</w:t>
      </w:r>
    </w:p>
    <w:p>
      <w:pPr>
        <w:pStyle w:val="BodyText"/>
      </w:pPr>
      <w:r>
        <w:t xml:space="preserve">La lectura correcta de V3 es sobria: no demuestra la teoría, pero sí evita que la teoría quede en un plano meramente conceptual. Convierte ΔΩcₜ en una arquitectura operativa verificable, auditable y mejor preparada para el desarrollo posterior hacia G4/G5.</w:t>
      </w:r>
    </w:p>
    <w:bookmarkEnd w:id="46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 Text"/>
    <w:next w:val="Footnote 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OFICIAL DE USO — ΔΩcₜN V3</dc:title>
  <dc:creator>Jordi Audet Palau — Independent Researcher</dc:creator>
  <dc:language>es</dc:language>
  <cp:keywords/>
  <dcterms:created xsi:type="dcterms:W3CDTF">2026-04-24T09:21:21Z</dcterms:created>
  <dcterms:modified xsi:type="dcterms:W3CDTF">2026-04-24T09:21:21Z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V3 — abril de 2026</vt:lpwstr>
  </property>
  <property fmtid="{D5CDD505-2E9C-101B-9397-08002B2CF9AE}" pid="3" name="subtitle">
    <vt:lpwstr>Pipeline del cierre correlacional con trayectorias para HDC–CBC / ΔΩcₜ</vt:lpwstr>
  </property>
</Properties>
</file>