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OFFICIAL</w:t>
      </w:r>
      <w:r>
        <w:t xml:space="preserve"> </w:t>
      </w:r>
      <w:r>
        <w:t xml:space="preserve">USER</w:t>
      </w:r>
      <w:r>
        <w:t xml:space="preserve"> </w:t>
      </w:r>
      <w:r>
        <w:t xml:space="preserve">MANUAL</w:t>
      </w:r>
      <w:r>
        <w:t xml:space="preserve"> </w:t>
      </w:r>
      <w:r>
        <w:t xml:space="preserve">—</w:t>
      </w:r>
      <w:r>
        <w:t xml:space="preserve"> </w:t>
      </w:r>
      <w:r>
        <w:t xml:space="preserve">ΔΩcₜN</w:t>
      </w:r>
      <w:r>
        <w:t xml:space="preserve"> </w:t>
      </w:r>
      <w:r>
        <w:t xml:space="preserve">V3</w:t>
      </w:r>
    </w:p>
    <w:p>
      <w:pPr>
        <w:pStyle w:val="Subtitle"/>
      </w:pPr>
      <w:r>
        <w:t xml:space="preserve">Trajectory-enabled</w:t>
      </w:r>
      <w:r>
        <w:t xml:space="preserve"> </w:t>
      </w:r>
      <w:r>
        <w:t xml:space="preserve">correlational</w:t>
      </w:r>
      <w:r>
        <w:t xml:space="preserve"> </w:t>
      </w:r>
      <w:r>
        <w:t xml:space="preserve">closure</w:t>
      </w:r>
      <w:r>
        <w:t xml:space="preserve"> </w:t>
      </w:r>
      <w:r>
        <w:t xml:space="preserve">pipeline</w:t>
      </w:r>
      <w:r>
        <w:t xml:space="preserve"> </w:t>
      </w:r>
      <w:r>
        <w:t xml:space="preserve">for</w:t>
      </w:r>
      <w:r>
        <w:t xml:space="preserve"> </w:t>
      </w:r>
      <w:r>
        <w:t xml:space="preserve">HDC–CBC</w:t>
      </w:r>
      <w:r>
        <w:t xml:space="preserve"> </w:t>
      </w:r>
      <w:r>
        <w:t xml:space="preserve">/</w:t>
      </w:r>
      <w:r>
        <w:t xml:space="preserve"> </w:t>
      </w:r>
      <w:r>
        <w:t xml:space="preserve">ΔΩcₜ</w:t>
      </w:r>
    </w:p>
    <w:p>
      <w:pPr>
        <w:pStyle w:val="Author"/>
      </w:pPr>
      <w:r>
        <w:t xml:space="preserve">Jordi</w:t>
      </w:r>
      <w:r>
        <w:t xml:space="preserve"> </w:t>
      </w:r>
      <w:r>
        <w:t xml:space="preserve">Audet</w:t>
      </w:r>
      <w:r>
        <w:t xml:space="preserve"> </w:t>
      </w:r>
      <w:r>
        <w:t xml:space="preserve">Palau</w:t>
      </w:r>
      <w:r>
        <w:t xml:space="preserve"> </w:t>
      </w:r>
      <w:r>
        <w:t xml:space="preserve">—</w:t>
      </w:r>
      <w:r>
        <w:t xml:space="preserve"> </w:t>
      </w:r>
      <w:r>
        <w:t xml:space="preserve">Independent</w:t>
      </w:r>
      <w:r>
        <w:t xml:space="preserve"> </w:t>
      </w:r>
      <w:r>
        <w:t xml:space="preserve">Researcher</w:t>
      </w:r>
    </w:p>
    <w:p>
      <w:pPr>
        <w:pStyle w:val="Date"/>
      </w:pPr>
      <w:r>
        <w:t xml:space="preserve">V3</w:t>
      </w:r>
      <w:r>
        <w:t xml:space="preserve"> </w:t>
      </w:r>
      <w:r>
        <w:t xml:space="preserve">—</w:t>
      </w:r>
      <w:r>
        <w:t xml:space="preserve"> </w:t>
      </w:r>
      <w:r>
        <w:t xml:space="preserve">April</w:t>
      </w:r>
      <w:r>
        <w:t xml:space="preserve"> </w:t>
      </w:r>
      <w:r>
        <w:t xml:space="preserve">2026</w:t>
      </w:r>
    </w:p>
    <w:bookmarkStart w:id="21" w:name="official-user-manual"/>
    <w:p>
      <w:pPr>
        <w:pStyle w:val="Heading1"/>
      </w:pPr>
      <w:r>
        <w:t xml:space="preserve">OFFICIAL USER MANUAL</w:t>
      </w:r>
    </w:p>
    <w:bookmarkStart w:id="20" w:name="δωcₜn-v3"/>
    <w:p>
      <w:pPr>
        <w:pStyle w:val="Heading2"/>
      </w:pPr>
      <w:r>
        <w:t xml:space="preserve">ΔΩcₜN V3</w:t>
      </w:r>
    </w:p>
    <w:p>
      <w:pPr>
        <w:pStyle w:val="FirstParagraph"/>
      </w:pPr>
      <w:r>
        <w:rPr>
          <w:b/>
          <w:bCs/>
        </w:rPr>
        <w:t xml:space="preserve">Trajectory-enabled correlational closure pipeline for HDC–CBC / ΔΩcₜ</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Field</w:t>
            </w:r>
          </w:p>
        </w:tc>
        <w:tc>
          <w:tcPr/>
          <w:p>
            <w:pPr>
              <w:pStyle w:val="Compact"/>
              <w:jc w:val="left"/>
            </w:pPr>
            <w:r>
              <w:t xml:space="preserve">Value</w:t>
            </w:r>
          </w:p>
        </w:tc>
      </w:tr>
      <w:tr>
        <w:tc>
          <w:tcPr/>
          <w:p>
            <w:pPr>
              <w:pStyle w:val="Compact"/>
              <w:jc w:val="left"/>
            </w:pPr>
            <w:r>
              <w:t xml:space="preserve">Project</w:t>
            </w:r>
          </w:p>
        </w:tc>
        <w:tc>
          <w:tcPr/>
          <w:p>
            <w:pPr>
              <w:pStyle w:val="Compact"/>
              <w:jc w:val="left"/>
            </w:pPr>
            <w:r>
              <w:t xml:space="preserve">ΔΩcₜN</w:t>
            </w:r>
          </w:p>
        </w:tc>
      </w:tr>
      <w:tr>
        <w:tc>
          <w:tcPr/>
          <w:p>
            <w:pPr>
              <w:pStyle w:val="Compact"/>
              <w:jc w:val="left"/>
            </w:pPr>
            <w:r>
              <w:t xml:space="preserve">Framework</w:t>
            </w:r>
          </w:p>
        </w:tc>
        <w:tc>
          <w:tcPr/>
          <w:p>
            <w:pPr>
              <w:pStyle w:val="Compact"/>
              <w:jc w:val="left"/>
            </w:pPr>
            <w:r>
              <w:t xml:space="preserve">HDC–CBC / ΔΩcₜ</w:t>
            </w:r>
          </w:p>
        </w:tc>
      </w:tr>
      <w:tr>
        <w:tc>
          <w:tcPr/>
          <w:p>
            <w:pPr>
              <w:pStyle w:val="Compact"/>
              <w:jc w:val="left"/>
            </w:pPr>
            <w:r>
              <w:t xml:space="preserve">Recommended public version</w:t>
            </w:r>
          </w:p>
        </w:tc>
        <w:tc>
          <w:tcPr/>
          <w:p>
            <w:pPr>
              <w:pStyle w:val="Compact"/>
              <w:jc w:val="left"/>
            </w:pPr>
            <w:r>
              <w:t xml:space="preserve">V3</w:t>
            </w:r>
          </w:p>
        </w:tc>
      </w:tr>
      <w:tr>
        <w:tc>
          <w:tcPr/>
          <w:p>
            <w:pPr>
              <w:pStyle w:val="Compact"/>
              <w:jc w:val="left"/>
            </w:pPr>
            <w:r>
              <w:t xml:space="preserve">Operational versions</w:t>
            </w:r>
          </w:p>
        </w:tc>
        <w:tc>
          <w:tcPr/>
          <w:p>
            <w:pPr>
              <w:pStyle w:val="Compact"/>
              <w:jc w:val="left"/>
            </w:pPr>
            <w:r>
              <w:t xml:space="preserve">V3 · V3 Chat</w:t>
            </w:r>
          </w:p>
        </w:tc>
      </w:tr>
      <w:tr>
        <w:tc>
          <w:tcPr/>
          <w:p>
            <w:pPr>
              <w:pStyle w:val="Compact"/>
              <w:jc w:val="left"/>
            </w:pPr>
            <w:r>
              <w:t xml:space="preserve">Most paper-faithful classic configuration</w:t>
            </w:r>
          </w:p>
        </w:tc>
        <w:tc>
          <w:tcPr/>
          <w:p>
            <w:pPr>
              <w:pStyle w:val="Compact"/>
              <w:jc w:val="left"/>
            </w:pPr>
            <w:r>
              <w:rPr>
                <w:rStyle w:val="VerbatimChar"/>
              </w:rPr>
              <w:t xml:space="preserve">const | multiple | paper | quick</w:t>
            </w:r>
          </w:p>
        </w:tc>
      </w:tr>
      <w:tr>
        <w:tc>
          <w:tcPr/>
          <w:p>
            <w:pPr>
              <w:pStyle w:val="Compact"/>
              <w:jc w:val="left"/>
            </w:pPr>
            <w:r>
              <w:t xml:space="preserve">Recommended trajectory smoke test</w:t>
            </w:r>
          </w:p>
        </w:tc>
        <w:tc>
          <w:tcPr/>
          <w:p>
            <w:pPr>
              <w:pStyle w:val="Compact"/>
              <w:jc w:val="left"/>
            </w:pPr>
            <w:r>
              <w:rPr>
                <w:rStyle w:val="VerbatimChar"/>
              </w:rPr>
              <w:t xml:space="preserve">deltaomegact | single | ICCUB | quick</w:t>
            </w:r>
          </w:p>
        </w:tc>
      </w:tr>
      <w:tr>
        <w:tc>
          <w:tcPr/>
          <w:p>
            <w:pPr>
              <w:pStyle w:val="Compact"/>
              <w:jc w:val="left"/>
            </w:pPr>
            <w:r>
              <w:t xml:space="preserve">Global criterion</w:t>
            </w:r>
          </w:p>
        </w:tc>
        <w:tc>
          <w:tcPr/>
          <w:p>
            <w:pPr>
              <w:pStyle w:val="Compact"/>
              <w:jc w:val="left"/>
            </w:pPr>
            <w:r>
              <w:t xml:space="preserve">If any sector returns</w:t>
            </w:r>
            <w:r>
              <w:t xml:space="preserve"> </w:t>
            </w:r>
            <w:r>
              <w:rPr>
                <w:rStyle w:val="VerbatimChar"/>
              </w:rPr>
              <w:t xml:space="preserve">FAIL</w:t>
            </w:r>
            <w:r>
              <w:t xml:space="preserve">, global status is</w:t>
            </w:r>
            <w:r>
              <w:t xml:space="preserve"> </w:t>
            </w:r>
            <w:r>
              <w:rPr>
                <w:rStyle w:val="VerbatimChar"/>
              </w:rPr>
              <w:t xml:space="preserve">BROKEN</w:t>
            </w:r>
          </w:p>
        </w:tc>
      </w:tr>
    </w:tbl>
    <w:bookmarkEnd w:id="20"/>
    <w:bookmarkEnd w:id="21"/>
    <w:bookmarkStart w:id="22" w:name="introduction"/>
    <w:p>
      <w:pPr>
        <w:pStyle w:val="Heading1"/>
      </w:pPr>
      <w:r>
        <w:t xml:space="preserve">1. Introduction</w:t>
      </w:r>
    </w:p>
    <w:p>
      <w:pPr>
        <w:pStyle w:val="FirstParagraph"/>
      </w:pPr>
      <w:r>
        <w:t xml:space="preserve">ΔΩcₜN V3 is the recommended public version of the operational pipeline developed to translate the effective dynamical closure of HDC–CBC / ΔΩcₜ into an executable, reproducible and falsifiable numerical system.</w:t>
      </w:r>
    </w:p>
    <w:p>
      <w:pPr>
        <w:pStyle w:val="BodyText"/>
      </w:pPr>
      <w:r>
        <w:t xml:space="preserve">V3 preserves the classic ΩCt/N benchmark layer and adds an explicit historical trajectory layer. In this layer, the correlational index is no longer treated only as a fixed value; it can be generated from an effective historical evolution of coherence.</w:t>
      </w:r>
    </w:p>
    <w:p>
      <w:pPr>
        <w:pStyle w:val="BodyText"/>
      </w:pPr>
      <w:r>
        <w:t xml:space="preserve">V3 supersedes V2 because it fixes five operational points: bilingual execution aliases, operational normalization, an explicit quartic potential family in the core, removal of the old proxy-policy contradiction, and declaration of minimal Python dependencies.</w:t>
      </w:r>
    </w:p>
    <w:bookmarkEnd w:id="22"/>
    <w:bookmarkStart w:id="23" w:name="pipeline-purpose"/>
    <w:p>
      <w:pPr>
        <w:pStyle w:val="Heading1"/>
      </w:pPr>
      <w:r>
        <w:t xml:space="preserve">2. Pipeline purpose</w:t>
      </w:r>
    </w:p>
    <w:p>
      <w:pPr>
        <w:pStyle w:val="FirstParagraph"/>
      </w:pPr>
      <w:r>
        <w:t xml:space="preserve">The purpose of ΔΩcₜN V3 is twofold:</w:t>
      </w:r>
    </w:p>
    <w:p>
      <w:pPr>
        <w:pStyle w:val="Compact"/>
        <w:numPr>
          <w:ilvl w:val="0"/>
          <w:numId w:val="1001"/>
        </w:numPr>
      </w:pPr>
      <w:r>
        <w:t xml:space="preserve">to reproduce the classic ΩCt/N sweep faithfully;</w:t>
      </w:r>
    </w:p>
    <w:p>
      <w:pPr>
        <w:pStyle w:val="Compact"/>
        <w:numPr>
          <w:ilvl w:val="0"/>
          <w:numId w:val="1001"/>
        </w:numPr>
      </w:pPr>
      <w:r>
        <w:t xml:space="preserve">to test whether full historical trajectories</w:t>
      </w:r>
      <w:r>
        <w:t xml:space="preserve"> </w:t>
      </w:r>
      <w:r>
        <w:rPr>
          <w:rStyle w:val="VerbatimChar"/>
        </w:rPr>
        <w:t xml:space="preserve">I_c(a)</w:t>
      </w:r>
      <w:r>
        <w:t xml:space="preserve"> </w:t>
      </w:r>
      <w:r>
        <w:t xml:space="preserve">remain structurally and observationally admissible.</w:t>
      </w:r>
    </w:p>
    <w:p>
      <w:pPr>
        <w:pStyle w:val="FirstParagraph"/>
      </w:pPr>
      <w:r>
        <w:t xml:space="preserve">In practical terms, the pipeline can:</w:t>
      </w:r>
    </w:p>
    <w:p>
      <w:pPr>
        <w:pStyle w:val="Compact"/>
        <w:numPr>
          <w:ilvl w:val="0"/>
          <w:numId w:val="1002"/>
        </w:numPr>
      </w:pPr>
      <w:r>
        <w:t xml:space="preserve">map the stable operational window of the classic benchmark;</w:t>
      </w:r>
    </w:p>
    <w:p>
      <w:pPr>
        <w:pStyle w:val="Compact"/>
        <w:numPr>
          <w:ilvl w:val="0"/>
          <w:numId w:val="1002"/>
        </w:numPr>
      </w:pPr>
      <w:r>
        <w:t xml:space="preserve">build historical histories</w:t>
      </w:r>
      <w:r>
        <w:t xml:space="preserve"> </w:t>
      </w:r>
      <w:r>
        <w:rPr>
          <w:rStyle w:val="VerbatimChar"/>
        </w:rPr>
        <w:t xml:space="preserve">I_c(a)</w:t>
      </w:r>
      <w:r>
        <w:t xml:space="preserve"> </w:t>
      </w:r>
      <w:r>
        <w:t xml:space="preserve">from an effective closure law;</w:t>
      </w:r>
    </w:p>
    <w:p>
      <w:pPr>
        <w:pStyle w:val="Compact"/>
        <w:numPr>
          <w:ilvl w:val="0"/>
          <w:numId w:val="1002"/>
        </w:numPr>
      </w:pPr>
      <w:r>
        <w:t xml:space="preserve">identify which observable breaks first when the system is pushed toward rupture;</w:t>
      </w:r>
    </w:p>
    <w:p>
      <w:pPr>
        <w:pStyle w:val="Compact"/>
        <w:numPr>
          <w:ilvl w:val="0"/>
          <w:numId w:val="1002"/>
        </w:numPr>
      </w:pPr>
      <w:r>
        <w:t xml:space="preserve">distinguish good, marginal, broken and numerically unstable histories;</w:t>
      </w:r>
    </w:p>
    <w:p>
      <w:pPr>
        <w:pStyle w:val="Compact"/>
        <w:numPr>
          <w:ilvl w:val="0"/>
          <w:numId w:val="1002"/>
        </w:numPr>
      </w:pPr>
      <w:r>
        <w:t xml:space="preserve">export reproducible tables, reports and diagnostics.</w:t>
      </w:r>
    </w:p>
    <w:bookmarkEnd w:id="23"/>
    <w:bookmarkStart w:id="24" w:name="scope-and-design-philosophy"/>
    <w:p>
      <w:pPr>
        <w:pStyle w:val="Heading1"/>
      </w:pPr>
      <w:r>
        <w:t xml:space="preserve">3. Scope and design philosophy</w:t>
      </w:r>
    </w:p>
    <w:p>
      <w:pPr>
        <w:pStyle w:val="FirstParagraph"/>
      </w:pPr>
      <w:r>
        <w:t xml:space="preserve">ΔΩcₜN V3 is not a full Boltzmann integrator, does not replace CLASS, CAMB or hi_class, and is not yet a final Bayesian/MCMC pipeline.</w:t>
      </w:r>
    </w:p>
    <w:p>
      <w:pPr>
        <w:pStyle w:val="BodyText"/>
      </w:pPr>
      <w:r>
        <w:t xml:space="preserve">Its function is structural: to evaluate admissibility, stability, internal consistency and operational rupture under a minimal validation battery. Quantities such as</w:t>
      </w:r>
      <w:r>
        <w:t xml:space="preserve"> </w:t>
      </w:r>
      <w:r>
        <w:rPr>
          <w:rStyle w:val="VerbatimChar"/>
        </w:rPr>
        <w:t xml:space="preserve">S8</w:t>
      </w:r>
      <w:r>
        <w:t xml:space="preserve">,</w:t>
      </w:r>
      <w:r>
        <w:t xml:space="preserve"> </w:t>
      </w:r>
      <w:r>
        <w:rPr>
          <w:rStyle w:val="VerbatimChar"/>
        </w:rPr>
        <w:t xml:space="preserve">sigma8</w:t>
      </w:r>
      <w:r>
        <w:t xml:space="preserve">,</w:t>
      </w:r>
      <w:r>
        <w:t xml:space="preserve"> </w:t>
      </w:r>
      <w:r>
        <w:rPr>
          <w:rStyle w:val="VerbatimChar"/>
        </w:rPr>
        <w:t xml:space="preserve">ISW_proxy</w:t>
      </w:r>
      <w:r>
        <w:t xml:space="preserve">,</w:t>
      </w:r>
      <w:r>
        <w:t xml:space="preserve"> </w:t>
      </w:r>
      <w:r>
        <w:rPr>
          <w:rStyle w:val="VerbatimChar"/>
        </w:rPr>
        <w:t xml:space="preserve">Lensing_proxy</w:t>
      </w:r>
      <w:r>
        <w:t xml:space="preserve"> </w:t>
      </w:r>
      <w:r>
        <w:t xml:space="preserve">or tensor-sector diagnostics must be read as lightweight proxies, not precision cosmological observables.</w:t>
      </w:r>
    </w:p>
    <w:p>
      <w:pPr>
        <w:pStyle w:val="BodyText"/>
      </w:pPr>
      <w:r>
        <w:t xml:space="preserve">The central rule is unchanged:</w:t>
      </w:r>
    </w:p>
    <w:p>
      <w:pPr>
        <w:pStyle w:val="BlockText"/>
      </w:pPr>
      <w:r>
        <w:t xml:space="preserve">If any sector returns</w:t>
      </w:r>
      <w:r>
        <w:t xml:space="preserve"> </w:t>
      </w:r>
      <w:r>
        <w:rPr>
          <w:rStyle w:val="VerbatimChar"/>
        </w:rPr>
        <w:t xml:space="preserve">FAIL</w:t>
      </w:r>
      <w:r>
        <w:t xml:space="preserve">, the global status is</w:t>
      </w:r>
      <w:r>
        <w:t xml:space="preserve"> </w:t>
      </w:r>
      <w:r>
        <w:rPr>
          <w:rStyle w:val="VerbatimChar"/>
        </w:rPr>
        <w:t xml:space="preserve">BROKEN</w:t>
      </w:r>
      <w:r>
        <w:t xml:space="preserve">; if no</w:t>
      </w:r>
      <w:r>
        <w:t xml:space="preserve"> </w:t>
      </w:r>
      <w:r>
        <w:rPr>
          <w:rStyle w:val="VerbatimChar"/>
        </w:rPr>
        <w:t xml:space="preserve">FAIL</w:t>
      </w:r>
      <w:r>
        <w:t xml:space="preserve"> </w:t>
      </w:r>
      <w:r>
        <w:t xml:space="preserve">appears, the global status is</w:t>
      </w:r>
      <w:r>
        <w:t xml:space="preserve"> </w:t>
      </w:r>
      <w:r>
        <w:rPr>
          <w:rStyle w:val="VerbatimChar"/>
        </w:rPr>
        <w:t xml:space="preserve">OK</w:t>
      </w:r>
      <w:r>
        <w:t xml:space="preserve">.</w:t>
      </w:r>
    </w:p>
    <w:bookmarkEnd w:id="24"/>
    <w:bookmarkStart w:id="25" w:name="available-versions"/>
    <w:p>
      <w:pPr>
        <w:pStyle w:val="Heading1"/>
      </w:pPr>
      <w:r>
        <w:t xml:space="preserve">4. Available versions</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Version</w:t>
            </w:r>
          </w:p>
        </w:tc>
        <w:tc>
          <w:tcPr/>
          <w:p>
            <w:pPr>
              <w:pStyle w:val="Compact"/>
              <w:jc w:val="left"/>
            </w:pPr>
            <w:r>
              <w:t xml:space="preserve">Profile</w:t>
            </w:r>
          </w:p>
        </w:tc>
        <w:tc>
          <w:tcPr/>
          <w:p>
            <w:pPr>
              <w:pStyle w:val="Compact"/>
              <w:jc w:val="left"/>
            </w:pPr>
            <w:r>
              <w:t xml:space="preserve">Description</w:t>
            </w:r>
          </w:p>
        </w:tc>
      </w:tr>
      <w:tr>
        <w:tc>
          <w:tcPr/>
          <w:p>
            <w:pPr>
              <w:pStyle w:val="Compact"/>
              <w:jc w:val="left"/>
            </w:pPr>
            <w:r>
              <w:t xml:space="preserve">V3</w:t>
            </w:r>
          </w:p>
        </w:tc>
        <w:tc>
          <w:tcPr/>
          <w:p>
            <w:pPr>
              <w:pStyle w:val="Compact"/>
              <w:jc w:val="left"/>
            </w:pPr>
            <w:r>
              <w:t xml:space="preserve">Classic</w:t>
            </w:r>
          </w:p>
        </w:tc>
        <w:tc>
          <w:tcPr/>
          <w:p>
            <w:pPr>
              <w:pStyle w:val="Compact"/>
              <w:jc w:val="left"/>
            </w:pPr>
            <w:r>
              <w:t xml:space="preserve">Terminal or script execution. Recommended for controlled sweeps and exports.</w:t>
            </w:r>
          </w:p>
        </w:tc>
      </w:tr>
      <w:tr>
        <w:tc>
          <w:tcPr/>
          <w:p>
            <w:pPr>
              <w:pStyle w:val="Compact"/>
              <w:jc w:val="left"/>
            </w:pPr>
            <w:r>
              <w:t xml:space="preserve">V3 Chat</w:t>
            </w:r>
          </w:p>
        </w:tc>
        <w:tc>
          <w:tcPr/>
          <w:p>
            <w:pPr>
              <w:pStyle w:val="Compact"/>
              <w:jc w:val="left"/>
            </w:pPr>
            <w:r>
              <w:t xml:space="preserve">Conversational</w:t>
            </w:r>
          </w:p>
        </w:tc>
        <w:tc>
          <w:tcPr/>
          <w:p>
            <w:pPr>
              <w:pStyle w:val="Compact"/>
              <w:jc w:val="left"/>
            </w:pPr>
            <w:r>
              <w:t xml:space="preserve">Guided execution with prompts, bilingual aliases and trajectory parameters exposed step by step.</w:t>
            </w:r>
          </w:p>
        </w:tc>
      </w:tr>
    </w:tbl>
    <w:p>
      <w:pPr>
        <w:pStyle w:val="BodyText"/>
      </w:pPr>
      <w:r>
        <w:t xml:space="preserve">Both versions share the same physical and numerical core. The difference is the interaction layer.</w:t>
      </w:r>
    </w:p>
    <w:bookmarkEnd w:id="25"/>
    <w:bookmarkStart w:id="26" w:name="prerequisites"/>
    <w:p>
      <w:pPr>
        <w:pStyle w:val="Heading1"/>
      </w:pPr>
      <w:r>
        <w:t xml:space="preserve">5. Prerequisites</w:t>
      </w:r>
    </w:p>
    <w:p>
      <w:pPr>
        <w:pStyle w:val="FirstParagraph"/>
      </w:pPr>
      <w:r>
        <w:t xml:space="preserve">Recommended environment:</w:t>
      </w:r>
    </w:p>
    <w:p>
      <w:pPr>
        <w:pStyle w:val="Compact"/>
        <w:numPr>
          <w:ilvl w:val="0"/>
          <w:numId w:val="1003"/>
        </w:numPr>
      </w:pPr>
      <w:r>
        <w:t xml:space="preserve">Python 3.10 or later;</w:t>
      </w:r>
    </w:p>
    <w:p>
      <w:pPr>
        <w:pStyle w:val="Compact"/>
        <w:numPr>
          <w:ilvl w:val="0"/>
          <w:numId w:val="1003"/>
        </w:numPr>
      </w:pPr>
      <w:r>
        <w:t xml:space="preserve">Windows, macOS or Linux;</w:t>
      </w:r>
    </w:p>
    <w:p>
      <w:pPr>
        <w:pStyle w:val="Compact"/>
        <w:numPr>
          <w:ilvl w:val="0"/>
          <w:numId w:val="1003"/>
        </w:numPr>
      </w:pPr>
      <w:r>
        <w:t xml:space="preserve">read/write permission in the working folder;</w:t>
      </w:r>
    </w:p>
    <w:p>
      <w:pPr>
        <w:pStyle w:val="Compact"/>
        <w:numPr>
          <w:ilvl w:val="0"/>
          <w:numId w:val="1003"/>
        </w:numPr>
      </w:pPr>
      <w:r>
        <w:t xml:space="preserve">a standard terminal or shell;</w:t>
      </w:r>
    </w:p>
    <w:p>
      <w:pPr>
        <w:pStyle w:val="Compact"/>
        <w:numPr>
          <w:ilvl w:val="0"/>
          <w:numId w:val="1003"/>
        </w:numPr>
      </w:pPr>
      <w:r>
        <w:t xml:space="preserve">minimal Python packages declared in</w:t>
      </w:r>
      <w:r>
        <w:t xml:space="preserve"> </w:t>
      </w:r>
      <w:r>
        <w:rPr>
          <w:rStyle w:val="VerbatimChar"/>
        </w:rPr>
        <w:t xml:space="preserve">requirements.txt</w:t>
      </w:r>
      <w:r>
        <w:t xml:space="preserve">.</w:t>
      </w:r>
    </w:p>
    <w:p>
      <w:pPr>
        <w:pStyle w:val="FirstParagraph"/>
      </w:pPr>
      <w:r>
        <w:t xml:space="preserve">Install dependencies:</w:t>
      </w:r>
    </w:p>
    <w:p>
      <w:pPr>
        <w:pStyle w:val="BodyText"/>
      </w:pPr>
      <w:r>
        <w:rPr>
          <w:rStyle w:val="VerbatimChar"/>
        </w:rPr>
        <w:t xml:space="preserve">pip install -r requirements.txt</w:t>
      </w:r>
    </w:p>
    <w:p>
      <w:pPr>
        <w:pStyle w:val="BodyText"/>
      </w:pPr>
      <w:r>
        <w:t xml:space="preserve">Minimal dependencies:</w:t>
      </w:r>
    </w:p>
    <w:p>
      <w:pPr>
        <w:pStyle w:val="BodyText"/>
      </w:pPr>
      <w:r>
        <w:rPr>
          <w:rStyle w:val="VerbatimChar"/>
        </w:rPr>
        <w:t xml:space="preserve">numpy&gt;=1.24</w:t>
      </w:r>
      <w:r>
        <w:t xml:space="preserve">,</w:t>
      </w:r>
      <w:r>
        <w:t xml:space="preserve"> </w:t>
      </w:r>
      <w:r>
        <w:rPr>
          <w:rStyle w:val="VerbatimChar"/>
        </w:rPr>
        <w:t xml:space="preserve">matplotlib&gt;=3.7</w:t>
      </w:r>
      <w:r>
        <w:t xml:space="preserve">,</w:t>
      </w:r>
      <w:r>
        <w:t xml:space="preserve"> </w:t>
      </w:r>
      <w:r>
        <w:rPr>
          <w:rStyle w:val="VerbatimChar"/>
        </w:rPr>
        <w:t xml:space="preserve">pandas&gt;=2.0</w:t>
      </w:r>
    </w:p>
    <w:p>
      <w:pPr>
        <w:pStyle w:val="BodyText"/>
      </w:pPr>
      <w:r>
        <w:rPr>
          <w:rStyle w:val="VerbatimChar"/>
        </w:rPr>
        <w:t xml:space="preserve">pandas</w:t>
      </w:r>
      <w:r>
        <w:t xml:space="preserve"> </w:t>
      </w:r>
      <w:r>
        <w:t xml:space="preserve">is mainly used for exports and reporting; it is declared to ensure a reproducible user experience and avoid environment-dependent failures.</w:t>
      </w:r>
    </w:p>
    <w:bookmarkEnd w:id="26"/>
    <w:bookmarkStart w:id="27" w:name="installation"/>
    <w:p>
      <w:pPr>
        <w:pStyle w:val="Heading1"/>
      </w:pPr>
      <w:r>
        <w:t xml:space="preserve">6. Installation</w:t>
      </w:r>
    </w:p>
    <w:p>
      <w:pPr>
        <w:pStyle w:val="Compact"/>
        <w:numPr>
          <w:ilvl w:val="0"/>
          <w:numId w:val="1004"/>
        </w:numPr>
      </w:pPr>
      <w:r>
        <w:t xml:space="preserve">Download the package:</w:t>
      </w:r>
    </w:p>
    <w:p>
      <w:pPr>
        <w:pStyle w:val="Compact"/>
        <w:numPr>
          <w:ilvl w:val="1"/>
          <w:numId w:val="1005"/>
        </w:numPr>
      </w:pPr>
      <w:r>
        <w:rPr>
          <w:rStyle w:val="VerbatimChar"/>
        </w:rPr>
        <w:t xml:space="preserve">DeltaOmegaCtN_V3.zip</w:t>
      </w:r>
    </w:p>
    <w:p>
      <w:pPr>
        <w:pStyle w:val="Compact"/>
        <w:numPr>
          <w:ilvl w:val="1"/>
          <w:numId w:val="1005"/>
        </w:numPr>
      </w:pPr>
      <w:r>
        <w:rPr>
          <w:rStyle w:val="VerbatimChar"/>
        </w:rPr>
        <w:t xml:space="preserve">DeltaOmegaCtN_V3_Chat.zip</w:t>
      </w:r>
    </w:p>
    <w:p>
      <w:pPr>
        <w:pStyle w:val="Compact"/>
        <w:numPr>
          <w:ilvl w:val="0"/>
          <w:numId w:val="1004"/>
        </w:numPr>
      </w:pPr>
      <w:r>
        <w:t xml:space="preserve">Extract it into a local folder.</w:t>
      </w:r>
    </w:p>
    <w:p>
      <w:pPr>
        <w:pStyle w:val="Compact"/>
        <w:numPr>
          <w:ilvl w:val="0"/>
          <w:numId w:val="1004"/>
        </w:numPr>
      </w:pPr>
      <w:r>
        <w:t xml:space="preserve">Open a terminal inside that folder.</w:t>
      </w:r>
    </w:p>
    <w:p>
      <w:pPr>
        <w:pStyle w:val="Compact"/>
        <w:numPr>
          <w:ilvl w:val="0"/>
          <w:numId w:val="1004"/>
        </w:numPr>
      </w:pPr>
      <w:r>
        <w:t xml:space="preserve">Install dependencies with</w:t>
      </w:r>
      <w:r>
        <w:t xml:space="preserve"> </w:t>
      </w:r>
      <w:r>
        <w:rPr>
          <w:rStyle w:val="VerbatimChar"/>
        </w:rPr>
        <w:t xml:space="preserve">pip install -r requirements.txt</w:t>
      </w:r>
      <w:r>
        <w:t xml:space="preserve">.</w:t>
      </w:r>
    </w:p>
    <w:p>
      <w:pPr>
        <w:pStyle w:val="Compact"/>
        <w:numPr>
          <w:ilvl w:val="0"/>
          <w:numId w:val="1004"/>
        </w:numPr>
      </w:pPr>
      <w:r>
        <w:t xml:space="preserve">Launch the runner or the main script.</w:t>
      </w:r>
    </w:p>
    <w:p>
      <w:pPr>
        <w:pStyle w:val="Compact"/>
        <w:numPr>
          <w:ilvl w:val="0"/>
          <w:numId w:val="1004"/>
        </w:numPr>
      </w:pPr>
      <w:r>
        <w:t xml:space="preserve">Run a smoke test before long sweeps.</w:t>
      </w:r>
    </w:p>
    <w:bookmarkEnd w:id="27"/>
    <w:bookmarkStart w:id="28" w:name="running-v3-classic"/>
    <w:p>
      <w:pPr>
        <w:pStyle w:val="Heading1"/>
      </w:pPr>
      <w:r>
        <w:t xml:space="preserve">7. Running V3 classic</w:t>
      </w:r>
    </w:p>
    <w:p>
      <w:pPr>
        <w:pStyle w:val="FirstParagraph"/>
      </w:pPr>
      <w:r>
        <w:t xml:space="preserve">Recommended launcher:</w:t>
      </w:r>
    </w:p>
    <w:p>
      <w:pPr>
        <w:pStyle w:val="BodyText"/>
      </w:pPr>
      <w:r>
        <w:rPr>
          <w:rStyle w:val="VerbatimChar"/>
        </w:rPr>
        <w:t xml:space="preserve">./run_full_reviewer_ready.sh</w:t>
      </w:r>
    </w:p>
    <w:p>
      <w:pPr>
        <w:pStyle w:val="BodyText"/>
      </w:pPr>
      <w:r>
        <w:t xml:space="preserve">On Windows:</w:t>
      </w:r>
    </w:p>
    <w:p>
      <w:pPr>
        <w:pStyle w:val="BodyText"/>
      </w:pPr>
      <w:r>
        <w:rPr>
          <w:rStyle w:val="VerbatimChar"/>
        </w:rPr>
        <w:t xml:space="preserve">run_full_reviewer_ready.bat</w:t>
      </w:r>
    </w:p>
    <w:p>
      <w:pPr>
        <w:pStyle w:val="BodyText"/>
      </w:pPr>
      <w:r>
        <w:t xml:space="preserve">Direct execution:</w:t>
      </w:r>
    </w:p>
    <w:p>
      <w:pPr>
        <w:pStyle w:val="BodyText"/>
      </w:pPr>
      <w:r>
        <w:rPr>
          <w:rStyle w:val="VerbatimChar"/>
        </w:rPr>
        <w:t xml:space="preserve">python3 DeltaOmegaCtN_V3.py</w:t>
      </w:r>
    </w:p>
    <w:p>
      <w:pPr>
        <w:pStyle w:val="BodyText"/>
      </w:pPr>
      <w:r>
        <w:t xml:space="preserve">The classic version asks for the main fields and, if</w:t>
      </w:r>
      <w:r>
        <w:t xml:space="preserve"> </w:t>
      </w:r>
      <w:r>
        <w:rPr>
          <w:rStyle w:val="VerbatimChar"/>
        </w:rPr>
        <w:t xml:space="preserve">deltaomegact</w:t>
      </w:r>
      <w:r>
        <w:t xml:space="preserve"> </w:t>
      </w:r>
      <w:r>
        <w:t xml:space="preserve">is selected, activates the trajectory-control questions.</w:t>
      </w:r>
    </w:p>
    <w:bookmarkEnd w:id="28"/>
    <w:bookmarkStart w:id="29" w:name="running-v3-chat"/>
    <w:p>
      <w:pPr>
        <w:pStyle w:val="Heading1"/>
      </w:pPr>
      <w:r>
        <w:t xml:space="preserve">8. Running V3 Chat</w:t>
      </w:r>
    </w:p>
    <w:p>
      <w:pPr>
        <w:pStyle w:val="FirstParagraph"/>
      </w:pPr>
      <w:r>
        <w:t xml:space="preserve">Recommended launcher:</w:t>
      </w:r>
    </w:p>
    <w:p>
      <w:pPr>
        <w:pStyle w:val="BodyText"/>
      </w:pPr>
      <w:r>
        <w:rPr>
          <w:rStyle w:val="VerbatimChar"/>
        </w:rPr>
        <w:t xml:space="preserve">./run_full_reviewer_ready.sh</w:t>
      </w:r>
    </w:p>
    <w:p>
      <w:pPr>
        <w:pStyle w:val="BodyText"/>
      </w:pPr>
      <w:r>
        <w:t xml:space="preserve">Direct execution:</w:t>
      </w:r>
    </w:p>
    <w:p>
      <w:pPr>
        <w:pStyle w:val="BodyText"/>
      </w:pPr>
      <w:r>
        <w:rPr>
          <w:rStyle w:val="VerbatimChar"/>
        </w:rPr>
        <w:t xml:space="preserve">python3 DeltaOmegaCtN_V3_Chat.py</w:t>
      </w:r>
    </w:p>
    <w:p>
      <w:pPr>
        <w:pStyle w:val="BodyText"/>
      </w:pPr>
      <w:r>
        <w:t xml:space="preserve">The Chat version starts with:</w:t>
      </w:r>
    </w:p>
    <w:p>
      <w:pPr>
        <w:pStyle w:val="BodyText"/>
      </w:pPr>
      <w:r>
        <w:rPr>
          <w:rStyle w:val="VerbatimChar"/>
        </w:rPr>
        <w:t xml:space="preserve">Ejecutar</w:t>
      </w:r>
    </w:p>
    <w:p>
      <w:pPr>
        <w:pStyle w:val="BodyText"/>
      </w:pPr>
      <w:r>
        <w:t xml:space="preserve">It then guides the selection of family, execution type, anchor or</w:t>
      </w:r>
      <w:r>
        <w:t xml:space="preserve"> </w:t>
      </w:r>
      <w:r>
        <w:rPr>
          <w:rStyle w:val="VerbatimChar"/>
        </w:rPr>
        <w:t xml:space="preserve">I_c</w:t>
      </w:r>
      <w:r>
        <w:t xml:space="preserve"> </w:t>
      </w:r>
      <w:r>
        <w:t xml:space="preserve">value, depth and historical trajectory parameters.</w:t>
      </w:r>
    </w:p>
    <w:bookmarkEnd w:id="29"/>
    <w:bookmarkStart w:id="30" w:name="available-families"/>
    <w:p>
      <w:pPr>
        <w:pStyle w:val="Heading1"/>
      </w:pPr>
      <w:r>
        <w:t xml:space="preserve">9. Available families</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Family</w:t>
            </w:r>
          </w:p>
        </w:tc>
        <w:tc>
          <w:tcPr/>
          <w:p>
            <w:pPr>
              <w:pStyle w:val="Compact"/>
              <w:jc w:val="left"/>
            </w:pPr>
            <w:r>
              <w:t xml:space="preserve">Function</w:t>
            </w:r>
          </w:p>
        </w:tc>
      </w:tr>
      <w:tr>
        <w:tc>
          <w:tcPr/>
          <w:p>
            <w:pPr>
              <w:pStyle w:val="Compact"/>
              <w:jc w:val="left"/>
            </w:pPr>
            <w:r>
              <w:rPr>
                <w:rStyle w:val="VerbatimChar"/>
              </w:rPr>
              <w:t xml:space="preserve">const</w:t>
            </w:r>
          </w:p>
        </w:tc>
        <w:tc>
          <w:tcPr/>
          <w:p>
            <w:pPr>
              <w:pStyle w:val="Compact"/>
              <w:jc w:val="left"/>
            </w:pPr>
            <w:r>
              <w:t xml:space="preserve">Reproduces the classic constant-correlational-index mode.</w:t>
            </w:r>
          </w:p>
        </w:tc>
      </w:tr>
      <w:tr>
        <w:tc>
          <w:tcPr/>
          <w:p>
            <w:pPr>
              <w:pStyle w:val="Compact"/>
              <w:jc w:val="left"/>
            </w:pPr>
            <w:r>
              <w:rPr>
                <w:rStyle w:val="VerbatimChar"/>
              </w:rPr>
              <w:t xml:space="preserve">tanh</w:t>
            </w:r>
          </w:p>
        </w:tc>
        <w:tc>
          <w:tcPr/>
          <w:p>
            <w:pPr>
              <w:pStyle w:val="Compact"/>
              <w:jc w:val="left"/>
            </w:pPr>
            <w:r>
              <w:t xml:space="preserve">Uses a smooth hyperbolic-tangent transition.</w:t>
            </w:r>
          </w:p>
        </w:tc>
      </w:tr>
      <w:tr>
        <w:tc>
          <w:tcPr/>
          <w:p>
            <w:pPr>
              <w:pStyle w:val="Compact"/>
              <w:jc w:val="left"/>
            </w:pPr>
            <w:r>
              <w:rPr>
                <w:rStyle w:val="VerbatimChar"/>
              </w:rPr>
              <w:t xml:space="preserve">piecewise</w:t>
            </w:r>
          </w:p>
        </w:tc>
        <w:tc>
          <w:tcPr/>
          <w:p>
            <w:pPr>
              <w:pStyle w:val="Compact"/>
              <w:jc w:val="left"/>
            </w:pPr>
            <w:r>
              <w:t xml:space="preserve">Uses a piecewise transition.</w:t>
            </w:r>
          </w:p>
        </w:tc>
      </w:tr>
      <w:tr>
        <w:tc>
          <w:tcPr/>
          <w:p>
            <w:pPr>
              <w:pStyle w:val="Compact"/>
              <w:jc w:val="left"/>
            </w:pPr>
            <w:r>
              <w:rPr>
                <w:rStyle w:val="VerbatimChar"/>
              </w:rPr>
              <w:t xml:space="preserve">deltaomegact</w:t>
            </w:r>
          </w:p>
        </w:tc>
        <w:tc>
          <w:tcPr/>
          <w:p>
            <w:pPr>
              <w:pStyle w:val="Compact"/>
              <w:jc w:val="left"/>
            </w:pPr>
            <w:r>
              <w:t xml:space="preserve">Activates the ΔΩcₜ historical layer with effective</w:t>
            </w:r>
            <w:r>
              <w:t xml:space="preserve"> </w:t>
            </w:r>
            <w:r>
              <w:rPr>
                <w:rStyle w:val="VerbatimChar"/>
              </w:rPr>
              <w:t xml:space="preserve">I_c(a)</w:t>
            </w:r>
            <w:r>
              <w:t xml:space="preserve"> </w:t>
            </w:r>
            <w:r>
              <w:t xml:space="preserve">trajectories.</w:t>
            </w:r>
          </w:p>
        </w:tc>
      </w:tr>
    </w:tbl>
    <w:p>
      <w:pPr>
        <w:pStyle w:val="BodyText"/>
      </w:pPr>
      <w:r>
        <w:t xml:space="preserve">The main family for the ΔΩcₜ paper is</w:t>
      </w:r>
      <w:r>
        <w:t xml:space="preserve"> </w:t>
      </w:r>
      <w:r>
        <w:rPr>
          <w:rStyle w:val="VerbatimChar"/>
        </w:rPr>
        <w:t xml:space="preserve">deltaomegact</w:t>
      </w:r>
      <w:r>
        <w:t xml:space="preserve">.</w:t>
      </w:r>
    </w:p>
    <w:bookmarkEnd w:id="30"/>
    <w:bookmarkStart w:id="31" w:name="execution-types"/>
    <w:p>
      <w:pPr>
        <w:pStyle w:val="Heading1"/>
      </w:pPr>
      <w:r>
        <w:t xml:space="preserve">10. Execution types</w:t>
      </w:r>
    </w:p>
    <w:p>
      <w:pPr>
        <w:pStyle w:val="FirstParagraph"/>
      </w:pPr>
      <w:r>
        <w:t xml:space="preserve">V3 accepts bilingual aliases.</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Accepted input</w:t>
            </w:r>
          </w:p>
        </w:tc>
        <w:tc>
          <w:tcPr/>
          <w:p>
            <w:pPr>
              <w:pStyle w:val="Compact"/>
              <w:jc w:val="left"/>
            </w:pPr>
            <w:r>
              <w:t xml:space="preserve">Internal meaning</w:t>
            </w:r>
          </w:p>
        </w:tc>
      </w:tr>
      <w:tr>
        <w:tc>
          <w:tcPr/>
          <w:p>
            <w:pPr>
              <w:pStyle w:val="Compact"/>
              <w:jc w:val="left"/>
            </w:pPr>
            <w:r>
              <w:rPr>
                <w:rStyle w:val="VerbatimChar"/>
              </w:rPr>
              <w:t xml:space="preserve">sencillo</w:t>
            </w:r>
          </w:p>
        </w:tc>
        <w:tc>
          <w:tcPr/>
          <w:p>
            <w:pPr>
              <w:pStyle w:val="Compact"/>
              <w:jc w:val="left"/>
            </w:pPr>
            <w:r>
              <w:t xml:space="preserve">A single run.</w:t>
            </w:r>
          </w:p>
        </w:tc>
      </w:tr>
      <w:tr>
        <w:tc>
          <w:tcPr/>
          <w:p>
            <w:pPr>
              <w:pStyle w:val="Compact"/>
              <w:jc w:val="left"/>
            </w:pPr>
            <w:r>
              <w:rPr>
                <w:rStyle w:val="VerbatimChar"/>
              </w:rPr>
              <w:t xml:space="preserve">single</w:t>
            </w:r>
          </w:p>
        </w:tc>
        <w:tc>
          <w:tcPr/>
          <w:p>
            <w:pPr>
              <w:pStyle w:val="Compact"/>
              <w:jc w:val="left"/>
            </w:pPr>
            <w:r>
              <w:t xml:space="preserve">English alias for</w:t>
            </w:r>
            <w:r>
              <w:t xml:space="preserve"> </w:t>
            </w:r>
            <w:r>
              <w:rPr>
                <w:rStyle w:val="VerbatimChar"/>
              </w:rPr>
              <w:t xml:space="preserve">sencillo</w:t>
            </w:r>
            <w:r>
              <w:t xml:space="preserve">.</w:t>
            </w:r>
          </w:p>
        </w:tc>
      </w:tr>
      <w:tr>
        <w:tc>
          <w:tcPr/>
          <w:p>
            <w:pPr>
              <w:pStyle w:val="Compact"/>
              <w:jc w:val="left"/>
            </w:pPr>
            <w:r>
              <w:rPr>
                <w:rStyle w:val="VerbatimChar"/>
              </w:rPr>
              <w:t xml:space="preserve">simple</w:t>
            </w:r>
          </w:p>
        </w:tc>
        <w:tc>
          <w:tcPr/>
          <w:p>
            <w:pPr>
              <w:pStyle w:val="Compact"/>
              <w:jc w:val="left"/>
            </w:pPr>
            <w:r>
              <w:t xml:space="preserve">Additional alias for</w:t>
            </w:r>
            <w:r>
              <w:t xml:space="preserve"> </w:t>
            </w:r>
            <w:r>
              <w:rPr>
                <w:rStyle w:val="VerbatimChar"/>
              </w:rPr>
              <w:t xml:space="preserve">sencillo</w:t>
            </w:r>
            <w:r>
              <w:t xml:space="preserve">.</w:t>
            </w:r>
          </w:p>
        </w:tc>
      </w:tr>
      <w:tr>
        <w:tc>
          <w:tcPr/>
          <w:p>
            <w:pPr>
              <w:pStyle w:val="Compact"/>
              <w:jc w:val="left"/>
            </w:pPr>
            <w:r>
              <w:rPr>
                <w:rStyle w:val="VerbatimChar"/>
              </w:rPr>
              <w:t xml:space="preserve">multiple</w:t>
            </w:r>
          </w:p>
        </w:tc>
        <w:tc>
          <w:tcPr/>
          <w:p>
            <w:pPr>
              <w:pStyle w:val="Compact"/>
              <w:jc w:val="left"/>
            </w:pPr>
            <w:r>
              <w:t xml:space="preserve">Multiple runs, either from a list or from</w:t>
            </w:r>
            <w:r>
              <w:t xml:space="preserve"> </w:t>
            </w:r>
            <w:r>
              <w:rPr>
                <w:rStyle w:val="VerbatimChar"/>
              </w:rPr>
              <w:t xml:space="preserve">paper</w:t>
            </w:r>
            <w:r>
              <w:t xml:space="preserve">.</w:t>
            </w:r>
          </w:p>
        </w:tc>
      </w:tr>
      <w:tr>
        <w:tc>
          <w:tcPr/>
          <w:p>
            <w:pPr>
              <w:pStyle w:val="Compact"/>
              <w:jc w:val="left"/>
            </w:pPr>
            <w:r>
              <w:rPr>
                <w:rStyle w:val="VerbatimChar"/>
              </w:rPr>
              <w:t xml:space="preserve">auto</w:t>
            </w:r>
          </w:p>
        </w:tc>
        <w:tc>
          <w:tcPr/>
          <w:p>
            <w:pPr>
              <w:pStyle w:val="Compact"/>
              <w:jc w:val="left"/>
            </w:pPr>
            <w:r>
              <w:t xml:space="preserve">Automatic exploration mode.</w:t>
            </w:r>
          </w:p>
        </w:tc>
      </w:tr>
    </w:tbl>
    <w:p>
      <w:pPr>
        <w:pStyle w:val="BodyText"/>
      </w:pPr>
      <w:r>
        <w:t xml:space="preserve">This fixes the V2 issue where the English manual recommended</w:t>
      </w:r>
      <w:r>
        <w:t xml:space="preserve"> </w:t>
      </w:r>
      <w:r>
        <w:rPr>
          <w:rStyle w:val="VerbatimChar"/>
        </w:rPr>
        <w:t xml:space="preserve">single</w:t>
      </w:r>
      <w:r>
        <w:t xml:space="preserve">, while the wrapper only accepted</w:t>
      </w:r>
      <w:r>
        <w:t xml:space="preserve"> </w:t>
      </w:r>
      <w:r>
        <w:rPr>
          <w:rStyle w:val="VerbatimChar"/>
        </w:rPr>
        <w:t xml:space="preserve">sencillo</w:t>
      </w:r>
      <w:r>
        <w:t xml:space="preserve">.</w:t>
      </w:r>
    </w:p>
    <w:bookmarkEnd w:id="31"/>
    <w:bookmarkStart w:id="32" w:name="execution-depth"/>
    <w:p>
      <w:pPr>
        <w:pStyle w:val="Heading1"/>
      </w:pPr>
      <w:r>
        <w:t xml:space="preserve">11. Execution depth</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Depth</w:t>
            </w:r>
          </w:p>
        </w:tc>
        <w:tc>
          <w:tcPr/>
          <w:p>
            <w:pPr>
              <w:pStyle w:val="Compact"/>
              <w:jc w:val="left"/>
            </w:pPr>
            <w:r>
              <w:t xml:space="preserve">Recommended use</w:t>
            </w:r>
          </w:p>
        </w:tc>
      </w:tr>
      <w:tr>
        <w:tc>
          <w:tcPr/>
          <w:p>
            <w:pPr>
              <w:pStyle w:val="Compact"/>
              <w:jc w:val="left"/>
            </w:pPr>
            <w:r>
              <w:rPr>
                <w:rStyle w:val="VerbatimChar"/>
              </w:rPr>
              <w:t xml:space="preserve">quick</w:t>
            </w:r>
          </w:p>
        </w:tc>
        <w:tc>
          <w:tcPr/>
          <w:p>
            <w:pPr>
              <w:pStyle w:val="Compact"/>
              <w:jc w:val="left"/>
            </w:pPr>
            <w:r>
              <w:t xml:space="preserve">Smoke tests, quick checks and basic validation.</w:t>
            </w:r>
          </w:p>
        </w:tc>
      </w:tr>
      <w:tr>
        <w:tc>
          <w:tcPr/>
          <w:p>
            <w:pPr>
              <w:pStyle w:val="Compact"/>
              <w:jc w:val="left"/>
            </w:pPr>
            <w:r>
              <w:rPr>
                <w:rStyle w:val="VerbatimChar"/>
              </w:rPr>
              <w:t xml:space="preserve">standard</w:t>
            </w:r>
          </w:p>
        </w:tc>
        <w:tc>
          <w:tcPr/>
          <w:p>
            <w:pPr>
              <w:pStyle w:val="Compact"/>
              <w:jc w:val="left"/>
            </w:pPr>
            <w:r>
              <w:t xml:space="preserve">Normal execution with increased stability.</w:t>
            </w:r>
          </w:p>
        </w:tc>
      </w:tr>
      <w:tr>
        <w:tc>
          <w:tcPr/>
          <w:p>
            <w:pPr>
              <w:pStyle w:val="Compact"/>
              <w:jc w:val="left"/>
            </w:pPr>
            <w:r>
              <w:rPr>
                <w:rStyle w:val="VerbatimChar"/>
              </w:rPr>
              <w:t xml:space="preserve">full</w:t>
            </w:r>
          </w:p>
        </w:tc>
        <w:tc>
          <w:tcPr/>
          <w:p>
            <w:pPr>
              <w:pStyle w:val="Compact"/>
              <w:jc w:val="left"/>
            </w:pPr>
            <w:r>
              <w:t xml:space="preserve">Denser sweeps and advanced review.</w:t>
            </w:r>
          </w:p>
        </w:tc>
      </w:tr>
    </w:tbl>
    <w:p>
      <w:pPr>
        <w:pStyle w:val="BodyText"/>
      </w:pPr>
      <w:r>
        <w:t xml:space="preserve">To reproduce the paper sweep, start with</w:t>
      </w:r>
      <w:r>
        <w:t xml:space="preserve"> </w:t>
      </w:r>
      <w:r>
        <w:rPr>
          <w:rStyle w:val="VerbatimChar"/>
        </w:rPr>
        <w:t xml:space="preserve">quick</w:t>
      </w:r>
      <w:r>
        <w:t xml:space="preserve"> </w:t>
      </w:r>
      <w:r>
        <w:t xml:space="preserve">and repeat with</w:t>
      </w:r>
      <w:r>
        <w:t xml:space="preserve"> </w:t>
      </w:r>
      <w:r>
        <w:rPr>
          <w:rStyle w:val="VerbatimChar"/>
        </w:rPr>
        <w:t xml:space="preserve">standard</w:t>
      </w:r>
      <w:r>
        <w:t xml:space="preserve"> </w:t>
      </w:r>
      <w:r>
        <w:t xml:space="preserve">or</w:t>
      </w:r>
      <w:r>
        <w:t xml:space="preserve"> </w:t>
      </w:r>
      <w:r>
        <w:rPr>
          <w:rStyle w:val="VerbatimChar"/>
        </w:rPr>
        <w:t xml:space="preserve">full</w:t>
      </w:r>
      <w:r>
        <w:t xml:space="preserve"> </w:t>
      </w:r>
      <w:r>
        <w:t xml:space="preserve">if the environment allows it.</w:t>
      </w:r>
    </w:p>
    <w:bookmarkEnd w:id="32"/>
    <w:bookmarkStart w:id="33" w:name="recognized-anchors"/>
    <w:p>
      <w:pPr>
        <w:pStyle w:val="Heading1"/>
      </w:pPr>
      <w:r>
        <w:t xml:space="preserve">12. Recognized anchors</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Anchor</w:t>
            </w:r>
          </w:p>
        </w:tc>
        <w:tc>
          <w:tcPr/>
          <w:p>
            <w:pPr>
              <w:pStyle w:val="Compact"/>
              <w:jc w:val="left"/>
            </w:pPr>
            <w:r>
              <w:t xml:space="preserve">Interpretation</w:t>
            </w:r>
          </w:p>
        </w:tc>
      </w:tr>
      <w:tr>
        <w:tc>
          <w:tcPr/>
          <w:p>
            <w:pPr>
              <w:pStyle w:val="Compact"/>
              <w:jc w:val="left"/>
            </w:pPr>
            <w:r>
              <w:rPr>
                <w:rStyle w:val="VerbatimChar"/>
              </w:rPr>
              <w:t xml:space="preserve">PLANCK</w:t>
            </w:r>
          </w:p>
        </w:tc>
        <w:tc>
          <w:tcPr/>
          <w:p>
            <w:pPr>
              <w:pStyle w:val="Compact"/>
              <w:jc w:val="left"/>
            </w:pPr>
            <w:r>
              <w:t xml:space="preserve">Reference region near early-universe closure.</w:t>
            </w:r>
          </w:p>
        </w:tc>
      </w:tr>
      <w:tr>
        <w:tc>
          <w:tcPr/>
          <w:p>
            <w:pPr>
              <w:pStyle w:val="Compact"/>
              <w:jc w:val="left"/>
            </w:pPr>
            <w:r>
              <w:rPr>
                <w:rStyle w:val="VerbatimChar"/>
              </w:rPr>
              <w:t xml:space="preserve">ICCUB</w:t>
            </w:r>
          </w:p>
        </w:tc>
        <w:tc>
          <w:tcPr/>
          <w:p>
            <w:pPr>
              <w:pStyle w:val="Compact"/>
              <w:jc w:val="left"/>
            </w:pPr>
            <w:r>
              <w:t xml:space="preserve">Operational central value of the correlational index.</w:t>
            </w:r>
          </w:p>
        </w:tc>
      </w:tr>
      <w:tr>
        <w:tc>
          <w:tcPr/>
          <w:p>
            <w:pPr>
              <w:pStyle w:val="Compact"/>
              <w:jc w:val="left"/>
            </w:pPr>
            <w:r>
              <w:rPr>
                <w:rStyle w:val="VerbatimChar"/>
              </w:rPr>
              <w:t xml:space="preserve">SH0ES</w:t>
            </w:r>
          </w:p>
        </w:tc>
        <w:tc>
          <w:tcPr/>
          <w:p>
            <w:pPr>
              <w:pStyle w:val="Compact"/>
              <w:jc w:val="left"/>
            </w:pPr>
            <w:r>
              <w:t xml:space="preserve">Elevated local-H0 region.</w:t>
            </w:r>
          </w:p>
        </w:tc>
      </w:tr>
      <w:tr>
        <w:tc>
          <w:tcPr/>
          <w:p>
            <w:pPr>
              <w:pStyle w:val="Compact"/>
              <w:jc w:val="left"/>
            </w:pPr>
            <w:r>
              <w:rPr>
                <w:rStyle w:val="VerbatimChar"/>
              </w:rPr>
              <w:t xml:space="preserve">break-(BAO)</w:t>
            </w:r>
          </w:p>
        </w:tc>
        <w:tc>
          <w:tcPr/>
          <w:p>
            <w:pPr>
              <w:pStyle w:val="Compact"/>
              <w:jc w:val="left"/>
            </w:pPr>
            <w:r>
              <w:t xml:space="preserve">Negative BAO rupture boundary.</w:t>
            </w:r>
          </w:p>
        </w:tc>
      </w:tr>
      <w:tr>
        <w:tc>
          <w:tcPr/>
          <w:p>
            <w:pPr>
              <w:pStyle w:val="Compact"/>
              <w:jc w:val="left"/>
            </w:pPr>
            <w:r>
              <w:rPr>
                <w:rStyle w:val="VerbatimChar"/>
              </w:rPr>
              <w:t xml:space="preserve">break+(WL)</w:t>
            </w:r>
          </w:p>
        </w:tc>
        <w:tc>
          <w:tcPr/>
          <w:p>
            <w:pPr>
              <w:pStyle w:val="Compact"/>
              <w:jc w:val="left"/>
            </w:pPr>
            <w:r>
              <w:t xml:space="preserve">Positive weak-lensing rupture boundary.</w:t>
            </w:r>
          </w:p>
        </w:tc>
      </w:tr>
      <w:tr>
        <w:tc>
          <w:tcPr/>
          <w:p>
            <w:pPr>
              <w:pStyle w:val="Compact"/>
              <w:jc w:val="left"/>
            </w:pPr>
            <w:r>
              <w:rPr>
                <w:rStyle w:val="VerbatimChar"/>
              </w:rPr>
              <w:t xml:space="preserve">paper</w:t>
            </w:r>
          </w:p>
        </w:tc>
        <w:tc>
          <w:tcPr/>
          <w:p>
            <w:pPr>
              <w:pStyle w:val="Compact"/>
              <w:jc w:val="left"/>
            </w:pPr>
            <w:r>
              <w:t xml:space="preserve">Full point list used for the classic sweep.</w:t>
            </w:r>
          </w:p>
        </w:tc>
      </w:tr>
    </w:tbl>
    <w:p>
      <w:pPr>
        <w:pStyle w:val="BodyText"/>
      </w:pPr>
      <w:r>
        <w:t xml:space="preserve">Direct numerical values such as</w:t>
      </w:r>
      <w:r>
        <w:t xml:space="preserve"> </w:t>
      </w:r>
      <w:r>
        <w:rPr>
          <w:rStyle w:val="VerbatimChar"/>
        </w:rPr>
        <w:t xml:space="preserve">0.016</w:t>
      </w:r>
      <w:r>
        <w:t xml:space="preserve"> </w:t>
      </w:r>
      <w:r>
        <w:t xml:space="preserve">or</w:t>
      </w:r>
      <w:r>
        <w:t xml:space="preserve"> </w:t>
      </w:r>
      <w:r>
        <w:rPr>
          <w:rStyle w:val="VerbatimChar"/>
        </w:rPr>
        <w:t xml:space="preserve">-0.044</w:t>
      </w:r>
      <w:r>
        <w:t xml:space="preserve"> </w:t>
      </w:r>
      <w:r>
        <w:t xml:space="preserve">are also accepted, as are</w:t>
      </w:r>
      <w:r>
        <w:t xml:space="preserve"> </w:t>
      </w:r>
      <w:r>
        <w:rPr>
          <w:rStyle w:val="VerbatimChar"/>
        </w:rPr>
        <w:t xml:space="preserve">/</w:t>
      </w:r>
      <w:r>
        <w:t xml:space="preserve">-separated lists.</w:t>
      </w:r>
    </w:p>
    <w:bookmarkEnd w:id="33"/>
    <w:bookmarkStart w:id="34" w:name="classic-mode"/>
    <w:p>
      <w:pPr>
        <w:pStyle w:val="Heading1"/>
      </w:pPr>
      <w:r>
        <w:t xml:space="preserve">13. Classic mode</w:t>
      </w:r>
    </w:p>
    <w:p>
      <w:pPr>
        <w:pStyle w:val="FirstParagraph"/>
      </w:pPr>
      <w:r>
        <w:t xml:space="preserve">Most paper-faithful classic configuration:</w:t>
      </w:r>
    </w:p>
    <w:p>
      <w:pPr>
        <w:pStyle w:val="BodyText"/>
      </w:pPr>
      <w:r>
        <w:rPr>
          <w:rStyle w:val="VerbatimChar"/>
        </w:rPr>
        <w:t xml:space="preserve">const | multiple | paper | quick</w:t>
      </w:r>
    </w:p>
    <w:p>
      <w:pPr>
        <w:pStyle w:val="BodyText"/>
      </w:pPr>
      <w:r>
        <w:t xml:space="preserve">This configuration reproduces the benchmark layer inherited from ΩCt/N. It is useful for verifying continuity with the ΩCt paper and the classic comparison layer.</w:t>
      </w:r>
    </w:p>
    <w:bookmarkEnd w:id="34"/>
    <w:bookmarkStart w:id="35" w:name="δωcₜ-trajectory-mode"/>
    <w:p>
      <w:pPr>
        <w:pStyle w:val="Heading1"/>
      </w:pPr>
      <w:r>
        <w:t xml:space="preserve">14. ΔΩcₜ trajectory mode</w:t>
      </w:r>
    </w:p>
    <w:p>
      <w:pPr>
        <w:pStyle w:val="FirstParagraph"/>
      </w:pPr>
      <w:r>
        <w:t xml:space="preserve">Recommended smoke test:</w:t>
      </w:r>
    </w:p>
    <w:p>
      <w:pPr>
        <w:pStyle w:val="BodyText"/>
      </w:pPr>
      <w:r>
        <w:rPr>
          <w:rStyle w:val="VerbatimChar"/>
        </w:rPr>
        <w:t xml:space="preserve">deltaomegact | single | ICCUB | quick</w:t>
      </w:r>
    </w:p>
    <w:p>
      <w:pPr>
        <w:pStyle w:val="BodyText"/>
      </w:pPr>
      <w:r>
        <w:t xml:space="preserve">Spanish input is also accepted:</w:t>
      </w:r>
    </w:p>
    <w:p>
      <w:pPr>
        <w:pStyle w:val="BodyText"/>
      </w:pPr>
      <w:r>
        <w:rPr>
          <w:rStyle w:val="VerbatimChar"/>
        </w:rPr>
        <w:t xml:space="preserve">deltaomegact | sencillo | ICCUB | quick</w:t>
      </w:r>
    </w:p>
    <w:p>
      <w:pPr>
        <w:pStyle w:val="BodyText"/>
      </w:pPr>
      <w:r>
        <w:t xml:space="preserve">When</w:t>
      </w:r>
      <w:r>
        <w:t xml:space="preserve"> </w:t>
      </w:r>
      <w:r>
        <w:rPr>
          <w:rStyle w:val="VerbatimChar"/>
        </w:rPr>
        <w:t xml:space="preserve">deltaomegact</w:t>
      </w:r>
      <w:r>
        <w:t xml:space="preserve"> </w:t>
      </w:r>
      <w:r>
        <w:t xml:space="preserve">is selected, V3 asks for explicit historical controls:</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Parameter</w:t>
            </w:r>
          </w:p>
        </w:tc>
        <w:tc>
          <w:tcPr/>
          <w:p>
            <w:pPr>
              <w:pStyle w:val="Compact"/>
              <w:jc w:val="left"/>
            </w:pPr>
            <w:r>
              <w:t xml:space="preserve">Values / range</w:t>
            </w:r>
          </w:p>
        </w:tc>
        <w:tc>
          <w:tcPr/>
          <w:p>
            <w:pPr>
              <w:pStyle w:val="Compact"/>
              <w:jc w:val="left"/>
            </w:pPr>
            <w:r>
              <w:t xml:space="preserve">Function</w:t>
            </w:r>
          </w:p>
        </w:tc>
      </w:tr>
      <w:tr>
        <w:tc>
          <w:tcPr/>
          <w:p>
            <w:pPr>
              <w:pStyle w:val="Compact"/>
              <w:jc w:val="left"/>
            </w:pPr>
            <w:r>
              <w:rPr>
                <w:rStyle w:val="VerbatimChar"/>
              </w:rPr>
              <w:t xml:space="preserve">potential_model</w:t>
            </w:r>
          </w:p>
        </w:tc>
        <w:tc>
          <w:tcPr/>
          <w:p>
            <w:pPr>
              <w:pStyle w:val="Compact"/>
              <w:jc w:val="left"/>
            </w:pPr>
            <w:r>
              <w:rPr>
                <w:rStyle w:val="VerbatimChar"/>
              </w:rPr>
              <w:t xml:space="preserve">quadratic</w:t>
            </w:r>
            <w:r>
              <w:t xml:space="preserve">,</w:t>
            </w:r>
            <w:r>
              <w:t xml:space="preserve"> </w:t>
            </w:r>
            <w:r>
              <w:rPr>
                <w:rStyle w:val="VerbatimChar"/>
              </w:rPr>
              <w:t xml:space="preserve">plateau</w:t>
            </w:r>
            <w:r>
              <w:t xml:space="preserve">,</w:t>
            </w:r>
            <w:r>
              <w:t xml:space="preserve"> </w:t>
            </w:r>
            <w:r>
              <w:rPr>
                <w:rStyle w:val="VerbatimChar"/>
              </w:rPr>
              <w:t xml:space="preserve">quartic</w:t>
            </w:r>
          </w:p>
        </w:tc>
        <w:tc>
          <w:tcPr/>
          <w:p>
            <w:pPr>
              <w:pStyle w:val="Compact"/>
              <w:jc w:val="left"/>
            </w:pPr>
            <w:r>
              <w:t xml:space="preserve">Effective correlational potential family.</w:t>
            </w:r>
          </w:p>
        </w:tc>
      </w:tr>
      <w:tr>
        <w:tc>
          <w:tcPr/>
          <w:p>
            <w:pPr>
              <w:pStyle w:val="Compact"/>
              <w:jc w:val="left"/>
            </w:pPr>
            <w:r>
              <w:rPr>
                <w:rStyle w:val="VerbatimChar"/>
              </w:rPr>
              <w:t xml:space="preserve">lambda_eff</w:t>
            </w:r>
          </w:p>
        </w:tc>
        <w:tc>
          <w:tcPr/>
          <w:p>
            <w:pPr>
              <w:pStyle w:val="Compact"/>
              <w:jc w:val="left"/>
            </w:pPr>
            <w:r>
              <w:t xml:space="preserve">recommended</w:t>
            </w:r>
            <w:r>
              <w:t xml:space="preserve"> </w:t>
            </w:r>
            <w:r>
              <w:rPr>
                <w:rStyle w:val="VerbatimChar"/>
              </w:rPr>
              <w:t xml:space="preserve">0.001–0.030</w:t>
            </w:r>
          </w:p>
        </w:tc>
        <w:tc>
          <w:tcPr/>
          <w:p>
            <w:pPr>
              <w:pStyle w:val="Compact"/>
              <w:jc w:val="left"/>
            </w:pPr>
            <w:r>
              <w:t xml:space="preserve">Effective historical closure rate.</w:t>
            </w:r>
          </w:p>
        </w:tc>
      </w:tr>
      <w:tr>
        <w:tc>
          <w:tcPr/>
          <w:p>
            <w:pPr>
              <w:pStyle w:val="Compact"/>
              <w:jc w:val="left"/>
            </w:pPr>
            <w:r>
              <w:rPr>
                <w:rStyle w:val="VerbatimChar"/>
              </w:rPr>
              <w:t xml:space="preserve">branch</w:t>
            </w:r>
          </w:p>
        </w:tc>
        <w:tc>
          <w:tcPr/>
          <w:p>
            <w:pPr>
              <w:pStyle w:val="Compact"/>
              <w:jc w:val="left"/>
            </w:pPr>
            <w:r>
              <w:rPr>
                <w:rStyle w:val="VerbatimChar"/>
              </w:rPr>
              <w:t xml:space="preserve">+</w:t>
            </w:r>
            <w:r>
              <w:t xml:space="preserve">,</w:t>
            </w:r>
            <w:r>
              <w:t xml:space="preserve"> </w:t>
            </w:r>
            <w:r>
              <w:rPr>
                <w:rStyle w:val="VerbatimChar"/>
              </w:rPr>
              <w:t xml:space="preserve">-</w:t>
            </w:r>
            <w:r>
              <w:t xml:space="preserve">,</w:t>
            </w:r>
            <w:r>
              <w:t xml:space="preserve"> </w:t>
            </w:r>
            <w:r>
              <w:rPr>
                <w:rStyle w:val="VerbatimChar"/>
              </w:rPr>
              <w:t xml:space="preserve">transition</w:t>
            </w:r>
          </w:p>
        </w:tc>
        <w:tc>
          <w:tcPr/>
          <w:p>
            <w:pPr>
              <w:pStyle w:val="Compact"/>
              <w:jc w:val="left"/>
            </w:pPr>
            <w:r>
              <w:t xml:space="preserve">Correlational realization branch.</w:t>
            </w:r>
          </w:p>
        </w:tc>
      </w:tr>
      <w:tr>
        <w:tc>
          <w:tcPr/>
          <w:p>
            <w:pPr>
              <w:pStyle w:val="Compact"/>
              <w:jc w:val="left"/>
            </w:pPr>
            <w:r>
              <w:rPr>
                <w:rStyle w:val="VerbatimChar"/>
              </w:rPr>
              <w:t xml:space="preserve">normalization</w:t>
            </w:r>
          </w:p>
        </w:tc>
        <w:tc>
          <w:tcPr/>
          <w:p>
            <w:pPr>
              <w:pStyle w:val="Compact"/>
              <w:jc w:val="left"/>
            </w:pPr>
            <w:r>
              <w:rPr>
                <w:rStyle w:val="VerbatimChar"/>
              </w:rPr>
              <w:t xml:space="preserve">present</w:t>
            </w:r>
            <w:r>
              <w:t xml:space="preserve">,</w:t>
            </w:r>
            <w:r>
              <w:t xml:space="preserve"> </w:t>
            </w:r>
            <w:r>
              <w:rPr>
                <w:rStyle w:val="VerbatimChar"/>
              </w:rPr>
              <w:t xml:space="preserve">omega-based</w:t>
            </w:r>
          </w:p>
        </w:tc>
        <w:tc>
          <w:tcPr/>
          <w:p>
            <w:pPr>
              <w:pStyle w:val="Compact"/>
              <w:jc w:val="left"/>
            </w:pPr>
            <w:r>
              <w:t xml:space="preserve">Operational normalization convention.</w:t>
            </w:r>
          </w:p>
        </w:tc>
      </w:tr>
      <w:tr>
        <w:tc>
          <w:tcPr/>
          <w:p>
            <w:pPr>
              <w:pStyle w:val="Compact"/>
              <w:jc w:val="left"/>
            </w:pPr>
            <w:r>
              <w:rPr>
                <w:rStyle w:val="VerbatimChar"/>
              </w:rPr>
              <w:t xml:space="preserve">C0</w:t>
            </w:r>
          </w:p>
        </w:tc>
        <w:tc>
          <w:tcPr/>
          <w:p>
            <w:pPr>
              <w:pStyle w:val="Compact"/>
              <w:jc w:val="left"/>
            </w:pPr>
            <w:r>
              <w:t xml:space="preserve">positive</w:t>
            </w:r>
          </w:p>
        </w:tc>
        <w:tc>
          <w:tcPr/>
          <w:p>
            <w:pPr>
              <w:pStyle w:val="Compact"/>
              <w:jc w:val="left"/>
            </w:pPr>
            <w:r>
              <w:t xml:space="preserve">Reference correlational normalization.</w:t>
            </w:r>
          </w:p>
        </w:tc>
      </w:tr>
    </w:tbl>
    <w:bookmarkEnd w:id="35"/>
    <w:bookmarkStart w:id="36" w:name="implemented-potentials"/>
    <w:p>
      <w:pPr>
        <w:pStyle w:val="Heading1"/>
      </w:pPr>
      <w:r>
        <w:t xml:space="preserve">15. Implemented potentials</w:t>
      </w:r>
    </w:p>
    <w:p>
      <w:pPr>
        <w:pStyle w:val="FirstParagraph"/>
      </w:pPr>
      <w:r>
        <w:t xml:space="preserve">V3 implements three differentiated potential families:</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Manual option</w:t>
            </w:r>
          </w:p>
        </w:tc>
        <w:tc>
          <w:tcPr/>
          <w:p>
            <w:pPr>
              <w:pStyle w:val="Compact"/>
              <w:jc w:val="left"/>
            </w:pPr>
            <w:r>
              <w:t xml:space="preserve">Internal family</w:t>
            </w:r>
          </w:p>
        </w:tc>
        <w:tc>
          <w:tcPr/>
          <w:p>
            <w:pPr>
              <w:pStyle w:val="Compact"/>
              <w:jc w:val="left"/>
            </w:pPr>
            <w:r>
              <w:t xml:space="preserve">Comment</w:t>
            </w:r>
          </w:p>
        </w:tc>
      </w:tr>
      <w:tr>
        <w:tc>
          <w:tcPr/>
          <w:p>
            <w:pPr>
              <w:pStyle w:val="Compact"/>
              <w:jc w:val="left"/>
            </w:pPr>
            <w:r>
              <w:rPr>
                <w:rStyle w:val="VerbatimChar"/>
              </w:rPr>
              <w:t xml:space="preserve">quadratic</w:t>
            </w:r>
          </w:p>
        </w:tc>
        <w:tc>
          <w:tcPr/>
          <w:p>
            <w:pPr>
              <w:pStyle w:val="Compact"/>
              <w:jc w:val="left"/>
            </w:pPr>
            <w:r>
              <w:rPr>
                <w:rStyle w:val="VerbatimChar"/>
              </w:rPr>
              <w:t xml:space="preserve">quad</w:t>
            </w:r>
          </w:p>
        </w:tc>
        <w:tc>
          <w:tcPr/>
          <w:p>
            <w:pPr>
              <w:pStyle w:val="Compact"/>
              <w:jc w:val="left"/>
            </w:pPr>
            <w:r>
              <w:t xml:space="preserve">Quadratic potential around</w:t>
            </w:r>
            <w:r>
              <w:t xml:space="preserve"> </w:t>
            </w:r>
            <w:r>
              <w:rPr>
                <w:rStyle w:val="VerbatimChar"/>
              </w:rPr>
              <w:t xml:space="preserve">C0</w:t>
            </w:r>
            <w:r>
              <w:t xml:space="preserve">.</w:t>
            </w:r>
          </w:p>
        </w:tc>
      </w:tr>
      <w:tr>
        <w:tc>
          <w:tcPr/>
          <w:p>
            <w:pPr>
              <w:pStyle w:val="Compact"/>
              <w:jc w:val="left"/>
            </w:pPr>
            <w:r>
              <w:rPr>
                <w:rStyle w:val="VerbatimChar"/>
              </w:rPr>
              <w:t xml:space="preserve">plateau</w:t>
            </w:r>
          </w:p>
        </w:tc>
        <w:tc>
          <w:tcPr/>
          <w:p>
            <w:pPr>
              <w:pStyle w:val="Compact"/>
              <w:jc w:val="left"/>
            </w:pPr>
            <w:r>
              <w:rPr>
                <w:rStyle w:val="VerbatimChar"/>
              </w:rPr>
              <w:t xml:space="preserve">tanh</w:t>
            </w:r>
          </w:p>
        </w:tc>
        <w:tc>
          <w:tcPr/>
          <w:p>
            <w:pPr>
              <w:pStyle w:val="Compact"/>
              <w:jc w:val="left"/>
            </w:pPr>
            <w:r>
              <w:t xml:space="preserve">Smooth saturation potential.</w:t>
            </w:r>
          </w:p>
        </w:tc>
      </w:tr>
      <w:tr>
        <w:tc>
          <w:tcPr/>
          <w:p>
            <w:pPr>
              <w:pStyle w:val="Compact"/>
              <w:jc w:val="left"/>
            </w:pPr>
            <w:r>
              <w:rPr>
                <w:rStyle w:val="VerbatimChar"/>
              </w:rPr>
              <w:t xml:space="preserve">quartic</w:t>
            </w:r>
          </w:p>
        </w:tc>
        <w:tc>
          <w:tcPr/>
          <w:p>
            <w:pPr>
              <w:pStyle w:val="Compact"/>
              <w:jc w:val="left"/>
            </w:pPr>
            <w:r>
              <w:rPr>
                <w:rStyle w:val="VerbatimChar"/>
              </w:rPr>
              <w:t xml:space="preserve">quartic</w:t>
            </w:r>
          </w:p>
        </w:tc>
        <w:tc>
          <w:tcPr/>
          <w:p>
            <w:pPr>
              <w:pStyle w:val="Compact"/>
              <w:jc w:val="left"/>
            </w:pPr>
            <w:r>
              <w:t xml:space="preserve">Explicit quartic potential:</w:t>
            </w:r>
            <w:r>
              <w:t xml:space="preserve"> </w:t>
            </w:r>
            <w:r>
              <w:rPr>
                <w:rStyle w:val="VerbatimChar"/>
              </w:rPr>
              <w:t xml:space="preserve">U = U0 + 0.5*mC2*(C-C0)^2 + lambda4*(C-C0)^4</w:t>
            </w:r>
            <w:r>
              <w:t xml:space="preserve">.</w:t>
            </w:r>
          </w:p>
        </w:tc>
      </w:tr>
    </w:tbl>
    <w:p>
      <w:pPr>
        <w:pStyle w:val="BodyText"/>
      </w:pPr>
      <w:r>
        <w:t xml:space="preserve">In V2,</w:t>
      </w:r>
      <w:r>
        <w:t xml:space="preserve"> </w:t>
      </w:r>
      <w:r>
        <w:rPr>
          <w:rStyle w:val="VerbatimChar"/>
        </w:rPr>
        <w:t xml:space="preserve">quartic</w:t>
      </w:r>
      <w:r>
        <w:t xml:space="preserve"> </w:t>
      </w:r>
      <w:r>
        <w:t xml:space="preserve">was still an effective option. In V3 it is implemented as a real core family.</w:t>
      </w:r>
    </w:p>
    <w:bookmarkEnd w:id="36"/>
    <w:bookmarkStart w:id="37" w:name="operational-normalization"/>
    <w:p>
      <w:pPr>
        <w:pStyle w:val="Heading1"/>
      </w:pPr>
      <w:r>
        <w:t xml:space="preserve">16. Operational normalization</w:t>
      </w:r>
    </w:p>
    <w:p>
      <w:pPr>
        <w:pStyle w:val="FirstParagraph"/>
      </w:pPr>
      <w:r>
        <w:t xml:space="preserve">V3 gives</w:t>
      </w:r>
      <w:r>
        <w:t xml:space="preserve"> </w:t>
      </w:r>
      <w:r>
        <w:rPr>
          <w:rStyle w:val="VerbatimChar"/>
        </w:rPr>
        <w:t xml:space="preserve">normalization</w:t>
      </w:r>
      <w:r>
        <w:t xml:space="preserve"> </w:t>
      </w:r>
      <w:r>
        <w:t xml:space="preserve">an actual operational effect:</w:t>
      </w:r>
    </w:p>
    <w:p>
      <w:pPr>
        <w:pStyle w:val="Compact"/>
        <w:numPr>
          <w:ilvl w:val="0"/>
          <w:numId w:val="1006"/>
        </w:numPr>
      </w:pPr>
      <w:r>
        <w:rPr>
          <w:rStyle w:val="VerbatimChar"/>
        </w:rPr>
        <w:t xml:space="preserve">present</w:t>
      </w:r>
      <w:r>
        <w:t xml:space="preserve">: uses</w:t>
      </w:r>
      <w:r>
        <w:t xml:space="preserve"> </w:t>
      </w:r>
      <w:r>
        <w:rPr>
          <w:rStyle w:val="VerbatimChar"/>
        </w:rPr>
        <w:t xml:space="preserve">C0</w:t>
      </w:r>
      <w:r>
        <w:t xml:space="preserve"> </w:t>
      </w:r>
      <w:r>
        <w:t xml:space="preserve">directly;</w:t>
      </w:r>
    </w:p>
    <w:p>
      <w:pPr>
        <w:pStyle w:val="Compact"/>
        <w:numPr>
          <w:ilvl w:val="0"/>
          <w:numId w:val="1006"/>
        </w:numPr>
      </w:pPr>
      <w:r>
        <w:rPr>
          <w:rStyle w:val="VerbatimChar"/>
        </w:rPr>
        <w:t xml:space="preserve">omega-based</w:t>
      </w:r>
      <w:r>
        <w:t xml:space="preserve">: rescales the baseline so that</w:t>
      </w:r>
      <w:r>
        <w:t xml:space="preserve"> </w:t>
      </w:r>
      <w:r>
        <w:rPr>
          <w:rStyle w:val="VerbatimChar"/>
        </w:rPr>
        <w:t xml:space="preserve">Ct(a=1)=C0</w:t>
      </w:r>
      <w:r>
        <w:t xml:space="preserve"> </w:t>
      </w:r>
      <w:r>
        <w:t xml:space="preserve">for the selected trajectory.</w:t>
      </w:r>
    </w:p>
    <w:p>
      <w:pPr>
        <w:pStyle w:val="FirstParagraph"/>
      </w:pPr>
      <w:r>
        <w:t xml:space="preserve">This prevents</w:t>
      </w:r>
      <w:r>
        <w:t xml:space="preserve"> </w:t>
      </w:r>
      <w:r>
        <w:rPr>
          <w:rStyle w:val="VerbatimChar"/>
        </w:rPr>
        <w:t xml:space="preserve">normalization</w:t>
      </w:r>
      <w:r>
        <w:t xml:space="preserve"> </w:t>
      </w:r>
      <w:r>
        <w:t xml:space="preserve">from being merely metadata and turns it into an executable convention.</w:t>
      </w:r>
    </w:p>
    <w:bookmarkEnd w:id="37"/>
    <w:bookmarkStart w:id="38" w:name="delivered-results"/>
    <w:p>
      <w:pPr>
        <w:pStyle w:val="Heading1"/>
      </w:pPr>
      <w:r>
        <w:t xml:space="preserve">17. Delivered results</w:t>
      </w:r>
    </w:p>
    <w:p>
      <w:pPr>
        <w:pStyle w:val="FirstParagraph"/>
      </w:pPr>
      <w:r>
        <w:t xml:space="preserve">Depending on mode, the pipeline generates:</w:t>
      </w:r>
    </w:p>
    <w:p>
      <w:pPr>
        <w:pStyle w:val="Compact"/>
        <w:numPr>
          <w:ilvl w:val="0"/>
          <w:numId w:val="1007"/>
        </w:numPr>
      </w:pPr>
      <w:r>
        <w:rPr>
          <w:rStyle w:val="VerbatimChar"/>
        </w:rPr>
        <w:t xml:space="preserve">summary.json</w:t>
      </w:r>
      <w:r>
        <w:t xml:space="preserve">;</w:t>
      </w:r>
    </w:p>
    <w:p>
      <w:pPr>
        <w:pStyle w:val="Compact"/>
        <w:numPr>
          <w:ilvl w:val="0"/>
          <w:numId w:val="1007"/>
        </w:numPr>
      </w:pPr>
      <w:r>
        <w:rPr>
          <w:rStyle w:val="VerbatimChar"/>
        </w:rPr>
        <w:t xml:space="preserve">checklist.json</w:t>
      </w:r>
      <w:r>
        <w:t xml:space="preserve">;</w:t>
      </w:r>
    </w:p>
    <w:p>
      <w:pPr>
        <w:pStyle w:val="Compact"/>
        <w:numPr>
          <w:ilvl w:val="0"/>
          <w:numId w:val="1007"/>
        </w:numPr>
      </w:pPr>
      <w:r>
        <w:t xml:space="preserve">CSV tables;</w:t>
      </w:r>
    </w:p>
    <w:p>
      <w:pPr>
        <w:pStyle w:val="Compact"/>
        <w:numPr>
          <w:ilvl w:val="0"/>
          <w:numId w:val="1007"/>
        </w:numPr>
      </w:pPr>
      <w:r>
        <w:t xml:space="preserve">Markdown/HTML reports;</w:t>
      </w:r>
    </w:p>
    <w:p>
      <w:pPr>
        <w:pStyle w:val="Compact"/>
        <w:numPr>
          <w:ilvl w:val="0"/>
          <w:numId w:val="1007"/>
        </w:numPr>
      </w:pPr>
      <w:r>
        <w:t xml:space="preserve">execution logs;</w:t>
      </w:r>
    </w:p>
    <w:p>
      <w:pPr>
        <w:pStyle w:val="Compact"/>
        <w:numPr>
          <w:ilvl w:val="0"/>
          <w:numId w:val="1007"/>
        </w:numPr>
      </w:pPr>
      <w:r>
        <w:t xml:space="preserve">first-failure-sector diagnostics;</w:t>
      </w:r>
    </w:p>
    <w:p>
      <w:pPr>
        <w:pStyle w:val="Compact"/>
        <w:numPr>
          <w:ilvl w:val="0"/>
          <w:numId w:val="1007"/>
        </w:numPr>
      </w:pPr>
      <w:r>
        <w:t xml:space="preserve">trajectory parameters used;</w:t>
      </w:r>
    </w:p>
    <w:p>
      <w:pPr>
        <w:pStyle w:val="Compact"/>
        <w:numPr>
          <w:ilvl w:val="0"/>
          <w:numId w:val="1007"/>
        </w:numPr>
      </w:pPr>
      <w:r>
        <w:t xml:space="preserve">global</w:t>
      </w:r>
      <w:r>
        <w:t xml:space="preserve"> </w:t>
      </w:r>
      <w:r>
        <w:rPr>
          <w:rStyle w:val="VerbatimChar"/>
        </w:rPr>
        <w:t xml:space="preserve">OK</w:t>
      </w:r>
      <w:r>
        <w:t xml:space="preserve"> </w:t>
      </w:r>
      <w:r>
        <w:t xml:space="preserve">/</w:t>
      </w:r>
      <w:r>
        <w:t xml:space="preserve"> </w:t>
      </w:r>
      <w:r>
        <w:rPr>
          <w:rStyle w:val="VerbatimChar"/>
        </w:rPr>
        <w:t xml:space="preserve">BROKEN</w:t>
      </w:r>
      <w:r>
        <w:t xml:space="preserve"> </w:t>
      </w:r>
      <w:r>
        <w:t xml:space="preserve">status.</w:t>
      </w:r>
    </w:p>
    <w:bookmarkEnd w:id="38"/>
    <w:bookmarkStart w:id="39" w:name="interpreting-results"/>
    <w:p>
      <w:pPr>
        <w:pStyle w:val="Heading1"/>
      </w:pPr>
      <w:r>
        <w:t xml:space="preserve">18. Interpreting results</w:t>
      </w:r>
    </w:p>
    <w:p>
      <w:pPr>
        <w:pStyle w:val="FirstParagraph"/>
      </w:pPr>
      <w:r>
        <w:t xml:space="preserve">Interpretation should be made at three levels:</w:t>
      </w:r>
    </w:p>
    <w:p>
      <w:pPr>
        <w:pStyle w:val="Compact"/>
        <w:numPr>
          <w:ilvl w:val="0"/>
          <w:numId w:val="1008"/>
        </w:numPr>
      </w:pPr>
      <w:r>
        <w:rPr>
          <w:b/>
          <w:bCs/>
        </w:rPr>
        <w:t xml:space="preserve">Structural level:</w:t>
      </w:r>
      <w:r>
        <w:t xml:space="preserve"> </w:t>
      </w:r>
      <w:r>
        <w:t xml:space="preserve">whether the model preserves stability and internal coherence.</w:t>
      </w:r>
    </w:p>
    <w:p>
      <w:pPr>
        <w:pStyle w:val="Compact"/>
        <w:numPr>
          <w:ilvl w:val="0"/>
          <w:numId w:val="1008"/>
        </w:numPr>
      </w:pPr>
      <w:r>
        <w:rPr>
          <w:b/>
          <w:bCs/>
        </w:rPr>
        <w:t xml:space="preserve">Proxy-observational level:</w:t>
      </w:r>
      <w:r>
        <w:t xml:space="preserve"> </w:t>
      </w:r>
      <w:r>
        <w:t xml:space="preserve">whether the minimal proxies do not break immediately.</w:t>
      </w:r>
    </w:p>
    <w:p>
      <w:pPr>
        <w:pStyle w:val="Compact"/>
        <w:numPr>
          <w:ilvl w:val="0"/>
          <w:numId w:val="1008"/>
        </w:numPr>
      </w:pPr>
      <w:r>
        <w:rPr>
          <w:b/>
          <w:bCs/>
        </w:rPr>
        <w:t xml:space="preserve">Falsifiability level:</w:t>
      </w:r>
      <w:r>
        <w:t xml:space="preserve"> </w:t>
      </w:r>
      <w:r>
        <w:t xml:space="preserve">which sector fails first and under which deformation direction.</w:t>
      </w:r>
    </w:p>
    <w:p>
      <w:pPr>
        <w:pStyle w:val="FirstParagraph"/>
      </w:pPr>
      <w:r>
        <w:t xml:space="preserve">An</w:t>
      </w:r>
      <w:r>
        <w:t xml:space="preserve"> </w:t>
      </w:r>
      <w:r>
        <w:rPr>
          <w:rStyle w:val="VerbatimChar"/>
        </w:rPr>
        <w:t xml:space="preserve">OK</w:t>
      </w:r>
      <w:r>
        <w:t xml:space="preserve"> </w:t>
      </w:r>
      <w:r>
        <w:t xml:space="preserve">result does not mean final cosmological validation. It means the realization passes the minimal V3 structural-consistency battery.</w:t>
      </w:r>
    </w:p>
    <w:bookmarkEnd w:id="39"/>
    <w:bookmarkStart w:id="40" w:name="v3-proxy-policy"/>
    <w:p>
      <w:pPr>
        <w:pStyle w:val="Heading1"/>
      </w:pPr>
      <w:r>
        <w:t xml:space="preserve">19. V3 proxy policy</w:t>
      </w:r>
    </w:p>
    <w:p>
      <w:pPr>
        <w:pStyle w:val="FirstParagraph"/>
      </w:pPr>
      <w:r>
        <w:t xml:space="preserve">V3 includes</w:t>
      </w:r>
      <w:r>
        <w:t xml:space="preserve"> </w:t>
      </w:r>
      <w:r>
        <w:rPr>
          <w:rStyle w:val="VerbatimChar"/>
        </w:rPr>
        <w:t xml:space="preserve">PROXY_VALIDATION_POLICY_V3.md</w:t>
      </w:r>
      <w:r>
        <w:t xml:space="preserve">. The policy is:</w:t>
      </w:r>
    </w:p>
    <w:p>
      <w:pPr>
        <w:pStyle w:val="Compact"/>
        <w:numPr>
          <w:ilvl w:val="0"/>
          <w:numId w:val="1009"/>
        </w:numPr>
      </w:pPr>
      <w:r>
        <w:t xml:space="preserve">proxies are lightweight structural diagnostics;</w:t>
      </w:r>
    </w:p>
    <w:p>
      <w:pPr>
        <w:pStyle w:val="Compact"/>
        <w:numPr>
          <w:ilvl w:val="0"/>
          <w:numId w:val="1009"/>
        </w:numPr>
      </w:pPr>
      <w:r>
        <w:t xml:space="preserve">they do not replace CLASS, CAMB or hi_class;</w:t>
      </w:r>
    </w:p>
    <w:p>
      <w:pPr>
        <w:pStyle w:val="Compact"/>
        <w:numPr>
          <w:ilvl w:val="0"/>
          <w:numId w:val="1009"/>
        </w:numPr>
      </w:pPr>
      <w:r>
        <w:t xml:space="preserve">they are not a final Bayesian/MCMC inference;</w:t>
      </w:r>
    </w:p>
    <w:p>
      <w:pPr>
        <w:pStyle w:val="Compact"/>
        <w:numPr>
          <w:ilvl w:val="0"/>
          <w:numId w:val="1009"/>
        </w:numPr>
      </w:pPr>
      <w:r>
        <w:t xml:space="preserve">they should be used for admissibility, rupture and preliminary comparison;</w:t>
      </w:r>
    </w:p>
    <w:p>
      <w:pPr>
        <w:pStyle w:val="Compact"/>
        <w:numPr>
          <w:ilvl w:val="0"/>
          <w:numId w:val="1009"/>
        </w:numPr>
      </w:pPr>
      <w:r>
        <w:t xml:space="preserve">they must not be presented as CMB spectra,</w:t>
      </w:r>
      <w:r>
        <w:t xml:space="preserve"> </w:t>
      </w:r>
      <w:r>
        <w:rPr>
          <w:rStyle w:val="VerbatimChar"/>
        </w:rPr>
        <w:t xml:space="preserve">P(k)</w:t>
      </w:r>
      <w:r>
        <w:t xml:space="preserve"> </w:t>
      </w:r>
      <w:r>
        <w:t xml:space="preserve">spectra or final parameter estimates.</w:t>
      </w:r>
    </w:p>
    <w:bookmarkEnd w:id="40"/>
    <w:bookmarkStart w:id="41" w:name="relationship-with-the-δωcₜ-paper"/>
    <w:p>
      <w:pPr>
        <w:pStyle w:val="Heading1"/>
      </w:pPr>
      <w:r>
        <w:t xml:space="preserve">20. Relationship with the ΔΩcₜ paper</w:t>
      </w:r>
    </w:p>
    <w:p>
      <w:pPr>
        <w:pStyle w:val="FirstParagraph"/>
      </w:pPr>
      <w:r>
        <w:t xml:space="preserve">The ΔΩcₜ paper formulates the effective dynamical closure between basal rupture Δ and historical coherence Ωcₜ. ΔΩcₜN V3 acts as its operational layer: it executes the historical reading of the correlational index and compares admissible trajectories against the classic benchmark layer.</w:t>
      </w:r>
    </w:p>
    <w:p>
      <w:pPr>
        <w:pStyle w:val="BodyText"/>
      </w:pPr>
      <w:r>
        <w:t xml:space="preserve">Correspondence:</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Paper</w:t>
            </w:r>
          </w:p>
        </w:tc>
        <w:tc>
          <w:tcPr/>
          <w:p>
            <w:pPr>
              <w:pStyle w:val="Compact"/>
              <w:jc w:val="left"/>
            </w:pPr>
            <w:r>
              <w:t xml:space="preserve">Pipeline</w:t>
            </w:r>
          </w:p>
        </w:tc>
      </w:tr>
      <w:tr>
        <w:tc>
          <w:tcPr/>
          <w:p>
            <w:pPr>
              <w:pStyle w:val="Compact"/>
              <w:jc w:val="left"/>
            </w:pPr>
            <w:r>
              <w:t xml:space="preserve">Δ → Ωcₜ closure</w:t>
            </w:r>
          </w:p>
        </w:tc>
        <w:tc>
          <w:tcPr/>
          <w:p>
            <w:pPr>
              <w:pStyle w:val="Compact"/>
              <w:jc w:val="left"/>
            </w:pPr>
            <w:r>
              <w:rPr>
                <w:rStyle w:val="VerbatimChar"/>
              </w:rPr>
              <w:t xml:space="preserve">deltaomegact</w:t>
            </w:r>
            <w:r>
              <w:t xml:space="preserve"> </w:t>
            </w:r>
            <w:r>
              <w:t xml:space="preserve">family</w:t>
            </w:r>
          </w:p>
        </w:tc>
      </w:tr>
      <w:tr>
        <w:tc>
          <w:tcPr/>
          <w:p>
            <w:pPr>
              <w:pStyle w:val="Compact"/>
              <w:jc w:val="left"/>
            </w:pPr>
            <w:r>
              <w:t xml:space="preserve">Historical trajectory</w:t>
            </w:r>
          </w:p>
        </w:tc>
        <w:tc>
          <w:tcPr/>
          <w:p>
            <w:pPr>
              <w:pStyle w:val="Compact"/>
              <w:jc w:val="left"/>
            </w:pPr>
            <w:r>
              <w:rPr>
                <w:rStyle w:val="VerbatimChar"/>
              </w:rPr>
              <w:t xml:space="preserve">I_c(a)</w:t>
            </w:r>
            <w:r>
              <w:t xml:space="preserve"> </w:t>
            </w:r>
            <w:r>
              <w:t xml:space="preserve">with</w:t>
            </w:r>
            <w:r>
              <w:t xml:space="preserve"> </w:t>
            </w:r>
            <w:r>
              <w:rPr>
                <w:rStyle w:val="VerbatimChar"/>
              </w:rPr>
              <w:t xml:space="preserve">lambda_eff</w:t>
            </w:r>
          </w:p>
        </w:tc>
      </w:tr>
      <w:tr>
        <w:tc>
          <w:tcPr/>
          <w:p>
            <w:pPr>
              <w:pStyle w:val="Compact"/>
              <w:jc w:val="left"/>
            </w:pPr>
            <w:r>
              <w:t xml:space="preserve">Correlational branches</w:t>
            </w:r>
          </w:p>
        </w:tc>
        <w:tc>
          <w:tcPr/>
          <w:p>
            <w:pPr>
              <w:pStyle w:val="Compact"/>
              <w:jc w:val="left"/>
            </w:pPr>
            <w:r>
              <w:rPr>
                <w:rStyle w:val="VerbatimChar"/>
              </w:rPr>
              <w:t xml:space="preserve">branch</w:t>
            </w:r>
          </w:p>
        </w:tc>
      </w:tr>
      <w:tr>
        <w:tc>
          <w:tcPr/>
          <w:p>
            <w:pPr>
              <w:pStyle w:val="Compact"/>
              <w:jc w:val="left"/>
            </w:pPr>
            <w:r>
              <w:t xml:space="preserve">Normalization convention</w:t>
            </w:r>
          </w:p>
        </w:tc>
        <w:tc>
          <w:tcPr/>
          <w:p>
            <w:pPr>
              <w:pStyle w:val="Compact"/>
              <w:jc w:val="left"/>
            </w:pPr>
            <w:r>
              <w:rPr>
                <w:rStyle w:val="VerbatimChar"/>
              </w:rPr>
              <w:t xml:space="preserve">normalization</w:t>
            </w:r>
          </w:p>
        </w:tc>
      </w:tr>
      <w:tr>
        <w:tc>
          <w:tcPr/>
          <w:p>
            <w:pPr>
              <w:pStyle w:val="Compact"/>
              <w:jc w:val="left"/>
            </w:pPr>
            <w:r>
              <w:t xml:space="preserve">Operational admissibility</w:t>
            </w:r>
          </w:p>
        </w:tc>
        <w:tc>
          <w:tcPr/>
          <w:p>
            <w:pPr>
              <w:pStyle w:val="Compact"/>
              <w:jc w:val="left"/>
            </w:pPr>
            <w:r>
              <w:t xml:space="preserve">Checklist and global status</w:t>
            </w:r>
          </w:p>
        </w:tc>
      </w:tr>
    </w:tbl>
    <w:bookmarkEnd w:id="41"/>
    <w:bookmarkStart w:id="42" w:name="known-limitations"/>
    <w:p>
      <w:pPr>
        <w:pStyle w:val="Heading1"/>
      </w:pPr>
      <w:r>
        <w:t xml:space="preserve">21. Known limitations</w:t>
      </w:r>
    </w:p>
    <w:p>
      <w:pPr>
        <w:pStyle w:val="FirstParagraph"/>
      </w:pPr>
      <w:r>
        <w:t xml:space="preserve">V3 must not be interpreted as:</w:t>
      </w:r>
    </w:p>
    <w:p>
      <w:pPr>
        <w:pStyle w:val="Compact"/>
        <w:numPr>
          <w:ilvl w:val="0"/>
          <w:numId w:val="1010"/>
        </w:numPr>
      </w:pPr>
      <w:r>
        <w:t xml:space="preserve">a full Boltzmann integrator;</w:t>
      </w:r>
    </w:p>
    <w:p>
      <w:pPr>
        <w:pStyle w:val="Compact"/>
        <w:numPr>
          <w:ilvl w:val="0"/>
          <w:numId w:val="1010"/>
        </w:numPr>
      </w:pPr>
      <w:r>
        <w:t xml:space="preserve">a substitute for CLASS/CAMB/hi_class;</w:t>
      </w:r>
    </w:p>
    <w:p>
      <w:pPr>
        <w:pStyle w:val="Compact"/>
        <w:numPr>
          <w:ilvl w:val="0"/>
          <w:numId w:val="1010"/>
        </w:numPr>
      </w:pPr>
      <w:r>
        <w:t xml:space="preserve">a final Bayesian inference;</w:t>
      </w:r>
    </w:p>
    <w:p>
      <w:pPr>
        <w:pStyle w:val="Compact"/>
        <w:numPr>
          <w:ilvl w:val="0"/>
          <w:numId w:val="1010"/>
        </w:numPr>
      </w:pPr>
      <w:r>
        <w:t xml:space="preserve">a definitive observational validation;</w:t>
      </w:r>
    </w:p>
    <w:p>
      <w:pPr>
        <w:pStyle w:val="Compact"/>
        <w:numPr>
          <w:ilvl w:val="0"/>
          <w:numId w:val="1010"/>
        </w:numPr>
      </w:pPr>
      <w:r>
        <w:t xml:space="preserve">a complete UV microphysics.</w:t>
      </w:r>
    </w:p>
    <w:p>
      <w:pPr>
        <w:pStyle w:val="FirstParagraph"/>
      </w:pPr>
      <w:r>
        <w:t xml:space="preserve">V3 should be interpreted as:</w:t>
      </w:r>
    </w:p>
    <w:p>
      <w:pPr>
        <w:pStyle w:val="Compact"/>
        <w:numPr>
          <w:ilvl w:val="0"/>
          <w:numId w:val="1011"/>
        </w:numPr>
      </w:pPr>
      <w:r>
        <w:t xml:space="preserve">a reviewer-ready structural-consistency pipeline;</w:t>
      </w:r>
    </w:p>
    <w:p>
      <w:pPr>
        <w:pStyle w:val="Compact"/>
        <w:numPr>
          <w:ilvl w:val="0"/>
          <w:numId w:val="1011"/>
        </w:numPr>
      </w:pPr>
      <w:r>
        <w:t xml:space="preserve">an executable ΔΩcₜ trajectory layer;</w:t>
      </w:r>
    </w:p>
    <w:p>
      <w:pPr>
        <w:pStyle w:val="Compact"/>
        <w:numPr>
          <w:ilvl w:val="0"/>
          <w:numId w:val="1011"/>
        </w:numPr>
      </w:pPr>
      <w:r>
        <w:t xml:space="preserve">a tool for detecting operational rupture;</w:t>
      </w:r>
    </w:p>
    <w:p>
      <w:pPr>
        <w:pStyle w:val="Compact"/>
        <w:numPr>
          <w:ilvl w:val="0"/>
          <w:numId w:val="1011"/>
        </w:numPr>
      </w:pPr>
      <w:r>
        <w:t xml:space="preserve">a clean base for later G4/G5 generations.</w:t>
      </w:r>
    </w:p>
    <w:bookmarkEnd w:id="42"/>
    <w:bookmarkStart w:id="43" w:name="troubleshooting"/>
    <w:p>
      <w:pPr>
        <w:pStyle w:val="Heading1"/>
      </w:pPr>
      <w:r>
        <w:t xml:space="preserve">22. Troubleshooting</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Problem</w:t>
            </w:r>
          </w:p>
        </w:tc>
        <w:tc>
          <w:tcPr/>
          <w:p>
            <w:pPr>
              <w:pStyle w:val="Compact"/>
              <w:jc w:val="left"/>
            </w:pPr>
            <w:r>
              <w:t xml:space="preserve">Solution</w:t>
            </w:r>
          </w:p>
        </w:tc>
      </w:tr>
      <w:tr>
        <w:tc>
          <w:tcPr/>
          <w:p>
            <w:pPr>
              <w:pStyle w:val="Compact"/>
              <w:jc w:val="left"/>
            </w:pPr>
            <w:r>
              <w:rPr>
                <w:rStyle w:val="VerbatimChar"/>
              </w:rPr>
              <w:t xml:space="preserve">single</w:t>
            </w:r>
            <w:r>
              <w:t xml:space="preserve"> </w:t>
            </w:r>
            <w:r>
              <w:t xml:space="preserve">does not work</w:t>
            </w:r>
          </w:p>
        </w:tc>
        <w:tc>
          <w:tcPr/>
          <w:p>
            <w:pPr>
              <w:pStyle w:val="Compact"/>
              <w:jc w:val="left"/>
            </w:pPr>
            <w:r>
              <w:t xml:space="preserve">In V3 it should work. Check that you are using V3, not V2.</w:t>
            </w:r>
          </w:p>
        </w:tc>
      </w:tr>
      <w:tr>
        <w:tc>
          <w:tcPr/>
          <w:p>
            <w:pPr>
              <w:pStyle w:val="Compact"/>
              <w:jc w:val="left"/>
            </w:pPr>
            <w:r>
              <w:rPr>
                <w:rStyle w:val="VerbatimChar"/>
              </w:rPr>
              <w:t xml:space="preserve">matplotlib</w:t>
            </w:r>
            <w:r>
              <w:t xml:space="preserve"> </w:t>
            </w:r>
            <w:r>
              <w:t xml:space="preserve">is missing</w:t>
            </w:r>
          </w:p>
        </w:tc>
        <w:tc>
          <w:tcPr/>
          <w:p>
            <w:pPr>
              <w:pStyle w:val="Compact"/>
              <w:jc w:val="left"/>
            </w:pPr>
            <w:r>
              <w:t xml:space="preserve">Run</w:t>
            </w:r>
            <w:r>
              <w:t xml:space="preserve"> </w:t>
            </w:r>
            <w:r>
              <w:rPr>
                <w:rStyle w:val="VerbatimChar"/>
              </w:rPr>
              <w:t xml:space="preserve">pip install -r requirements.txt</w:t>
            </w:r>
            <w:r>
              <w:t xml:space="preserve">.</w:t>
            </w:r>
          </w:p>
        </w:tc>
      </w:tr>
      <w:tr>
        <w:tc>
          <w:tcPr/>
          <w:p>
            <w:pPr>
              <w:pStyle w:val="Compact"/>
              <w:jc w:val="left"/>
            </w:pPr>
            <w:r>
              <w:t xml:space="preserve">Global status is</w:t>
            </w:r>
            <w:r>
              <w:t xml:space="preserve"> </w:t>
            </w:r>
            <w:r>
              <w:rPr>
                <w:rStyle w:val="VerbatimChar"/>
              </w:rPr>
              <w:t xml:space="preserve">BROKEN</w:t>
            </w:r>
          </w:p>
        </w:tc>
        <w:tc>
          <w:tcPr/>
          <w:p>
            <w:pPr>
              <w:pStyle w:val="Compact"/>
              <w:jc w:val="left"/>
            </w:pPr>
            <w:r>
              <w:t xml:space="preserve">Inspect which sector returns</w:t>
            </w:r>
            <w:r>
              <w:t xml:space="preserve"> </w:t>
            </w:r>
            <w:r>
              <w:rPr>
                <w:rStyle w:val="VerbatimChar"/>
              </w:rPr>
              <w:t xml:space="preserve">FAIL</w:t>
            </w:r>
            <w:r>
              <w:t xml:space="preserve">; it may be a valid physical result of the test.</w:t>
            </w:r>
          </w:p>
        </w:tc>
      </w:tr>
      <w:tr>
        <w:tc>
          <w:tcPr/>
          <w:p>
            <w:pPr>
              <w:pStyle w:val="Compact"/>
              <w:jc w:val="left"/>
            </w:pPr>
            <w:r>
              <w:t xml:space="preserve">No figures appear</w:t>
            </w:r>
          </w:p>
        </w:tc>
        <w:tc>
          <w:tcPr/>
          <w:p>
            <w:pPr>
              <w:pStyle w:val="Compact"/>
              <w:jc w:val="left"/>
            </w:pPr>
            <w:r>
              <w:t xml:space="preserve">Check write permissions and the matplotlib backend.</w:t>
            </w:r>
          </w:p>
        </w:tc>
      </w:tr>
      <w:tr>
        <w:tc>
          <w:tcPr/>
          <w:p>
            <w:pPr>
              <w:pStyle w:val="Compact"/>
              <w:jc w:val="left"/>
            </w:pPr>
            <w:r>
              <w:rPr>
                <w:rStyle w:val="VerbatimChar"/>
              </w:rPr>
              <w:t xml:space="preserve">quartic</w:t>
            </w:r>
            <w:r>
              <w:t xml:space="preserve"> </w:t>
            </w:r>
            <w:r>
              <w:t xml:space="preserve">is not recognized</w:t>
            </w:r>
          </w:p>
        </w:tc>
        <w:tc>
          <w:tcPr/>
          <w:p>
            <w:pPr>
              <w:pStyle w:val="Compact"/>
              <w:jc w:val="left"/>
            </w:pPr>
            <w:r>
              <w:t xml:space="preserve">Confirm that the core is V3.</w:t>
            </w:r>
          </w:p>
        </w:tc>
      </w:tr>
      <w:tr>
        <w:tc>
          <w:tcPr/>
          <w:p>
            <w:pPr>
              <w:pStyle w:val="Compact"/>
              <w:jc w:val="left"/>
            </w:pPr>
            <w:r>
              <w:t xml:space="preserve">Launcher opens V2</w:t>
            </w:r>
          </w:p>
        </w:tc>
        <w:tc>
          <w:tcPr/>
          <w:p>
            <w:pPr>
              <w:pStyle w:val="Compact"/>
              <w:jc w:val="left"/>
            </w:pPr>
            <w:r>
              <w:t xml:space="preserve">Confirm that the extracted folder is</w:t>
            </w:r>
            <w:r>
              <w:t xml:space="preserve"> </w:t>
            </w:r>
            <w:r>
              <w:rPr>
                <w:rStyle w:val="VerbatimChar"/>
              </w:rPr>
              <w:t xml:space="preserve">DeltaOmegaCtN_V3</w:t>
            </w:r>
            <w:r>
              <w:t xml:space="preserve">.</w:t>
            </w:r>
          </w:p>
        </w:tc>
      </w:tr>
    </w:tbl>
    <w:bookmarkEnd w:id="43"/>
    <w:bookmarkStart w:id="44" w:name="good-usage-practices"/>
    <w:p>
      <w:pPr>
        <w:pStyle w:val="Heading1"/>
      </w:pPr>
      <w:r>
        <w:t xml:space="preserve">23. Good usage practices</w:t>
      </w:r>
    </w:p>
    <w:p>
      <w:pPr>
        <w:pStyle w:val="Compact"/>
        <w:numPr>
          <w:ilvl w:val="0"/>
          <w:numId w:val="1012"/>
        </w:numPr>
      </w:pPr>
      <w:r>
        <w:t xml:space="preserve">Run a smoke test first.</w:t>
      </w:r>
    </w:p>
    <w:p>
      <w:pPr>
        <w:pStyle w:val="Compact"/>
        <w:numPr>
          <w:ilvl w:val="0"/>
          <w:numId w:val="1012"/>
        </w:numPr>
      </w:pPr>
      <w:r>
        <w:t xml:space="preserve">Do not start with</w:t>
      </w:r>
      <w:r>
        <w:t xml:space="preserve"> </w:t>
      </w:r>
      <w:r>
        <w:rPr>
          <w:rStyle w:val="VerbatimChar"/>
        </w:rPr>
        <w:t xml:space="preserve">full</w:t>
      </w:r>
      <w:r>
        <w:t xml:space="preserve"> </w:t>
      </w:r>
      <w:r>
        <w:t xml:space="preserve">before checking the environment.</w:t>
      </w:r>
    </w:p>
    <w:p>
      <w:pPr>
        <w:pStyle w:val="Compact"/>
        <w:numPr>
          <w:ilvl w:val="0"/>
          <w:numId w:val="1012"/>
        </w:numPr>
      </w:pPr>
      <w:r>
        <w:t xml:space="preserve">Keep complete logs.</w:t>
      </w:r>
    </w:p>
    <w:p>
      <w:pPr>
        <w:pStyle w:val="Compact"/>
        <w:numPr>
          <w:ilvl w:val="0"/>
          <w:numId w:val="1012"/>
        </w:numPr>
      </w:pPr>
      <w:r>
        <w:t xml:space="preserve">Do not mix V2 and V3 outputs.</w:t>
      </w:r>
    </w:p>
    <w:p>
      <w:pPr>
        <w:pStyle w:val="Compact"/>
        <w:numPr>
          <w:ilvl w:val="0"/>
          <w:numId w:val="1012"/>
        </w:numPr>
      </w:pPr>
      <w:r>
        <w:t xml:space="preserve">Clearly state that observational outputs are structural proxies.</w:t>
      </w:r>
    </w:p>
    <w:p>
      <w:pPr>
        <w:pStyle w:val="Compact"/>
        <w:numPr>
          <w:ilvl w:val="0"/>
          <w:numId w:val="1012"/>
        </w:numPr>
      </w:pPr>
      <w:r>
        <w:t xml:space="preserve">Use</w:t>
      </w:r>
      <w:r>
        <w:t xml:space="preserve"> </w:t>
      </w:r>
      <w:r>
        <w:rPr>
          <w:rStyle w:val="VerbatimChar"/>
        </w:rPr>
        <w:t xml:space="preserve">const | multiple | paper | quick</w:t>
      </w:r>
      <w:r>
        <w:t xml:space="preserve"> </w:t>
      </w:r>
      <w:r>
        <w:t xml:space="preserve">for classic reproducibility.</w:t>
      </w:r>
    </w:p>
    <w:p>
      <w:pPr>
        <w:pStyle w:val="Compact"/>
        <w:numPr>
          <w:ilvl w:val="0"/>
          <w:numId w:val="1012"/>
        </w:numPr>
      </w:pPr>
      <w:r>
        <w:t xml:space="preserve">Use</w:t>
      </w:r>
      <w:r>
        <w:t xml:space="preserve"> </w:t>
      </w:r>
      <w:r>
        <w:rPr>
          <w:rStyle w:val="VerbatimChar"/>
        </w:rPr>
        <w:t xml:space="preserve">deltaomegact | single | ICCUB | quick</w:t>
      </w:r>
      <w:r>
        <w:t xml:space="preserve"> </w:t>
      </w:r>
      <w:r>
        <w:t xml:space="preserve">for minimum trajectory validation.</w:t>
      </w:r>
    </w:p>
    <w:bookmarkEnd w:id="44"/>
    <w:bookmarkStart w:id="45" w:name="version-history"/>
    <w:p>
      <w:pPr>
        <w:pStyle w:val="Heading1"/>
      </w:pPr>
      <w:r>
        <w:t xml:space="preserve">24. Version history</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Version</w:t>
            </w:r>
          </w:p>
        </w:tc>
        <w:tc>
          <w:tcPr/>
          <w:p>
            <w:pPr>
              <w:pStyle w:val="Compact"/>
              <w:jc w:val="left"/>
            </w:pPr>
            <w:r>
              <w:t xml:space="preserve">Status</w:t>
            </w:r>
          </w:p>
        </w:tc>
        <w:tc>
          <w:tcPr/>
          <w:p>
            <w:pPr>
              <w:pStyle w:val="Compact"/>
              <w:jc w:val="left"/>
            </w:pPr>
            <w:r>
              <w:t xml:space="preserve">Comment</w:t>
            </w:r>
          </w:p>
        </w:tc>
      </w:tr>
      <w:tr>
        <w:tc>
          <w:tcPr/>
          <w:p>
            <w:pPr>
              <w:pStyle w:val="Compact"/>
              <w:jc w:val="left"/>
            </w:pPr>
            <w:r>
              <w:t xml:space="preserve">V1</w:t>
            </w:r>
          </w:p>
        </w:tc>
        <w:tc>
          <w:tcPr/>
          <w:p>
            <w:pPr>
              <w:pStyle w:val="Compact"/>
              <w:jc w:val="left"/>
            </w:pPr>
            <w:r>
              <w:t xml:space="preserve">Transitional</w:t>
            </w:r>
          </w:p>
        </w:tc>
        <w:tc>
          <w:tcPr/>
          <w:p>
            <w:pPr>
              <w:pStyle w:val="Compact"/>
              <w:jc w:val="left"/>
            </w:pPr>
            <w:r>
              <w:t xml:space="preserve">First ΔΩcₜ layer, still limited.</w:t>
            </w:r>
          </w:p>
        </w:tc>
      </w:tr>
      <w:tr>
        <w:tc>
          <w:tcPr/>
          <w:p>
            <w:pPr>
              <w:pStyle w:val="Compact"/>
              <w:jc w:val="left"/>
            </w:pPr>
            <w:r>
              <w:t xml:space="preserve">V2</w:t>
            </w:r>
          </w:p>
        </w:tc>
        <w:tc>
          <w:tcPr/>
          <w:p>
            <w:pPr>
              <w:pStyle w:val="Compact"/>
              <w:jc w:val="left"/>
            </w:pPr>
            <w:r>
              <w:t xml:space="preserve">Improved</w:t>
            </w:r>
          </w:p>
        </w:tc>
        <w:tc>
          <w:tcPr/>
          <w:p>
            <w:pPr>
              <w:pStyle w:val="Compact"/>
              <w:jc w:val="left"/>
            </w:pPr>
            <w:r>
              <w:t xml:space="preserve">Exposed trajectories, but kept some mismatches.</w:t>
            </w:r>
          </w:p>
        </w:tc>
      </w:tr>
      <w:tr>
        <w:tc>
          <w:tcPr/>
          <w:p>
            <w:pPr>
              <w:pStyle w:val="Compact"/>
              <w:jc w:val="left"/>
            </w:pPr>
            <w:r>
              <w:t xml:space="preserve">V3</w:t>
            </w:r>
          </w:p>
        </w:tc>
        <w:tc>
          <w:tcPr/>
          <w:p>
            <w:pPr>
              <w:pStyle w:val="Compact"/>
              <w:jc w:val="left"/>
            </w:pPr>
            <w:r>
              <w:t xml:space="preserve">Recommended</w:t>
            </w:r>
          </w:p>
        </w:tc>
        <w:tc>
          <w:tcPr/>
          <w:p>
            <w:pPr>
              <w:pStyle w:val="Compact"/>
              <w:jc w:val="left"/>
            </w:pPr>
            <w:r>
              <w:t xml:space="preserve">Fixes aliases, normalization, quartic potential, proxy policy and dependencies.</w:t>
            </w:r>
          </w:p>
        </w:tc>
      </w:tr>
    </w:tbl>
    <w:bookmarkEnd w:id="45"/>
    <w:bookmarkStart w:id="46" w:name="conclusion"/>
    <w:p>
      <w:pPr>
        <w:pStyle w:val="Heading1"/>
      </w:pPr>
      <w:r>
        <w:t xml:space="preserve">25. Conclusion</w:t>
      </w:r>
    </w:p>
    <w:p>
      <w:pPr>
        <w:pStyle w:val="FirstParagraph"/>
      </w:pPr>
      <w:r>
        <w:t xml:space="preserve">ΔΩcₜN V3 is the recommended version to accompany the HDC–CBC/ΔΩcₜ preprint. Its purpose is not to replace the major cosmological codes, but to provide an executable, reproducible and honest tool for testing whether historical correlational-index trajectories can sustain an admissible projected regime under a minimal structural battery.</w:t>
      </w:r>
    </w:p>
    <w:p>
      <w:pPr>
        <w:pStyle w:val="BodyText"/>
      </w:pPr>
      <w:r>
        <w:t xml:space="preserve">The correct reading of V3 is sober: it does not prove the theory, but it prevents the theory from remaining purely conceptual. It turns ΔΩcₜ into an operational architecture that can be verified, audited and further developed toward G4/G5.</w:t>
      </w:r>
    </w:p>
    <w:bookmarkEnd w:id="4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OFFICIAL USER MANUAL — ΔΩcₜN V3</dc:title>
  <dc:creator>Jordi Audet Palau — Independent Researcher</dc:creator>
  <dc:language>en</dc:language>
  <cp:keywords/>
  <dcterms:created xsi:type="dcterms:W3CDTF">2026-04-24T09:21:58Z</dcterms:created>
  <dcterms:modified xsi:type="dcterms:W3CDTF">2026-04-24T09:21:58Z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V3 — April 2026</vt:lpwstr>
  </property>
  <property fmtid="{D5CDD505-2E9C-101B-9397-08002B2CF9AE}" pid="3" name="subtitle">
    <vt:lpwstr>Trajectory-enabled correlational closure pipeline for HDC–CBC / ΔΩcₜ</vt:lpwstr>
  </property>
</Properties>
</file>