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AD22D8" w:rsidRPr="00AD22D8" w14:paraId="2A5BFBAD" w14:textId="77777777" w:rsidTr="00AD22D8">
        <w:trPr>
          <w:trHeight w:val="1275"/>
          <w:tblCellSpacing w:w="0" w:type="dxa"/>
          <w:jc w:val="center"/>
        </w:trPr>
        <w:tc>
          <w:tcPr>
            <w:tcW w:w="700" w:type="pct"/>
            <w:vAlign w:val="center"/>
            <w:hideMark/>
          </w:tcPr>
          <w:p w14:paraId="7CD0BC13" w14:textId="461EE825"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D22D8">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502A2B6C" wp14:editId="487831E5">
                      <wp:extent cx="704850" cy="781050"/>
                      <wp:effectExtent l="0" t="0" r="0" b="0"/>
                      <wp:docPr id="439177135"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581E9B"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6ECC300B"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D22D8">
              <w:rPr>
                <w:rFonts w:ascii="Arial" w:eastAsia="Times New Roman" w:hAnsi="Arial" w:cs="Arial"/>
                <w:b/>
                <w:bCs/>
                <w:color w:val="808000"/>
                <w:kern w:val="0"/>
                <w:sz w:val="36"/>
                <w:szCs w:val="36"/>
                <w:lang w:eastAsia="pt-BR"/>
                <w14:ligatures w14:val="none"/>
              </w:rPr>
              <w:t>Presidência da República</w:t>
            </w:r>
            <w:r w:rsidRPr="00AD22D8">
              <w:rPr>
                <w:rFonts w:ascii="Arial" w:eastAsia="Times New Roman" w:hAnsi="Arial" w:cs="Arial"/>
                <w:b/>
                <w:bCs/>
                <w:color w:val="808000"/>
                <w:kern w:val="0"/>
                <w:sz w:val="24"/>
                <w:szCs w:val="24"/>
                <w:lang w:eastAsia="pt-BR"/>
                <w14:ligatures w14:val="none"/>
              </w:rPr>
              <w:br/>
            </w:r>
            <w:r w:rsidRPr="00AD22D8">
              <w:rPr>
                <w:rFonts w:ascii="Arial" w:eastAsia="Times New Roman" w:hAnsi="Arial" w:cs="Arial"/>
                <w:b/>
                <w:bCs/>
                <w:color w:val="808000"/>
                <w:kern w:val="0"/>
                <w:sz w:val="27"/>
                <w:szCs w:val="27"/>
                <w:lang w:eastAsia="pt-BR"/>
                <w14:ligatures w14:val="none"/>
              </w:rPr>
              <w:t>Casa Civil</w:t>
            </w:r>
            <w:r w:rsidRPr="00AD22D8">
              <w:rPr>
                <w:rFonts w:ascii="Arial" w:eastAsia="Times New Roman" w:hAnsi="Arial" w:cs="Arial"/>
                <w:b/>
                <w:bCs/>
                <w:color w:val="808000"/>
                <w:kern w:val="0"/>
                <w:sz w:val="27"/>
                <w:szCs w:val="27"/>
                <w:lang w:eastAsia="pt-BR"/>
                <w14:ligatures w14:val="none"/>
              </w:rPr>
              <w:br/>
            </w:r>
            <w:r w:rsidRPr="00AD22D8">
              <w:rPr>
                <w:rFonts w:ascii="Arial" w:eastAsia="Times New Roman" w:hAnsi="Arial" w:cs="Arial"/>
                <w:b/>
                <w:bCs/>
                <w:color w:val="808000"/>
                <w:kern w:val="0"/>
                <w:sz w:val="24"/>
                <w:szCs w:val="24"/>
                <w:lang w:eastAsia="pt-BR"/>
                <w14:ligatures w14:val="none"/>
              </w:rPr>
              <w:t>Subchefia para Assuntos Jurídicos</w:t>
            </w:r>
          </w:p>
        </w:tc>
      </w:tr>
    </w:tbl>
    <w:p w14:paraId="25D2E20F"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AD22D8">
          <w:rPr>
            <w:rFonts w:ascii="Arial" w:eastAsia="Times New Roman" w:hAnsi="Arial" w:cs="Arial"/>
            <w:b/>
            <w:bCs/>
            <w:color w:val="000080"/>
            <w:kern w:val="0"/>
            <w:sz w:val="24"/>
            <w:szCs w:val="24"/>
            <w:lang w:eastAsia="pt-BR"/>
            <w14:ligatures w14:val="none"/>
          </w:rPr>
          <w:t>LEI Nº 8.953, DE 13 DE DEZEMBRO DE 1994.</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AD22D8" w:rsidRPr="00AD22D8" w14:paraId="433372EA" w14:textId="77777777" w:rsidTr="00AD22D8">
        <w:trPr>
          <w:tblCellSpacing w:w="0" w:type="dxa"/>
        </w:trPr>
        <w:tc>
          <w:tcPr>
            <w:tcW w:w="2600" w:type="pct"/>
            <w:vAlign w:val="center"/>
            <w:hideMark/>
          </w:tcPr>
          <w:p w14:paraId="2637147F" w14:textId="77777777" w:rsidR="00AD22D8" w:rsidRPr="00AD22D8" w:rsidRDefault="00AD22D8" w:rsidP="00AD22D8">
            <w:pPr>
              <w:spacing w:after="0" w:line="240" w:lineRule="auto"/>
              <w:rPr>
                <w:rFonts w:ascii="Times New Roman" w:eastAsia="Times New Roman" w:hAnsi="Times New Roman" w:cs="Times New Roman"/>
                <w:color w:val="000000"/>
                <w:kern w:val="0"/>
                <w:sz w:val="27"/>
                <w:szCs w:val="27"/>
                <w:lang w:eastAsia="pt-BR"/>
                <w14:ligatures w14:val="none"/>
              </w:rPr>
            </w:pPr>
          </w:p>
        </w:tc>
        <w:tc>
          <w:tcPr>
            <w:tcW w:w="2400" w:type="pct"/>
            <w:vAlign w:val="center"/>
            <w:hideMark/>
          </w:tcPr>
          <w:p w14:paraId="2A1A04B6"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AD22D8">
              <w:rPr>
                <w:rFonts w:ascii="Arial" w:eastAsia="Times New Roman" w:hAnsi="Arial" w:cs="Arial"/>
                <w:color w:val="800000"/>
                <w:kern w:val="0"/>
                <w:sz w:val="20"/>
                <w:szCs w:val="20"/>
                <w:lang w:eastAsia="pt-BR"/>
                <w14:ligatures w14:val="none"/>
              </w:rPr>
              <w:t>Altera dispositivos do Código de Processo Civil relativos ao processo de execução.</w:t>
            </w:r>
          </w:p>
        </w:tc>
      </w:tr>
    </w:tbl>
    <w:p w14:paraId="27CC48B6"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Times New Roman" w:eastAsia="Times New Roman" w:hAnsi="Times New Roman" w:cs="Times New Roman"/>
          <w:b/>
          <w:bCs/>
          <w:color w:val="000000"/>
          <w:kern w:val="0"/>
          <w:sz w:val="20"/>
          <w:szCs w:val="20"/>
          <w:lang w:eastAsia="pt-BR"/>
          <w14:ligatures w14:val="none"/>
        </w:rPr>
        <w:t>       </w:t>
      </w:r>
      <w:r w:rsidRPr="00AD22D8">
        <w:rPr>
          <w:rFonts w:ascii="Arial" w:eastAsia="Times New Roman" w:hAnsi="Arial" w:cs="Arial"/>
          <w:b/>
          <w:bCs/>
          <w:color w:val="000000"/>
          <w:kern w:val="0"/>
          <w:sz w:val="20"/>
          <w:szCs w:val="20"/>
          <w:lang w:eastAsia="pt-BR"/>
          <w14:ligatures w14:val="none"/>
        </w:rPr>
        <w:t xml:space="preserve">   O PRESIDENTE DA CÂMARA DOS </w:t>
      </w:r>
      <w:proofErr w:type="gramStart"/>
      <w:r w:rsidRPr="00AD22D8">
        <w:rPr>
          <w:rFonts w:ascii="Arial" w:eastAsia="Times New Roman" w:hAnsi="Arial" w:cs="Arial"/>
          <w:b/>
          <w:bCs/>
          <w:color w:val="000000"/>
          <w:kern w:val="0"/>
          <w:sz w:val="20"/>
          <w:szCs w:val="20"/>
          <w:lang w:eastAsia="pt-BR"/>
          <w14:ligatures w14:val="none"/>
        </w:rPr>
        <w:t>DEPUTADOS</w:t>
      </w:r>
      <w:r w:rsidRPr="00AD22D8">
        <w:rPr>
          <w:rFonts w:ascii="Arial" w:eastAsia="Times New Roman" w:hAnsi="Arial" w:cs="Arial"/>
          <w:color w:val="000000"/>
          <w:kern w:val="0"/>
          <w:sz w:val="20"/>
          <w:szCs w:val="20"/>
          <w:lang w:eastAsia="pt-BR"/>
          <w14:ligatures w14:val="none"/>
        </w:rPr>
        <w:t> ,</w:t>
      </w:r>
      <w:proofErr w:type="gramEnd"/>
      <w:r w:rsidRPr="00AD22D8">
        <w:rPr>
          <w:rFonts w:ascii="Arial" w:eastAsia="Times New Roman" w:hAnsi="Arial" w:cs="Arial"/>
          <w:color w:val="000000"/>
          <w:kern w:val="0"/>
          <w:sz w:val="20"/>
          <w:szCs w:val="20"/>
          <w:lang w:eastAsia="pt-BR"/>
          <w14:ligatures w14:val="none"/>
        </w:rPr>
        <w:t xml:space="preserve"> no exercício do cargo de </w:t>
      </w:r>
      <w:r w:rsidRPr="00AD22D8">
        <w:rPr>
          <w:rFonts w:ascii="Arial" w:eastAsia="Times New Roman" w:hAnsi="Arial" w:cs="Arial"/>
          <w:b/>
          <w:bCs/>
          <w:color w:val="000000"/>
          <w:kern w:val="0"/>
          <w:sz w:val="20"/>
          <w:szCs w:val="20"/>
          <w:lang w:eastAsia="pt-BR"/>
          <w14:ligatures w14:val="none"/>
        </w:rPr>
        <w:t>PRESIDENTE DA REPÚBLICA</w:t>
      </w:r>
      <w:r w:rsidRPr="00AD22D8">
        <w:rPr>
          <w:rFonts w:ascii="Arial" w:eastAsia="Times New Roman" w:hAnsi="Arial" w:cs="Arial"/>
          <w:color w:val="000000"/>
          <w:kern w:val="0"/>
          <w:sz w:val="20"/>
          <w:szCs w:val="20"/>
          <w:lang w:eastAsia="pt-BR"/>
          <w14:ligatures w14:val="none"/>
        </w:rPr>
        <w:t> Faço saber que o Congresso Nacional decreta e eu sanciono a seguinte lei:</w:t>
      </w:r>
    </w:p>
    <w:p w14:paraId="630E2F74"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bookmarkStart w:id="0" w:name="art1"/>
      <w:bookmarkEnd w:id="0"/>
      <w:r w:rsidRPr="00AD22D8">
        <w:rPr>
          <w:rFonts w:ascii="Arial" w:eastAsia="Times New Roman" w:hAnsi="Arial" w:cs="Arial"/>
          <w:color w:val="000000"/>
          <w:kern w:val="0"/>
          <w:sz w:val="20"/>
          <w:szCs w:val="20"/>
          <w:lang w:eastAsia="pt-BR"/>
          <w14:ligatures w14:val="none"/>
        </w:rPr>
        <w:t>Art. 1º Os dispositivos a seguir enumerados, da Lei nº 5.869, de 11 de janeiro de 1973 - Código de Processo Civil, passam a vigorar com a seguinte redação:</w:t>
      </w:r>
    </w:p>
    <w:p w14:paraId="323F5DF7" w14:textId="77777777" w:rsidR="00AD22D8" w:rsidRPr="00AD22D8" w:rsidRDefault="00AD22D8" w:rsidP="00AD22D8">
      <w:pPr>
        <w:spacing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569. ..................................................... .....................................</w:t>
      </w:r>
    </w:p>
    <w:p w14:paraId="4404AAF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5" w:anchor="art569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Na desistência da execução, observar-se-á o seguinte:</w:t>
      </w:r>
    </w:p>
    <w:p w14:paraId="02209916"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6" w:anchor="art569pa" w:history="1">
        <w:r w:rsidRPr="00AD22D8">
          <w:rPr>
            <w:rFonts w:ascii="Arial" w:eastAsia="Times New Roman" w:hAnsi="Arial" w:cs="Arial"/>
            <w:color w:val="0000FF"/>
            <w:kern w:val="0"/>
            <w:sz w:val="20"/>
            <w:szCs w:val="20"/>
            <w:u w:val="single"/>
            <w:lang w:eastAsia="pt-BR"/>
            <w14:ligatures w14:val="none"/>
          </w:rPr>
          <w:t>a)</w:t>
        </w:r>
      </w:hyperlink>
      <w:r w:rsidRPr="00AD22D8">
        <w:rPr>
          <w:rFonts w:ascii="Arial" w:eastAsia="Times New Roman" w:hAnsi="Arial" w:cs="Arial"/>
          <w:color w:val="000000"/>
          <w:kern w:val="0"/>
          <w:sz w:val="20"/>
          <w:szCs w:val="20"/>
          <w:lang w:eastAsia="pt-BR"/>
          <w14:ligatures w14:val="none"/>
        </w:rPr>
        <w:t> serão extintos os embargos que versarem apenas sobre questões processuais, pagando o credor as custas e os honorários advocatícios;</w:t>
      </w:r>
    </w:p>
    <w:p w14:paraId="379D870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7" w:anchor="art569pb" w:history="1">
        <w:r w:rsidRPr="00AD22D8">
          <w:rPr>
            <w:rFonts w:ascii="Arial" w:eastAsia="Times New Roman" w:hAnsi="Arial" w:cs="Arial"/>
            <w:color w:val="0000FF"/>
            <w:kern w:val="0"/>
            <w:sz w:val="20"/>
            <w:szCs w:val="20"/>
            <w:u w:val="single"/>
            <w:lang w:eastAsia="pt-BR"/>
            <w14:ligatures w14:val="none"/>
          </w:rPr>
          <w:t>b)</w:t>
        </w:r>
      </w:hyperlink>
      <w:r w:rsidRPr="00AD22D8">
        <w:rPr>
          <w:rFonts w:ascii="Arial" w:eastAsia="Times New Roman" w:hAnsi="Arial" w:cs="Arial"/>
          <w:color w:val="000000"/>
          <w:kern w:val="0"/>
          <w:sz w:val="20"/>
          <w:szCs w:val="20"/>
          <w:lang w:eastAsia="pt-BR"/>
          <w14:ligatures w14:val="none"/>
        </w:rPr>
        <w:t> nos demais casos, a extinção dependerá da concordância do embargante.</w:t>
      </w:r>
    </w:p>
    <w:p w14:paraId="3153086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w:t>
      </w:r>
    </w:p>
    <w:p w14:paraId="5976C3A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584. ............................................................ .....................................</w:t>
      </w:r>
    </w:p>
    <w:p w14:paraId="3C3D45F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15B1320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8" w:anchor="art584iii" w:history="1">
        <w:r w:rsidRPr="00AD22D8">
          <w:rPr>
            <w:rFonts w:ascii="Arial" w:eastAsia="Times New Roman" w:hAnsi="Arial" w:cs="Arial"/>
            <w:color w:val="0000FF"/>
            <w:kern w:val="0"/>
            <w:sz w:val="20"/>
            <w:szCs w:val="20"/>
            <w:u w:val="single"/>
            <w:lang w:eastAsia="pt-BR"/>
            <w14:ligatures w14:val="none"/>
          </w:rPr>
          <w:t>III -</w:t>
        </w:r>
      </w:hyperlink>
      <w:r w:rsidRPr="00AD22D8">
        <w:rPr>
          <w:rFonts w:ascii="Arial" w:eastAsia="Times New Roman" w:hAnsi="Arial" w:cs="Arial"/>
          <w:color w:val="000000"/>
          <w:kern w:val="0"/>
          <w:sz w:val="20"/>
          <w:szCs w:val="20"/>
          <w:lang w:eastAsia="pt-BR"/>
          <w14:ligatures w14:val="none"/>
        </w:rPr>
        <w:t> a sentença homologatória de laudo arbitral, de conciliação ou de transação, ainda que esta não verse questão posta em juízo;</w:t>
      </w:r>
    </w:p>
    <w:p w14:paraId="49D9EE1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88FF29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585. ............................................................ ........................................</w:t>
      </w:r>
    </w:p>
    <w:p w14:paraId="555AB64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9" w:anchor="art585i." w:history="1">
        <w:r w:rsidRPr="00AD22D8">
          <w:rPr>
            <w:rFonts w:ascii="Arial" w:eastAsia="Times New Roman" w:hAnsi="Arial" w:cs="Arial"/>
            <w:color w:val="0000FF"/>
            <w:kern w:val="0"/>
            <w:sz w:val="20"/>
            <w:szCs w:val="20"/>
            <w:u w:val="single"/>
            <w:lang w:eastAsia="pt-BR"/>
            <w14:ligatures w14:val="none"/>
          </w:rPr>
          <w:t>I -</w:t>
        </w:r>
      </w:hyperlink>
      <w:r w:rsidRPr="00AD22D8">
        <w:rPr>
          <w:rFonts w:ascii="Arial" w:eastAsia="Times New Roman" w:hAnsi="Arial" w:cs="Arial"/>
          <w:color w:val="000000"/>
          <w:kern w:val="0"/>
          <w:sz w:val="20"/>
          <w:szCs w:val="20"/>
          <w:lang w:eastAsia="pt-BR"/>
          <w14:ligatures w14:val="none"/>
        </w:rPr>
        <w:t> a letra de câmbio, a nota promissória, a duplicata, a debênture e o cheque;</w:t>
      </w:r>
    </w:p>
    <w:p w14:paraId="14102581"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0" w:anchor="art585ii." w:history="1">
        <w:r w:rsidRPr="00AD22D8">
          <w:rPr>
            <w:rFonts w:ascii="Arial" w:eastAsia="Times New Roman" w:hAnsi="Arial" w:cs="Arial"/>
            <w:color w:val="0000FF"/>
            <w:kern w:val="0"/>
            <w:sz w:val="20"/>
            <w:szCs w:val="20"/>
            <w:u w:val="single"/>
            <w:lang w:eastAsia="pt-BR"/>
            <w14:ligatures w14:val="none"/>
          </w:rPr>
          <w:t>II -</w:t>
        </w:r>
      </w:hyperlink>
      <w:r w:rsidRPr="00AD22D8">
        <w:rPr>
          <w:rFonts w:ascii="Arial" w:eastAsia="Times New Roman" w:hAnsi="Arial" w:cs="Arial"/>
          <w:color w:val="000000"/>
          <w:kern w:val="0"/>
          <w:sz w:val="20"/>
          <w:szCs w:val="20"/>
          <w:lang w:eastAsia="pt-BR"/>
          <w14:ligatures w14:val="none"/>
        </w:rPr>
        <w:t> a escritura pública ou outro documento público assinado pelo devedor; o documento particular assinado pelo devedor e por duas testemunhas; o instrumento de transação referendado pelo Ministério Público, pela Defensoria Pública ou pelos advogados dos transatores;</w:t>
      </w:r>
    </w:p>
    <w:p w14:paraId="4A7B799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7DF36FE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1" w:anchor="art585%C2%A71." w:history="1">
        <w:r w:rsidRPr="00AD22D8">
          <w:rPr>
            <w:rFonts w:ascii="Arial" w:eastAsia="Times New Roman" w:hAnsi="Arial" w:cs="Arial"/>
            <w:color w:val="0000FF"/>
            <w:kern w:val="0"/>
            <w:sz w:val="20"/>
            <w:szCs w:val="20"/>
            <w:u w:val="single"/>
            <w:lang w:eastAsia="pt-BR"/>
            <w14:ligatures w14:val="none"/>
          </w:rPr>
          <w:t>1º</w:t>
        </w:r>
      </w:hyperlink>
      <w:r w:rsidRPr="00AD22D8">
        <w:rPr>
          <w:rFonts w:ascii="Arial" w:eastAsia="Times New Roman" w:hAnsi="Arial" w:cs="Arial"/>
          <w:color w:val="000000"/>
          <w:kern w:val="0"/>
          <w:sz w:val="20"/>
          <w:szCs w:val="20"/>
          <w:lang w:eastAsia="pt-BR"/>
          <w14:ligatures w14:val="none"/>
        </w:rPr>
        <w:t> A propositura de qualquer ação relativa ao débito constante do título executivo não inibe o credor de promover-lhe a execução.</w:t>
      </w:r>
    </w:p>
    <w:p w14:paraId="7F184AD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61FC82E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2" w:anchor="art601." w:history="1">
        <w:r w:rsidRPr="00AD22D8">
          <w:rPr>
            <w:rFonts w:ascii="Arial" w:eastAsia="Times New Roman" w:hAnsi="Arial" w:cs="Arial"/>
            <w:color w:val="0000FF"/>
            <w:kern w:val="0"/>
            <w:sz w:val="20"/>
            <w:szCs w:val="20"/>
            <w:u w:val="single"/>
            <w:lang w:eastAsia="pt-BR"/>
            <w14:ligatures w14:val="none"/>
          </w:rPr>
          <w:t>Art. 601.</w:t>
        </w:r>
      </w:hyperlink>
      <w:r w:rsidRPr="00AD22D8">
        <w:rPr>
          <w:rFonts w:ascii="Arial" w:eastAsia="Times New Roman" w:hAnsi="Arial" w:cs="Arial"/>
          <w:color w:val="000000"/>
          <w:kern w:val="0"/>
          <w:sz w:val="20"/>
          <w:szCs w:val="20"/>
          <w:lang w:eastAsia="pt-BR"/>
          <w14:ligatures w14:val="none"/>
        </w:rPr>
        <w:t> Nos casos previstos no artigo anterior, o devedor incidirá em multa fixada pelo juiz, em montante não superior a vinte por cento do valor atualizado do débito em execução, sem prejuízo de outras sanções de natureza processual ou material, multa essa que reverterá em proveito do credor, exigível na própria execução.</w:t>
      </w:r>
    </w:p>
    <w:p w14:paraId="2F36E5E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681ED72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614. ................................................................... .........................................</w:t>
      </w:r>
    </w:p>
    <w:p w14:paraId="02303C1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0F7E5185"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3" w:anchor="art614ii" w:history="1">
        <w:r w:rsidRPr="00AD22D8">
          <w:rPr>
            <w:rFonts w:ascii="Arial" w:eastAsia="Times New Roman" w:hAnsi="Arial" w:cs="Arial"/>
            <w:color w:val="0000FF"/>
            <w:kern w:val="0"/>
            <w:sz w:val="20"/>
            <w:szCs w:val="20"/>
            <w:u w:val="single"/>
            <w:lang w:eastAsia="pt-BR"/>
            <w14:ligatures w14:val="none"/>
          </w:rPr>
          <w:t>II -</w:t>
        </w:r>
      </w:hyperlink>
      <w:r w:rsidRPr="00AD22D8">
        <w:rPr>
          <w:rFonts w:ascii="Arial" w:eastAsia="Times New Roman" w:hAnsi="Arial" w:cs="Arial"/>
          <w:color w:val="000000"/>
          <w:kern w:val="0"/>
          <w:sz w:val="20"/>
          <w:szCs w:val="20"/>
          <w:lang w:eastAsia="pt-BR"/>
          <w14:ligatures w14:val="none"/>
        </w:rPr>
        <w:t> com o demonstrativo do débito atualizado até a data da propositura da ação, quando se tratar de execução por quantia certa;</w:t>
      </w:r>
    </w:p>
    <w:p w14:paraId="7C0A04E7"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4" w:anchor="art614iii" w:history="1">
        <w:r w:rsidRPr="00AD22D8">
          <w:rPr>
            <w:rFonts w:ascii="Arial" w:eastAsia="Times New Roman" w:hAnsi="Arial" w:cs="Arial"/>
            <w:color w:val="0000FF"/>
            <w:kern w:val="0"/>
            <w:sz w:val="20"/>
            <w:szCs w:val="20"/>
            <w:u w:val="single"/>
            <w:lang w:eastAsia="pt-BR"/>
            <w14:ligatures w14:val="none"/>
          </w:rPr>
          <w:t>III -</w:t>
        </w:r>
      </w:hyperlink>
      <w:r w:rsidRPr="00AD22D8">
        <w:rPr>
          <w:rFonts w:ascii="Arial" w:eastAsia="Times New Roman" w:hAnsi="Arial" w:cs="Arial"/>
          <w:color w:val="000000"/>
          <w:kern w:val="0"/>
          <w:sz w:val="20"/>
          <w:szCs w:val="20"/>
          <w:lang w:eastAsia="pt-BR"/>
          <w14:ligatures w14:val="none"/>
        </w:rPr>
        <w:t> com a prova de que se verificou a condição, ou ocorreu o termo (art. 572).</w:t>
      </w:r>
    </w:p>
    <w:p w14:paraId="276AFB7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E3EE81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5" w:anchor="art621" w:history="1">
        <w:r w:rsidRPr="00AD22D8">
          <w:rPr>
            <w:rFonts w:ascii="Arial" w:eastAsia="Times New Roman" w:hAnsi="Arial" w:cs="Arial"/>
            <w:color w:val="0000FF"/>
            <w:kern w:val="0"/>
            <w:sz w:val="20"/>
            <w:szCs w:val="20"/>
            <w:u w:val="single"/>
            <w:lang w:eastAsia="pt-BR"/>
            <w14:ligatures w14:val="none"/>
          </w:rPr>
          <w:t>Art. 621.</w:t>
        </w:r>
      </w:hyperlink>
      <w:r w:rsidRPr="00AD22D8">
        <w:rPr>
          <w:rFonts w:ascii="Arial" w:eastAsia="Times New Roman" w:hAnsi="Arial" w:cs="Arial"/>
          <w:color w:val="000000"/>
          <w:kern w:val="0"/>
          <w:sz w:val="20"/>
          <w:szCs w:val="20"/>
          <w:lang w:eastAsia="pt-BR"/>
          <w14:ligatures w14:val="none"/>
        </w:rPr>
        <w:t> O devedor de obrigação de entrega de coisa certa, constante de título executivo, será citado para, dentro de dez dias, satisfazer a obrigação, ou, seguro o juízo (art. 737, II), apresentar embargos.</w:t>
      </w:r>
    </w:p>
    <w:p w14:paraId="5E599F1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2F399ADD"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6" w:anchor="art623." w:history="1">
        <w:r w:rsidRPr="00AD22D8">
          <w:rPr>
            <w:rFonts w:ascii="Arial" w:eastAsia="Times New Roman" w:hAnsi="Arial" w:cs="Arial"/>
            <w:color w:val="0000FF"/>
            <w:kern w:val="0"/>
            <w:sz w:val="20"/>
            <w:szCs w:val="20"/>
            <w:u w:val="single"/>
            <w:lang w:eastAsia="pt-BR"/>
            <w14:ligatures w14:val="none"/>
          </w:rPr>
          <w:t>Art. 623.</w:t>
        </w:r>
      </w:hyperlink>
      <w:r w:rsidRPr="00AD22D8">
        <w:rPr>
          <w:rFonts w:ascii="Arial" w:eastAsia="Times New Roman" w:hAnsi="Arial" w:cs="Arial"/>
          <w:color w:val="000000"/>
          <w:kern w:val="0"/>
          <w:sz w:val="20"/>
          <w:szCs w:val="20"/>
          <w:lang w:eastAsia="pt-BR"/>
          <w14:ligatures w14:val="none"/>
        </w:rPr>
        <w:t xml:space="preserve"> Depositada a coisa, o </w:t>
      </w:r>
      <w:proofErr w:type="spellStart"/>
      <w:r w:rsidRPr="00AD22D8">
        <w:rPr>
          <w:rFonts w:ascii="Arial" w:eastAsia="Times New Roman" w:hAnsi="Arial" w:cs="Arial"/>
          <w:color w:val="000000"/>
          <w:kern w:val="0"/>
          <w:sz w:val="20"/>
          <w:szCs w:val="20"/>
          <w:lang w:eastAsia="pt-BR"/>
          <w14:ligatures w14:val="none"/>
        </w:rPr>
        <w:t>exeqüente</w:t>
      </w:r>
      <w:proofErr w:type="spellEnd"/>
      <w:r w:rsidRPr="00AD22D8">
        <w:rPr>
          <w:rFonts w:ascii="Arial" w:eastAsia="Times New Roman" w:hAnsi="Arial" w:cs="Arial"/>
          <w:color w:val="000000"/>
          <w:kern w:val="0"/>
          <w:sz w:val="20"/>
          <w:szCs w:val="20"/>
          <w:lang w:eastAsia="pt-BR"/>
          <w14:ligatures w14:val="none"/>
        </w:rPr>
        <w:t xml:space="preserve"> não poderá levantá-la antes do julgamento dos embargos.</w:t>
      </w:r>
    </w:p>
    <w:p w14:paraId="4FF6D1C6"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ADA6954"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7" w:anchor="art632" w:history="1">
        <w:r w:rsidRPr="00AD22D8">
          <w:rPr>
            <w:rFonts w:ascii="Arial" w:eastAsia="Times New Roman" w:hAnsi="Arial" w:cs="Arial"/>
            <w:color w:val="0000FF"/>
            <w:kern w:val="0"/>
            <w:sz w:val="20"/>
            <w:szCs w:val="20"/>
            <w:u w:val="single"/>
            <w:lang w:eastAsia="pt-BR"/>
            <w14:ligatures w14:val="none"/>
          </w:rPr>
          <w:t>Art. 632.</w:t>
        </w:r>
      </w:hyperlink>
      <w:r w:rsidRPr="00AD22D8">
        <w:rPr>
          <w:rFonts w:ascii="Arial" w:eastAsia="Times New Roman" w:hAnsi="Arial" w:cs="Arial"/>
          <w:color w:val="000000"/>
          <w:kern w:val="0"/>
          <w:sz w:val="20"/>
          <w:szCs w:val="20"/>
          <w:lang w:eastAsia="pt-BR"/>
          <w14:ligatures w14:val="none"/>
        </w:rPr>
        <w:t> Quando o objeto da execução for obrigação de fazer, o devedor será citado para satisfazê-la no prazo que o juiz lhe assinar, se outro não estiver determinado no título executivo.</w:t>
      </w:r>
    </w:p>
    <w:p w14:paraId="3807918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1566FC54"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8" w:anchor="art644" w:history="1">
        <w:r w:rsidRPr="00AD22D8">
          <w:rPr>
            <w:rFonts w:ascii="Arial" w:eastAsia="Times New Roman" w:hAnsi="Arial" w:cs="Arial"/>
            <w:color w:val="0000FF"/>
            <w:kern w:val="0"/>
            <w:sz w:val="20"/>
            <w:szCs w:val="20"/>
            <w:u w:val="single"/>
            <w:lang w:eastAsia="pt-BR"/>
            <w14:ligatures w14:val="none"/>
          </w:rPr>
          <w:t>Art. 644.</w:t>
        </w:r>
      </w:hyperlink>
      <w:r w:rsidRPr="00AD22D8">
        <w:rPr>
          <w:rFonts w:ascii="Arial" w:eastAsia="Times New Roman" w:hAnsi="Arial" w:cs="Arial"/>
          <w:color w:val="000000"/>
          <w:kern w:val="0"/>
          <w:sz w:val="20"/>
          <w:szCs w:val="20"/>
          <w:lang w:eastAsia="pt-BR"/>
          <w14:ligatures w14:val="none"/>
        </w:rPr>
        <w:t> Na execução em que o credor pedir o cumprimento de obrigação de fazer ou não fazer, determinada em título judicial, o juiz, se omissa a sentença, fixará multa por dia de atraso e a data a partir da qual ela será devida.</w:t>
      </w:r>
    </w:p>
    <w:p w14:paraId="2AEAE7E7"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19" w:anchor="art644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O valor da multa poderá ser modificado pelo juiz da execução, verificado que se tornou insuficiente ou excessivo.</w:t>
      </w:r>
    </w:p>
    <w:p w14:paraId="10CF440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20" w:anchor="art645" w:history="1">
        <w:r w:rsidRPr="00AD22D8">
          <w:rPr>
            <w:rFonts w:ascii="Arial" w:eastAsia="Times New Roman" w:hAnsi="Arial" w:cs="Arial"/>
            <w:color w:val="0000FF"/>
            <w:kern w:val="0"/>
            <w:sz w:val="20"/>
            <w:szCs w:val="20"/>
            <w:u w:val="single"/>
            <w:lang w:eastAsia="pt-BR"/>
            <w14:ligatures w14:val="none"/>
          </w:rPr>
          <w:t>Art. 645.</w:t>
        </w:r>
      </w:hyperlink>
      <w:r w:rsidRPr="00AD22D8">
        <w:rPr>
          <w:rFonts w:ascii="Arial" w:eastAsia="Times New Roman" w:hAnsi="Arial" w:cs="Arial"/>
          <w:color w:val="000000"/>
          <w:kern w:val="0"/>
          <w:sz w:val="20"/>
          <w:szCs w:val="20"/>
          <w:lang w:eastAsia="pt-BR"/>
          <w14:ligatures w14:val="none"/>
        </w:rPr>
        <w:t> Na execução de obrigação de fazer ou não fazer, fundada em título extrajudicial, o juiz, ao despachar a inicial, fixará multa por dia de atraso no cumprimento da obrigação e a data a partir da qual será devida.</w:t>
      </w:r>
    </w:p>
    <w:p w14:paraId="7A71F32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1" w:anchor="art645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Se o valor da multa estiver previsto no título, o juiz poderá reduzi-lo, se excessivo.</w:t>
      </w:r>
    </w:p>
    <w:p w14:paraId="008ABA07"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650F4654"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655. ........................................................... ........................................</w:t>
      </w:r>
    </w:p>
    <w:p w14:paraId="1609EFA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1º ............................................................... ...............................................</w:t>
      </w:r>
    </w:p>
    <w:p w14:paraId="163C285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1CE3AA4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2" w:anchor="art655%C2%A71v" w:history="1">
        <w:r w:rsidRPr="00AD22D8">
          <w:rPr>
            <w:rFonts w:ascii="Arial" w:eastAsia="Times New Roman" w:hAnsi="Arial" w:cs="Arial"/>
            <w:color w:val="0000FF"/>
            <w:kern w:val="0"/>
            <w:sz w:val="20"/>
            <w:szCs w:val="20"/>
            <w:u w:val="single"/>
            <w:lang w:eastAsia="pt-BR"/>
            <w14:ligatures w14:val="none"/>
          </w:rPr>
          <w:t>V -</w:t>
        </w:r>
      </w:hyperlink>
      <w:r w:rsidRPr="00AD22D8">
        <w:rPr>
          <w:rFonts w:ascii="Arial" w:eastAsia="Times New Roman" w:hAnsi="Arial" w:cs="Arial"/>
          <w:color w:val="000000"/>
          <w:kern w:val="0"/>
          <w:sz w:val="20"/>
          <w:szCs w:val="20"/>
          <w:lang w:eastAsia="pt-BR"/>
          <w14:ligatures w14:val="none"/>
        </w:rPr>
        <w:t> atribuir valor aos bens nomeados à penhora.</w:t>
      </w:r>
    </w:p>
    <w:p w14:paraId="6508537C"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0B77B941"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659. .............................................................. ........................................</w:t>
      </w:r>
    </w:p>
    <w:p w14:paraId="0B0ABA1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35920F8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3" w:anchor="art659%C2%A74" w:history="1">
        <w:r w:rsidRPr="00AD22D8">
          <w:rPr>
            <w:rFonts w:ascii="Arial" w:eastAsia="Times New Roman" w:hAnsi="Arial" w:cs="Arial"/>
            <w:color w:val="0000FF"/>
            <w:kern w:val="0"/>
            <w:sz w:val="20"/>
            <w:szCs w:val="20"/>
            <w:u w:val="single"/>
            <w:lang w:eastAsia="pt-BR"/>
            <w14:ligatures w14:val="none"/>
          </w:rPr>
          <w:t>4º</w:t>
        </w:r>
      </w:hyperlink>
      <w:r w:rsidRPr="00AD22D8">
        <w:rPr>
          <w:rFonts w:ascii="Arial" w:eastAsia="Times New Roman" w:hAnsi="Arial" w:cs="Arial"/>
          <w:color w:val="000000"/>
          <w:kern w:val="0"/>
          <w:sz w:val="20"/>
          <w:szCs w:val="20"/>
          <w:lang w:eastAsia="pt-BR"/>
          <w14:ligatures w14:val="none"/>
        </w:rPr>
        <w:t> A penhora de bens imóveis realizar-se-á mediante auto ou termo de penhora, e inscrição no respectivo registro.</w:t>
      </w:r>
    </w:p>
    <w:p w14:paraId="3F6960BD"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8B1183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4" w:anchor="art669" w:history="1">
        <w:r w:rsidRPr="00AD22D8">
          <w:rPr>
            <w:rFonts w:ascii="Arial" w:eastAsia="Times New Roman" w:hAnsi="Arial" w:cs="Arial"/>
            <w:color w:val="0000FF"/>
            <w:kern w:val="0"/>
            <w:sz w:val="20"/>
            <w:szCs w:val="20"/>
            <w:u w:val="single"/>
            <w:lang w:eastAsia="pt-BR"/>
            <w14:ligatures w14:val="none"/>
          </w:rPr>
          <w:t>Art. 669.</w:t>
        </w:r>
      </w:hyperlink>
      <w:r w:rsidRPr="00AD22D8">
        <w:rPr>
          <w:rFonts w:ascii="Arial" w:eastAsia="Times New Roman" w:hAnsi="Arial" w:cs="Arial"/>
          <w:color w:val="000000"/>
          <w:kern w:val="0"/>
          <w:sz w:val="20"/>
          <w:szCs w:val="20"/>
          <w:lang w:eastAsia="pt-BR"/>
          <w14:ligatures w14:val="none"/>
        </w:rPr>
        <w:t> Feita a penhora, intimar-se-á o devedor para embargar a execução no prazo de dez dias.</w:t>
      </w:r>
    </w:p>
    <w:p w14:paraId="4CF9C7FF"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5" w:anchor="art669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Recaindo a penhora em bens imóveis, será intimado também o cônjuge do devedor.</w:t>
      </w:r>
    </w:p>
    <w:p w14:paraId="257A645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636759B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26" w:anchor="art680" w:history="1">
        <w:r w:rsidRPr="00AD22D8">
          <w:rPr>
            <w:rFonts w:ascii="Arial" w:eastAsia="Times New Roman" w:hAnsi="Arial" w:cs="Arial"/>
            <w:color w:val="0000FF"/>
            <w:kern w:val="0"/>
            <w:sz w:val="20"/>
            <w:szCs w:val="20"/>
            <w:u w:val="single"/>
            <w:lang w:eastAsia="pt-BR"/>
            <w14:ligatures w14:val="none"/>
          </w:rPr>
          <w:t>Art. 680.</w:t>
        </w:r>
      </w:hyperlink>
      <w:r w:rsidRPr="00AD22D8">
        <w:rPr>
          <w:rFonts w:ascii="Arial" w:eastAsia="Times New Roman" w:hAnsi="Arial" w:cs="Arial"/>
          <w:color w:val="000000"/>
          <w:kern w:val="0"/>
          <w:sz w:val="20"/>
          <w:szCs w:val="20"/>
          <w:lang w:eastAsia="pt-BR"/>
          <w14:ligatures w14:val="none"/>
        </w:rPr>
        <w:t> Prosseguindo a execução, e não configurada qualquer das hipóteses do art. 684, o juiz nomeará perito para estimar os bens penhorados, se não houver, na comarca, avaliador oficial, ressalvada a existência de avaliação anterior (art. 655, § 1º, V).</w:t>
      </w:r>
    </w:p>
    <w:p w14:paraId="0EEA40C4"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BC34CE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683. .................................................................. ........................................</w:t>
      </w:r>
    </w:p>
    <w:p w14:paraId="1E6A58D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70DF13E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7" w:anchor="art683iii" w:history="1">
        <w:r w:rsidRPr="00AD22D8">
          <w:rPr>
            <w:rFonts w:ascii="Arial" w:eastAsia="Times New Roman" w:hAnsi="Arial" w:cs="Arial"/>
            <w:color w:val="0000FF"/>
            <w:kern w:val="0"/>
            <w:sz w:val="20"/>
            <w:szCs w:val="20"/>
            <w:u w:val="single"/>
            <w:lang w:eastAsia="pt-BR"/>
            <w14:ligatures w14:val="none"/>
          </w:rPr>
          <w:t>III -</w:t>
        </w:r>
      </w:hyperlink>
      <w:r w:rsidRPr="00AD22D8">
        <w:rPr>
          <w:rFonts w:ascii="Arial" w:eastAsia="Times New Roman" w:hAnsi="Arial" w:cs="Arial"/>
          <w:color w:val="000000"/>
          <w:kern w:val="0"/>
          <w:sz w:val="20"/>
          <w:szCs w:val="20"/>
          <w:lang w:eastAsia="pt-BR"/>
          <w14:ligatures w14:val="none"/>
        </w:rPr>
        <w:t> houver fundada dúvida sobre o valor atribuído ao bem (art. 655, § 1º, V).</w:t>
      </w:r>
    </w:p>
    <w:p w14:paraId="390BA96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0F6E096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686. ................................................................. ........................................</w:t>
      </w:r>
    </w:p>
    <w:p w14:paraId="0B6C082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A82193C"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8" w:anchor="art686v." w:history="1">
        <w:r w:rsidRPr="00AD22D8">
          <w:rPr>
            <w:rFonts w:ascii="Arial" w:eastAsia="Times New Roman" w:hAnsi="Arial" w:cs="Arial"/>
            <w:color w:val="0000FF"/>
            <w:kern w:val="0"/>
            <w:sz w:val="20"/>
            <w:szCs w:val="20"/>
            <w:u w:val="single"/>
            <w:lang w:eastAsia="pt-BR"/>
            <w14:ligatures w14:val="none"/>
          </w:rPr>
          <w:t>V -</w:t>
        </w:r>
      </w:hyperlink>
      <w:r w:rsidRPr="00AD22D8">
        <w:rPr>
          <w:rFonts w:ascii="Arial" w:eastAsia="Times New Roman" w:hAnsi="Arial" w:cs="Arial"/>
          <w:color w:val="000000"/>
          <w:kern w:val="0"/>
          <w:sz w:val="20"/>
          <w:szCs w:val="20"/>
          <w:lang w:eastAsia="pt-BR"/>
          <w14:ligatures w14:val="none"/>
        </w:rPr>
        <w:t> menção da existência de ônus, recurso ou causa pendente sobre os bens a serem arrematados;</w:t>
      </w:r>
    </w:p>
    <w:p w14:paraId="7C0EF4CD"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29" w:anchor="art686vi." w:history="1">
        <w:r w:rsidRPr="00AD22D8">
          <w:rPr>
            <w:rFonts w:ascii="Arial" w:eastAsia="Times New Roman" w:hAnsi="Arial" w:cs="Arial"/>
            <w:color w:val="0000FF"/>
            <w:kern w:val="0"/>
            <w:sz w:val="20"/>
            <w:szCs w:val="20"/>
            <w:u w:val="single"/>
            <w:lang w:eastAsia="pt-BR"/>
            <w14:ligatures w14:val="none"/>
          </w:rPr>
          <w:t>VI -</w:t>
        </w:r>
      </w:hyperlink>
      <w:r w:rsidRPr="00AD22D8">
        <w:rPr>
          <w:rFonts w:ascii="Arial" w:eastAsia="Times New Roman" w:hAnsi="Arial" w:cs="Arial"/>
          <w:color w:val="000000"/>
          <w:kern w:val="0"/>
          <w:sz w:val="20"/>
          <w:szCs w:val="20"/>
          <w:lang w:eastAsia="pt-BR"/>
          <w14:ligatures w14:val="none"/>
        </w:rPr>
        <w:t> a comunicação de que, se o bem não alcançar lanço superior à importância da avaliação, seguir-se-á, em dia e hora que forem desde logo designados entre os dez e os vinte dias seguintes, a sua alienação pelo maior lanço (art. 692).</w:t>
      </w:r>
    </w:p>
    <w:p w14:paraId="64D24CC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0" w:anchor="art687." w:history="1">
        <w:r w:rsidRPr="00AD22D8">
          <w:rPr>
            <w:rFonts w:ascii="Arial" w:eastAsia="Times New Roman" w:hAnsi="Arial" w:cs="Arial"/>
            <w:color w:val="0000FF"/>
            <w:kern w:val="0"/>
            <w:sz w:val="20"/>
            <w:szCs w:val="20"/>
            <w:u w:val="single"/>
            <w:lang w:eastAsia="pt-BR"/>
            <w14:ligatures w14:val="none"/>
          </w:rPr>
          <w:t>Art. 687.</w:t>
        </w:r>
      </w:hyperlink>
      <w:r w:rsidRPr="00AD22D8">
        <w:rPr>
          <w:rFonts w:ascii="Arial" w:eastAsia="Times New Roman" w:hAnsi="Arial" w:cs="Arial"/>
          <w:color w:val="000000"/>
          <w:kern w:val="0"/>
          <w:sz w:val="20"/>
          <w:szCs w:val="20"/>
          <w:lang w:eastAsia="pt-BR"/>
          <w14:ligatures w14:val="none"/>
        </w:rPr>
        <w:t> O edital será afixado no local do costume e publicado, em resumo, com antecedência mínima de cinco dias, pelo menos uma vez em jornal de ampla circulação local.</w:t>
      </w:r>
    </w:p>
    <w:p w14:paraId="72D8C60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1" w:anchor="art687%C2%A71." w:history="1">
        <w:r w:rsidRPr="00AD22D8">
          <w:rPr>
            <w:rFonts w:ascii="Arial" w:eastAsia="Times New Roman" w:hAnsi="Arial" w:cs="Arial"/>
            <w:color w:val="0000FF"/>
            <w:kern w:val="0"/>
            <w:sz w:val="20"/>
            <w:szCs w:val="20"/>
            <w:u w:val="single"/>
            <w:lang w:eastAsia="pt-BR"/>
            <w14:ligatures w14:val="none"/>
          </w:rPr>
          <w:t>1º </w:t>
        </w:r>
      </w:hyperlink>
      <w:r w:rsidRPr="00AD22D8">
        <w:rPr>
          <w:rFonts w:ascii="Arial" w:eastAsia="Times New Roman" w:hAnsi="Arial" w:cs="Arial"/>
          <w:color w:val="000000"/>
          <w:kern w:val="0"/>
          <w:sz w:val="20"/>
          <w:szCs w:val="20"/>
          <w:lang w:eastAsia="pt-BR"/>
          <w14:ligatures w14:val="none"/>
        </w:rPr>
        <w:t>A publicação do edital será feita no órgão oficial, quando o credor for beneficiário da justiça gratuita.</w:t>
      </w:r>
    </w:p>
    <w:p w14:paraId="013138C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2" w:anchor="art687%C2%A72." w:history="1">
        <w:r w:rsidRPr="00AD22D8">
          <w:rPr>
            <w:rFonts w:ascii="Arial" w:eastAsia="Times New Roman" w:hAnsi="Arial" w:cs="Arial"/>
            <w:color w:val="0000FF"/>
            <w:kern w:val="0"/>
            <w:sz w:val="20"/>
            <w:szCs w:val="20"/>
            <w:u w:val="single"/>
            <w:lang w:eastAsia="pt-BR"/>
            <w14:ligatures w14:val="none"/>
          </w:rPr>
          <w:t>2º</w:t>
        </w:r>
      </w:hyperlink>
      <w:r w:rsidRPr="00AD22D8">
        <w:rPr>
          <w:rFonts w:ascii="Arial" w:eastAsia="Times New Roman" w:hAnsi="Arial" w:cs="Arial"/>
          <w:color w:val="000000"/>
          <w:kern w:val="0"/>
          <w:sz w:val="20"/>
          <w:szCs w:val="20"/>
          <w:lang w:eastAsia="pt-BR"/>
          <w14:ligatures w14:val="none"/>
        </w:rPr>
        <w:t xml:space="preserve"> Atendendo ao valor dos bens e às condições da comarca, o juiz poderá alterar a forma e a </w:t>
      </w:r>
      <w:proofErr w:type="spellStart"/>
      <w:r w:rsidRPr="00AD22D8">
        <w:rPr>
          <w:rFonts w:ascii="Arial" w:eastAsia="Times New Roman" w:hAnsi="Arial" w:cs="Arial"/>
          <w:color w:val="000000"/>
          <w:kern w:val="0"/>
          <w:sz w:val="20"/>
          <w:szCs w:val="20"/>
          <w:lang w:eastAsia="pt-BR"/>
          <w14:ligatures w14:val="none"/>
        </w:rPr>
        <w:t>freqüência</w:t>
      </w:r>
      <w:proofErr w:type="spellEnd"/>
      <w:r w:rsidRPr="00AD22D8">
        <w:rPr>
          <w:rFonts w:ascii="Arial" w:eastAsia="Times New Roman" w:hAnsi="Arial" w:cs="Arial"/>
          <w:color w:val="000000"/>
          <w:kern w:val="0"/>
          <w:sz w:val="20"/>
          <w:szCs w:val="20"/>
          <w:lang w:eastAsia="pt-BR"/>
          <w14:ligatures w14:val="none"/>
        </w:rPr>
        <w:t xml:space="preserve"> da publicidade na imprensa, mandar divulgar avisos em emissora local e adotar outras providências tendentes à mais ampla publicidade da alienação.</w:t>
      </w:r>
    </w:p>
    <w:p w14:paraId="585B320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3" w:anchor="art687%C2%A73." w:history="1">
        <w:r w:rsidRPr="00AD22D8">
          <w:rPr>
            <w:rFonts w:ascii="Arial" w:eastAsia="Times New Roman" w:hAnsi="Arial" w:cs="Arial"/>
            <w:color w:val="0000FF"/>
            <w:kern w:val="0"/>
            <w:sz w:val="20"/>
            <w:szCs w:val="20"/>
            <w:u w:val="single"/>
            <w:lang w:eastAsia="pt-BR"/>
            <w14:ligatures w14:val="none"/>
          </w:rPr>
          <w:t>3º</w:t>
        </w:r>
      </w:hyperlink>
      <w:r w:rsidRPr="00AD22D8">
        <w:rPr>
          <w:rFonts w:ascii="Arial" w:eastAsia="Times New Roman" w:hAnsi="Arial" w:cs="Arial"/>
          <w:color w:val="000000"/>
          <w:kern w:val="0"/>
          <w:sz w:val="20"/>
          <w:szCs w:val="20"/>
          <w:lang w:eastAsia="pt-BR"/>
          <w14:ligatures w14:val="none"/>
        </w:rPr>
        <w:t> Os editais de praça serão divulgados pela imprensa preferencialmente na seção ou local reservado à publicidade de negócios imobiliários.</w:t>
      </w:r>
    </w:p>
    <w:p w14:paraId="3D9B48A8"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4" w:anchor="art687%C2%A74" w:history="1">
        <w:r w:rsidRPr="00AD22D8">
          <w:rPr>
            <w:rFonts w:ascii="Arial" w:eastAsia="Times New Roman" w:hAnsi="Arial" w:cs="Arial"/>
            <w:color w:val="0000FF"/>
            <w:kern w:val="0"/>
            <w:sz w:val="20"/>
            <w:szCs w:val="20"/>
            <w:u w:val="single"/>
            <w:lang w:eastAsia="pt-BR"/>
            <w14:ligatures w14:val="none"/>
          </w:rPr>
          <w:t>4º</w:t>
        </w:r>
      </w:hyperlink>
      <w:r w:rsidRPr="00AD22D8">
        <w:rPr>
          <w:rFonts w:ascii="Arial" w:eastAsia="Times New Roman" w:hAnsi="Arial" w:cs="Arial"/>
          <w:color w:val="000000"/>
          <w:kern w:val="0"/>
          <w:sz w:val="20"/>
          <w:szCs w:val="20"/>
          <w:lang w:eastAsia="pt-BR"/>
          <w14:ligatures w14:val="none"/>
        </w:rPr>
        <w:t> O juiz poderá determinar a reunião de publicações em listas referentes a mais de uma execução.</w:t>
      </w:r>
    </w:p>
    <w:p w14:paraId="093F1B9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5" w:anchor="art687%C2%A75" w:history="1">
        <w:r w:rsidRPr="00AD22D8">
          <w:rPr>
            <w:rFonts w:ascii="Arial" w:eastAsia="Times New Roman" w:hAnsi="Arial" w:cs="Arial"/>
            <w:color w:val="0000FF"/>
            <w:kern w:val="0"/>
            <w:sz w:val="20"/>
            <w:szCs w:val="20"/>
            <w:u w:val="single"/>
            <w:lang w:eastAsia="pt-BR"/>
            <w14:ligatures w14:val="none"/>
          </w:rPr>
          <w:t>5º</w:t>
        </w:r>
      </w:hyperlink>
      <w:r w:rsidRPr="00AD22D8">
        <w:rPr>
          <w:rFonts w:ascii="Arial" w:eastAsia="Times New Roman" w:hAnsi="Arial" w:cs="Arial"/>
          <w:color w:val="000000"/>
          <w:kern w:val="0"/>
          <w:sz w:val="20"/>
          <w:szCs w:val="20"/>
          <w:lang w:eastAsia="pt-BR"/>
          <w14:ligatures w14:val="none"/>
        </w:rPr>
        <w:t> O devedor será intimado pessoalmente, por mandado, ou carta aviso de recepção, ou por outro meio idôneo, do dia, hora e local da alienação judicial.</w:t>
      </w:r>
    </w:p>
    <w:p w14:paraId="551333E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5CBBAF1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6" w:anchor="art692." w:history="1">
        <w:r w:rsidRPr="00AD22D8">
          <w:rPr>
            <w:rFonts w:ascii="Arial" w:eastAsia="Times New Roman" w:hAnsi="Arial" w:cs="Arial"/>
            <w:color w:val="0000FF"/>
            <w:kern w:val="0"/>
            <w:sz w:val="20"/>
            <w:szCs w:val="20"/>
            <w:u w:val="single"/>
            <w:lang w:eastAsia="pt-BR"/>
            <w14:ligatures w14:val="none"/>
          </w:rPr>
          <w:t>Art. 692.</w:t>
        </w:r>
      </w:hyperlink>
      <w:r w:rsidRPr="00AD22D8">
        <w:rPr>
          <w:rFonts w:ascii="Arial" w:eastAsia="Times New Roman" w:hAnsi="Arial" w:cs="Arial"/>
          <w:color w:val="000000"/>
          <w:kern w:val="0"/>
          <w:sz w:val="20"/>
          <w:szCs w:val="20"/>
          <w:lang w:eastAsia="pt-BR"/>
          <w14:ligatures w14:val="none"/>
        </w:rPr>
        <w:t> Não será aceito lanço que, em segunda praça ou leilão, ofereça preço vil.</w:t>
      </w:r>
    </w:p>
    <w:p w14:paraId="2737D9D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7" w:anchor="art692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Será suspensa a arrematação logo que o produto da alienação dos bens bastar para o pagamento do credor.</w:t>
      </w:r>
    </w:p>
    <w:p w14:paraId="24AD15ED"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1F2EF28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8" w:anchor="art738" w:history="1">
        <w:r w:rsidRPr="00AD22D8">
          <w:rPr>
            <w:rFonts w:ascii="Arial" w:eastAsia="Times New Roman" w:hAnsi="Arial" w:cs="Arial"/>
            <w:color w:val="0000FF"/>
            <w:kern w:val="0"/>
            <w:sz w:val="20"/>
            <w:szCs w:val="20"/>
            <w:u w:val="single"/>
            <w:lang w:eastAsia="pt-BR"/>
            <w14:ligatures w14:val="none"/>
          </w:rPr>
          <w:t>Art. 738.</w:t>
        </w:r>
      </w:hyperlink>
      <w:r w:rsidRPr="00AD22D8">
        <w:rPr>
          <w:rFonts w:ascii="Arial" w:eastAsia="Times New Roman" w:hAnsi="Arial" w:cs="Arial"/>
          <w:color w:val="000000"/>
          <w:kern w:val="0"/>
          <w:sz w:val="20"/>
          <w:szCs w:val="20"/>
          <w:lang w:eastAsia="pt-BR"/>
          <w14:ligatures w14:val="none"/>
        </w:rPr>
        <w:t> O devedor oferecerá os embargos no prazo de dez dias, contados:</w:t>
      </w:r>
    </w:p>
    <w:p w14:paraId="6719E45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39" w:anchor="art738i" w:history="1">
        <w:r w:rsidRPr="00AD22D8">
          <w:rPr>
            <w:rFonts w:ascii="Arial" w:eastAsia="Times New Roman" w:hAnsi="Arial" w:cs="Arial"/>
            <w:color w:val="0000FF"/>
            <w:kern w:val="0"/>
            <w:sz w:val="20"/>
            <w:szCs w:val="20"/>
            <w:u w:val="single"/>
            <w:lang w:eastAsia="pt-BR"/>
            <w14:ligatures w14:val="none"/>
          </w:rPr>
          <w:t>I - </w:t>
        </w:r>
      </w:hyperlink>
      <w:r w:rsidRPr="00AD22D8">
        <w:rPr>
          <w:rFonts w:ascii="Arial" w:eastAsia="Times New Roman" w:hAnsi="Arial" w:cs="Arial"/>
          <w:color w:val="000000"/>
          <w:kern w:val="0"/>
          <w:sz w:val="20"/>
          <w:szCs w:val="20"/>
          <w:lang w:eastAsia="pt-BR"/>
          <w14:ligatures w14:val="none"/>
        </w:rPr>
        <w:t>da juntada aos autos da prova da intimação da penhora;</w:t>
      </w:r>
    </w:p>
    <w:p w14:paraId="67593D76"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6597B4A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739. .............................................................. ......................................</w:t>
      </w:r>
    </w:p>
    <w:p w14:paraId="07F95963"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0" w:anchor="art739%C2%A71" w:history="1">
        <w:r w:rsidRPr="00AD22D8">
          <w:rPr>
            <w:rFonts w:ascii="Arial" w:eastAsia="Times New Roman" w:hAnsi="Arial" w:cs="Arial"/>
            <w:color w:val="0000FF"/>
            <w:kern w:val="0"/>
            <w:sz w:val="20"/>
            <w:szCs w:val="20"/>
            <w:u w:val="single"/>
            <w:lang w:eastAsia="pt-BR"/>
            <w14:ligatures w14:val="none"/>
          </w:rPr>
          <w:t>1º</w:t>
        </w:r>
      </w:hyperlink>
      <w:r w:rsidRPr="00AD22D8">
        <w:rPr>
          <w:rFonts w:ascii="Arial" w:eastAsia="Times New Roman" w:hAnsi="Arial" w:cs="Arial"/>
          <w:color w:val="000000"/>
          <w:kern w:val="0"/>
          <w:sz w:val="20"/>
          <w:szCs w:val="20"/>
          <w:lang w:eastAsia="pt-BR"/>
          <w14:ligatures w14:val="none"/>
        </w:rPr>
        <w:t> Os embargos serão sempre recebidos com efeito suspensivo.</w:t>
      </w:r>
    </w:p>
    <w:p w14:paraId="03E6D6B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1" w:anchor="art739%C2%A72" w:history="1">
        <w:r w:rsidRPr="00AD22D8">
          <w:rPr>
            <w:rFonts w:ascii="Arial" w:eastAsia="Times New Roman" w:hAnsi="Arial" w:cs="Arial"/>
            <w:color w:val="0000FF"/>
            <w:kern w:val="0"/>
            <w:sz w:val="20"/>
            <w:szCs w:val="20"/>
            <w:u w:val="single"/>
            <w:lang w:eastAsia="pt-BR"/>
            <w14:ligatures w14:val="none"/>
          </w:rPr>
          <w:t>2º</w:t>
        </w:r>
      </w:hyperlink>
      <w:r w:rsidRPr="00AD22D8">
        <w:rPr>
          <w:rFonts w:ascii="Arial" w:eastAsia="Times New Roman" w:hAnsi="Arial" w:cs="Arial"/>
          <w:color w:val="000000"/>
          <w:kern w:val="0"/>
          <w:sz w:val="20"/>
          <w:szCs w:val="20"/>
          <w:lang w:eastAsia="pt-BR"/>
          <w14:ligatures w14:val="none"/>
        </w:rPr>
        <w:t> Quando os embargos forem parciais, a execução prosseguirá quanto à parte não embargada.</w:t>
      </w:r>
    </w:p>
    <w:p w14:paraId="49C8540B"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2" w:anchor="art739%C2%A73" w:history="1">
        <w:r w:rsidRPr="00AD22D8">
          <w:rPr>
            <w:rFonts w:ascii="Arial" w:eastAsia="Times New Roman" w:hAnsi="Arial" w:cs="Arial"/>
            <w:color w:val="0000FF"/>
            <w:kern w:val="0"/>
            <w:sz w:val="20"/>
            <w:szCs w:val="20"/>
            <w:u w:val="single"/>
            <w:lang w:eastAsia="pt-BR"/>
            <w14:ligatures w14:val="none"/>
          </w:rPr>
          <w:t>3º</w:t>
        </w:r>
      </w:hyperlink>
      <w:r w:rsidRPr="00AD22D8">
        <w:rPr>
          <w:rFonts w:ascii="Arial" w:eastAsia="Times New Roman" w:hAnsi="Arial" w:cs="Arial"/>
          <w:color w:val="000000"/>
          <w:kern w:val="0"/>
          <w:sz w:val="20"/>
          <w:szCs w:val="20"/>
          <w:lang w:eastAsia="pt-BR"/>
          <w14:ligatures w14:val="none"/>
        </w:rPr>
        <w:t> O oferecimento dos embargos por um dos devedores não suspenderá a execução contra os que não embargaram, quando o respectivo fundamento disser respeito exclusivamente ao embargante.</w:t>
      </w:r>
    </w:p>
    <w:p w14:paraId="254D05DC"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16E696ED"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3" w:anchor="art741" w:history="1">
        <w:r w:rsidRPr="00AD22D8">
          <w:rPr>
            <w:rFonts w:ascii="Arial" w:eastAsia="Times New Roman" w:hAnsi="Arial" w:cs="Arial"/>
            <w:color w:val="0000FF"/>
            <w:kern w:val="0"/>
            <w:sz w:val="20"/>
            <w:szCs w:val="20"/>
            <w:u w:val="single"/>
            <w:lang w:eastAsia="pt-BR"/>
            <w14:ligatures w14:val="none"/>
          </w:rPr>
          <w:t>Art. 741.</w:t>
        </w:r>
      </w:hyperlink>
      <w:r w:rsidRPr="00AD22D8">
        <w:rPr>
          <w:rFonts w:ascii="Arial" w:eastAsia="Times New Roman" w:hAnsi="Arial" w:cs="Arial"/>
          <w:color w:val="000000"/>
          <w:kern w:val="0"/>
          <w:sz w:val="20"/>
          <w:szCs w:val="20"/>
          <w:lang w:eastAsia="pt-BR"/>
          <w14:ligatures w14:val="none"/>
        </w:rPr>
        <w:t> Na execução fundada em título judicial, os embargos só poderão versar sobre:</w:t>
      </w:r>
    </w:p>
    <w:p w14:paraId="2738B8F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461BF441"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4" w:anchor="art747" w:history="1">
        <w:r w:rsidRPr="00AD22D8">
          <w:rPr>
            <w:rFonts w:ascii="Arial" w:eastAsia="Times New Roman" w:hAnsi="Arial" w:cs="Arial"/>
            <w:color w:val="0000FF"/>
            <w:kern w:val="0"/>
            <w:sz w:val="20"/>
            <w:szCs w:val="20"/>
            <w:u w:val="single"/>
            <w:lang w:eastAsia="pt-BR"/>
            <w14:ligatures w14:val="none"/>
          </w:rPr>
          <w:t>Art. 747.</w:t>
        </w:r>
      </w:hyperlink>
      <w:r w:rsidRPr="00AD22D8">
        <w:rPr>
          <w:rFonts w:ascii="Arial" w:eastAsia="Times New Roman" w:hAnsi="Arial" w:cs="Arial"/>
          <w:color w:val="000000"/>
          <w:kern w:val="0"/>
          <w:sz w:val="20"/>
          <w:szCs w:val="20"/>
          <w:lang w:eastAsia="pt-BR"/>
          <w14:ligatures w14:val="none"/>
        </w:rPr>
        <w:t> Na execução por carta, os embargos serão oferecidos no juízo deprecante ou no juízo deprecado, mas a competência para julgá-los é do juízo deprecante, salvo se versarem unicamente vícios ou defeitos da penhora, avaliação ou alienação dos bens.</w:t>
      </w:r>
    </w:p>
    <w:p w14:paraId="3976415F"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08B6B89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791. ............................................................ ........................................</w:t>
      </w:r>
    </w:p>
    <w:p w14:paraId="64D48C50"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5" w:anchor="art791i" w:history="1">
        <w:r w:rsidRPr="00AD22D8">
          <w:rPr>
            <w:rFonts w:ascii="Arial" w:eastAsia="Times New Roman" w:hAnsi="Arial" w:cs="Arial"/>
            <w:color w:val="0000FF"/>
            <w:kern w:val="0"/>
            <w:sz w:val="20"/>
            <w:szCs w:val="20"/>
            <w:u w:val="single"/>
            <w:lang w:eastAsia="pt-BR"/>
            <w14:ligatures w14:val="none"/>
          </w:rPr>
          <w:t>I -</w:t>
        </w:r>
      </w:hyperlink>
      <w:r w:rsidRPr="00AD22D8">
        <w:rPr>
          <w:rFonts w:ascii="Arial" w:eastAsia="Times New Roman" w:hAnsi="Arial" w:cs="Arial"/>
          <w:color w:val="000000"/>
          <w:kern w:val="0"/>
          <w:sz w:val="20"/>
          <w:szCs w:val="20"/>
          <w:lang w:eastAsia="pt-BR"/>
          <w14:ligatures w14:val="none"/>
        </w:rPr>
        <w:t> no todo ou em parte, quando recebidos os embargos do devedor (art. 739, § 2º);</w:t>
      </w:r>
    </w:p>
    <w:p w14:paraId="4917C4E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p>
    <w:p w14:paraId="2FE8FA8E"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Art. 792. ........................................................... .........................................</w:t>
      </w:r>
    </w:p>
    <w:p w14:paraId="17E0D502"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hyperlink r:id="rId46" w:anchor="art792p" w:history="1">
        <w:r w:rsidRPr="00AD22D8">
          <w:rPr>
            <w:rFonts w:ascii="Arial" w:eastAsia="Times New Roman" w:hAnsi="Arial" w:cs="Arial"/>
            <w:color w:val="0000FF"/>
            <w:kern w:val="0"/>
            <w:sz w:val="20"/>
            <w:szCs w:val="20"/>
            <w:u w:val="single"/>
            <w:lang w:eastAsia="pt-BR"/>
            <w14:ligatures w14:val="none"/>
          </w:rPr>
          <w:t>Parágrafo único.</w:t>
        </w:r>
      </w:hyperlink>
      <w:r w:rsidRPr="00AD22D8">
        <w:rPr>
          <w:rFonts w:ascii="Arial" w:eastAsia="Times New Roman" w:hAnsi="Arial" w:cs="Arial"/>
          <w:color w:val="000000"/>
          <w:kern w:val="0"/>
          <w:sz w:val="20"/>
          <w:szCs w:val="20"/>
          <w:lang w:eastAsia="pt-BR"/>
          <w14:ligatures w14:val="none"/>
        </w:rPr>
        <w:t> Findo o prazo sem cumprimento da obrigação, o processo retomará o seu curso."</w:t>
      </w:r>
    </w:p>
    <w:p w14:paraId="275862C7"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w:t>
      </w:r>
      <w:bookmarkStart w:id="1" w:name="ART2"/>
      <w:bookmarkEnd w:id="1"/>
      <w:r w:rsidRPr="00AD22D8">
        <w:rPr>
          <w:rFonts w:ascii="Arial" w:eastAsia="Times New Roman" w:hAnsi="Arial" w:cs="Arial"/>
          <w:color w:val="000000"/>
          <w:kern w:val="0"/>
          <w:sz w:val="20"/>
          <w:szCs w:val="20"/>
          <w:lang w:eastAsia="pt-BR"/>
          <w14:ligatures w14:val="none"/>
        </w:rPr>
        <w:t>Art. 2º Esta lei entra em vigor sessenta dias após a data de sua publicação.</w:t>
      </w:r>
    </w:p>
    <w:p w14:paraId="04D236DA"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        Brasília, 13 de dezembro de 1994; 173º da Independência e 106º da República.</w:t>
      </w:r>
    </w:p>
    <w:p w14:paraId="0F8EF269"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D22D8">
        <w:rPr>
          <w:rFonts w:ascii="Arial" w:eastAsia="Times New Roman" w:hAnsi="Arial" w:cs="Arial"/>
          <w:color w:val="000000"/>
          <w:kern w:val="0"/>
          <w:sz w:val="20"/>
          <w:szCs w:val="20"/>
          <w:lang w:eastAsia="pt-BR"/>
          <w14:ligatures w14:val="none"/>
        </w:rPr>
        <w:t>INOCÊNCIO OLIVEIRA</w:t>
      </w:r>
      <w:r w:rsidRPr="00AD22D8">
        <w:rPr>
          <w:rFonts w:ascii="Arial" w:eastAsia="Times New Roman" w:hAnsi="Arial" w:cs="Arial"/>
          <w:color w:val="000000"/>
          <w:kern w:val="0"/>
          <w:sz w:val="20"/>
          <w:szCs w:val="20"/>
          <w:lang w:eastAsia="pt-BR"/>
          <w14:ligatures w14:val="none"/>
        </w:rPr>
        <w:br/>
      </w:r>
      <w:r w:rsidRPr="00AD22D8">
        <w:rPr>
          <w:rFonts w:ascii="Arial" w:eastAsia="Times New Roman" w:hAnsi="Arial" w:cs="Arial"/>
          <w:i/>
          <w:iCs/>
          <w:color w:val="000000"/>
          <w:kern w:val="0"/>
          <w:sz w:val="20"/>
          <w:szCs w:val="20"/>
          <w:lang w:eastAsia="pt-BR"/>
          <w14:ligatures w14:val="none"/>
        </w:rPr>
        <w:t>Alexandre de Paula Dupeyrat Martins</w:t>
      </w:r>
    </w:p>
    <w:p w14:paraId="79F655DF" w14:textId="77777777" w:rsidR="00AD22D8" w:rsidRPr="00AD22D8" w:rsidRDefault="00AD22D8" w:rsidP="00AD22D8">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AD22D8">
        <w:rPr>
          <w:rFonts w:ascii="Arial" w:eastAsia="Times New Roman" w:hAnsi="Arial" w:cs="Arial"/>
          <w:color w:val="FF0000"/>
          <w:kern w:val="0"/>
          <w:sz w:val="20"/>
          <w:szCs w:val="20"/>
          <w:lang w:eastAsia="pt-BR"/>
          <w14:ligatures w14:val="none"/>
        </w:rPr>
        <w:t>Este texto não substitui o publicado no D.O.U. de 14.12.1994</w:t>
      </w:r>
    </w:p>
    <w:p w14:paraId="7A4940E6"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Arial" w:eastAsia="Times New Roman" w:hAnsi="Arial" w:cs="Arial"/>
          <w:color w:val="FF0000"/>
          <w:kern w:val="0"/>
          <w:sz w:val="27"/>
          <w:szCs w:val="27"/>
          <w:lang w:eastAsia="pt-BR"/>
          <w14:ligatures w14:val="none"/>
        </w:rPr>
        <w:t>*</w:t>
      </w:r>
    </w:p>
    <w:p w14:paraId="674B9F2E"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5B2689A4"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707B41ED"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439D09C6"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7A8CC153"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04E1898A"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5B661453" w14:textId="77777777" w:rsidR="00AD22D8" w:rsidRPr="00AD22D8" w:rsidRDefault="00AD22D8" w:rsidP="00AD22D8">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AD22D8">
        <w:rPr>
          <w:rFonts w:ascii="Times New Roman" w:eastAsia="Times New Roman" w:hAnsi="Times New Roman" w:cs="Times New Roman"/>
          <w:color w:val="000000"/>
          <w:kern w:val="0"/>
          <w:sz w:val="27"/>
          <w:szCs w:val="27"/>
          <w:lang w:eastAsia="pt-BR"/>
          <w14:ligatures w14:val="none"/>
        </w:rPr>
        <w:t> </w:t>
      </w:r>
    </w:p>
    <w:p w14:paraId="23B168E5" w14:textId="77777777" w:rsidR="00AD22D8" w:rsidRDefault="00AD22D8"/>
    <w:sectPr w:rsidR="00AD22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2D8"/>
    <w:rsid w:val="00AD22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8373"/>
  <w15:chartTrackingRefBased/>
  <w15:docId w15:val="{D823CCF9-02F7-4EBF-A0AC-048C6795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D22D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AD22D8"/>
    <w:rPr>
      <w:b/>
      <w:bCs/>
    </w:rPr>
  </w:style>
  <w:style w:type="character" w:styleId="Hyperlink">
    <w:name w:val="Hyperlink"/>
    <w:basedOn w:val="Fontepargpadro"/>
    <w:uiPriority w:val="99"/>
    <w:semiHidden/>
    <w:unhideWhenUsed/>
    <w:rsid w:val="00AD22D8"/>
    <w:rPr>
      <w:color w:val="0000FF"/>
      <w:u w:val="single"/>
    </w:rPr>
  </w:style>
  <w:style w:type="character" w:styleId="nfase">
    <w:name w:val="Emphasis"/>
    <w:basedOn w:val="Fontepargpadro"/>
    <w:uiPriority w:val="20"/>
    <w:qFormat/>
    <w:rsid w:val="00AD22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484793">
      <w:bodyDiv w:val="1"/>
      <w:marLeft w:val="0"/>
      <w:marRight w:val="0"/>
      <w:marTop w:val="0"/>
      <w:marBottom w:val="0"/>
      <w:divBdr>
        <w:top w:val="none" w:sz="0" w:space="0" w:color="auto"/>
        <w:left w:val="none" w:sz="0" w:space="0" w:color="auto"/>
        <w:bottom w:val="none" w:sz="0" w:space="0" w:color="auto"/>
        <w:right w:val="none" w:sz="0" w:space="0" w:color="auto"/>
      </w:divBdr>
      <w:divsChild>
        <w:div w:id="500701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9680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26" Type="http://schemas.openxmlformats.org/officeDocument/2006/relationships/hyperlink" Target="http://www.planalto.gov.br/ccivil_03/Leis/L5869.htm" TargetMode="External"/><Relationship Id="rId39" Type="http://schemas.openxmlformats.org/officeDocument/2006/relationships/hyperlink" Target="http://www.planalto.gov.br/ccivil_03/Leis/L5869.htm" TargetMode="External"/><Relationship Id="rId21" Type="http://schemas.openxmlformats.org/officeDocument/2006/relationships/hyperlink" Target="http://www.planalto.gov.br/ccivil_03/Leis/L5869.htm" TargetMode="External"/><Relationship Id="rId34" Type="http://schemas.openxmlformats.org/officeDocument/2006/relationships/hyperlink" Target="http://www.planalto.gov.br/ccivil_03/Leis/L5869.htm" TargetMode="External"/><Relationship Id="rId42" Type="http://schemas.openxmlformats.org/officeDocument/2006/relationships/hyperlink" Target="http://www.planalto.gov.br/ccivil_03/Leis/L5869.htm" TargetMode="External"/><Relationship Id="rId47" Type="http://schemas.openxmlformats.org/officeDocument/2006/relationships/fontTable" Target="fontTable.xml"/><Relationship Id="rId7" Type="http://schemas.openxmlformats.org/officeDocument/2006/relationships/hyperlink" Target="http://www.planalto.gov.br/ccivil_03/Leis/L5869.htm" TargetMode="External"/><Relationship Id="rId2" Type="http://schemas.openxmlformats.org/officeDocument/2006/relationships/settings" Target="settings.xml"/><Relationship Id="rId16" Type="http://schemas.openxmlformats.org/officeDocument/2006/relationships/hyperlink" Target="http://www.planalto.gov.br/ccivil_03/Leis/L5869.htm" TargetMode="External"/><Relationship Id="rId29" Type="http://schemas.openxmlformats.org/officeDocument/2006/relationships/hyperlink" Target="http://www.planalto.gov.br/ccivil_03/Leis/L5869.htm" TargetMode="Externa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24" Type="http://schemas.openxmlformats.org/officeDocument/2006/relationships/hyperlink" Target="http://www.planalto.gov.br/ccivil_03/Leis/L5869.htm" TargetMode="External"/><Relationship Id="rId32" Type="http://schemas.openxmlformats.org/officeDocument/2006/relationships/hyperlink" Target="http://www.planalto.gov.br/ccivil_03/Leis/L5869.htm" TargetMode="External"/><Relationship Id="rId37" Type="http://schemas.openxmlformats.org/officeDocument/2006/relationships/hyperlink" Target="http://www.planalto.gov.br/ccivil_03/Leis/L5869.htm" TargetMode="External"/><Relationship Id="rId40" Type="http://schemas.openxmlformats.org/officeDocument/2006/relationships/hyperlink" Target="http://www.planalto.gov.br/ccivil_03/Leis/L5869.htm" TargetMode="External"/><Relationship Id="rId45" Type="http://schemas.openxmlformats.org/officeDocument/2006/relationships/hyperlink" Target="http://www.planalto.gov.br/ccivil_03/Leis/L5869.htm" TargetMode="External"/><Relationship Id="rId5" Type="http://schemas.openxmlformats.org/officeDocument/2006/relationships/hyperlink" Target="http://www.planalto.gov.br/ccivil_03/Leis/L5869.htm" TargetMode="External"/><Relationship Id="rId15" Type="http://schemas.openxmlformats.org/officeDocument/2006/relationships/hyperlink" Target="http://www.planalto.gov.br/ccivil_03/Leis/L5869.htm" TargetMode="External"/><Relationship Id="rId23"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36" Type="http://schemas.openxmlformats.org/officeDocument/2006/relationships/hyperlink" Target="http://www.planalto.gov.br/ccivil_03/Leis/L5869.htm" TargetMode="External"/><Relationship Id="rId10" Type="http://schemas.openxmlformats.org/officeDocument/2006/relationships/hyperlink" Target="http://www.planalto.gov.br/ccivil_03/Leis/L5869.htm" TargetMode="External"/><Relationship Id="rId19" Type="http://schemas.openxmlformats.org/officeDocument/2006/relationships/hyperlink" Target="http://www.planalto.gov.br/ccivil_03/Leis/L5869.htm" TargetMode="External"/><Relationship Id="rId31" Type="http://schemas.openxmlformats.org/officeDocument/2006/relationships/hyperlink" Target="http://www.planalto.gov.br/ccivil_03/Leis/L5869.htm" TargetMode="External"/><Relationship Id="rId44" Type="http://schemas.openxmlformats.org/officeDocument/2006/relationships/hyperlink" Target="http://www.planalto.gov.br/ccivil_03/Leis/L5869.htm" TargetMode="External"/><Relationship Id="rId4" Type="http://schemas.openxmlformats.org/officeDocument/2006/relationships/hyperlink" Target="http://legislacao.planalto.gov.br/legisla/legislacao.nsf/Viw_Identificacao/lei%208.953-1994?OpenDocument" TargetMode="External"/><Relationship Id="rId9"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22"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30" Type="http://schemas.openxmlformats.org/officeDocument/2006/relationships/hyperlink" Target="http://www.planalto.gov.br/ccivil_03/Leis/L5869.htm" TargetMode="External"/><Relationship Id="rId35" Type="http://schemas.openxmlformats.org/officeDocument/2006/relationships/hyperlink" Target="http://www.planalto.gov.br/ccivil_03/Leis/L5869.htm" TargetMode="External"/><Relationship Id="rId43" Type="http://schemas.openxmlformats.org/officeDocument/2006/relationships/hyperlink" Target="http://www.planalto.gov.br/ccivil_03/Leis/L5869.htm" TargetMode="External"/><Relationship Id="rId48" Type="http://schemas.openxmlformats.org/officeDocument/2006/relationships/theme" Target="theme/theme1.xml"/><Relationship Id="rId8" Type="http://schemas.openxmlformats.org/officeDocument/2006/relationships/hyperlink" Target="http://www.planalto.gov.br/ccivil_03/Leis/L5869.htm" TargetMode="External"/><Relationship Id="rId3" Type="http://schemas.openxmlformats.org/officeDocument/2006/relationships/webSettings" Target="webSettings.xml"/><Relationship Id="rId12"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25" Type="http://schemas.openxmlformats.org/officeDocument/2006/relationships/hyperlink" Target="http://www.planalto.gov.br/ccivil_03/Leis/L5869.htm" TargetMode="External"/><Relationship Id="rId33" Type="http://schemas.openxmlformats.org/officeDocument/2006/relationships/hyperlink" Target="http://www.planalto.gov.br/ccivil_03/Leis/L5869.htm" TargetMode="External"/><Relationship Id="rId38" Type="http://schemas.openxmlformats.org/officeDocument/2006/relationships/hyperlink" Target="http://www.planalto.gov.br/ccivil_03/Leis/L5869.htm" TargetMode="External"/><Relationship Id="rId46"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41"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2314</Words>
  <Characters>12500</Characters>
  <Application>Microsoft Office Word</Application>
  <DocSecurity>0</DocSecurity>
  <Lines>104</Lines>
  <Paragraphs>29</Paragraphs>
  <ScaleCrop>false</ScaleCrop>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1</cp:revision>
  <dcterms:created xsi:type="dcterms:W3CDTF">2023-09-09T21:39:00Z</dcterms:created>
  <dcterms:modified xsi:type="dcterms:W3CDTF">2023-09-09T21:49:00Z</dcterms:modified>
</cp:coreProperties>
</file>