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5077"/>
      </w:tblGrid>
      <w:tr w:rsidR="00001C12" w:rsidRPr="00001C12" w14:paraId="66BC8692" w14:textId="77777777" w:rsidTr="00001C12">
        <w:trPr>
          <w:trHeight w:val="1275"/>
          <w:tblCellSpacing w:w="0" w:type="dxa"/>
          <w:jc w:val="center"/>
        </w:trPr>
        <w:tc>
          <w:tcPr>
            <w:tcW w:w="700" w:type="pct"/>
            <w:vAlign w:val="center"/>
            <w:hideMark/>
          </w:tcPr>
          <w:p w14:paraId="08CB8456" w14:textId="27641520"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39B8FCEB" wp14:editId="6F1F85FC">
                      <wp:extent cx="704850" cy="781050"/>
                      <wp:effectExtent l="0" t="0" r="0" b="0"/>
                      <wp:docPr id="19000804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665CCC" id="AutoShape 1" o:spid="_x0000_s1026"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" filled="f" stroked="f">
                      <o:lock v:ext="edit" aspectratio="t"/>
                      <w10:anchorlock/>
                    </v:rect>
                  </w:pict>
                </mc:Fallback>
              </mc:AlternateContent>
            </w:r>
          </w:p>
        </w:tc>
        <w:tc>
          <w:tcPr>
            <w:tcW w:w="4300" w:type="pct"/>
            <w:vAlign w:val="center"/>
            <w:hideMark/>
          </w:tcPr>
          <w:p w14:paraId="02A09D3B"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Arial" w:eastAsia="Times New Roman" w:hAnsi="Arial" w:cs="Arial"/>
                <w:b/>
                <w:bCs/>
                <w:color w:val="808000"/>
                <w:kern w:val="0"/>
                <w:sz w:val="36"/>
                <w:szCs w:val="36"/>
                <w:lang w:eastAsia="zh-CN"/>
                <w14:ligatures w14:val="none"/>
              </w:rPr>
              <w:t>Presidência da República</w:t>
            </w:r>
            <w:r w:rsidRPr="00001C12">
              <w:rPr>
                <w:rFonts w:ascii="Arial" w:eastAsia="Times New Roman" w:hAnsi="Arial" w:cs="Arial"/>
                <w:b/>
                <w:bCs/>
                <w:color w:val="808000"/>
                <w:kern w:val="0"/>
                <w:sz w:val="24"/>
                <w:szCs w:val="24"/>
                <w:lang w:eastAsia="zh-CN"/>
                <w14:ligatures w14:val="none"/>
              </w:rPr>
              <w:br/>
            </w:r>
            <w:r w:rsidRPr="00001C12">
              <w:rPr>
                <w:rFonts w:ascii="Arial" w:eastAsia="Times New Roman" w:hAnsi="Arial" w:cs="Arial"/>
                <w:b/>
                <w:bCs/>
                <w:color w:val="808000"/>
                <w:kern w:val="0"/>
                <w:sz w:val="27"/>
                <w:szCs w:val="27"/>
                <w:lang w:eastAsia="zh-CN"/>
                <w14:ligatures w14:val="none"/>
              </w:rPr>
              <w:t>Casa Civil</w:t>
            </w:r>
            <w:r w:rsidRPr="00001C12">
              <w:rPr>
                <w:rFonts w:ascii="Arial" w:eastAsia="Times New Roman" w:hAnsi="Arial" w:cs="Arial"/>
                <w:b/>
                <w:bCs/>
                <w:color w:val="808000"/>
                <w:kern w:val="0"/>
                <w:sz w:val="27"/>
                <w:szCs w:val="27"/>
                <w:lang w:eastAsia="zh-CN"/>
                <w14:ligatures w14:val="none"/>
              </w:rPr>
              <w:br/>
            </w:r>
            <w:r w:rsidRPr="00001C12">
              <w:rPr>
                <w:rFonts w:ascii="Arial" w:eastAsia="Times New Roman" w:hAnsi="Arial" w:cs="Arial"/>
                <w:b/>
                <w:bCs/>
                <w:color w:val="808000"/>
                <w:kern w:val="0"/>
                <w:sz w:val="24"/>
                <w:szCs w:val="24"/>
                <w:lang w:eastAsia="zh-CN"/>
                <w14:ligatures w14:val="none"/>
              </w:rPr>
              <w:t>Subchefia para Assuntos Jurídicos</w:t>
            </w:r>
          </w:p>
        </w:tc>
      </w:tr>
    </w:tbl>
    <w:p w14:paraId="69837A56"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001C12">
          <w:rPr>
            <w:rFonts w:ascii="Arial" w:eastAsia="Times New Roman" w:hAnsi="Arial" w:cs="Arial"/>
            <w:b/>
            <w:bCs/>
            <w:color w:val="000080"/>
            <w:kern w:val="0"/>
            <w:sz w:val="20"/>
            <w:szCs w:val="20"/>
            <w:lang w:eastAsia="zh-CN"/>
            <w14:ligatures w14:val="none"/>
          </w:rPr>
          <w:t>LEI Nº 8.952, DE 13 DE DEZEMBRO DE 1994.</w:t>
        </w:r>
      </w:hyperlink>
    </w:p>
    <w:tbl>
      <w:tblPr>
        <w:tblW w:w="5000" w:type="pct"/>
        <w:tblCellSpacing w:w="0" w:type="dxa"/>
        <w:tblCellMar>
          <w:left w:w="0" w:type="dxa"/>
          <w:right w:w="0" w:type="dxa"/>
        </w:tblCellMar>
        <w:tblLook w:val="04A0" w:firstRow="1" w:lastRow="0" w:firstColumn="1" w:lastColumn="0" w:noHBand="0" w:noVBand="1"/>
      </w:tblPr>
      <w:tblGrid>
        <w:gridCol w:w="4596"/>
        <w:gridCol w:w="4242"/>
      </w:tblGrid>
      <w:tr w:rsidR="00001C12" w:rsidRPr="00001C12" w14:paraId="4C070BBF" w14:textId="77777777" w:rsidTr="00001C12">
        <w:trPr>
          <w:tblCellSpacing w:w="0" w:type="dxa"/>
        </w:trPr>
        <w:tc>
          <w:tcPr>
            <w:tcW w:w="2600" w:type="pct"/>
            <w:vAlign w:val="center"/>
            <w:hideMark/>
          </w:tcPr>
          <w:p w14:paraId="73F92A47" w14:textId="77777777" w:rsidR="00001C12" w:rsidRPr="00001C12" w:rsidRDefault="00001C12" w:rsidP="00001C12">
            <w:pPr>
              <w:spacing w:after="0" w:line="240" w:lineRule="auto"/>
              <w:rPr>
                <w:rFonts w:ascii="Times New Roman" w:eastAsia="Times New Roman" w:hAnsi="Times New Roman" w:cs="Times New Roman"/>
                <w:kern w:val="0"/>
                <w:sz w:val="24"/>
                <w:szCs w:val="24"/>
                <w:lang w:eastAsia="zh-CN"/>
                <w14:ligatures w14:val="none"/>
              </w:rPr>
            </w:pPr>
          </w:p>
        </w:tc>
        <w:tc>
          <w:tcPr>
            <w:tcW w:w="2400" w:type="pct"/>
            <w:vAlign w:val="center"/>
            <w:hideMark/>
          </w:tcPr>
          <w:p w14:paraId="38D7DB5B" w14:textId="77777777" w:rsidR="00001C12" w:rsidRPr="00001C12" w:rsidRDefault="00001C12" w:rsidP="00001C1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01C12">
              <w:rPr>
                <w:rFonts w:ascii="Arial" w:eastAsia="Times New Roman" w:hAnsi="Arial" w:cs="Arial"/>
                <w:color w:val="800000"/>
                <w:kern w:val="0"/>
                <w:sz w:val="20"/>
                <w:szCs w:val="20"/>
                <w:lang w:eastAsia="zh-CN"/>
                <w14:ligatures w14:val="none"/>
              </w:rPr>
              <w:t>Altera dispositivos do Código de Processo Civil sobre o processo de conhecimento e o processo cautelar.</w:t>
            </w:r>
          </w:p>
        </w:tc>
      </w:tr>
    </w:tbl>
    <w:p w14:paraId="455A887C"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b/>
          <w:bCs/>
          <w:kern w:val="0"/>
          <w:sz w:val="20"/>
          <w:szCs w:val="20"/>
          <w:lang w:eastAsia="zh-CN"/>
          <w14:ligatures w14:val="none"/>
        </w:rPr>
        <w:t>        O PRESIDENTE DA CÂMARA DOS DEPUTADOS</w:t>
      </w:r>
      <w:r w:rsidRPr="00001C12">
        <w:rPr>
          <w:rFonts w:ascii="Arial" w:eastAsia="Times New Roman" w:hAnsi="Arial" w:cs="Arial"/>
          <w:kern w:val="0"/>
          <w:sz w:val="20"/>
          <w:szCs w:val="20"/>
          <w:lang w:eastAsia="zh-CN"/>
          <w14:ligatures w14:val="none"/>
        </w:rPr>
        <w:t xml:space="preserve"> no exercício do cargo de </w:t>
      </w:r>
      <w:r w:rsidRPr="00001C12">
        <w:rPr>
          <w:rFonts w:ascii="Arial" w:eastAsia="Times New Roman" w:hAnsi="Arial" w:cs="Arial"/>
          <w:b/>
          <w:bCs/>
          <w:kern w:val="0"/>
          <w:sz w:val="20"/>
          <w:szCs w:val="20"/>
          <w:lang w:eastAsia="zh-CN"/>
          <w14:ligatures w14:val="none"/>
        </w:rPr>
        <w:t>PRESIDENTE DA REPÚBLICA</w:t>
      </w:r>
      <w:r w:rsidRPr="00001C12">
        <w:rPr>
          <w:rFonts w:ascii="Arial" w:eastAsia="Times New Roman" w:hAnsi="Arial" w:cs="Arial"/>
          <w:kern w:val="0"/>
          <w:sz w:val="20"/>
          <w:szCs w:val="20"/>
          <w:lang w:eastAsia="zh-CN"/>
          <w14:ligatures w14:val="none"/>
        </w:rPr>
        <w:t> Faço saber que o Congresso Nacional decreta e eu sanciono a seguinte lei:</w:t>
      </w:r>
    </w:p>
    <w:p w14:paraId="3D32DEAE"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 xml:space="preserve">        </w:t>
      </w:r>
      <w:bookmarkStart w:id="0" w:name="art1"/>
      <w:bookmarkEnd w:id="0"/>
      <w:r w:rsidRPr="00001C12">
        <w:rPr>
          <w:rFonts w:ascii="Arial" w:eastAsia="Times New Roman" w:hAnsi="Arial" w:cs="Arial"/>
          <w:kern w:val="0"/>
          <w:sz w:val="20"/>
          <w:szCs w:val="20"/>
          <w:lang w:eastAsia="zh-CN"/>
          <w14:ligatures w14:val="none"/>
        </w:rPr>
        <w:t>Art. 1º Os dispositivos a seguir enumerados, da Lei nº 5.869, de 11 de janeiro de 1973 - Código de Processo Civil, passam a vigorar com a seguinte redação:</w:t>
      </w:r>
    </w:p>
    <w:p w14:paraId="639586AF"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5" w:anchor="art10." w:history="1">
        <w:r w:rsidRPr="00001C12">
          <w:rPr>
            <w:rFonts w:ascii="Arial" w:eastAsia="Times New Roman" w:hAnsi="Arial" w:cs="Arial"/>
            <w:color w:val="0000FF"/>
            <w:kern w:val="0"/>
            <w:sz w:val="20"/>
            <w:szCs w:val="20"/>
            <w:u w:val="single"/>
            <w:lang w:eastAsia="zh-CN"/>
            <w14:ligatures w14:val="none"/>
          </w:rPr>
          <w:t>"Art. 10.</w:t>
        </w:r>
      </w:hyperlink>
      <w:r w:rsidRPr="00001C12">
        <w:rPr>
          <w:rFonts w:ascii="Arial" w:eastAsia="Times New Roman" w:hAnsi="Arial" w:cs="Arial"/>
          <w:kern w:val="0"/>
          <w:sz w:val="20"/>
          <w:szCs w:val="20"/>
          <w:lang w:eastAsia="zh-CN"/>
          <w14:ligatures w14:val="none"/>
        </w:rPr>
        <w:t xml:space="preserve"> O cônjuge somente necessitará do consentimento do outro para propor ações que versem sobre direitos reais imobiliários.</w:t>
      </w:r>
    </w:p>
    <w:p w14:paraId="7A5CE0BB"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6" w:anchor="art10§1" w:history="1">
        <w:r w:rsidRPr="00001C12">
          <w:rPr>
            <w:rFonts w:ascii="Arial" w:eastAsia="Times New Roman" w:hAnsi="Arial" w:cs="Arial"/>
            <w:color w:val="0000FF"/>
            <w:kern w:val="0"/>
            <w:sz w:val="20"/>
            <w:szCs w:val="20"/>
            <w:u w:val="single"/>
            <w:lang w:eastAsia="zh-CN"/>
            <w14:ligatures w14:val="none"/>
          </w:rPr>
          <w:t>§ 1º</w:t>
        </w:r>
      </w:hyperlink>
      <w:r w:rsidRPr="00001C12">
        <w:rPr>
          <w:rFonts w:ascii="Arial" w:eastAsia="Times New Roman" w:hAnsi="Arial" w:cs="Arial"/>
          <w:kern w:val="0"/>
          <w:sz w:val="20"/>
          <w:szCs w:val="20"/>
          <w:lang w:eastAsia="zh-CN"/>
          <w14:ligatures w14:val="none"/>
        </w:rPr>
        <w:t xml:space="preserve"> Ambos os cônjuges serão necessariamente citados para as ações:</w:t>
      </w:r>
    </w:p>
    <w:p w14:paraId="58265B1F"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7" w:anchor="art10§1i" w:history="1">
        <w:r w:rsidRPr="00001C12">
          <w:rPr>
            <w:rFonts w:ascii="Arial" w:eastAsia="Times New Roman" w:hAnsi="Arial" w:cs="Arial"/>
            <w:color w:val="0000FF"/>
            <w:kern w:val="0"/>
            <w:sz w:val="20"/>
            <w:szCs w:val="20"/>
            <w:u w:val="single"/>
            <w:lang w:eastAsia="zh-CN"/>
            <w14:ligatures w14:val="none"/>
          </w:rPr>
          <w:t>I -</w:t>
        </w:r>
      </w:hyperlink>
      <w:r w:rsidRPr="00001C12">
        <w:rPr>
          <w:rFonts w:ascii="Arial" w:eastAsia="Times New Roman" w:hAnsi="Arial" w:cs="Arial"/>
          <w:kern w:val="0"/>
          <w:sz w:val="20"/>
          <w:szCs w:val="20"/>
          <w:lang w:eastAsia="zh-CN"/>
          <w14:ligatures w14:val="none"/>
        </w:rPr>
        <w:t xml:space="preserve"> que versem sobre direitos reais imobiliários;</w:t>
      </w:r>
    </w:p>
    <w:p w14:paraId="5282916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7610C76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8" w:anchor="art10§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Nas ações possessórias, a participação do cônjuge do autor ou do réu somente é indispensável nos casos de composse ou de ato por ambos praticados.</w:t>
      </w:r>
    </w:p>
    <w:p w14:paraId="7CBF8479"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5A4A1B1A"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9" w:anchor="art18" w:history="1">
        <w:r w:rsidRPr="00001C12">
          <w:rPr>
            <w:rFonts w:ascii="Arial" w:eastAsia="Times New Roman" w:hAnsi="Arial" w:cs="Arial"/>
            <w:color w:val="0000FF"/>
            <w:kern w:val="0"/>
            <w:sz w:val="20"/>
            <w:szCs w:val="20"/>
            <w:u w:val="single"/>
            <w:lang w:eastAsia="zh-CN"/>
            <w14:ligatures w14:val="none"/>
          </w:rPr>
          <w:t>Art. 18.</w:t>
        </w:r>
      </w:hyperlink>
      <w:r w:rsidRPr="00001C12">
        <w:rPr>
          <w:rFonts w:ascii="Arial" w:eastAsia="Times New Roman" w:hAnsi="Arial" w:cs="Arial"/>
          <w:kern w:val="0"/>
          <w:sz w:val="20"/>
          <w:szCs w:val="20"/>
          <w:lang w:eastAsia="zh-CN"/>
          <w14:ligatures w14:val="none"/>
        </w:rPr>
        <w:t xml:space="preserve"> O juiz, de ofício ou a requerimento, condenará o litigante de má-fé a indenizar à parte contrária os prejuízos que esta sofreu, mais os honorários advocatícios e as despesas que efetuou.</w:t>
      </w:r>
    </w:p>
    <w:p w14:paraId="67FEAC1B"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301D64B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0" w:anchor="art18§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O valor da indenização será desde logo fixado pelo juiz, em quantia não superior a vinte por cento sobre o valor da causa, ou liquidado por arbitramento.</w:t>
      </w:r>
    </w:p>
    <w:p w14:paraId="72ADC9AC"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20 ............................................................................</w:t>
      </w:r>
    </w:p>
    <w:p w14:paraId="101EBBBB"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0614AC4F"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1" w:anchor="art20§4." w:history="1">
        <w:r w:rsidRPr="00001C12">
          <w:rPr>
            <w:rFonts w:ascii="Arial" w:eastAsia="Times New Roman" w:hAnsi="Arial" w:cs="Arial"/>
            <w:color w:val="0000FF"/>
            <w:kern w:val="0"/>
            <w:sz w:val="20"/>
            <w:szCs w:val="20"/>
            <w:u w:val="single"/>
            <w:lang w:eastAsia="zh-CN"/>
            <w14:ligatures w14:val="none"/>
          </w:rPr>
          <w:t>§ 4º</w:t>
        </w:r>
      </w:hyperlink>
      <w:r w:rsidRPr="00001C12">
        <w:rPr>
          <w:rFonts w:ascii="Arial" w:eastAsia="Times New Roman" w:hAnsi="Arial" w:cs="Arial"/>
          <w:kern w:val="0"/>
          <w:sz w:val="20"/>
          <w:szCs w:val="20"/>
          <w:lang w:eastAsia="zh-CN"/>
          <w14:ligatures w14:val="none"/>
        </w:rPr>
        <w:t xml:space="preserve"> Nas causas de pequeno valor, nas de valor inestimável, naquelas em que não houver condenação ou for vencida a Fazenda Pública, e nas execuções, embargadas ou não, os honorários serão fixados consoante apreciação eqüitativa do juiz, atendidas as normas das alíneas a, b e c do parágrafo anterior.</w:t>
      </w:r>
    </w:p>
    <w:p w14:paraId="62230F17"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7606CEA0"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33. ............................................................................</w:t>
      </w:r>
    </w:p>
    <w:p w14:paraId="7E31D83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2" w:anchor="art33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O juiz poderá determinar que a parte responsável pelo pagamento dos honorários do perito deposite em juízo o valor correspondente a essa remuneração. O numerário, recolhido em depósito bancário à ordem do juízo e com correção monetária, será entregue ao perito após a apresentação do laudo, facultada a sua liberação parcial, quando necessária.</w:t>
      </w:r>
    </w:p>
    <w:p w14:paraId="593FCA9B"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7F4C916B"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3" w:anchor="art38." w:history="1">
        <w:r w:rsidRPr="00001C12">
          <w:rPr>
            <w:rFonts w:ascii="Arial" w:eastAsia="Times New Roman" w:hAnsi="Arial" w:cs="Arial"/>
            <w:color w:val="0000FF"/>
            <w:kern w:val="0"/>
            <w:sz w:val="20"/>
            <w:szCs w:val="20"/>
            <w:u w:val="single"/>
            <w:lang w:eastAsia="zh-CN"/>
            <w14:ligatures w14:val="none"/>
          </w:rPr>
          <w:t>Art. 38.</w:t>
        </w:r>
      </w:hyperlink>
      <w:r w:rsidRPr="00001C12">
        <w:rPr>
          <w:rFonts w:ascii="Arial" w:eastAsia="Times New Roman" w:hAnsi="Arial" w:cs="Arial"/>
          <w:kern w:val="0"/>
          <w:sz w:val="20"/>
          <w:szCs w:val="20"/>
          <w:lang w:eastAsia="zh-CN"/>
          <w14:ligatures w14:val="none"/>
        </w:rPr>
        <w:t xml:space="preserve"> A procuração geral para o foro, conferida por instrumento público, ou particular assinado pela parte, habilita o advogado a praticar todos os atos do processo, salvo para receber citação inicial, confessar, reconhecer a procedência do pedido, transigir, desistir, renunciar ao direito sobre que se funda a ação, receber, dar quitação e firmar compromisso.</w:t>
      </w:r>
    </w:p>
    <w:p w14:paraId="3773B267"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6C8FEF0F"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4" w:anchor="art45" w:history="1">
        <w:r w:rsidRPr="00001C12">
          <w:rPr>
            <w:rFonts w:ascii="Arial" w:eastAsia="Times New Roman" w:hAnsi="Arial" w:cs="Arial"/>
            <w:color w:val="0000FF"/>
            <w:kern w:val="0"/>
            <w:sz w:val="20"/>
            <w:szCs w:val="20"/>
            <w:u w:val="single"/>
            <w:lang w:eastAsia="zh-CN"/>
            <w14:ligatures w14:val="none"/>
          </w:rPr>
          <w:t>Art. 45.</w:t>
        </w:r>
      </w:hyperlink>
      <w:r w:rsidRPr="00001C12">
        <w:rPr>
          <w:rFonts w:ascii="Arial" w:eastAsia="Times New Roman" w:hAnsi="Arial" w:cs="Arial"/>
          <w:kern w:val="0"/>
          <w:sz w:val="20"/>
          <w:szCs w:val="20"/>
          <w:lang w:eastAsia="zh-CN"/>
          <w14:ligatures w14:val="none"/>
        </w:rPr>
        <w:t xml:space="preserve"> O advogado poderá, a qualquer tempo, renunciar ao mandato, provando que cientificou o mandante a fim de que este nomeie substituto. Durante os dez dias seguintes, o advogado continuará a representar o mandante, desde que necessário para lhe evitar prejuízo.</w:t>
      </w:r>
    </w:p>
    <w:p w14:paraId="68D303E3"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46. ...............................................................................</w:t>
      </w:r>
    </w:p>
    <w:p w14:paraId="02491BF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5" w:anchor="art46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O juiz poderá limitar o litisconsórcio facultativo quanto ao número de litigantes, quando este comprometer a rápida solução do litígio ou dificultar a defesa. O pedido de limitação interrompe o prazo para resposta, que recomeça da intimação da decisão.</w:t>
      </w:r>
    </w:p>
    <w:p w14:paraId="49C2C04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4F572CB3"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125. ...........................................................................</w:t>
      </w:r>
    </w:p>
    <w:p w14:paraId="5E5AB5C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58FB8813"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6" w:anchor="art125iv" w:history="1">
        <w:r w:rsidRPr="00001C12">
          <w:rPr>
            <w:rFonts w:ascii="Arial" w:eastAsia="Times New Roman" w:hAnsi="Arial" w:cs="Arial"/>
            <w:color w:val="0000FF"/>
            <w:kern w:val="0"/>
            <w:sz w:val="20"/>
            <w:szCs w:val="20"/>
            <w:u w:val="single"/>
            <w:lang w:eastAsia="zh-CN"/>
            <w14:ligatures w14:val="none"/>
          </w:rPr>
          <w:t>IV -</w:t>
        </w:r>
      </w:hyperlink>
      <w:r w:rsidRPr="00001C12">
        <w:rPr>
          <w:rFonts w:ascii="Arial" w:eastAsia="Times New Roman" w:hAnsi="Arial" w:cs="Arial"/>
          <w:kern w:val="0"/>
          <w:sz w:val="20"/>
          <w:szCs w:val="20"/>
          <w:lang w:eastAsia="zh-CN"/>
          <w14:ligatures w14:val="none"/>
        </w:rPr>
        <w:t xml:space="preserve"> tentar, a qualquer tempo, conciliar as partes.</w:t>
      </w:r>
    </w:p>
    <w:p w14:paraId="44A02E5F"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Art.162. ............................................................................</w:t>
      </w:r>
    </w:p>
    <w:p w14:paraId="501FDAD0"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7" w:anchor="art162§4" w:history="1">
        <w:r w:rsidRPr="00001C12">
          <w:rPr>
            <w:rFonts w:ascii="Arial" w:eastAsia="Times New Roman" w:hAnsi="Arial" w:cs="Arial"/>
            <w:color w:val="0000FF"/>
            <w:kern w:val="0"/>
            <w:sz w:val="20"/>
            <w:szCs w:val="20"/>
            <w:u w:val="single"/>
            <w:lang w:eastAsia="zh-CN"/>
            <w14:ligatures w14:val="none"/>
          </w:rPr>
          <w:t>§ 4º</w:t>
        </w:r>
      </w:hyperlink>
      <w:r w:rsidRPr="00001C12">
        <w:rPr>
          <w:rFonts w:ascii="Arial" w:eastAsia="Times New Roman" w:hAnsi="Arial" w:cs="Arial"/>
          <w:kern w:val="0"/>
          <w:sz w:val="20"/>
          <w:szCs w:val="20"/>
          <w:lang w:eastAsia="zh-CN"/>
          <w14:ligatures w14:val="none"/>
        </w:rPr>
        <w:t xml:space="preserve"> Os atos meramente ordinatórios, como a juntada e a vista obrigatória, independem de despacho, devendo ser praticados de ofício pelo servidor e revistos pelo juiz quando necessários.</w:t>
      </w:r>
    </w:p>
    <w:p w14:paraId="711A3168"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14E64670"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8" w:anchor="art170" w:history="1">
        <w:r w:rsidRPr="00001C12">
          <w:rPr>
            <w:rFonts w:ascii="Arial" w:eastAsia="Times New Roman" w:hAnsi="Arial" w:cs="Arial"/>
            <w:color w:val="0000FF"/>
            <w:kern w:val="0"/>
            <w:sz w:val="20"/>
            <w:szCs w:val="20"/>
            <w:u w:val="single"/>
            <w:lang w:eastAsia="zh-CN"/>
            <w14:ligatures w14:val="none"/>
          </w:rPr>
          <w:t>Art. 170.</w:t>
        </w:r>
      </w:hyperlink>
      <w:r w:rsidRPr="00001C12">
        <w:rPr>
          <w:rFonts w:ascii="Arial" w:eastAsia="Times New Roman" w:hAnsi="Arial" w:cs="Arial"/>
          <w:kern w:val="0"/>
          <w:sz w:val="20"/>
          <w:szCs w:val="20"/>
          <w:lang w:eastAsia="zh-CN"/>
          <w14:ligatures w14:val="none"/>
        </w:rPr>
        <w:t xml:space="preserve"> É lícito o uso da taquigrafia, da estenotipia, ou de outro método idôneo, em qualquer juízo ou tribunal.</w:t>
      </w:r>
    </w:p>
    <w:p w14:paraId="612900A4"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7D0A782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19" w:anchor="art172" w:history="1">
        <w:r w:rsidRPr="00001C12">
          <w:rPr>
            <w:rFonts w:ascii="Arial" w:eastAsia="Times New Roman" w:hAnsi="Arial" w:cs="Arial"/>
            <w:color w:val="0000FF"/>
            <w:kern w:val="0"/>
            <w:sz w:val="20"/>
            <w:szCs w:val="20"/>
            <w:u w:val="single"/>
            <w:lang w:eastAsia="zh-CN"/>
            <w14:ligatures w14:val="none"/>
          </w:rPr>
          <w:t>Art. 172.</w:t>
        </w:r>
      </w:hyperlink>
      <w:r w:rsidRPr="00001C12">
        <w:rPr>
          <w:rFonts w:ascii="Arial" w:eastAsia="Times New Roman" w:hAnsi="Arial" w:cs="Arial"/>
          <w:kern w:val="0"/>
          <w:sz w:val="20"/>
          <w:szCs w:val="20"/>
          <w:lang w:eastAsia="zh-CN"/>
          <w14:ligatures w14:val="none"/>
        </w:rPr>
        <w:t xml:space="preserve"> Os atos processuais realizar-se-ão em dias úteis, das seis às vinte horas.</w:t>
      </w:r>
    </w:p>
    <w:p w14:paraId="15AF810D"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20" w:anchor="art172§1" w:history="1">
        <w:r w:rsidRPr="00001C12">
          <w:rPr>
            <w:rFonts w:ascii="Arial" w:eastAsia="Times New Roman" w:hAnsi="Arial" w:cs="Arial"/>
            <w:color w:val="0000FF"/>
            <w:kern w:val="0"/>
            <w:sz w:val="20"/>
            <w:szCs w:val="20"/>
            <w:u w:val="single"/>
            <w:lang w:eastAsia="zh-CN"/>
            <w14:ligatures w14:val="none"/>
          </w:rPr>
          <w:t>§ 1º</w:t>
        </w:r>
      </w:hyperlink>
      <w:r w:rsidRPr="00001C12">
        <w:rPr>
          <w:rFonts w:ascii="Arial" w:eastAsia="Times New Roman" w:hAnsi="Arial" w:cs="Arial"/>
          <w:kern w:val="0"/>
          <w:sz w:val="20"/>
          <w:szCs w:val="20"/>
          <w:lang w:eastAsia="zh-CN"/>
          <w14:ligatures w14:val="none"/>
        </w:rPr>
        <w:t xml:space="preserve"> Serão, todavia, concluídos depois das horas os atos iniciados antes, quando o adiamento prejudicar a diligência ou causar grave dano.</w:t>
      </w:r>
    </w:p>
    <w:p w14:paraId="08F69B54"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1" w:anchor="art172§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A citação e a penhora poderão, em casos excepcionais, e mediante autorização expressa do juiz, realizar-se em domingos e feriados, ou nos dias úteis, fora do horário estabelecido neste artigo, observado o disposto no art. 5º, inciso XI, da Constituição Federal.</w:t>
      </w:r>
    </w:p>
    <w:p w14:paraId="77B1A38E"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2" w:anchor="art172§3" w:history="1">
        <w:r w:rsidRPr="00001C12">
          <w:rPr>
            <w:rFonts w:ascii="Arial" w:eastAsia="Times New Roman" w:hAnsi="Arial" w:cs="Arial"/>
            <w:color w:val="0000FF"/>
            <w:kern w:val="0"/>
            <w:sz w:val="20"/>
            <w:szCs w:val="20"/>
            <w:u w:val="single"/>
            <w:lang w:eastAsia="zh-CN"/>
            <w14:ligatures w14:val="none"/>
          </w:rPr>
          <w:t>§ 3º</w:t>
        </w:r>
      </w:hyperlink>
      <w:r w:rsidRPr="00001C12">
        <w:rPr>
          <w:rFonts w:ascii="Arial" w:eastAsia="Times New Roman" w:hAnsi="Arial" w:cs="Arial"/>
          <w:kern w:val="0"/>
          <w:sz w:val="20"/>
          <w:szCs w:val="20"/>
          <w:lang w:eastAsia="zh-CN"/>
          <w14:ligatures w14:val="none"/>
        </w:rPr>
        <w:t xml:space="preserve"> Quando o ato tiver que ser praticado em determinado prazo, por meio de petição, esta deverá ser apresentada no protocolo, dentro do horário de expediente, nos termos da lei de organização judiciária local.</w:t>
      </w:r>
    </w:p>
    <w:p w14:paraId="74DC67B5"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468384F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219. ...........................................................................</w:t>
      </w:r>
    </w:p>
    <w:p w14:paraId="3E90B519"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23" w:anchor="art219§1." w:history="1">
        <w:r w:rsidRPr="00001C12">
          <w:rPr>
            <w:rFonts w:ascii="Arial" w:eastAsia="Times New Roman" w:hAnsi="Arial" w:cs="Arial"/>
            <w:color w:val="0000FF"/>
            <w:kern w:val="0"/>
            <w:sz w:val="20"/>
            <w:szCs w:val="20"/>
            <w:u w:val="single"/>
            <w:lang w:eastAsia="zh-CN"/>
            <w14:ligatures w14:val="none"/>
          </w:rPr>
          <w:t>§ 1º</w:t>
        </w:r>
      </w:hyperlink>
      <w:r w:rsidRPr="00001C12">
        <w:rPr>
          <w:rFonts w:ascii="Arial" w:eastAsia="Times New Roman" w:hAnsi="Arial" w:cs="Arial"/>
          <w:kern w:val="0"/>
          <w:sz w:val="20"/>
          <w:szCs w:val="20"/>
          <w:lang w:eastAsia="zh-CN"/>
          <w14:ligatures w14:val="none"/>
        </w:rPr>
        <w:t xml:space="preserve"> A interrupção da prescrição retroagirá à data da propositura da ação.</w:t>
      </w:r>
    </w:p>
    <w:p w14:paraId="508050DB"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4" w:anchor="art219§2." w:history="1">
        <w:r w:rsidRPr="00001C12">
          <w:rPr>
            <w:rFonts w:ascii="Arial" w:eastAsia="Times New Roman" w:hAnsi="Arial" w:cs="Arial"/>
            <w:color w:val="0000FF"/>
            <w:kern w:val="0"/>
            <w:sz w:val="20"/>
            <w:szCs w:val="20"/>
            <w:u w:val="single"/>
            <w:lang w:eastAsia="zh-CN"/>
            <w14:ligatures w14:val="none"/>
          </w:rPr>
          <w:t xml:space="preserve">§ 2º </w:t>
        </w:r>
      </w:hyperlink>
      <w:r w:rsidRPr="00001C12">
        <w:rPr>
          <w:rFonts w:ascii="Arial" w:eastAsia="Times New Roman" w:hAnsi="Arial" w:cs="Arial"/>
          <w:kern w:val="0"/>
          <w:sz w:val="20"/>
          <w:szCs w:val="20"/>
          <w:lang w:eastAsia="zh-CN"/>
          <w14:ligatures w14:val="none"/>
        </w:rPr>
        <w:t>Incumbe à parte promover a citação do réu nos dez dias subseqüentes ao despacho que a ordenar, não ficando prejudicada pela demora imputável exclusivamente ao serviço judiciário.</w:t>
      </w:r>
    </w:p>
    <w:p w14:paraId="65AAB40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5" w:anchor="art219§3." w:history="1">
        <w:r w:rsidRPr="00001C12">
          <w:rPr>
            <w:rFonts w:ascii="Arial" w:eastAsia="Times New Roman" w:hAnsi="Arial" w:cs="Arial"/>
            <w:color w:val="0000FF"/>
            <w:kern w:val="0"/>
            <w:sz w:val="20"/>
            <w:szCs w:val="20"/>
            <w:u w:val="single"/>
            <w:lang w:eastAsia="zh-CN"/>
            <w14:ligatures w14:val="none"/>
          </w:rPr>
          <w:t>§ 3º</w:t>
        </w:r>
      </w:hyperlink>
      <w:r w:rsidRPr="00001C12">
        <w:rPr>
          <w:rFonts w:ascii="Arial" w:eastAsia="Times New Roman" w:hAnsi="Arial" w:cs="Arial"/>
          <w:kern w:val="0"/>
          <w:sz w:val="20"/>
          <w:szCs w:val="20"/>
          <w:lang w:eastAsia="zh-CN"/>
          <w14:ligatures w14:val="none"/>
        </w:rPr>
        <w:t xml:space="preserve"> Não sendo citado o réu, o juiz prorrogará o prazo até o máximo de noventa dias.</w:t>
      </w:r>
    </w:p>
    <w:p w14:paraId="60CA566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4D6174A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239. .........................................................................</w:t>
      </w:r>
    </w:p>
    <w:p w14:paraId="2EC5E0B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Parágrafo único................................................................</w:t>
      </w:r>
    </w:p>
    <w:p w14:paraId="784AE4CE"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6C38BD9A"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6" w:anchor="art239piii." w:history="1">
        <w:r w:rsidRPr="00001C12">
          <w:rPr>
            <w:rFonts w:ascii="Arial" w:eastAsia="Times New Roman" w:hAnsi="Arial" w:cs="Arial"/>
            <w:color w:val="0000FF"/>
            <w:kern w:val="0"/>
            <w:sz w:val="20"/>
            <w:szCs w:val="20"/>
            <w:u w:val="single"/>
            <w:lang w:eastAsia="zh-CN"/>
            <w14:ligatures w14:val="none"/>
          </w:rPr>
          <w:t xml:space="preserve">III - </w:t>
        </w:r>
      </w:hyperlink>
      <w:r w:rsidRPr="00001C12">
        <w:rPr>
          <w:rFonts w:ascii="Arial" w:eastAsia="Times New Roman" w:hAnsi="Arial" w:cs="Arial"/>
          <w:kern w:val="0"/>
          <w:sz w:val="20"/>
          <w:szCs w:val="20"/>
          <w:lang w:eastAsia="zh-CN"/>
          <w14:ligatures w14:val="none"/>
        </w:rPr>
        <w:t>a nota de ciente ou certidão de que o interessado não a apôs no mandado.</w:t>
      </w:r>
    </w:p>
    <w:p w14:paraId="57CEA612"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2DC5D463"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7" w:anchor="art272" w:history="1">
        <w:r w:rsidRPr="00001C12">
          <w:rPr>
            <w:rFonts w:ascii="Arial" w:eastAsia="Times New Roman" w:hAnsi="Arial" w:cs="Arial"/>
            <w:color w:val="0000FF"/>
            <w:kern w:val="0"/>
            <w:sz w:val="20"/>
            <w:szCs w:val="20"/>
            <w:u w:val="single"/>
            <w:lang w:eastAsia="zh-CN"/>
            <w14:ligatures w14:val="none"/>
          </w:rPr>
          <w:t>Art. 272.</w:t>
        </w:r>
      </w:hyperlink>
      <w:r w:rsidRPr="00001C12">
        <w:rPr>
          <w:rFonts w:ascii="Arial" w:eastAsia="Times New Roman" w:hAnsi="Arial" w:cs="Arial"/>
          <w:kern w:val="0"/>
          <w:sz w:val="20"/>
          <w:szCs w:val="20"/>
          <w:lang w:eastAsia="zh-CN"/>
          <w14:ligatures w14:val="none"/>
        </w:rPr>
        <w:t xml:space="preserve"> O procedimento comum é ordinário ou sumário.</w:t>
      </w:r>
    </w:p>
    <w:p w14:paraId="19719742"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8" w:anchor="art272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O procedimento especial e o procedimento sumário regem-se pelas disposições que lhes são próprias, aplicando-se-lhes, subsidiariamente, as disposições gerais do procedimento ordinário.</w:t>
      </w:r>
    </w:p>
    <w:p w14:paraId="35C488C8"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29" w:anchor="art273" w:history="1">
        <w:r w:rsidRPr="00001C12">
          <w:rPr>
            <w:rFonts w:ascii="Arial" w:eastAsia="Times New Roman" w:hAnsi="Arial" w:cs="Arial"/>
            <w:color w:val="0000FF"/>
            <w:kern w:val="0"/>
            <w:sz w:val="20"/>
            <w:szCs w:val="20"/>
            <w:u w:val="single"/>
            <w:lang w:eastAsia="zh-CN"/>
            <w14:ligatures w14:val="none"/>
          </w:rPr>
          <w:t>Art. 273.</w:t>
        </w:r>
      </w:hyperlink>
      <w:r w:rsidRPr="00001C12">
        <w:rPr>
          <w:rFonts w:ascii="Arial" w:eastAsia="Times New Roman" w:hAnsi="Arial" w:cs="Arial"/>
          <w:kern w:val="0"/>
          <w:sz w:val="20"/>
          <w:szCs w:val="20"/>
          <w:lang w:eastAsia="zh-CN"/>
          <w14:ligatures w14:val="none"/>
        </w:rPr>
        <w:t xml:space="preserve"> O juiz poderá, a requerimento da parte, antecipar, total ou parcialmente, os efeitos da tutela pretendida no pedido inicial, desde que, existindo prova inequívoca, se convença da verossimilhança da alegação e:</w:t>
      </w:r>
    </w:p>
    <w:p w14:paraId="4FC03746"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30" w:anchor="art273i" w:history="1">
        <w:r w:rsidRPr="00001C12">
          <w:rPr>
            <w:rFonts w:ascii="Arial" w:eastAsia="Times New Roman" w:hAnsi="Arial" w:cs="Arial"/>
            <w:color w:val="0000FF"/>
            <w:kern w:val="0"/>
            <w:sz w:val="20"/>
            <w:szCs w:val="20"/>
            <w:u w:val="single"/>
            <w:lang w:eastAsia="zh-CN"/>
            <w14:ligatures w14:val="none"/>
          </w:rPr>
          <w:t>I -</w:t>
        </w:r>
      </w:hyperlink>
      <w:r w:rsidRPr="00001C12">
        <w:rPr>
          <w:rFonts w:ascii="Arial" w:eastAsia="Times New Roman" w:hAnsi="Arial" w:cs="Arial"/>
          <w:kern w:val="0"/>
          <w:sz w:val="20"/>
          <w:szCs w:val="20"/>
          <w:lang w:eastAsia="zh-CN"/>
          <w14:ligatures w14:val="none"/>
        </w:rPr>
        <w:t xml:space="preserve"> haja fundado receio de dano irreparável ou de difícil reparação; ou</w:t>
      </w:r>
    </w:p>
    <w:p w14:paraId="1C15515F"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1" w:anchor="art273ii" w:history="1">
        <w:r w:rsidRPr="00001C12">
          <w:rPr>
            <w:rFonts w:ascii="Arial" w:eastAsia="Times New Roman" w:hAnsi="Arial" w:cs="Arial"/>
            <w:color w:val="0000FF"/>
            <w:kern w:val="0"/>
            <w:sz w:val="20"/>
            <w:szCs w:val="20"/>
            <w:u w:val="single"/>
            <w:lang w:eastAsia="zh-CN"/>
            <w14:ligatures w14:val="none"/>
          </w:rPr>
          <w:t>II -</w:t>
        </w:r>
      </w:hyperlink>
      <w:r w:rsidRPr="00001C12">
        <w:rPr>
          <w:rFonts w:ascii="Arial" w:eastAsia="Times New Roman" w:hAnsi="Arial" w:cs="Arial"/>
          <w:kern w:val="0"/>
          <w:sz w:val="20"/>
          <w:szCs w:val="20"/>
          <w:lang w:eastAsia="zh-CN"/>
          <w14:ligatures w14:val="none"/>
        </w:rPr>
        <w:t xml:space="preserve"> fique caracterizado o abuso de direito de defesa ou o manifesto propósito protelatório do réu.</w:t>
      </w:r>
    </w:p>
    <w:p w14:paraId="78DF744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2" w:anchor="art273§1" w:history="1">
        <w:r w:rsidRPr="00001C12">
          <w:rPr>
            <w:rFonts w:ascii="Arial" w:eastAsia="Times New Roman" w:hAnsi="Arial" w:cs="Arial"/>
            <w:color w:val="0000FF"/>
            <w:kern w:val="0"/>
            <w:sz w:val="20"/>
            <w:szCs w:val="20"/>
            <w:u w:val="single"/>
            <w:lang w:eastAsia="zh-CN"/>
            <w14:ligatures w14:val="none"/>
          </w:rPr>
          <w:t>§ 1º</w:t>
        </w:r>
      </w:hyperlink>
      <w:r w:rsidRPr="00001C12">
        <w:rPr>
          <w:rFonts w:ascii="Arial" w:eastAsia="Times New Roman" w:hAnsi="Arial" w:cs="Arial"/>
          <w:kern w:val="0"/>
          <w:sz w:val="20"/>
          <w:szCs w:val="20"/>
          <w:lang w:eastAsia="zh-CN"/>
          <w14:ligatures w14:val="none"/>
        </w:rPr>
        <w:t xml:space="preserve"> Na decisão que antecipar a tutela, o juiz indicará, de modo claro e preciso, as razões do seu convencimento.</w:t>
      </w:r>
    </w:p>
    <w:p w14:paraId="2F7D1F5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3" w:anchor="art273§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Não se concederá a antecipação da tutela quando houver perigo de irreversibilidade do provimento antecipado.</w:t>
      </w:r>
    </w:p>
    <w:p w14:paraId="6E28FC9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4" w:anchor="art273§3" w:history="1">
        <w:r w:rsidRPr="00001C12">
          <w:rPr>
            <w:rFonts w:ascii="Arial" w:eastAsia="Times New Roman" w:hAnsi="Arial" w:cs="Arial"/>
            <w:color w:val="0000FF"/>
            <w:kern w:val="0"/>
            <w:sz w:val="20"/>
            <w:szCs w:val="20"/>
            <w:u w:val="single"/>
            <w:lang w:eastAsia="zh-CN"/>
            <w14:ligatures w14:val="none"/>
          </w:rPr>
          <w:t>§ 3º</w:t>
        </w:r>
      </w:hyperlink>
      <w:r w:rsidRPr="00001C12">
        <w:rPr>
          <w:rFonts w:ascii="Arial" w:eastAsia="Times New Roman" w:hAnsi="Arial" w:cs="Arial"/>
          <w:kern w:val="0"/>
          <w:sz w:val="20"/>
          <w:szCs w:val="20"/>
          <w:lang w:eastAsia="zh-CN"/>
          <w14:ligatures w14:val="none"/>
        </w:rPr>
        <w:t xml:space="preserve"> A execução da tutela antecipada observará, no que couber, o disposto nos incisos II e III do art. 588.</w:t>
      </w:r>
    </w:p>
    <w:p w14:paraId="356F037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5" w:anchor="art273§4" w:history="1">
        <w:r w:rsidRPr="00001C12">
          <w:rPr>
            <w:rFonts w:ascii="Arial" w:eastAsia="Times New Roman" w:hAnsi="Arial" w:cs="Arial"/>
            <w:color w:val="0000FF"/>
            <w:kern w:val="0"/>
            <w:sz w:val="20"/>
            <w:szCs w:val="20"/>
            <w:u w:val="single"/>
            <w:lang w:eastAsia="zh-CN"/>
            <w14:ligatures w14:val="none"/>
          </w:rPr>
          <w:t>§ 4º</w:t>
        </w:r>
      </w:hyperlink>
      <w:r w:rsidRPr="00001C12">
        <w:rPr>
          <w:rFonts w:ascii="Arial" w:eastAsia="Times New Roman" w:hAnsi="Arial" w:cs="Arial"/>
          <w:kern w:val="0"/>
          <w:sz w:val="20"/>
          <w:szCs w:val="20"/>
          <w:lang w:eastAsia="zh-CN"/>
          <w14:ligatures w14:val="none"/>
        </w:rPr>
        <w:t xml:space="preserve"> A tutela antecipada poderá ser revogada ou modificada a qualquer tempo, em decisão fundamentada.</w:t>
      </w:r>
    </w:p>
    <w:p w14:paraId="7EE511E5"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36" w:anchor="art273§5" w:history="1">
        <w:r w:rsidRPr="00001C12">
          <w:rPr>
            <w:rFonts w:ascii="Arial" w:eastAsia="Times New Roman" w:hAnsi="Arial" w:cs="Arial"/>
            <w:color w:val="0000FF"/>
            <w:kern w:val="0"/>
            <w:sz w:val="20"/>
            <w:szCs w:val="20"/>
            <w:u w:val="single"/>
            <w:lang w:eastAsia="zh-CN"/>
            <w14:ligatures w14:val="none"/>
          </w:rPr>
          <w:t>§ 5º</w:t>
        </w:r>
      </w:hyperlink>
      <w:r w:rsidRPr="00001C12">
        <w:rPr>
          <w:rFonts w:ascii="Arial" w:eastAsia="Times New Roman" w:hAnsi="Arial" w:cs="Arial"/>
          <w:kern w:val="0"/>
          <w:sz w:val="20"/>
          <w:szCs w:val="20"/>
          <w:lang w:eastAsia="zh-CN"/>
          <w14:ligatures w14:val="none"/>
        </w:rPr>
        <w:t xml:space="preserve"> Concedida ou não a antecipação da tutela, prosseguirá o processo até final julgamento.</w:t>
      </w:r>
    </w:p>
    <w:p w14:paraId="34EC6F5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6D77F48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7" w:anchor="art296." w:history="1">
        <w:r w:rsidRPr="00001C12">
          <w:rPr>
            <w:rFonts w:ascii="Arial" w:eastAsia="Times New Roman" w:hAnsi="Arial" w:cs="Arial"/>
            <w:color w:val="0000FF"/>
            <w:kern w:val="0"/>
            <w:sz w:val="20"/>
            <w:szCs w:val="20"/>
            <w:u w:val="single"/>
            <w:lang w:eastAsia="zh-CN"/>
            <w14:ligatures w14:val="none"/>
          </w:rPr>
          <w:t>Art. 296.</w:t>
        </w:r>
      </w:hyperlink>
      <w:r w:rsidRPr="00001C12">
        <w:rPr>
          <w:rFonts w:ascii="Arial" w:eastAsia="Times New Roman" w:hAnsi="Arial" w:cs="Arial"/>
          <w:kern w:val="0"/>
          <w:sz w:val="20"/>
          <w:szCs w:val="20"/>
          <w:lang w:eastAsia="zh-CN"/>
          <w14:ligatures w14:val="none"/>
        </w:rPr>
        <w:t xml:space="preserve"> Indeferida a petição inicial, o autor poderá apelar, facultado ao juiz, no prazo de quarenta e oito horas, reformar sua decisão.</w:t>
      </w:r>
    </w:p>
    <w:p w14:paraId="2DEBF6E5"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8" w:anchor="art296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Não sendo reformada a decisão, os autos serão imediatamente encaminhados ao tribunal competente.</w:t>
      </w:r>
    </w:p>
    <w:p w14:paraId="506B76BF"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45B76922"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39" w:anchor="art331." w:history="1">
        <w:r w:rsidRPr="00001C12">
          <w:rPr>
            <w:rFonts w:ascii="Arial" w:eastAsia="Times New Roman" w:hAnsi="Arial" w:cs="Arial"/>
            <w:color w:val="0000FF"/>
            <w:kern w:val="0"/>
            <w:sz w:val="20"/>
            <w:szCs w:val="20"/>
            <w:u w:val="single"/>
            <w:lang w:eastAsia="zh-CN"/>
            <w14:ligatures w14:val="none"/>
          </w:rPr>
          <w:t>Art. 331.</w:t>
        </w:r>
      </w:hyperlink>
      <w:r w:rsidRPr="00001C12">
        <w:rPr>
          <w:rFonts w:ascii="Arial" w:eastAsia="Times New Roman" w:hAnsi="Arial" w:cs="Arial"/>
          <w:kern w:val="0"/>
          <w:sz w:val="20"/>
          <w:szCs w:val="20"/>
          <w:lang w:eastAsia="zh-CN"/>
          <w14:ligatures w14:val="none"/>
        </w:rPr>
        <w:t xml:space="preserve"> Se não se verificar qualquer das hipóteses previstas nas seções precedentes e a causa versar sobre direitos disponíveis, o juiz designará audiência de conciliação, a realizar-se no prazo máximo de trinta dias, à qual deverão comparecer as partes ou seus procuradores, habilitados a transigir.</w:t>
      </w:r>
    </w:p>
    <w:p w14:paraId="28491ED6"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40" w:anchor="art331§1" w:history="1">
        <w:r w:rsidRPr="00001C12">
          <w:rPr>
            <w:rFonts w:ascii="Arial" w:eastAsia="Times New Roman" w:hAnsi="Arial" w:cs="Arial"/>
            <w:color w:val="0000FF"/>
            <w:kern w:val="0"/>
            <w:sz w:val="20"/>
            <w:szCs w:val="20"/>
            <w:u w:val="single"/>
            <w:lang w:eastAsia="zh-CN"/>
            <w14:ligatures w14:val="none"/>
          </w:rPr>
          <w:t xml:space="preserve">§ 1º </w:t>
        </w:r>
      </w:hyperlink>
      <w:r w:rsidRPr="00001C12">
        <w:rPr>
          <w:rFonts w:ascii="Arial" w:eastAsia="Times New Roman" w:hAnsi="Arial" w:cs="Arial"/>
          <w:kern w:val="0"/>
          <w:sz w:val="20"/>
          <w:szCs w:val="20"/>
          <w:lang w:eastAsia="zh-CN"/>
          <w14:ligatures w14:val="none"/>
        </w:rPr>
        <w:t>Obtida a conciliação, será reduzida a termo e homologada por sentença.</w:t>
      </w:r>
    </w:p>
    <w:p w14:paraId="1830B74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1" w:anchor="art331§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Se, por qualquer motivo, não for obtida a conciliação, o juiz fixará os pontos controvertidos, decidirá as questões processuais pendentes e determinará as provas a serem produzidas, designando audiência de instrução e julgamento, se necessário.</w:t>
      </w:r>
    </w:p>
    <w:p w14:paraId="1FF42032"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7383EC3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2" w:anchor="art417" w:history="1">
        <w:r w:rsidRPr="00001C12">
          <w:rPr>
            <w:rFonts w:ascii="Arial" w:eastAsia="Times New Roman" w:hAnsi="Arial" w:cs="Arial"/>
            <w:color w:val="0000FF"/>
            <w:kern w:val="0"/>
            <w:sz w:val="20"/>
            <w:szCs w:val="20"/>
            <w:u w:val="single"/>
            <w:lang w:eastAsia="zh-CN"/>
            <w14:ligatures w14:val="none"/>
          </w:rPr>
          <w:t>Art. 417.</w:t>
        </w:r>
      </w:hyperlink>
      <w:r w:rsidRPr="00001C12">
        <w:rPr>
          <w:rFonts w:ascii="Arial" w:eastAsia="Times New Roman" w:hAnsi="Arial" w:cs="Arial"/>
          <w:kern w:val="0"/>
          <w:sz w:val="20"/>
          <w:szCs w:val="20"/>
          <w:lang w:eastAsia="zh-CN"/>
          <w14:ligatures w14:val="none"/>
        </w:rPr>
        <w:t xml:space="preserve"> O depoimento, datilografado ou registrado por taquigrafia, estenotipia ou outro método idôneo de documentação, será assinado pelo juiz, pelo depoente e pelos procuradores, facultando-se às partes a sua gravação.</w:t>
      </w:r>
    </w:p>
    <w:p w14:paraId="270AC457"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3" w:anchor="art417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O depoimento será passado para a versão datilográfica quando houver recurso da sentença, ou noutros casos, quando o juiz o determinar, de ofício ou a requerimento da parte.</w:t>
      </w:r>
    </w:p>
    <w:p w14:paraId="631B11E6"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208A8BA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4" w:anchor="art434" w:history="1">
        <w:r w:rsidRPr="00001C12">
          <w:rPr>
            <w:rFonts w:ascii="Arial" w:eastAsia="Times New Roman" w:hAnsi="Arial" w:cs="Arial"/>
            <w:color w:val="0000FF"/>
            <w:kern w:val="0"/>
            <w:sz w:val="20"/>
            <w:szCs w:val="20"/>
            <w:u w:val="single"/>
            <w:lang w:eastAsia="zh-CN"/>
            <w14:ligatures w14:val="none"/>
          </w:rPr>
          <w:t>Art. 434.</w:t>
        </w:r>
      </w:hyperlink>
      <w:r w:rsidRPr="00001C12">
        <w:rPr>
          <w:rFonts w:ascii="Arial" w:eastAsia="Times New Roman" w:hAnsi="Arial" w:cs="Arial"/>
          <w:kern w:val="0"/>
          <w:sz w:val="20"/>
          <w:szCs w:val="20"/>
          <w:lang w:eastAsia="zh-CN"/>
          <w14:ligatures w14:val="none"/>
        </w:rPr>
        <w:t xml:space="preserve"> Quando o exame tiver por objeto a autenticidade ou a falsidade de documento, ou for de natureza médico-legal, o perito será escolhido, de preferência, entre os técnicos dos estabelecimentos oficiais especializados. O juiz autorizará a remessa dos autos, bem como do material sujeito a exame, ao diretor do estabelecimento.</w:t>
      </w:r>
    </w:p>
    <w:p w14:paraId="7E1C8378"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26EC91D3"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Art. 460. ..........................................................................</w:t>
      </w:r>
    </w:p>
    <w:p w14:paraId="5CA30F9C"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5" w:anchor="art460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A sentença deve ser certa, ainda quando decida relação jurídica condicional.</w:t>
      </w:r>
    </w:p>
    <w:p w14:paraId="769ACA35"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46" w:anchor="art461" w:history="1">
        <w:r w:rsidRPr="00001C12">
          <w:rPr>
            <w:rFonts w:ascii="Arial" w:eastAsia="Times New Roman" w:hAnsi="Arial" w:cs="Arial"/>
            <w:color w:val="0000FF"/>
            <w:kern w:val="0"/>
            <w:sz w:val="20"/>
            <w:szCs w:val="20"/>
            <w:u w:val="single"/>
            <w:lang w:eastAsia="zh-CN"/>
            <w14:ligatures w14:val="none"/>
          </w:rPr>
          <w:t>Art. 461.</w:t>
        </w:r>
      </w:hyperlink>
      <w:r w:rsidRPr="00001C12">
        <w:rPr>
          <w:rFonts w:ascii="Arial" w:eastAsia="Times New Roman" w:hAnsi="Arial" w:cs="Arial"/>
          <w:kern w:val="0"/>
          <w:sz w:val="20"/>
          <w:szCs w:val="20"/>
          <w:lang w:eastAsia="zh-CN"/>
          <w14:ligatures w14:val="none"/>
        </w:rPr>
        <w:t xml:space="preserve"> Na ação que tenha por objeto o cumprimento de obrigação de fazer ou não fazer, o juiz concederá a tutela específica da obrigação ou, se procedente o pedido, determinará providências que assegurem o resultado prático equivalente ao do adimplemento.</w:t>
      </w:r>
    </w:p>
    <w:p w14:paraId="2B4C3ABB"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7" w:anchor="art461§1" w:history="1">
        <w:r w:rsidRPr="00001C12">
          <w:rPr>
            <w:rFonts w:ascii="Arial" w:eastAsia="Times New Roman" w:hAnsi="Arial" w:cs="Arial"/>
            <w:color w:val="0000FF"/>
            <w:kern w:val="0"/>
            <w:sz w:val="20"/>
            <w:szCs w:val="20"/>
            <w:u w:val="single"/>
            <w:lang w:eastAsia="zh-CN"/>
            <w14:ligatures w14:val="none"/>
          </w:rPr>
          <w:t>§ 1º</w:t>
        </w:r>
      </w:hyperlink>
      <w:r w:rsidRPr="00001C12">
        <w:rPr>
          <w:rFonts w:ascii="Arial" w:eastAsia="Times New Roman" w:hAnsi="Arial" w:cs="Arial"/>
          <w:kern w:val="0"/>
          <w:sz w:val="20"/>
          <w:szCs w:val="20"/>
          <w:lang w:eastAsia="zh-CN"/>
          <w14:ligatures w14:val="none"/>
        </w:rPr>
        <w:t xml:space="preserve"> A obrigação somente se converterá em perdas e danos se o autor o requerer ou se impossível a tutela específica ou a obtenção do resultado prático correspondente.</w:t>
      </w:r>
    </w:p>
    <w:p w14:paraId="2675EBEE"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8" w:anchor="art461§2" w:history="1">
        <w:r w:rsidRPr="00001C12">
          <w:rPr>
            <w:rFonts w:ascii="Arial" w:eastAsia="Times New Roman" w:hAnsi="Arial" w:cs="Arial"/>
            <w:color w:val="0000FF"/>
            <w:kern w:val="0"/>
            <w:sz w:val="20"/>
            <w:szCs w:val="20"/>
            <w:u w:val="single"/>
            <w:lang w:eastAsia="zh-CN"/>
            <w14:ligatures w14:val="none"/>
          </w:rPr>
          <w:t>§ 2º</w:t>
        </w:r>
      </w:hyperlink>
      <w:r w:rsidRPr="00001C12">
        <w:rPr>
          <w:rFonts w:ascii="Arial" w:eastAsia="Times New Roman" w:hAnsi="Arial" w:cs="Arial"/>
          <w:kern w:val="0"/>
          <w:sz w:val="20"/>
          <w:szCs w:val="20"/>
          <w:lang w:eastAsia="zh-CN"/>
          <w14:ligatures w14:val="none"/>
        </w:rPr>
        <w:t xml:space="preserve"> A indenização por perdas e danos dar-se-á sem prejuízo da multa (art. 287).</w:t>
      </w:r>
    </w:p>
    <w:p w14:paraId="14E8D4B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49" w:anchor="art461§3" w:history="1">
        <w:r w:rsidRPr="00001C12">
          <w:rPr>
            <w:rFonts w:ascii="Arial" w:eastAsia="Times New Roman" w:hAnsi="Arial" w:cs="Arial"/>
            <w:color w:val="0000FF"/>
            <w:kern w:val="0"/>
            <w:sz w:val="20"/>
            <w:szCs w:val="20"/>
            <w:u w:val="single"/>
            <w:lang w:eastAsia="zh-CN"/>
            <w14:ligatures w14:val="none"/>
          </w:rPr>
          <w:t>§ 3º</w:t>
        </w:r>
      </w:hyperlink>
      <w:r w:rsidRPr="00001C12">
        <w:rPr>
          <w:rFonts w:ascii="Arial" w:eastAsia="Times New Roman" w:hAnsi="Arial" w:cs="Arial"/>
          <w:kern w:val="0"/>
          <w:sz w:val="20"/>
          <w:szCs w:val="20"/>
          <w:lang w:eastAsia="zh-CN"/>
          <w14:ligatures w14:val="none"/>
        </w:rPr>
        <w:t xml:space="preserve"> Sendo relevante o fundamento da demanda e havendo justificado receio de ineficácia do provimento final, é lícito ao juiz conceder a tutela liminarmente ou mediante justificação prévia, citado o réu. A medida liminar poderá ser revogada ou modificada, a qualquer tempo, em decisão fundamentada.</w:t>
      </w:r>
    </w:p>
    <w:p w14:paraId="43344BDD"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50" w:anchor="art461§4" w:history="1">
        <w:r w:rsidRPr="00001C12">
          <w:rPr>
            <w:rFonts w:ascii="Arial" w:eastAsia="Times New Roman" w:hAnsi="Arial" w:cs="Arial"/>
            <w:color w:val="0000FF"/>
            <w:kern w:val="0"/>
            <w:sz w:val="20"/>
            <w:szCs w:val="20"/>
            <w:u w:val="single"/>
            <w:lang w:eastAsia="zh-CN"/>
            <w14:ligatures w14:val="none"/>
          </w:rPr>
          <w:t>§ 4º</w:t>
        </w:r>
      </w:hyperlink>
      <w:r w:rsidRPr="00001C12">
        <w:rPr>
          <w:rFonts w:ascii="Arial" w:eastAsia="Times New Roman" w:hAnsi="Arial" w:cs="Arial"/>
          <w:kern w:val="0"/>
          <w:sz w:val="20"/>
          <w:szCs w:val="20"/>
          <w:lang w:eastAsia="zh-CN"/>
          <w14:ligatures w14:val="none"/>
        </w:rPr>
        <w:t xml:space="preserve"> O juiz poderá, na hipótese do parágrafo anterior ou na sentença, impor multa diária ao réu, independentemente de pedido do autor, se for suficiente ou compatível com a obrigação, fixando-lhe prazo razoável para o cumprimento do preceito.</w:t>
      </w:r>
    </w:p>
    <w:p w14:paraId="484F34A7"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51" w:anchor="art461§5" w:history="1">
        <w:r w:rsidRPr="00001C12">
          <w:rPr>
            <w:rFonts w:ascii="Arial" w:eastAsia="Times New Roman" w:hAnsi="Arial" w:cs="Arial"/>
            <w:color w:val="0000FF"/>
            <w:kern w:val="0"/>
            <w:sz w:val="20"/>
            <w:szCs w:val="20"/>
            <w:u w:val="single"/>
            <w:lang w:eastAsia="zh-CN"/>
            <w14:ligatures w14:val="none"/>
          </w:rPr>
          <w:t>§ 5º</w:t>
        </w:r>
      </w:hyperlink>
      <w:r w:rsidRPr="00001C12">
        <w:rPr>
          <w:rFonts w:ascii="Arial" w:eastAsia="Times New Roman" w:hAnsi="Arial" w:cs="Arial"/>
          <w:kern w:val="0"/>
          <w:sz w:val="20"/>
          <w:szCs w:val="20"/>
          <w:lang w:eastAsia="zh-CN"/>
          <w14:ligatures w14:val="none"/>
        </w:rPr>
        <w:t xml:space="preserve"> Para a efetivação da tutela específica ou para a obtenção do resultado prático equivalente, poderá o juiz, de ofício ou a requerimento, determinar as medidas necessárias, tais como a busca e apreensão, remoção de pessoas e coisas, desfazimento de obras, impedimento de atividade nociva, além de requisição de força policial.</w:t>
      </w:r>
    </w:p>
    <w:p w14:paraId="21A3BC91"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2185CE9C"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 xml:space="preserve">Art. 800. .................................................................................. </w:t>
      </w:r>
    </w:p>
    <w:p w14:paraId="2553F88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hyperlink r:id="rId52" w:anchor="art800p" w:history="1">
        <w:r w:rsidRPr="00001C12">
          <w:rPr>
            <w:rFonts w:ascii="Arial" w:eastAsia="Times New Roman" w:hAnsi="Arial" w:cs="Arial"/>
            <w:color w:val="0000FF"/>
            <w:kern w:val="0"/>
            <w:sz w:val="20"/>
            <w:szCs w:val="20"/>
            <w:u w:val="single"/>
            <w:lang w:eastAsia="zh-CN"/>
            <w14:ligatures w14:val="none"/>
          </w:rPr>
          <w:t>Parágrafo único.</w:t>
        </w:r>
      </w:hyperlink>
      <w:r w:rsidRPr="00001C12">
        <w:rPr>
          <w:rFonts w:ascii="Arial" w:eastAsia="Times New Roman" w:hAnsi="Arial" w:cs="Arial"/>
          <w:kern w:val="0"/>
          <w:sz w:val="20"/>
          <w:szCs w:val="20"/>
          <w:lang w:eastAsia="zh-CN"/>
          <w14:ligatures w14:val="none"/>
        </w:rPr>
        <w:t xml:space="preserve"> Interposto o recurso, a medida cautelar será requerida diretamente ao tribunal.</w:t>
      </w:r>
    </w:p>
    <w:p w14:paraId="21726CA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w:t>
      </w:r>
    </w:p>
    <w:p w14:paraId="3DBEDDB8" w14:textId="77777777" w:rsidR="00001C12" w:rsidRPr="00001C12" w:rsidRDefault="00001C12" w:rsidP="00001C12">
      <w:pPr>
        <w:spacing w:beforeAutospacing="1" w:after="100" w:afterAutospacing="1" w:line="240" w:lineRule="auto"/>
        <w:rPr>
          <w:rFonts w:ascii="Arial" w:eastAsia="Times New Roman" w:hAnsi="Arial" w:cs="Arial"/>
          <w:kern w:val="0"/>
          <w:sz w:val="24"/>
          <w:szCs w:val="24"/>
          <w:lang w:eastAsia="zh-CN"/>
          <w14:ligatures w14:val="none"/>
        </w:rPr>
      </w:pPr>
      <w:hyperlink r:id="rId53" w:anchor="art805" w:history="1">
        <w:r w:rsidRPr="00001C12">
          <w:rPr>
            <w:rFonts w:ascii="Arial" w:eastAsia="Times New Roman" w:hAnsi="Arial" w:cs="Arial"/>
            <w:color w:val="0000FF"/>
            <w:kern w:val="0"/>
            <w:sz w:val="20"/>
            <w:szCs w:val="20"/>
            <w:u w:val="single"/>
            <w:lang w:eastAsia="zh-CN"/>
            <w14:ligatures w14:val="none"/>
          </w:rPr>
          <w:t>Art. 805.</w:t>
        </w:r>
      </w:hyperlink>
      <w:r w:rsidRPr="00001C12">
        <w:rPr>
          <w:rFonts w:ascii="Arial" w:eastAsia="Times New Roman" w:hAnsi="Arial" w:cs="Arial"/>
          <w:kern w:val="0"/>
          <w:sz w:val="20"/>
          <w:szCs w:val="20"/>
          <w:lang w:eastAsia="zh-CN"/>
          <w14:ligatures w14:val="none"/>
        </w:rPr>
        <w:t xml:space="preserve"> A medida cautelar poderá ser substituída, de ofício ou a requerimento de qualquer das partes, pela prestação de caução ou outra garantia menos gravosa para o requerido, sempre que adequada e suficiente para evitar a lesão ou repará-la integralmente."</w:t>
      </w:r>
    </w:p>
    <w:p w14:paraId="5E4CA546"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 xml:space="preserve">        </w:t>
      </w:r>
      <w:bookmarkStart w:id="1" w:name="art2"/>
      <w:bookmarkEnd w:id="1"/>
      <w:r w:rsidRPr="00001C12">
        <w:rPr>
          <w:rFonts w:ascii="Arial" w:eastAsia="Times New Roman" w:hAnsi="Arial" w:cs="Arial"/>
          <w:kern w:val="0"/>
          <w:sz w:val="20"/>
          <w:szCs w:val="20"/>
          <w:lang w:eastAsia="zh-CN"/>
          <w14:ligatures w14:val="none"/>
        </w:rPr>
        <w:t xml:space="preserve">Art. 2º Ficam revogados o </w:t>
      </w:r>
      <w:hyperlink r:id="rId54" w:anchor="art217i" w:history="1">
        <w:r w:rsidRPr="00001C12">
          <w:rPr>
            <w:rFonts w:ascii="Arial" w:eastAsia="Times New Roman" w:hAnsi="Arial" w:cs="Arial"/>
            <w:color w:val="0000FF"/>
            <w:kern w:val="0"/>
            <w:sz w:val="20"/>
            <w:szCs w:val="20"/>
            <w:u w:val="single"/>
            <w:lang w:eastAsia="zh-CN"/>
            <w14:ligatures w14:val="none"/>
          </w:rPr>
          <w:t>inciso I do art. 217</w:t>
        </w:r>
      </w:hyperlink>
      <w:r w:rsidRPr="00001C12">
        <w:rPr>
          <w:rFonts w:ascii="Arial" w:eastAsia="Times New Roman" w:hAnsi="Arial" w:cs="Arial"/>
          <w:kern w:val="0"/>
          <w:sz w:val="20"/>
          <w:szCs w:val="20"/>
          <w:lang w:eastAsia="zh-CN"/>
          <w14:ligatures w14:val="none"/>
        </w:rPr>
        <w:t xml:space="preserve"> e o </w:t>
      </w:r>
      <w:hyperlink r:id="rId55" w:anchor="art242§2" w:history="1">
        <w:r w:rsidRPr="00001C12">
          <w:rPr>
            <w:rFonts w:ascii="Arial" w:eastAsia="Times New Roman" w:hAnsi="Arial" w:cs="Arial"/>
            <w:color w:val="0000FF"/>
            <w:kern w:val="0"/>
            <w:sz w:val="20"/>
            <w:szCs w:val="20"/>
            <w:u w:val="single"/>
            <w:lang w:eastAsia="zh-CN"/>
            <w14:ligatures w14:val="none"/>
          </w:rPr>
          <w:t>§ 2º do art. 242</w:t>
        </w:r>
      </w:hyperlink>
      <w:r w:rsidRPr="00001C12">
        <w:rPr>
          <w:rFonts w:ascii="Arial" w:eastAsia="Times New Roman" w:hAnsi="Arial" w:cs="Arial"/>
          <w:kern w:val="0"/>
          <w:sz w:val="20"/>
          <w:szCs w:val="20"/>
          <w:lang w:eastAsia="zh-CN"/>
          <w14:ligatures w14:val="none"/>
        </w:rPr>
        <w:t>, renumerando-se os</w:t>
      </w:r>
      <w:hyperlink r:id="rId56" w:anchor="art217i." w:history="1">
        <w:r w:rsidRPr="00001C12">
          <w:rPr>
            <w:rFonts w:ascii="Arial" w:eastAsia="Times New Roman" w:hAnsi="Arial" w:cs="Arial"/>
            <w:color w:val="0000FF"/>
            <w:kern w:val="0"/>
            <w:sz w:val="20"/>
            <w:szCs w:val="20"/>
            <w:u w:val="single"/>
            <w:lang w:eastAsia="zh-CN"/>
            <w14:ligatures w14:val="none"/>
          </w:rPr>
          <w:t xml:space="preserve"> incisos II a V</w:t>
        </w:r>
      </w:hyperlink>
      <w:r w:rsidRPr="00001C12">
        <w:rPr>
          <w:rFonts w:ascii="Arial" w:eastAsia="Times New Roman" w:hAnsi="Arial" w:cs="Arial"/>
          <w:kern w:val="0"/>
          <w:sz w:val="20"/>
          <w:szCs w:val="20"/>
          <w:lang w:eastAsia="zh-CN"/>
          <w14:ligatures w14:val="none"/>
        </w:rPr>
        <w:t xml:space="preserve"> daquele artigo e o </w:t>
      </w:r>
      <w:hyperlink r:id="rId57" w:anchor="art242§2." w:history="1">
        <w:r w:rsidRPr="00001C12">
          <w:rPr>
            <w:rFonts w:ascii="Arial" w:eastAsia="Times New Roman" w:hAnsi="Arial" w:cs="Arial"/>
            <w:color w:val="0000FF"/>
            <w:kern w:val="0"/>
            <w:sz w:val="20"/>
            <w:szCs w:val="20"/>
            <w:u w:val="single"/>
            <w:lang w:eastAsia="zh-CN"/>
            <w14:ligatures w14:val="none"/>
          </w:rPr>
          <w:t>§ 3º</w:t>
        </w:r>
      </w:hyperlink>
      <w:r w:rsidRPr="00001C12">
        <w:rPr>
          <w:rFonts w:ascii="Arial" w:eastAsia="Times New Roman" w:hAnsi="Arial" w:cs="Arial"/>
          <w:kern w:val="0"/>
          <w:sz w:val="20"/>
          <w:szCs w:val="20"/>
          <w:lang w:eastAsia="zh-CN"/>
          <w14:ligatures w14:val="none"/>
        </w:rPr>
        <w:t xml:space="preserve"> deste, do Código de Processo Civil.</w:t>
      </w:r>
    </w:p>
    <w:p w14:paraId="3D6D4892"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 xml:space="preserve">        </w:t>
      </w:r>
      <w:bookmarkStart w:id="2" w:name="ART3"/>
      <w:bookmarkEnd w:id="2"/>
      <w:r w:rsidRPr="00001C12">
        <w:rPr>
          <w:rFonts w:ascii="Arial" w:eastAsia="Times New Roman" w:hAnsi="Arial" w:cs="Arial"/>
          <w:kern w:val="0"/>
          <w:sz w:val="20"/>
          <w:szCs w:val="20"/>
          <w:lang w:eastAsia="zh-CN"/>
          <w14:ligatures w14:val="none"/>
        </w:rPr>
        <w:t>Art. 3º Esta lei entra em vigor sessenta dias após a data de sua publicação.</w:t>
      </w:r>
    </w:p>
    <w:p w14:paraId="2485D039" w14:textId="77777777" w:rsidR="00001C12" w:rsidRPr="00001C12" w:rsidRDefault="00001C12" w:rsidP="00001C12">
      <w:pPr>
        <w:spacing w:before="100" w:beforeAutospacing="1" w:after="100" w:afterAutospacing="1" w:line="240" w:lineRule="auto"/>
        <w:rPr>
          <w:rFonts w:ascii="Arial" w:eastAsia="Times New Roman" w:hAnsi="Arial" w:cs="Arial"/>
          <w:kern w:val="0"/>
          <w:sz w:val="24"/>
          <w:szCs w:val="24"/>
          <w:lang w:eastAsia="zh-CN"/>
          <w14:ligatures w14:val="none"/>
        </w:rPr>
      </w:pPr>
      <w:r w:rsidRPr="00001C12">
        <w:rPr>
          <w:rFonts w:ascii="Arial" w:eastAsia="Times New Roman" w:hAnsi="Arial" w:cs="Arial"/>
          <w:kern w:val="0"/>
          <w:sz w:val="20"/>
          <w:szCs w:val="20"/>
          <w:lang w:eastAsia="zh-CN"/>
          <w14:ligatures w14:val="none"/>
        </w:rPr>
        <w:t>        Brasília, 13 de dezembro de 1994; 173º da Independência e 106º da República.</w:t>
      </w:r>
    </w:p>
    <w:p w14:paraId="3C91E39D" w14:textId="77777777" w:rsidR="00001C12" w:rsidRPr="00001C12" w:rsidRDefault="00001C12" w:rsidP="00001C1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01C12">
        <w:rPr>
          <w:rFonts w:ascii="Arial" w:eastAsia="Times New Roman" w:hAnsi="Arial" w:cs="Arial"/>
          <w:kern w:val="0"/>
          <w:sz w:val="20"/>
          <w:szCs w:val="20"/>
          <w:lang w:eastAsia="zh-CN"/>
          <w14:ligatures w14:val="none"/>
        </w:rPr>
        <w:t>INOCÊNCIO OLIVEIRA</w:t>
      </w:r>
      <w:r w:rsidRPr="00001C12">
        <w:rPr>
          <w:rFonts w:ascii="Arial" w:eastAsia="Times New Roman" w:hAnsi="Arial" w:cs="Arial"/>
          <w:kern w:val="0"/>
          <w:sz w:val="20"/>
          <w:szCs w:val="20"/>
          <w:lang w:eastAsia="zh-CN"/>
          <w14:ligatures w14:val="none"/>
        </w:rPr>
        <w:br/>
      </w:r>
      <w:r w:rsidRPr="00001C12">
        <w:rPr>
          <w:rFonts w:ascii="Arial" w:eastAsia="Times New Roman" w:hAnsi="Arial" w:cs="Arial"/>
          <w:i/>
          <w:iCs/>
          <w:kern w:val="0"/>
          <w:sz w:val="20"/>
          <w:szCs w:val="20"/>
          <w:lang w:eastAsia="zh-CN"/>
          <w14:ligatures w14:val="none"/>
        </w:rPr>
        <w:t>Alexandre de Paula Dupeyrat Martins</w:t>
      </w:r>
    </w:p>
    <w:p w14:paraId="43D5CDC2" w14:textId="77777777" w:rsidR="00001C12" w:rsidRPr="00001C12" w:rsidRDefault="00001C12" w:rsidP="00001C12">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001C12">
        <w:rPr>
          <w:rFonts w:ascii="Arial" w:eastAsia="Times New Roman" w:hAnsi="Arial" w:cs="Arial"/>
          <w:color w:val="FF0000"/>
          <w:kern w:val="0"/>
          <w:sz w:val="20"/>
          <w:szCs w:val="20"/>
          <w:lang w:eastAsia="zh-CN"/>
          <w14:ligatures w14:val="none"/>
        </w:rPr>
        <w:t>Este texto não substitui o publicado no D.O.U. de 14.12.1994</w:t>
      </w:r>
    </w:p>
    <w:p w14:paraId="7C436F81"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Arial" w:eastAsia="Times New Roman" w:hAnsi="Arial" w:cs="Arial"/>
          <w:color w:val="FF0000"/>
          <w:kern w:val="0"/>
          <w:sz w:val="27"/>
          <w:szCs w:val="27"/>
          <w:lang w:eastAsia="zh-CN"/>
          <w14:ligatures w14:val="none"/>
        </w:rPr>
        <w:t>*</w:t>
      </w:r>
    </w:p>
    <w:p w14:paraId="42199482"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6A6327C0"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78F8D97F"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7DBCDACA"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512268C0"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301960D9"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lastRenderedPageBreak/>
        <w:t> </w:t>
      </w:r>
    </w:p>
    <w:p w14:paraId="58A5292A"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53292346"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6C3B074C" w14:textId="77777777" w:rsidR="00001C12" w:rsidRPr="00001C12" w:rsidRDefault="00001C12" w:rsidP="00001C12">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001C12">
        <w:rPr>
          <w:rFonts w:ascii="Times New Roman" w:eastAsia="Times New Roman" w:hAnsi="Times New Roman" w:cs="Times New Roman"/>
          <w:kern w:val="0"/>
          <w:sz w:val="24"/>
          <w:szCs w:val="24"/>
          <w:lang w:eastAsia="zh-CN"/>
          <w14:ligatures w14:val="none"/>
        </w:rPr>
        <w:t> </w:t>
      </w:r>
    </w:p>
    <w:p w14:paraId="1B87C87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C12"/>
    <w:rsid w:val="00001C12"/>
    <w:rsid w:val="002608AA"/>
    <w:rsid w:val="003110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E6048"/>
  <w15:chartTrackingRefBased/>
  <w15:docId w15:val="{9E357B5A-1AF8-4ED1-B5D5-A5036C6A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001C12"/>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001C12"/>
    <w:rPr>
      <w:b/>
      <w:bCs/>
    </w:rPr>
  </w:style>
  <w:style w:type="character" w:styleId="Hyperlink">
    <w:name w:val="Hyperlink"/>
    <w:basedOn w:val="Fontepargpadro"/>
    <w:uiPriority w:val="99"/>
    <w:semiHidden/>
    <w:unhideWhenUsed/>
    <w:rsid w:val="00001C12"/>
    <w:rPr>
      <w:color w:val="0000FF"/>
      <w:u w:val="single"/>
    </w:rPr>
  </w:style>
  <w:style w:type="character" w:styleId="nfase">
    <w:name w:val="Emphasis"/>
    <w:basedOn w:val="Fontepargpadro"/>
    <w:uiPriority w:val="20"/>
    <w:qFormat/>
    <w:rsid w:val="00001C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880328">
      <w:bodyDiv w:val="1"/>
      <w:marLeft w:val="0"/>
      <w:marRight w:val="0"/>
      <w:marTop w:val="0"/>
      <w:marBottom w:val="0"/>
      <w:divBdr>
        <w:top w:val="none" w:sz="0" w:space="0" w:color="auto"/>
        <w:left w:val="none" w:sz="0" w:space="0" w:color="auto"/>
        <w:bottom w:val="none" w:sz="0" w:space="0" w:color="auto"/>
        <w:right w:val="none" w:sz="0" w:space="0" w:color="auto"/>
      </w:divBdr>
      <w:divsChild>
        <w:div w:id="1021397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845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789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5092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319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1910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8741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8765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08998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7008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1008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4378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72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2407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722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2006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7260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4976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06808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288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653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5955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424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3569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9743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5102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868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97712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87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4350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229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83638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26" Type="http://schemas.openxmlformats.org/officeDocument/2006/relationships/hyperlink" Target="http://www.planalto.gov.br/ccivil_03/Leis/L5869.htm" TargetMode="External"/><Relationship Id="rId39" Type="http://schemas.openxmlformats.org/officeDocument/2006/relationships/hyperlink" Target="http://www.planalto.gov.br/ccivil_03/Leis/L5869.htm" TargetMode="External"/><Relationship Id="rId21" Type="http://schemas.openxmlformats.org/officeDocument/2006/relationships/hyperlink" Target="http://www.planalto.gov.br/ccivil_03/Leis/L5869.htm" TargetMode="External"/><Relationship Id="rId34" Type="http://schemas.openxmlformats.org/officeDocument/2006/relationships/hyperlink" Target="http://www.planalto.gov.br/ccivil_03/Leis/L5869.htm" TargetMode="External"/><Relationship Id="rId42" Type="http://schemas.openxmlformats.org/officeDocument/2006/relationships/hyperlink" Target="http://www.planalto.gov.br/ccivil_03/Leis/L5869.htm" TargetMode="External"/><Relationship Id="rId47" Type="http://schemas.openxmlformats.org/officeDocument/2006/relationships/hyperlink" Target="http://www.planalto.gov.br/ccivil_03/Leis/L5869.htm" TargetMode="External"/><Relationship Id="rId50" Type="http://schemas.openxmlformats.org/officeDocument/2006/relationships/hyperlink" Target="http://www.planalto.gov.br/ccivil_03/Leis/L5869.htm" TargetMode="External"/><Relationship Id="rId55" Type="http://schemas.openxmlformats.org/officeDocument/2006/relationships/hyperlink" Target="http://www.planalto.gov.br/ccivil_03/Leis/L5869.htm" TargetMode="External"/><Relationship Id="rId7" Type="http://schemas.openxmlformats.org/officeDocument/2006/relationships/hyperlink" Target="http://www.planalto.gov.br/ccivil_03/Leis/L5869.htm" TargetMode="External"/><Relationship Id="rId12"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25" Type="http://schemas.openxmlformats.org/officeDocument/2006/relationships/hyperlink" Target="http://www.planalto.gov.br/ccivil_03/Leis/L5869.htm" TargetMode="External"/><Relationship Id="rId33" Type="http://schemas.openxmlformats.org/officeDocument/2006/relationships/hyperlink" Target="http://www.planalto.gov.br/ccivil_03/Leis/L5869.htm" TargetMode="External"/><Relationship Id="rId38" Type="http://schemas.openxmlformats.org/officeDocument/2006/relationships/hyperlink" Target="http://www.planalto.gov.br/ccivil_03/Leis/L5869.htm" TargetMode="External"/><Relationship Id="rId46" Type="http://schemas.openxmlformats.org/officeDocument/2006/relationships/hyperlink" Target="http://www.planalto.gov.br/ccivil_03/Leis/L5869.htm" TargetMode="External"/><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29" Type="http://schemas.openxmlformats.org/officeDocument/2006/relationships/hyperlink" Target="http://www.planalto.gov.br/ccivil_03/Leis/L5869.htm" TargetMode="External"/><Relationship Id="rId41" Type="http://schemas.openxmlformats.org/officeDocument/2006/relationships/hyperlink" Target="http://www.planalto.gov.br/ccivil_03/Leis/L5869.htm" TargetMode="External"/><Relationship Id="rId54" Type="http://schemas.openxmlformats.org/officeDocument/2006/relationships/hyperlink" Target="http://www.planalto.gov.br/ccivil_03/Leis/L5869.htm" TargetMode="Externa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24" Type="http://schemas.openxmlformats.org/officeDocument/2006/relationships/hyperlink" Target="http://www.planalto.gov.br/ccivil_03/Leis/L5869.htm" TargetMode="External"/><Relationship Id="rId32" Type="http://schemas.openxmlformats.org/officeDocument/2006/relationships/hyperlink" Target="http://www.planalto.gov.br/ccivil_03/Leis/L5869.htm" TargetMode="External"/><Relationship Id="rId37" Type="http://schemas.openxmlformats.org/officeDocument/2006/relationships/hyperlink" Target="http://www.planalto.gov.br/ccivil_03/Leis/L5869.htm" TargetMode="External"/><Relationship Id="rId40" Type="http://schemas.openxmlformats.org/officeDocument/2006/relationships/hyperlink" Target="http://www.planalto.gov.br/ccivil_03/Leis/L5869.htm" TargetMode="External"/><Relationship Id="rId45" Type="http://schemas.openxmlformats.org/officeDocument/2006/relationships/hyperlink" Target="http://www.planalto.gov.br/ccivil_03/Leis/L5869.htm" TargetMode="External"/><Relationship Id="rId53" Type="http://schemas.openxmlformats.org/officeDocument/2006/relationships/hyperlink" Target="http://www.planalto.gov.br/ccivil_03/Leis/L5869.htm" TargetMode="External"/><Relationship Id="rId58" Type="http://schemas.openxmlformats.org/officeDocument/2006/relationships/fontTable" Target="fontTable.xml"/><Relationship Id="rId5" Type="http://schemas.openxmlformats.org/officeDocument/2006/relationships/hyperlink" Target="http://www.planalto.gov.br/ccivil_03/Leis/L5869.htm" TargetMode="External"/><Relationship Id="rId15" Type="http://schemas.openxmlformats.org/officeDocument/2006/relationships/hyperlink" Target="http://www.planalto.gov.br/ccivil_03/Leis/L5869.htm" TargetMode="External"/><Relationship Id="rId23"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36" Type="http://schemas.openxmlformats.org/officeDocument/2006/relationships/hyperlink" Target="http://www.planalto.gov.br/ccivil_03/Leis/L5869.htm" TargetMode="External"/><Relationship Id="rId49" Type="http://schemas.openxmlformats.org/officeDocument/2006/relationships/hyperlink" Target="http://www.planalto.gov.br/ccivil_03/Leis/L5869.htm" TargetMode="External"/><Relationship Id="rId57" Type="http://schemas.openxmlformats.org/officeDocument/2006/relationships/hyperlink" Target="http://www.planalto.gov.br/ccivil_03/Leis/L5869.htm" TargetMode="External"/><Relationship Id="rId10" Type="http://schemas.openxmlformats.org/officeDocument/2006/relationships/hyperlink" Target="http://www.planalto.gov.br/ccivil_03/Leis/L5869.htm" TargetMode="External"/><Relationship Id="rId19" Type="http://schemas.openxmlformats.org/officeDocument/2006/relationships/hyperlink" Target="http://www.planalto.gov.br/ccivil_03/Leis/L5869.htm" TargetMode="External"/><Relationship Id="rId31" Type="http://schemas.openxmlformats.org/officeDocument/2006/relationships/hyperlink" Target="http://www.planalto.gov.br/ccivil_03/Leis/L5869.htm" TargetMode="External"/><Relationship Id="rId44" Type="http://schemas.openxmlformats.org/officeDocument/2006/relationships/hyperlink" Target="http://www.planalto.gov.br/ccivil_03/Leis/L5869.htm" TargetMode="External"/><Relationship Id="rId52" Type="http://schemas.openxmlformats.org/officeDocument/2006/relationships/hyperlink" Target="http://www.planalto.gov.br/ccivil_03/Leis/L5869.htm" TargetMode="External"/><Relationship Id="rId4" Type="http://schemas.openxmlformats.org/officeDocument/2006/relationships/hyperlink" Target="http://legislacao.planalto.gov.br/legisla/legislacao.nsf/Viw_Identificacao/lei%208.952-1994?OpenDocument" TargetMode="External"/><Relationship Id="rId9"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22"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30" Type="http://schemas.openxmlformats.org/officeDocument/2006/relationships/hyperlink" Target="http://www.planalto.gov.br/ccivil_03/Leis/L5869.htm" TargetMode="External"/><Relationship Id="rId35" Type="http://schemas.openxmlformats.org/officeDocument/2006/relationships/hyperlink" Target="http://www.planalto.gov.br/ccivil_03/Leis/L5869.htm" TargetMode="External"/><Relationship Id="rId43" Type="http://schemas.openxmlformats.org/officeDocument/2006/relationships/hyperlink" Target="http://www.planalto.gov.br/ccivil_03/Leis/L5869.htm" TargetMode="External"/><Relationship Id="rId48" Type="http://schemas.openxmlformats.org/officeDocument/2006/relationships/hyperlink" Target="http://www.planalto.gov.br/ccivil_03/Leis/L5869.htm" TargetMode="External"/><Relationship Id="rId56" Type="http://schemas.openxmlformats.org/officeDocument/2006/relationships/hyperlink" Target="http://www.planalto.gov.br/ccivil_03/Leis/L5869.htm" TargetMode="External"/><Relationship Id="rId8" Type="http://schemas.openxmlformats.org/officeDocument/2006/relationships/hyperlink" Target="http://www.planalto.gov.br/ccivil_03/Leis/L5869.htm" TargetMode="External"/><Relationship Id="rId51" Type="http://schemas.openxmlformats.org/officeDocument/2006/relationships/hyperlink" Target="http://www.planalto.gov.br/ccivil_03/Leis/L5869.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2482</Words>
  <Characters>14149</Characters>
  <Application>Microsoft Office Word</Application>
  <DocSecurity>0</DocSecurity>
  <Lines>117</Lines>
  <Paragraphs>33</Paragraphs>
  <ScaleCrop>false</ScaleCrop>
  <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2023-10-19T16:03:00Z</dcterms:created>
  <dcterms:modified xsi:type="dcterms:W3CDTF">2023-10-19T16:04:00Z</dcterms:modified>
</cp:coreProperties>
</file>