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3259DA" w:rsidRPr="003259DA" w:rsidTr="003259DA">
        <w:trPr>
          <w:trHeight w:val="1020"/>
          <w:tblCellSpacing w:w="0" w:type="dxa"/>
          <w:jc w:val="center"/>
        </w:trPr>
        <w:tc>
          <w:tcPr>
            <w:tcW w:w="700" w:type="pct"/>
            <w:vAlign w:val="center"/>
            <w:hideMark/>
          </w:tcPr>
          <w:p w:rsidR="003259DA" w:rsidRPr="003259DA" w:rsidRDefault="003259DA" w:rsidP="003259D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3259DA" w:rsidRPr="003259DA" w:rsidRDefault="003259DA" w:rsidP="003259DA">
            <w:pPr>
              <w:spacing w:before="100" w:beforeAutospacing="1" w:after="100" w:afterAutospacing="1" w:line="240" w:lineRule="auto"/>
              <w:jc w:val="center"/>
              <w:rPr>
                <w:rFonts w:ascii="Times New Roman" w:eastAsia="Times New Roman" w:hAnsi="Times New Roman" w:cs="Times New Roman"/>
                <w:sz w:val="24"/>
                <w:szCs w:val="24"/>
              </w:rPr>
            </w:pPr>
            <w:r w:rsidRPr="003259DA">
              <w:rPr>
                <w:rFonts w:ascii="Arial" w:eastAsia="Times New Roman" w:hAnsi="Arial" w:cs="Arial"/>
                <w:b/>
                <w:bCs/>
                <w:color w:val="808000"/>
                <w:sz w:val="36"/>
                <w:szCs w:val="36"/>
              </w:rPr>
              <w:t>Presidência da República</w:t>
            </w:r>
            <w:r w:rsidRPr="003259DA">
              <w:rPr>
                <w:rFonts w:ascii="Arial" w:eastAsia="Times New Roman" w:hAnsi="Arial" w:cs="Arial"/>
                <w:b/>
                <w:bCs/>
                <w:color w:val="808000"/>
                <w:sz w:val="24"/>
                <w:szCs w:val="24"/>
              </w:rPr>
              <w:br/>
            </w:r>
            <w:r w:rsidRPr="003259DA">
              <w:rPr>
                <w:rFonts w:ascii="Arial" w:eastAsia="Times New Roman" w:hAnsi="Arial" w:cs="Arial"/>
                <w:b/>
                <w:bCs/>
                <w:color w:val="808000"/>
                <w:sz w:val="27"/>
                <w:szCs w:val="27"/>
              </w:rPr>
              <w:t>Casa Civil</w:t>
            </w:r>
            <w:r w:rsidRPr="003259DA">
              <w:rPr>
                <w:rFonts w:ascii="Arial" w:eastAsia="Times New Roman" w:hAnsi="Arial" w:cs="Arial"/>
                <w:b/>
                <w:bCs/>
                <w:color w:val="808000"/>
                <w:sz w:val="27"/>
                <w:szCs w:val="27"/>
              </w:rPr>
              <w:br/>
            </w:r>
            <w:r w:rsidRPr="003259DA">
              <w:rPr>
                <w:rFonts w:ascii="Arial" w:eastAsia="Times New Roman" w:hAnsi="Arial" w:cs="Arial"/>
                <w:b/>
                <w:bCs/>
                <w:color w:val="808000"/>
                <w:sz w:val="24"/>
                <w:szCs w:val="24"/>
              </w:rPr>
              <w:t>Subchefia para Assuntos Jurídicos</w:t>
            </w:r>
          </w:p>
        </w:tc>
      </w:tr>
    </w:tbl>
    <w:p w:rsidR="003259DA" w:rsidRPr="003259DA" w:rsidRDefault="003259DA" w:rsidP="003259DA">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3259DA">
          <w:rPr>
            <w:rFonts w:ascii="Arial" w:eastAsia="Times New Roman" w:hAnsi="Arial" w:cs="Arial"/>
            <w:b/>
            <w:bCs/>
            <w:color w:val="000080"/>
            <w:sz w:val="24"/>
            <w:szCs w:val="24"/>
            <w:u w:val="single"/>
          </w:rPr>
          <w:t xml:space="preserve">LEI Nº 8.847, DE 28 DE JANEIRO DE </w:t>
        </w:r>
        <w:proofErr w:type="gramStart"/>
        <w:r w:rsidRPr="003259DA">
          <w:rPr>
            <w:rFonts w:ascii="Arial" w:eastAsia="Times New Roman" w:hAnsi="Arial" w:cs="Arial"/>
            <w:b/>
            <w:bCs/>
            <w:color w:val="000080"/>
            <w:sz w:val="24"/>
            <w:szCs w:val="24"/>
            <w:u w:val="single"/>
          </w:rPr>
          <w:t>1994.</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5017"/>
        <w:gridCol w:w="3487"/>
      </w:tblGrid>
      <w:tr w:rsidR="003259DA" w:rsidRPr="003259DA" w:rsidTr="003259DA">
        <w:trPr>
          <w:tblCellSpacing w:w="0" w:type="dxa"/>
        </w:trPr>
        <w:tc>
          <w:tcPr>
            <w:tcW w:w="2950" w:type="pct"/>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hyperlink r:id="rId6" w:history="1">
              <w:r w:rsidRPr="003259DA">
                <w:rPr>
                  <w:rFonts w:ascii="Arial" w:eastAsia="Times New Roman" w:hAnsi="Arial" w:cs="Arial"/>
                  <w:color w:val="0000FF"/>
                  <w:sz w:val="20"/>
                  <w:szCs w:val="20"/>
                  <w:u w:val="single"/>
                </w:rPr>
                <w:t>Conversão da Medida Provisória nº 399, de 1993</w:t>
              </w:r>
              <w:proofErr w:type="gramStart"/>
            </w:hyperlink>
            <w:proofErr w:type="gramEnd"/>
          </w:p>
          <w:p w:rsidR="003259DA" w:rsidRPr="003259DA" w:rsidRDefault="003259DA" w:rsidP="003259DA">
            <w:pPr>
              <w:spacing w:before="100" w:beforeAutospacing="1" w:after="100" w:afterAutospacing="1" w:line="240" w:lineRule="auto"/>
              <w:rPr>
                <w:rFonts w:ascii="Times New Roman" w:eastAsia="Times New Roman" w:hAnsi="Times New Roman" w:cs="Times New Roman"/>
                <w:sz w:val="24"/>
                <w:szCs w:val="24"/>
              </w:rPr>
            </w:pPr>
            <w:hyperlink r:id="rId7" w:history="1">
              <w:r w:rsidRPr="003259DA">
                <w:rPr>
                  <w:rFonts w:ascii="Arial" w:eastAsia="Times New Roman" w:hAnsi="Arial" w:cs="Arial"/>
                  <w:color w:val="0000FF"/>
                  <w:sz w:val="20"/>
                  <w:szCs w:val="20"/>
                  <w:u w:val="single"/>
                </w:rPr>
                <w:t>Texto compilado</w:t>
              </w:r>
            </w:hyperlink>
          </w:p>
        </w:tc>
        <w:tc>
          <w:tcPr>
            <w:tcW w:w="2050" w:type="pct"/>
            <w:vAlign w:val="center"/>
            <w:hideMark/>
          </w:tcPr>
          <w:p w:rsidR="003259DA" w:rsidRPr="003259DA" w:rsidRDefault="003259DA" w:rsidP="003259DA">
            <w:pPr>
              <w:spacing w:before="100" w:beforeAutospacing="1" w:after="100" w:afterAutospacing="1" w:line="240" w:lineRule="auto"/>
              <w:rPr>
                <w:rFonts w:ascii="Times New Roman" w:eastAsia="Times New Roman" w:hAnsi="Times New Roman" w:cs="Times New Roman"/>
                <w:sz w:val="24"/>
                <w:szCs w:val="24"/>
              </w:rPr>
            </w:pPr>
            <w:r w:rsidRPr="003259DA">
              <w:rPr>
                <w:rFonts w:ascii="Arial" w:eastAsia="Times New Roman" w:hAnsi="Arial" w:cs="Arial"/>
                <w:color w:val="800000"/>
                <w:sz w:val="20"/>
                <w:szCs w:val="20"/>
              </w:rPr>
              <w:t>Dispõe sobre o Imposto sobre a Propriedade Territorial Rural (ITR) e dá outras providências.</w:t>
            </w:r>
          </w:p>
        </w:tc>
      </w:tr>
    </w:tbl>
    <w:p w:rsidR="003259DA" w:rsidRPr="003259DA" w:rsidRDefault="003259DA" w:rsidP="003259DA">
      <w:pPr>
        <w:spacing w:before="100" w:beforeAutospacing="1" w:after="100" w:afterAutospacing="1" w:line="240" w:lineRule="auto"/>
        <w:rPr>
          <w:rFonts w:ascii="Times New Roman" w:eastAsia="Times New Roman" w:hAnsi="Times New Roman" w:cs="Times New Roman"/>
          <w:color w:val="000000"/>
          <w:sz w:val="20"/>
          <w:szCs w:val="20"/>
        </w:rPr>
      </w:pPr>
      <w:r w:rsidRPr="003259DA">
        <w:rPr>
          <w:rFonts w:ascii="Arial" w:eastAsia="Times New Roman" w:hAnsi="Arial" w:cs="Arial"/>
          <w:b/>
          <w:bCs/>
          <w:color w:val="000000"/>
          <w:sz w:val="20"/>
          <w:szCs w:val="20"/>
        </w:rPr>
        <w:t xml:space="preserve">        </w:t>
      </w:r>
      <w:proofErr w:type="gramStart"/>
      <w:r w:rsidRPr="003259DA">
        <w:rPr>
          <w:rFonts w:ascii="Arial" w:eastAsia="Times New Roman" w:hAnsi="Arial" w:cs="Arial"/>
          <w:b/>
          <w:bCs/>
          <w:color w:val="000000"/>
          <w:sz w:val="20"/>
          <w:szCs w:val="20"/>
        </w:rPr>
        <w:t>O PRESIDENTE DA REPÚBLICA </w:t>
      </w:r>
      <w:r w:rsidRPr="003259DA">
        <w:rPr>
          <w:rFonts w:ascii="Arial" w:eastAsia="Times New Roman" w:hAnsi="Arial" w:cs="Arial"/>
          <w:color w:val="000000"/>
          <w:sz w:val="20"/>
          <w:szCs w:val="20"/>
        </w:rPr>
        <w:t>Faço</w:t>
      </w:r>
      <w:proofErr w:type="gramEnd"/>
      <w:r w:rsidRPr="003259DA">
        <w:rPr>
          <w:rFonts w:ascii="Arial" w:eastAsia="Times New Roman" w:hAnsi="Arial" w:cs="Arial"/>
          <w:color w:val="000000"/>
          <w:sz w:val="20"/>
          <w:szCs w:val="20"/>
        </w:rPr>
        <w:t xml:space="preserve"> saber que o Congresso Nacional decreta e eu sanciono a seguinte Lei:</w:t>
      </w:r>
    </w:p>
    <w:p w:rsidR="003259DA" w:rsidRPr="003259DA" w:rsidRDefault="003259DA" w:rsidP="003259DA">
      <w:pPr>
        <w:spacing w:after="0" w:line="240" w:lineRule="auto"/>
        <w:rPr>
          <w:rFonts w:ascii="Times New Roman" w:eastAsia="Times New Roman" w:hAnsi="Times New Roman" w:cs="Times New Roman"/>
          <w:color w:val="000000"/>
          <w:sz w:val="20"/>
          <w:szCs w:val="20"/>
        </w:rPr>
      </w:pPr>
      <w:r w:rsidRPr="003259DA">
        <w:rPr>
          <w:rFonts w:ascii="Times New Roman" w:eastAsia="Times New Roman" w:hAnsi="Times New Roman" w:cs="Times New Roman"/>
          <w:color w:val="000000"/>
          <w:sz w:val="20"/>
          <w:szCs w:val="20"/>
        </w:rPr>
        <w:t>        </w:t>
      </w:r>
      <w:bookmarkStart w:id="0" w:name="1"/>
      <w:bookmarkEnd w:id="0"/>
      <w:r w:rsidRPr="003259DA">
        <w:rPr>
          <w:rFonts w:ascii="Arial" w:eastAsia="Times New Roman" w:hAnsi="Arial" w:cs="Arial"/>
          <w:strike/>
          <w:color w:val="000000"/>
          <w:sz w:val="20"/>
          <w:szCs w:val="20"/>
        </w:rPr>
        <w:t>Art. 1º O Imposto sobre a Propriedade Territorial Rural - ITR tem como fato gerador a propriedade, o domínio útil ou a posse de imóvel por natureza, em 1º de janeiro de cada exercício, localizado fora da zona urbana do município. </w:t>
      </w:r>
      <w:hyperlink r:id="rId8"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xml:space="preserve">        Art. 2º O contribuinte do imposto é o proprietário de imóvel rural, o titular de seu domínio útil ou o seu possuidor, a qualquer </w:t>
      </w:r>
      <w:proofErr w:type="gramStart"/>
      <w:r w:rsidRPr="003259DA">
        <w:rPr>
          <w:rFonts w:ascii="Arial" w:eastAsia="Times New Roman" w:hAnsi="Arial" w:cs="Arial"/>
          <w:strike/>
          <w:color w:val="000000"/>
          <w:sz w:val="20"/>
          <w:szCs w:val="20"/>
        </w:rPr>
        <w:t>título.</w:t>
      </w:r>
      <w:proofErr w:type="gramEnd"/>
      <w:r w:rsidRPr="003259DA">
        <w:rPr>
          <w:rFonts w:ascii="Arial" w:eastAsia="Times New Roman" w:hAnsi="Arial" w:cs="Arial"/>
          <w:color w:val="000000"/>
          <w:sz w:val="20"/>
          <w:szCs w:val="20"/>
        </w:rPr>
        <w:fldChar w:fldCharType="begin"/>
      </w:r>
      <w:r w:rsidRPr="003259DA">
        <w:rPr>
          <w:rFonts w:ascii="Arial" w:eastAsia="Times New Roman" w:hAnsi="Arial" w:cs="Arial"/>
          <w:color w:val="000000"/>
          <w:sz w:val="20"/>
          <w:szCs w:val="20"/>
        </w:rPr>
        <w:instrText xml:space="preserve"> HYPERLINK "http://www.planalto.gov.br/ccivil_03/leis/L9393.htm" \l "art24" </w:instrText>
      </w:r>
      <w:r w:rsidRPr="003259DA">
        <w:rPr>
          <w:rFonts w:ascii="Arial" w:eastAsia="Times New Roman" w:hAnsi="Arial" w:cs="Arial"/>
          <w:color w:val="000000"/>
          <w:sz w:val="20"/>
          <w:szCs w:val="20"/>
        </w:rPr>
        <w:fldChar w:fldCharType="separate"/>
      </w:r>
      <w:r w:rsidRPr="003259DA">
        <w:rPr>
          <w:rFonts w:ascii="Arial" w:eastAsia="Times New Roman" w:hAnsi="Arial" w:cs="Arial"/>
          <w:color w:val="0000FF"/>
          <w:sz w:val="20"/>
          <w:szCs w:val="20"/>
          <w:u w:val="single"/>
        </w:rPr>
        <w:t>(Revogado pela Lei nº 9.393, de 19.12.96)</w:t>
      </w:r>
      <w:r w:rsidRPr="003259DA">
        <w:rPr>
          <w:rFonts w:ascii="Arial" w:eastAsia="Times New Roman" w:hAnsi="Arial" w:cs="Arial"/>
          <w:color w:val="000000"/>
          <w:sz w:val="20"/>
          <w:szCs w:val="20"/>
        </w:rPr>
        <w:fldChar w:fldCharType="end"/>
      </w:r>
      <w:r w:rsidRPr="003259DA">
        <w:rPr>
          <w:rFonts w:ascii="Arial" w:eastAsia="Times New Roman" w:hAnsi="Arial" w:cs="Arial"/>
          <w:strike/>
          <w:color w:val="000000"/>
          <w:sz w:val="20"/>
          <w:szCs w:val="20"/>
        </w:rPr>
        <w:br/>
        <w:t>        Art. 3º A base de cálculo do imposto é o Valor da Terra Nua - VTN, apurado no dia 31 de dezembro do exercício anterior.</w:t>
      </w:r>
      <w:hyperlink r:id="rId9"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 1º O VTN é o valor do imóvel, excluído o valor dos seguintes bens incorporados ao imóvel:</w:t>
      </w:r>
      <w:r w:rsidRPr="003259DA">
        <w:rPr>
          <w:rFonts w:ascii="Arial" w:eastAsia="Times New Roman" w:hAnsi="Arial" w:cs="Arial"/>
          <w:strike/>
          <w:color w:val="000000"/>
          <w:sz w:val="20"/>
          <w:szCs w:val="20"/>
        </w:rPr>
        <w:br/>
        <w:t>       I - Construções, instalações e benfeitorias;</w:t>
      </w:r>
      <w:r w:rsidRPr="003259DA">
        <w:rPr>
          <w:rFonts w:ascii="Arial" w:eastAsia="Times New Roman" w:hAnsi="Arial" w:cs="Arial"/>
          <w:strike/>
          <w:color w:val="000000"/>
          <w:sz w:val="20"/>
          <w:szCs w:val="20"/>
        </w:rPr>
        <w:br/>
        <w:t>       II - Culturas permanentes e temporárias;</w:t>
      </w:r>
      <w:r w:rsidRPr="003259DA">
        <w:rPr>
          <w:rFonts w:ascii="Arial" w:eastAsia="Times New Roman" w:hAnsi="Arial" w:cs="Arial"/>
          <w:strike/>
          <w:color w:val="000000"/>
          <w:sz w:val="20"/>
          <w:szCs w:val="20"/>
        </w:rPr>
        <w:br/>
        <w:t>       III - Pastagens cultivadas e melhoradas;</w:t>
      </w:r>
      <w:r w:rsidRPr="003259DA">
        <w:rPr>
          <w:rFonts w:ascii="Arial" w:eastAsia="Times New Roman" w:hAnsi="Arial" w:cs="Arial"/>
          <w:strike/>
          <w:color w:val="000000"/>
          <w:sz w:val="20"/>
          <w:szCs w:val="20"/>
        </w:rPr>
        <w:br/>
        <w:t>       IV - Florestas plantadas.</w:t>
      </w:r>
      <w:r w:rsidRPr="003259DA">
        <w:rPr>
          <w:rFonts w:ascii="Arial" w:eastAsia="Times New Roman" w:hAnsi="Arial" w:cs="Arial"/>
          <w:strike/>
          <w:color w:val="000000"/>
          <w:sz w:val="20"/>
          <w:szCs w:val="20"/>
        </w:rPr>
        <w:br/>
        <w:t xml:space="preserve">       § 2º O Valor da Terra Nua mínimo - </w:t>
      </w:r>
      <w:proofErr w:type="spellStart"/>
      <w:r w:rsidRPr="003259DA">
        <w:rPr>
          <w:rFonts w:ascii="Arial" w:eastAsia="Times New Roman" w:hAnsi="Arial" w:cs="Arial"/>
          <w:strike/>
          <w:color w:val="000000"/>
          <w:sz w:val="20"/>
          <w:szCs w:val="20"/>
        </w:rPr>
        <w:t>VTNm</w:t>
      </w:r>
      <w:proofErr w:type="spellEnd"/>
      <w:r w:rsidRPr="003259DA">
        <w:rPr>
          <w:rFonts w:ascii="Arial" w:eastAsia="Times New Roman" w:hAnsi="Arial" w:cs="Arial"/>
          <w:strike/>
          <w:color w:val="000000"/>
          <w:sz w:val="20"/>
          <w:szCs w:val="20"/>
        </w:rPr>
        <w:t xml:space="preserve"> por hectare, fixado pela Secretaria da Receita Federal ouvido o Ministério da Agricultura, do Abastecimento e da Reforma Agrária, em conjunto com as Secretarias de Agricultura dos Estados respectivos, terá como base levantamento de preços do hectare da terra nua, para os diversos tipos de terras existentes no Município.</w:t>
      </w:r>
      <w:r w:rsidRPr="003259DA">
        <w:rPr>
          <w:rFonts w:ascii="Arial" w:eastAsia="Times New Roman" w:hAnsi="Arial" w:cs="Arial"/>
          <w:strike/>
          <w:color w:val="000000"/>
          <w:sz w:val="20"/>
          <w:szCs w:val="20"/>
        </w:rPr>
        <w:br/>
        <w:t>       </w:t>
      </w:r>
      <w:bookmarkStart w:id="1" w:name="art3§3"/>
      <w:bookmarkEnd w:id="1"/>
      <w:r w:rsidRPr="003259DA">
        <w:rPr>
          <w:rFonts w:ascii="Arial" w:eastAsia="Times New Roman" w:hAnsi="Arial" w:cs="Arial"/>
          <w:strike/>
          <w:color w:val="000000"/>
          <w:sz w:val="20"/>
          <w:szCs w:val="20"/>
        </w:rPr>
        <w:t>§ 3º O VTN aceito será convertido em quantidade de Unidade Fiscal de Referência -UFIR pelo valor desta no mês de janeiro do exercício da ocorrência do fato gerador.</w:t>
      </w:r>
      <w:hyperlink r:id="rId10" w:anchor="art117iv" w:history="1">
        <w:r w:rsidRPr="003259DA">
          <w:rPr>
            <w:rFonts w:ascii="Arial" w:eastAsia="Times New Roman" w:hAnsi="Arial" w:cs="Arial"/>
            <w:strike/>
            <w:color w:val="0000FF"/>
            <w:sz w:val="20"/>
            <w:szCs w:val="20"/>
            <w:u w:val="single"/>
          </w:rPr>
          <w:t> (Revogado pela lei nº 8.981, de 1995)</w:t>
        </w:r>
      </w:hyperlink>
      <w:r w:rsidRPr="003259DA">
        <w:rPr>
          <w:rFonts w:ascii="Arial" w:eastAsia="Times New Roman" w:hAnsi="Arial" w:cs="Arial"/>
          <w:strike/>
          <w:color w:val="000000"/>
          <w:sz w:val="20"/>
          <w:szCs w:val="20"/>
        </w:rPr>
        <w:br/>
        <w:t xml:space="preserve">       § 4º A autoridade administrativa competente poderá rever, com base em laudo técnico emitido por entidades de reconhecida capacitação técnica ou profissional devidamente habilitado, o Valor </w:t>
      </w:r>
      <w:proofErr w:type="gramStart"/>
      <w:r w:rsidRPr="003259DA">
        <w:rPr>
          <w:rFonts w:ascii="Arial" w:eastAsia="Times New Roman" w:hAnsi="Arial" w:cs="Arial"/>
          <w:strike/>
          <w:color w:val="000000"/>
          <w:sz w:val="20"/>
          <w:szCs w:val="20"/>
        </w:rPr>
        <w:t>da</w:t>
      </w:r>
      <w:proofErr w:type="gramEnd"/>
      <w:r w:rsidRPr="003259DA">
        <w:rPr>
          <w:rFonts w:ascii="Arial" w:eastAsia="Times New Roman" w:hAnsi="Arial" w:cs="Arial"/>
          <w:strike/>
          <w:color w:val="000000"/>
          <w:sz w:val="20"/>
          <w:szCs w:val="20"/>
        </w:rPr>
        <w:t xml:space="preserve"> Terra Nua mínimo - </w:t>
      </w:r>
      <w:proofErr w:type="spellStart"/>
      <w:r w:rsidRPr="003259DA">
        <w:rPr>
          <w:rFonts w:ascii="Arial" w:eastAsia="Times New Roman" w:hAnsi="Arial" w:cs="Arial"/>
          <w:strike/>
          <w:color w:val="000000"/>
          <w:sz w:val="20"/>
          <w:szCs w:val="20"/>
        </w:rPr>
        <w:t>VTNm</w:t>
      </w:r>
      <w:proofErr w:type="spellEnd"/>
      <w:r w:rsidRPr="003259DA">
        <w:rPr>
          <w:rFonts w:ascii="Arial" w:eastAsia="Times New Roman" w:hAnsi="Arial" w:cs="Arial"/>
          <w:strike/>
          <w:color w:val="000000"/>
          <w:sz w:val="20"/>
          <w:szCs w:val="20"/>
        </w:rPr>
        <w:t>, que vier a ser questionado pelo contribuinte.</w:t>
      </w:r>
      <w:r w:rsidRPr="003259DA">
        <w:rPr>
          <w:rFonts w:ascii="Arial" w:eastAsia="Times New Roman" w:hAnsi="Arial" w:cs="Arial"/>
          <w:strike/>
          <w:color w:val="000000"/>
          <w:sz w:val="20"/>
          <w:szCs w:val="20"/>
        </w:rPr>
        <w:br/>
        <w:t>        Art. 4º Para os efeitos desta Lei considera-se: </w:t>
      </w:r>
      <w:hyperlink r:id="rId11"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xml:space="preserve">       I - área aproveitável, a que for passível de exploração agrícola, pecuária, </w:t>
      </w:r>
      <w:proofErr w:type="spellStart"/>
      <w:r w:rsidRPr="003259DA">
        <w:rPr>
          <w:rFonts w:ascii="Arial" w:eastAsia="Times New Roman" w:hAnsi="Arial" w:cs="Arial"/>
          <w:strike/>
          <w:color w:val="000000"/>
          <w:sz w:val="20"/>
          <w:szCs w:val="20"/>
        </w:rPr>
        <w:t>granjeira</w:t>
      </w:r>
      <w:proofErr w:type="spellEnd"/>
      <w:r w:rsidRPr="003259DA">
        <w:rPr>
          <w:rFonts w:ascii="Arial" w:eastAsia="Times New Roman" w:hAnsi="Arial" w:cs="Arial"/>
          <w:strike/>
          <w:color w:val="000000"/>
          <w:sz w:val="20"/>
          <w:szCs w:val="20"/>
        </w:rPr>
        <w:t xml:space="preserve">, </w:t>
      </w:r>
      <w:proofErr w:type="spellStart"/>
      <w:r w:rsidRPr="003259DA">
        <w:rPr>
          <w:rFonts w:ascii="Arial" w:eastAsia="Times New Roman" w:hAnsi="Arial" w:cs="Arial"/>
          <w:strike/>
          <w:color w:val="000000"/>
          <w:sz w:val="20"/>
          <w:szCs w:val="20"/>
        </w:rPr>
        <w:t>aqüícola</w:t>
      </w:r>
      <w:proofErr w:type="spellEnd"/>
      <w:r w:rsidRPr="003259DA">
        <w:rPr>
          <w:rFonts w:ascii="Arial" w:eastAsia="Times New Roman" w:hAnsi="Arial" w:cs="Arial"/>
          <w:strike/>
          <w:color w:val="000000"/>
          <w:sz w:val="20"/>
          <w:szCs w:val="20"/>
        </w:rPr>
        <w:t xml:space="preserve"> ou florestal, excluídas as áreas:</w:t>
      </w:r>
      <w:r w:rsidRPr="003259DA">
        <w:rPr>
          <w:rFonts w:ascii="Arial" w:eastAsia="Times New Roman" w:hAnsi="Arial" w:cs="Arial"/>
          <w:strike/>
          <w:color w:val="000000"/>
          <w:sz w:val="20"/>
          <w:szCs w:val="20"/>
        </w:rPr>
        <w:br/>
        <w:t>       a) ocupadas por benfeitorias úteis e necessárias;</w:t>
      </w:r>
      <w:r w:rsidRPr="003259DA">
        <w:rPr>
          <w:rFonts w:ascii="Arial" w:eastAsia="Times New Roman" w:hAnsi="Arial" w:cs="Arial"/>
          <w:strike/>
          <w:color w:val="000000"/>
          <w:sz w:val="20"/>
          <w:szCs w:val="20"/>
        </w:rPr>
        <w:br/>
        <w:t>       b) de preservação permanente, de reserva legal, de interesse ecológico para a proteção dos ecossistemas e as reflorestadas com essências nativas ou exóticas;</w:t>
      </w:r>
      <w:r w:rsidRPr="003259DA">
        <w:rPr>
          <w:rFonts w:ascii="Arial" w:eastAsia="Times New Roman" w:hAnsi="Arial" w:cs="Arial"/>
          <w:strike/>
          <w:color w:val="000000"/>
          <w:sz w:val="20"/>
          <w:szCs w:val="20"/>
        </w:rPr>
        <w:br/>
        <w:t xml:space="preserve">       c) comprovadamente imprestáveis para qualquer exploração agrícola, pecuária, </w:t>
      </w:r>
      <w:proofErr w:type="spellStart"/>
      <w:r w:rsidRPr="003259DA">
        <w:rPr>
          <w:rFonts w:ascii="Arial" w:eastAsia="Times New Roman" w:hAnsi="Arial" w:cs="Arial"/>
          <w:strike/>
          <w:color w:val="000000"/>
          <w:sz w:val="20"/>
          <w:szCs w:val="20"/>
        </w:rPr>
        <w:t>granjeira</w:t>
      </w:r>
      <w:proofErr w:type="spellEnd"/>
      <w:r w:rsidRPr="003259DA">
        <w:rPr>
          <w:rFonts w:ascii="Arial" w:eastAsia="Times New Roman" w:hAnsi="Arial" w:cs="Arial"/>
          <w:strike/>
          <w:color w:val="000000"/>
          <w:sz w:val="20"/>
          <w:szCs w:val="20"/>
        </w:rPr>
        <w:t xml:space="preserve">, </w:t>
      </w:r>
      <w:proofErr w:type="spellStart"/>
      <w:r w:rsidRPr="003259DA">
        <w:rPr>
          <w:rFonts w:ascii="Arial" w:eastAsia="Times New Roman" w:hAnsi="Arial" w:cs="Arial"/>
          <w:strike/>
          <w:color w:val="000000"/>
          <w:sz w:val="20"/>
          <w:szCs w:val="20"/>
        </w:rPr>
        <w:t>aqüícola</w:t>
      </w:r>
      <w:proofErr w:type="spellEnd"/>
      <w:r w:rsidRPr="003259DA">
        <w:rPr>
          <w:rFonts w:ascii="Arial" w:eastAsia="Times New Roman" w:hAnsi="Arial" w:cs="Arial"/>
          <w:strike/>
          <w:color w:val="000000"/>
          <w:sz w:val="20"/>
          <w:szCs w:val="20"/>
        </w:rPr>
        <w:t xml:space="preserve"> ou florestal;</w:t>
      </w:r>
      <w:r w:rsidRPr="003259DA">
        <w:rPr>
          <w:rFonts w:ascii="Arial" w:eastAsia="Times New Roman" w:hAnsi="Arial" w:cs="Arial"/>
          <w:strike/>
          <w:color w:val="000000"/>
          <w:sz w:val="20"/>
          <w:szCs w:val="20"/>
        </w:rPr>
        <w:br/>
        <w:t>       II - área efetivamente utilizada:</w:t>
      </w:r>
      <w:r w:rsidRPr="003259DA">
        <w:rPr>
          <w:rFonts w:ascii="Arial" w:eastAsia="Times New Roman" w:hAnsi="Arial" w:cs="Arial"/>
          <w:strike/>
          <w:color w:val="000000"/>
          <w:sz w:val="20"/>
          <w:szCs w:val="20"/>
        </w:rPr>
        <w:br/>
        <w:t>       a) plantada com produtos vegetais e a de pastagens plantadas;</w:t>
      </w:r>
      <w:r w:rsidRPr="003259DA">
        <w:rPr>
          <w:rFonts w:ascii="Arial" w:eastAsia="Times New Roman" w:hAnsi="Arial" w:cs="Arial"/>
          <w:strike/>
          <w:color w:val="000000"/>
          <w:sz w:val="20"/>
          <w:szCs w:val="20"/>
        </w:rPr>
        <w:br/>
        <w:t>       b) a de pastagens naturais, observado o índice de lotação por zona de pecuária fixado pelo Poder Executivo;</w:t>
      </w:r>
      <w:r w:rsidRPr="003259DA">
        <w:rPr>
          <w:rFonts w:ascii="Arial" w:eastAsia="Times New Roman" w:hAnsi="Arial" w:cs="Arial"/>
          <w:strike/>
          <w:color w:val="000000"/>
          <w:sz w:val="20"/>
          <w:szCs w:val="20"/>
        </w:rPr>
        <w:br/>
        <w:t>       c) a de exploração extrativa, observados o índice de rendimento por produto, fixado pelo Poder Executivo, e a legislação ambiental;</w:t>
      </w:r>
      <w:r w:rsidRPr="003259DA">
        <w:rPr>
          <w:rFonts w:ascii="Arial" w:eastAsia="Times New Roman" w:hAnsi="Arial" w:cs="Arial"/>
          <w:strike/>
          <w:color w:val="000000"/>
          <w:sz w:val="20"/>
          <w:szCs w:val="20"/>
        </w:rPr>
        <w:br/>
        <w:t xml:space="preserve">       d) a de exploração de atividade </w:t>
      </w:r>
      <w:proofErr w:type="spellStart"/>
      <w:r w:rsidRPr="003259DA">
        <w:rPr>
          <w:rFonts w:ascii="Arial" w:eastAsia="Times New Roman" w:hAnsi="Arial" w:cs="Arial"/>
          <w:strike/>
          <w:color w:val="000000"/>
          <w:sz w:val="20"/>
          <w:szCs w:val="20"/>
        </w:rPr>
        <w:t>granjeira</w:t>
      </w:r>
      <w:proofErr w:type="spellEnd"/>
      <w:r w:rsidRPr="003259DA">
        <w:rPr>
          <w:rFonts w:ascii="Arial" w:eastAsia="Times New Roman" w:hAnsi="Arial" w:cs="Arial"/>
          <w:strike/>
          <w:color w:val="000000"/>
          <w:sz w:val="20"/>
          <w:szCs w:val="20"/>
        </w:rPr>
        <w:t xml:space="preserve"> e </w:t>
      </w:r>
      <w:proofErr w:type="spellStart"/>
      <w:r w:rsidRPr="003259DA">
        <w:rPr>
          <w:rFonts w:ascii="Arial" w:eastAsia="Times New Roman" w:hAnsi="Arial" w:cs="Arial"/>
          <w:strike/>
          <w:color w:val="000000"/>
          <w:sz w:val="20"/>
          <w:szCs w:val="20"/>
        </w:rPr>
        <w:t>aqüícola</w:t>
      </w:r>
      <w:proofErr w:type="spellEnd"/>
      <w:r w:rsidRPr="003259DA">
        <w:rPr>
          <w:rFonts w:ascii="Arial" w:eastAsia="Times New Roman" w:hAnsi="Arial" w:cs="Arial"/>
          <w:strike/>
          <w:color w:val="000000"/>
          <w:sz w:val="20"/>
          <w:szCs w:val="20"/>
        </w:rPr>
        <w:t>;</w:t>
      </w:r>
      <w:r w:rsidRPr="003259DA">
        <w:rPr>
          <w:rFonts w:ascii="Arial" w:eastAsia="Times New Roman" w:hAnsi="Arial" w:cs="Arial"/>
          <w:strike/>
          <w:color w:val="000000"/>
          <w:sz w:val="20"/>
          <w:szCs w:val="20"/>
        </w:rPr>
        <w:br/>
        <w:t>       e) sob processos técnicos de formação ou recuperação de pastagens.</w:t>
      </w:r>
      <w:r w:rsidRPr="003259DA">
        <w:rPr>
          <w:rFonts w:ascii="Arial" w:eastAsia="Times New Roman" w:hAnsi="Arial" w:cs="Arial"/>
          <w:strike/>
          <w:color w:val="000000"/>
          <w:sz w:val="20"/>
          <w:szCs w:val="20"/>
        </w:rPr>
        <w:br/>
        <w:t>       Parágrafo único. O percentual de utilização efetiva da área aproveitável é calculado pela relação entre a área efetivamente utilizada e a área aproveitável total do imóvel.</w:t>
      </w:r>
      <w:r w:rsidRPr="003259DA">
        <w:rPr>
          <w:rFonts w:ascii="Arial" w:eastAsia="Times New Roman" w:hAnsi="Arial" w:cs="Arial"/>
          <w:strike/>
          <w:color w:val="000000"/>
          <w:sz w:val="20"/>
          <w:szCs w:val="20"/>
        </w:rPr>
        <w:br/>
        <w:t>        Art. 5º Para a apuração do valor do ITR</w:t>
      </w:r>
      <w:proofErr w:type="gramStart"/>
      <w:r w:rsidRPr="003259DA">
        <w:rPr>
          <w:rFonts w:ascii="Arial" w:eastAsia="Times New Roman" w:hAnsi="Arial" w:cs="Arial"/>
          <w:strike/>
          <w:color w:val="000000"/>
          <w:sz w:val="20"/>
          <w:szCs w:val="20"/>
        </w:rPr>
        <w:t>, aplicar-se-á</w:t>
      </w:r>
      <w:proofErr w:type="gramEnd"/>
      <w:r w:rsidRPr="003259DA">
        <w:rPr>
          <w:rFonts w:ascii="Arial" w:eastAsia="Times New Roman" w:hAnsi="Arial" w:cs="Arial"/>
          <w:strike/>
          <w:color w:val="000000"/>
          <w:sz w:val="20"/>
          <w:szCs w:val="20"/>
        </w:rPr>
        <w:t xml:space="preserve"> sobre a base de cálculo a alíquota </w:t>
      </w:r>
      <w:r w:rsidRPr="003259DA">
        <w:rPr>
          <w:rFonts w:ascii="Arial" w:eastAsia="Times New Roman" w:hAnsi="Arial" w:cs="Arial"/>
          <w:strike/>
          <w:color w:val="000000"/>
          <w:sz w:val="20"/>
          <w:szCs w:val="20"/>
        </w:rPr>
        <w:lastRenderedPageBreak/>
        <w:t>correspondente ao percentual de utilização efetiva da área aproveitável do imóvel rural considerado o tamanho da propriedade medido em hectare e as desigualdades regionais, de acordo com as Tabelas I, II e III, constantes do Anexo I. </w:t>
      </w:r>
      <w:hyperlink r:id="rId12"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 1º Para obtenção da alíquota será observada a localização do imóvel conforme descrito abaixo:</w:t>
      </w:r>
      <w:r w:rsidRPr="003259DA">
        <w:rPr>
          <w:rFonts w:ascii="Arial" w:eastAsia="Times New Roman" w:hAnsi="Arial" w:cs="Arial"/>
          <w:strike/>
          <w:color w:val="000000"/>
          <w:sz w:val="20"/>
          <w:szCs w:val="20"/>
        </w:rPr>
        <w:br/>
        <w:t>       I - Tabela I - todos os municípios, exceto os enquadrados nos incisos II e III;</w:t>
      </w:r>
      <w:r w:rsidRPr="003259DA">
        <w:rPr>
          <w:rFonts w:ascii="Arial" w:eastAsia="Times New Roman" w:hAnsi="Arial" w:cs="Arial"/>
          <w:strike/>
          <w:color w:val="000000"/>
          <w:sz w:val="20"/>
          <w:szCs w:val="20"/>
        </w:rPr>
        <w:br/>
        <w:t>       II - Tabela II - os municípios localizados no Polígono das Secas e Amazônia Oriental assim determinado em lei;</w:t>
      </w:r>
      <w:r w:rsidRPr="003259DA">
        <w:rPr>
          <w:rFonts w:ascii="Arial" w:eastAsia="Times New Roman" w:hAnsi="Arial" w:cs="Arial"/>
          <w:strike/>
          <w:color w:val="000000"/>
          <w:sz w:val="20"/>
          <w:szCs w:val="20"/>
        </w:rPr>
        <w:br/>
        <w:t>       III - Tabela III - os municípios localizados na Amazônia Ocidental e no Pantanal Mato-grossense, assim determinado em lei.</w:t>
      </w:r>
      <w:r w:rsidRPr="003259DA">
        <w:rPr>
          <w:rFonts w:ascii="Arial" w:eastAsia="Times New Roman" w:hAnsi="Arial" w:cs="Arial"/>
          <w:strike/>
          <w:color w:val="000000"/>
          <w:sz w:val="20"/>
          <w:szCs w:val="20"/>
        </w:rPr>
        <w:br/>
        <w:t>       § 2º No caso de imóvel rural situado em mais de um município, o enquadramento será o que resulte em menor tributação.</w:t>
      </w:r>
      <w:r w:rsidRPr="003259DA">
        <w:rPr>
          <w:rFonts w:ascii="Arial" w:eastAsia="Times New Roman" w:hAnsi="Arial" w:cs="Arial"/>
          <w:strike/>
          <w:color w:val="000000"/>
          <w:sz w:val="20"/>
          <w:szCs w:val="20"/>
        </w:rPr>
        <w:br/>
        <w:t>       § 3º O imóvel rural que apresentar percentual de utilização efetiva da área aproveitável igual ou inferior a trinta por cento terá a alíquota calculada, na forma deste artigo, multiplicada por dois, no segundo ano consecutivo e seguintes em que ocorrer o fato.</w:t>
      </w:r>
      <w:r w:rsidRPr="003259DA">
        <w:rPr>
          <w:rFonts w:ascii="Arial" w:eastAsia="Times New Roman" w:hAnsi="Arial" w:cs="Arial"/>
          <w:strike/>
          <w:color w:val="000000"/>
          <w:sz w:val="20"/>
          <w:szCs w:val="20"/>
        </w:rPr>
        <w:br/>
        <w:t>       § 4º Ressalvado o disposto no art. 13, não será admitida qualquer redução do valor do imposto apurado de conformidade com este artigo.</w:t>
      </w:r>
      <w:r w:rsidRPr="003259DA">
        <w:rPr>
          <w:rFonts w:ascii="Arial" w:eastAsia="Times New Roman" w:hAnsi="Arial" w:cs="Arial"/>
          <w:strike/>
          <w:color w:val="000000"/>
          <w:sz w:val="20"/>
          <w:szCs w:val="20"/>
        </w:rPr>
        <w:br/>
        <w:t>        Art. 6º O lançamento do ITR será efetuado de ofício, podendo, alternativamente, serem utilizadas as modalidades com base em declaração ou por homologação. </w:t>
      </w:r>
      <w:hyperlink r:id="rId13"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xml:space="preserve">        Art. 7º Para os efeitos </w:t>
      </w:r>
      <w:proofErr w:type="gramStart"/>
      <w:r w:rsidRPr="003259DA">
        <w:rPr>
          <w:rFonts w:ascii="Arial" w:eastAsia="Times New Roman" w:hAnsi="Arial" w:cs="Arial"/>
          <w:strike/>
          <w:color w:val="000000"/>
          <w:sz w:val="20"/>
          <w:szCs w:val="20"/>
        </w:rPr>
        <w:t>do</w:t>
      </w:r>
      <w:proofErr w:type="gramEnd"/>
      <w:r w:rsidRPr="003259DA">
        <w:rPr>
          <w:rFonts w:ascii="Arial" w:eastAsia="Times New Roman" w:hAnsi="Arial" w:cs="Arial"/>
          <w:strike/>
          <w:color w:val="000000"/>
          <w:sz w:val="20"/>
          <w:szCs w:val="20"/>
        </w:rPr>
        <w:t> </w:t>
      </w:r>
      <w:hyperlink r:id="rId14" w:anchor="art153%C2%A74" w:history="1">
        <w:r w:rsidRPr="003259DA">
          <w:rPr>
            <w:rFonts w:ascii="Arial" w:eastAsia="Times New Roman" w:hAnsi="Arial" w:cs="Arial"/>
            <w:strike/>
            <w:color w:val="0000FF"/>
            <w:sz w:val="20"/>
            <w:szCs w:val="20"/>
            <w:u w:val="single"/>
          </w:rPr>
          <w:t>§ 4º do art. 153 da Constituição Federal</w:t>
        </w:r>
      </w:hyperlink>
      <w:r w:rsidRPr="003259DA">
        <w:rPr>
          <w:rFonts w:ascii="Arial" w:eastAsia="Times New Roman" w:hAnsi="Arial" w:cs="Arial"/>
          <w:strike/>
          <w:color w:val="000000"/>
          <w:sz w:val="20"/>
          <w:szCs w:val="20"/>
        </w:rPr>
        <w:t>, são consideradas pequenas glebas os imóveis rurais de área igual ou inferior a: </w:t>
      </w:r>
      <w:hyperlink r:id="rId15"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I - 25ha, os localizados nos municípios enquadrados na Tabela I;</w:t>
      </w:r>
      <w:r w:rsidRPr="003259DA">
        <w:rPr>
          <w:rFonts w:ascii="Arial" w:eastAsia="Times New Roman" w:hAnsi="Arial" w:cs="Arial"/>
          <w:strike/>
          <w:color w:val="000000"/>
          <w:sz w:val="20"/>
          <w:szCs w:val="20"/>
        </w:rPr>
        <w:br/>
        <w:t>        II - 40ha, os localizados nos municípios enquadrados no Polígono das Secas e Amazônia Oriental, assim determinado em lei;</w:t>
      </w:r>
      <w:r w:rsidRPr="003259DA">
        <w:rPr>
          <w:rFonts w:ascii="Arial" w:eastAsia="Times New Roman" w:hAnsi="Arial" w:cs="Arial"/>
          <w:strike/>
          <w:color w:val="000000"/>
          <w:sz w:val="20"/>
          <w:szCs w:val="20"/>
        </w:rPr>
        <w:br/>
        <w:t>       III - 80ha, os localizados nos municípios enquadrados na Amazônia Ocidental e no Pantanal Mato-grossense, assim determinado em lei.</w:t>
      </w:r>
      <w:r w:rsidRPr="003259DA">
        <w:rPr>
          <w:rFonts w:ascii="Arial" w:eastAsia="Times New Roman" w:hAnsi="Arial" w:cs="Arial"/>
          <w:strike/>
          <w:color w:val="000000"/>
          <w:sz w:val="20"/>
          <w:szCs w:val="20"/>
        </w:rPr>
        <w:br/>
        <w:t>        Art. 8º São isentos do imposto os imóveis rurais oriundos de programas de reforma agrária, caracterizados pelas autoridades competentes como assentamentos, quando explorados pelos assentados sob a forma de associação ou de cooperativa de produção se a fração ideal por família assentada não ultrapassar os limites estabelecidos nos incisos I a III do art. 7º, e desde que aqueles não possuam outro imóvel. </w:t>
      </w:r>
      <w:hyperlink r:id="rId16"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Art. 9º É isento do imposto o imóvel rural ou conjunto de imóveis rurais, de área inferior aos limites estabelecidos nos incisos de I a III do art. 7º, desde que seu proprietário, titular de domínio útil ou possuidor a qualquer título não possua imóvel urbano e o explore só ou com sua família, admitida a ajuda eventual de terceiros. </w:t>
      </w:r>
      <w:hyperlink r:id="rId17"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Art. 10. Considerar-se-á explorado, para os efeitos dos arts. 7º, 8º e 9º, o imóvel rural que tenha no mínimo trinta por cento de utilização da área aproveitável. </w:t>
      </w:r>
      <w:hyperlink r:id="rId18"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w:t>
      </w:r>
      <w:bookmarkStart w:id="2" w:name="art11"/>
      <w:bookmarkEnd w:id="2"/>
      <w:r w:rsidRPr="003259DA">
        <w:rPr>
          <w:rFonts w:ascii="Arial" w:eastAsia="Times New Roman" w:hAnsi="Arial" w:cs="Arial"/>
          <w:strike/>
          <w:color w:val="000000"/>
          <w:sz w:val="20"/>
          <w:szCs w:val="20"/>
        </w:rPr>
        <w:t xml:space="preserve"> Art. 11. São isentas do imposto </w:t>
      </w:r>
      <w:proofErr w:type="gramStart"/>
      <w:r w:rsidRPr="003259DA">
        <w:rPr>
          <w:rFonts w:ascii="Arial" w:eastAsia="Times New Roman" w:hAnsi="Arial" w:cs="Arial"/>
          <w:strike/>
          <w:color w:val="000000"/>
          <w:sz w:val="20"/>
          <w:szCs w:val="20"/>
        </w:rPr>
        <w:t>as</w:t>
      </w:r>
      <w:proofErr w:type="gramEnd"/>
      <w:r w:rsidRPr="003259DA">
        <w:rPr>
          <w:rFonts w:ascii="Arial" w:eastAsia="Times New Roman" w:hAnsi="Arial" w:cs="Arial"/>
          <w:strike/>
          <w:color w:val="000000"/>
          <w:sz w:val="20"/>
          <w:szCs w:val="20"/>
        </w:rPr>
        <w:t xml:space="preserve"> áreas:</w:t>
      </w:r>
      <w:r w:rsidRPr="003259DA">
        <w:rPr>
          <w:rFonts w:ascii="Arial" w:eastAsia="Times New Roman" w:hAnsi="Arial" w:cs="Arial"/>
          <w:strike/>
          <w:color w:val="000000"/>
          <w:sz w:val="20"/>
          <w:szCs w:val="20"/>
        </w:rPr>
        <w:br/>
        <w:t>       I - de preservação permanente e de reserva legal, previstas na </w:t>
      </w:r>
      <w:hyperlink r:id="rId19" w:history="1">
        <w:r w:rsidRPr="003259DA">
          <w:rPr>
            <w:rFonts w:ascii="Arial" w:eastAsia="Times New Roman" w:hAnsi="Arial" w:cs="Arial"/>
            <w:strike/>
            <w:color w:val="0000FF"/>
            <w:sz w:val="20"/>
            <w:szCs w:val="20"/>
            <w:u w:val="single"/>
          </w:rPr>
          <w:t>Lei nº 4.771, de 1965</w:t>
        </w:r>
      </w:hyperlink>
      <w:r w:rsidRPr="003259DA">
        <w:rPr>
          <w:rFonts w:ascii="Arial" w:eastAsia="Times New Roman" w:hAnsi="Arial" w:cs="Arial"/>
          <w:strike/>
          <w:color w:val="000000"/>
          <w:sz w:val="20"/>
          <w:szCs w:val="20"/>
        </w:rPr>
        <w:t>, com a nova redação dada pela Lei nº 7.803, de 1989; </w:t>
      </w:r>
      <w:hyperlink r:id="rId20"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II - de interesse ecológico para a proteção dos ecossistemas, assim declarados por ato do órgão competente - federal ou estadual - e que ampliam as restrições de uso previstas no inciso anterior;</w:t>
      </w:r>
      <w:r w:rsidRPr="003259DA">
        <w:rPr>
          <w:rFonts w:ascii="Arial" w:eastAsia="Times New Roman" w:hAnsi="Arial" w:cs="Arial"/>
          <w:strike/>
          <w:color w:val="000000"/>
          <w:sz w:val="20"/>
          <w:szCs w:val="20"/>
        </w:rPr>
        <w:br/>
        <w:t>       III - reflorestadas com essências nativas.</w:t>
      </w:r>
      <w:r w:rsidRPr="003259DA">
        <w:rPr>
          <w:rFonts w:ascii="Arial" w:eastAsia="Times New Roman" w:hAnsi="Arial" w:cs="Arial"/>
          <w:strike/>
          <w:color w:val="000000"/>
          <w:sz w:val="20"/>
          <w:szCs w:val="20"/>
        </w:rPr>
        <w:br/>
        <w:t xml:space="preserve">       Art. 12. O ITR continuará devido pelo proprietário, depois da autorização do decreto de desapropriação publicado, enquanto não transferida </w:t>
      </w:r>
      <w:proofErr w:type="gramStart"/>
      <w:r w:rsidRPr="003259DA">
        <w:rPr>
          <w:rFonts w:ascii="Arial" w:eastAsia="Times New Roman" w:hAnsi="Arial" w:cs="Arial"/>
          <w:strike/>
          <w:color w:val="000000"/>
          <w:sz w:val="20"/>
          <w:szCs w:val="20"/>
        </w:rPr>
        <w:t>a</w:t>
      </w:r>
      <w:proofErr w:type="gramEnd"/>
      <w:r w:rsidRPr="003259DA">
        <w:rPr>
          <w:rFonts w:ascii="Arial" w:eastAsia="Times New Roman" w:hAnsi="Arial" w:cs="Arial"/>
          <w:strike/>
          <w:color w:val="000000"/>
          <w:sz w:val="20"/>
          <w:szCs w:val="20"/>
        </w:rPr>
        <w:t xml:space="preserve"> propriedade, salvo se houver imissão prévia na posse. </w:t>
      </w:r>
      <w:hyperlink r:id="rId21"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Art. 13. Nos casos de calamidade pública decretada pelo Poder Público, de que resulte frustração de safras ou destruição de pastos, o Ministro da Fazenda determinará que seja aplicada redução de até cem por cento no valor do imposto, para os imóveis que, comprovadamente, estejam situados na área de ocorrência da calamidade. </w:t>
      </w:r>
      <w:hyperlink r:id="rId22"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Art. 14. O valor do imposto, apurado em UFIR, poderá ser pago em até seis quotas iguais, mensais e sucessivas, em datas de vencimento a serem fixadas pela Secretaria da Receita Federal.</w:t>
      </w:r>
      <w:r w:rsidRPr="003259DA">
        <w:rPr>
          <w:rFonts w:ascii="Arial" w:eastAsia="Times New Roman" w:hAnsi="Arial" w:cs="Arial"/>
          <w:strike/>
          <w:color w:val="000000"/>
          <w:sz w:val="20"/>
          <w:szCs w:val="20"/>
        </w:rPr>
        <w:br/>
        <w:t xml:space="preserve">       § 1º Nenhuma quota será inferior a </w:t>
      </w:r>
      <w:proofErr w:type="spellStart"/>
      <w:r w:rsidRPr="003259DA">
        <w:rPr>
          <w:rFonts w:ascii="Arial" w:eastAsia="Times New Roman" w:hAnsi="Arial" w:cs="Arial"/>
          <w:strike/>
          <w:color w:val="000000"/>
          <w:sz w:val="20"/>
          <w:szCs w:val="20"/>
        </w:rPr>
        <w:t>cinqüenta</w:t>
      </w:r>
      <w:proofErr w:type="spellEnd"/>
      <w:r w:rsidRPr="003259DA">
        <w:rPr>
          <w:rFonts w:ascii="Arial" w:eastAsia="Times New Roman" w:hAnsi="Arial" w:cs="Arial"/>
          <w:strike/>
          <w:color w:val="000000"/>
          <w:sz w:val="20"/>
          <w:szCs w:val="20"/>
        </w:rPr>
        <w:t xml:space="preserve"> UFIR e o imposto de valor inferior a cem </w:t>
      </w:r>
      <w:r w:rsidRPr="003259DA">
        <w:rPr>
          <w:rFonts w:ascii="Arial" w:eastAsia="Times New Roman" w:hAnsi="Arial" w:cs="Arial"/>
          <w:strike/>
          <w:color w:val="000000"/>
          <w:sz w:val="20"/>
          <w:szCs w:val="20"/>
        </w:rPr>
        <w:lastRenderedPageBreak/>
        <w:t>UFIR será pago de uma só vez.</w:t>
      </w:r>
      <w:r w:rsidRPr="003259DA">
        <w:rPr>
          <w:rFonts w:ascii="Arial" w:eastAsia="Times New Roman" w:hAnsi="Arial" w:cs="Arial"/>
          <w:strike/>
          <w:color w:val="000000"/>
          <w:sz w:val="20"/>
          <w:szCs w:val="20"/>
        </w:rPr>
        <w:br/>
        <w:t>       § 2º É facultado ao contribuinte antecipar, total ou parcialmente, o pagamento das quotas.</w:t>
      </w:r>
      <w:r w:rsidRPr="003259DA">
        <w:rPr>
          <w:rFonts w:ascii="Arial" w:eastAsia="Times New Roman" w:hAnsi="Arial" w:cs="Arial"/>
          <w:strike/>
          <w:color w:val="000000"/>
          <w:sz w:val="20"/>
          <w:szCs w:val="20"/>
        </w:rPr>
        <w:br/>
        <w:t>       § 3º O valor em moeda corrente nacional de cada quota será determinado mediante a multiplicação do seu valor, expresso em quantidade de UFIR, pelo valor desta no mês do efetivo pagamento.</w:t>
      </w:r>
    </w:p>
    <w:p w:rsidR="003259DA" w:rsidRPr="003259DA" w:rsidRDefault="003259DA" w:rsidP="003259DA">
      <w:pPr>
        <w:spacing w:after="0" w:line="240" w:lineRule="auto"/>
        <w:ind w:firstLine="450"/>
        <w:rPr>
          <w:rFonts w:ascii="Times New Roman" w:eastAsia="Times New Roman" w:hAnsi="Times New Roman" w:cs="Times New Roman"/>
          <w:color w:val="000000"/>
          <w:sz w:val="20"/>
          <w:szCs w:val="20"/>
        </w:rPr>
      </w:pPr>
      <w:bookmarkStart w:id="3" w:name="art14"/>
      <w:bookmarkEnd w:id="3"/>
      <w:r w:rsidRPr="003259DA">
        <w:rPr>
          <w:rFonts w:ascii="Arial" w:eastAsia="Times New Roman" w:hAnsi="Arial" w:cs="Arial"/>
          <w:strike/>
          <w:color w:val="000000"/>
          <w:sz w:val="20"/>
          <w:szCs w:val="20"/>
        </w:rPr>
        <w:t xml:space="preserve">Art. 14. O valor do ITR, apurado na forma do art. 5º desta lei, deverá ser pago até o último dia útil do mês </w:t>
      </w:r>
      <w:proofErr w:type="spellStart"/>
      <w:r w:rsidRPr="003259DA">
        <w:rPr>
          <w:rFonts w:ascii="Arial" w:eastAsia="Times New Roman" w:hAnsi="Arial" w:cs="Arial"/>
          <w:strike/>
          <w:color w:val="000000"/>
          <w:sz w:val="20"/>
          <w:szCs w:val="20"/>
        </w:rPr>
        <w:t>subseqüente</w:t>
      </w:r>
      <w:proofErr w:type="spellEnd"/>
      <w:r w:rsidRPr="003259DA">
        <w:rPr>
          <w:rFonts w:ascii="Arial" w:eastAsia="Times New Roman" w:hAnsi="Arial" w:cs="Arial"/>
          <w:strike/>
          <w:color w:val="000000"/>
          <w:sz w:val="20"/>
          <w:szCs w:val="20"/>
        </w:rPr>
        <w:t xml:space="preserve"> àquele em que o contribuinte for notificado.    </w:t>
      </w:r>
      <w:hyperlink r:id="rId23" w:anchor="art90" w:history="1">
        <w:r w:rsidRPr="003259DA">
          <w:rPr>
            <w:rFonts w:ascii="Arial" w:eastAsia="Times New Roman" w:hAnsi="Arial" w:cs="Arial"/>
            <w:strike/>
            <w:color w:val="0000FF"/>
            <w:sz w:val="20"/>
            <w:szCs w:val="20"/>
            <w:u w:val="single"/>
          </w:rPr>
          <w:t>(Redação dada  pela Lei nº 8.981, de 1995)</w:t>
        </w:r>
        <w:proofErr w:type="gramStart"/>
      </w:hyperlink>
      <w:proofErr w:type="gramEnd"/>
    </w:p>
    <w:p w:rsidR="003259DA" w:rsidRPr="003259DA" w:rsidRDefault="003259DA" w:rsidP="003259DA">
      <w:pPr>
        <w:spacing w:after="0" w:line="240" w:lineRule="auto"/>
        <w:ind w:firstLine="450"/>
        <w:rPr>
          <w:rFonts w:ascii="Times New Roman" w:eastAsia="Times New Roman" w:hAnsi="Times New Roman" w:cs="Times New Roman"/>
          <w:color w:val="000000"/>
          <w:sz w:val="20"/>
          <w:szCs w:val="20"/>
        </w:rPr>
      </w:pPr>
      <w:bookmarkStart w:id="4" w:name="art14."/>
      <w:bookmarkEnd w:id="4"/>
      <w:r w:rsidRPr="003259DA">
        <w:rPr>
          <w:rFonts w:ascii="Arial" w:eastAsia="Times New Roman" w:hAnsi="Arial" w:cs="Arial"/>
          <w:strike/>
          <w:color w:val="000000"/>
          <w:sz w:val="20"/>
          <w:szCs w:val="20"/>
        </w:rPr>
        <w:t xml:space="preserve">Art. 14. O valor do ITR deverá ser pago até o último dia útil do mês </w:t>
      </w:r>
      <w:proofErr w:type="spellStart"/>
      <w:r w:rsidRPr="003259DA">
        <w:rPr>
          <w:rFonts w:ascii="Arial" w:eastAsia="Times New Roman" w:hAnsi="Arial" w:cs="Arial"/>
          <w:strike/>
          <w:color w:val="000000"/>
          <w:sz w:val="20"/>
          <w:szCs w:val="20"/>
        </w:rPr>
        <w:t>subseqüente</w:t>
      </w:r>
      <w:proofErr w:type="spellEnd"/>
      <w:r w:rsidRPr="003259DA">
        <w:rPr>
          <w:rFonts w:ascii="Arial" w:eastAsia="Times New Roman" w:hAnsi="Arial" w:cs="Arial"/>
          <w:strike/>
          <w:color w:val="000000"/>
          <w:sz w:val="20"/>
          <w:szCs w:val="20"/>
        </w:rPr>
        <w:t xml:space="preserve"> àquele em que o contribuinte for notificado.     </w:t>
      </w:r>
      <w:hyperlink r:id="rId24" w:anchor="art1" w:history="1">
        <w:r w:rsidRPr="003259DA">
          <w:rPr>
            <w:rFonts w:ascii="Arial" w:eastAsia="Times New Roman" w:hAnsi="Arial" w:cs="Arial"/>
            <w:strike/>
            <w:color w:val="0000FF"/>
            <w:sz w:val="20"/>
            <w:szCs w:val="20"/>
            <w:u w:val="single"/>
          </w:rPr>
          <w:t>(Redação dada  pela Lei nº 9.065, de 1995)</w:t>
        </w:r>
      </w:hyperlink>
      <w:r w:rsidRPr="003259DA">
        <w:rPr>
          <w:rFonts w:ascii="Arial" w:eastAsia="Times New Roman" w:hAnsi="Arial" w:cs="Arial"/>
          <w:color w:val="000000"/>
          <w:sz w:val="20"/>
          <w:szCs w:val="20"/>
        </w:rPr>
        <w:t>    </w:t>
      </w:r>
      <w:hyperlink r:id="rId25" w:anchor="art24" w:history="1">
        <w:r w:rsidRPr="003259DA">
          <w:rPr>
            <w:rFonts w:ascii="Arial" w:eastAsia="Times New Roman" w:hAnsi="Arial" w:cs="Arial"/>
            <w:color w:val="0000FF"/>
            <w:sz w:val="20"/>
            <w:szCs w:val="20"/>
            <w:u w:val="single"/>
          </w:rPr>
          <w:t>(Revogado pela Lei nº 9.393, de 19.12.96)</w:t>
        </w:r>
        <w:proofErr w:type="gramStart"/>
      </w:hyperlink>
      <w:proofErr w:type="gramEnd"/>
    </w:p>
    <w:p w:rsidR="003259DA" w:rsidRPr="003259DA" w:rsidRDefault="003259DA" w:rsidP="003259DA">
      <w:pPr>
        <w:spacing w:after="0" w:line="240" w:lineRule="auto"/>
        <w:ind w:firstLine="450"/>
        <w:rPr>
          <w:rFonts w:ascii="Times New Roman" w:eastAsia="Times New Roman" w:hAnsi="Times New Roman" w:cs="Times New Roman"/>
          <w:color w:val="000000"/>
          <w:sz w:val="20"/>
          <w:szCs w:val="20"/>
        </w:rPr>
      </w:pPr>
      <w:r w:rsidRPr="003259DA">
        <w:rPr>
          <w:rFonts w:ascii="Arial" w:eastAsia="Times New Roman" w:hAnsi="Arial" w:cs="Arial"/>
          <w:strike/>
          <w:color w:val="000000"/>
          <w:sz w:val="20"/>
          <w:szCs w:val="20"/>
        </w:rPr>
        <w:t>Parágrafo único. À opção do contribuinte, o imposto poderá ser parcelado em até três quotas iguais, mensais e sucessivas, observado o seguinte:    </w:t>
      </w:r>
      <w:hyperlink r:id="rId26" w:anchor="art90" w:history="1">
        <w:r w:rsidRPr="003259DA">
          <w:rPr>
            <w:rFonts w:ascii="Arial" w:eastAsia="Times New Roman" w:hAnsi="Arial" w:cs="Arial"/>
            <w:strike/>
            <w:color w:val="0000FF"/>
            <w:sz w:val="20"/>
            <w:szCs w:val="20"/>
            <w:u w:val="single"/>
          </w:rPr>
          <w:t>(Redação dada  pela Lei nº 8.981, de 1995)</w:t>
        </w:r>
      </w:hyperlink>
      <w:r w:rsidRPr="003259DA">
        <w:rPr>
          <w:rFonts w:ascii="Arial" w:eastAsia="Times New Roman" w:hAnsi="Arial" w:cs="Arial"/>
          <w:color w:val="000000"/>
          <w:sz w:val="20"/>
          <w:szCs w:val="20"/>
        </w:rPr>
        <w:t>    </w:t>
      </w:r>
      <w:hyperlink r:id="rId27" w:anchor="art24" w:history="1">
        <w:r w:rsidRPr="003259DA">
          <w:rPr>
            <w:rFonts w:ascii="Arial" w:eastAsia="Times New Roman" w:hAnsi="Arial" w:cs="Arial"/>
            <w:color w:val="0000FF"/>
            <w:sz w:val="20"/>
            <w:szCs w:val="20"/>
            <w:u w:val="single"/>
          </w:rPr>
          <w:t>(Revogado pela Lei nº 9.393, de 19.12.96)</w:t>
        </w:r>
        <w:proofErr w:type="gramStart"/>
      </w:hyperlink>
      <w:proofErr w:type="gramEnd"/>
    </w:p>
    <w:p w:rsidR="003259DA" w:rsidRPr="003259DA" w:rsidRDefault="003259DA" w:rsidP="003259DA">
      <w:pPr>
        <w:spacing w:after="0" w:line="240" w:lineRule="auto"/>
        <w:ind w:firstLine="450"/>
        <w:rPr>
          <w:rFonts w:ascii="Times New Roman" w:eastAsia="Times New Roman" w:hAnsi="Times New Roman" w:cs="Times New Roman"/>
          <w:color w:val="000000"/>
          <w:sz w:val="20"/>
          <w:szCs w:val="20"/>
        </w:rPr>
      </w:pPr>
      <w:r w:rsidRPr="003259DA">
        <w:rPr>
          <w:rFonts w:ascii="Arial" w:eastAsia="Times New Roman" w:hAnsi="Arial" w:cs="Arial"/>
          <w:strike/>
          <w:color w:val="000000"/>
          <w:sz w:val="20"/>
          <w:szCs w:val="20"/>
        </w:rPr>
        <w:t>a) nenhuma quota será inferior a R$ 35,00 e o imposto de valor inferior a R$ 70,00 será pago de uma só vez;    </w:t>
      </w:r>
      <w:hyperlink r:id="rId28" w:anchor="art90" w:history="1">
        <w:r w:rsidRPr="003259DA">
          <w:rPr>
            <w:rFonts w:ascii="Arial" w:eastAsia="Times New Roman" w:hAnsi="Arial" w:cs="Arial"/>
            <w:strike/>
            <w:color w:val="0000FF"/>
            <w:sz w:val="20"/>
            <w:szCs w:val="20"/>
            <w:u w:val="single"/>
          </w:rPr>
          <w:t>(Redação dada  pela Lei nº 8.981, de 1995)</w:t>
        </w:r>
      </w:hyperlink>
      <w:r w:rsidRPr="003259DA">
        <w:rPr>
          <w:rFonts w:ascii="Arial" w:eastAsia="Times New Roman" w:hAnsi="Arial" w:cs="Arial"/>
          <w:color w:val="000000"/>
          <w:sz w:val="20"/>
          <w:szCs w:val="20"/>
        </w:rPr>
        <w:t>    </w:t>
      </w:r>
      <w:hyperlink r:id="rId29" w:anchor="art24" w:history="1">
        <w:r w:rsidRPr="003259DA">
          <w:rPr>
            <w:rFonts w:ascii="Arial" w:eastAsia="Times New Roman" w:hAnsi="Arial" w:cs="Arial"/>
            <w:color w:val="0000FF"/>
            <w:sz w:val="20"/>
            <w:szCs w:val="20"/>
            <w:u w:val="single"/>
          </w:rPr>
          <w:t>(Revogado pela Lei nº 9.393, de 19.12.96)</w:t>
        </w:r>
        <w:proofErr w:type="gramStart"/>
      </w:hyperlink>
      <w:proofErr w:type="gramEnd"/>
    </w:p>
    <w:p w:rsidR="003259DA" w:rsidRPr="003259DA" w:rsidRDefault="003259DA" w:rsidP="003259DA">
      <w:pPr>
        <w:spacing w:after="0" w:line="240" w:lineRule="auto"/>
        <w:ind w:firstLine="450"/>
        <w:rPr>
          <w:rFonts w:ascii="Times New Roman" w:eastAsia="Times New Roman" w:hAnsi="Times New Roman" w:cs="Times New Roman"/>
          <w:color w:val="000000"/>
          <w:sz w:val="20"/>
          <w:szCs w:val="20"/>
        </w:rPr>
      </w:pPr>
      <w:r w:rsidRPr="003259DA">
        <w:rPr>
          <w:rFonts w:ascii="Arial" w:eastAsia="Times New Roman" w:hAnsi="Arial" w:cs="Arial"/>
          <w:strike/>
          <w:color w:val="000000"/>
          <w:sz w:val="20"/>
          <w:szCs w:val="20"/>
        </w:rPr>
        <w:t xml:space="preserve">b) a primeira quota deverá ser paga até o último dia útil do mês </w:t>
      </w:r>
      <w:proofErr w:type="spellStart"/>
      <w:r w:rsidRPr="003259DA">
        <w:rPr>
          <w:rFonts w:ascii="Arial" w:eastAsia="Times New Roman" w:hAnsi="Arial" w:cs="Arial"/>
          <w:strike/>
          <w:color w:val="000000"/>
          <w:sz w:val="20"/>
          <w:szCs w:val="20"/>
        </w:rPr>
        <w:t>subseqüente</w:t>
      </w:r>
      <w:proofErr w:type="spellEnd"/>
      <w:r w:rsidRPr="003259DA">
        <w:rPr>
          <w:rFonts w:ascii="Arial" w:eastAsia="Times New Roman" w:hAnsi="Arial" w:cs="Arial"/>
          <w:strike/>
          <w:color w:val="000000"/>
          <w:sz w:val="20"/>
          <w:szCs w:val="20"/>
        </w:rPr>
        <w:t xml:space="preserve"> àquele em que o contribuinte for notificado.    </w:t>
      </w:r>
      <w:hyperlink r:id="rId30" w:anchor="art90" w:history="1">
        <w:r w:rsidRPr="003259DA">
          <w:rPr>
            <w:rFonts w:ascii="Arial" w:eastAsia="Times New Roman" w:hAnsi="Arial" w:cs="Arial"/>
            <w:strike/>
            <w:color w:val="0000FF"/>
            <w:sz w:val="20"/>
            <w:szCs w:val="20"/>
            <w:u w:val="single"/>
          </w:rPr>
          <w:t>(Redação dada  pela Lei nº 8.981, de 1995)</w:t>
        </w:r>
      </w:hyperlink>
      <w:r w:rsidRPr="003259DA">
        <w:rPr>
          <w:rFonts w:ascii="Arial" w:eastAsia="Times New Roman" w:hAnsi="Arial" w:cs="Arial"/>
          <w:color w:val="000000"/>
          <w:sz w:val="20"/>
          <w:szCs w:val="20"/>
        </w:rPr>
        <w:t>    </w:t>
      </w:r>
      <w:hyperlink r:id="rId31" w:anchor="art24" w:history="1">
        <w:r w:rsidRPr="003259DA">
          <w:rPr>
            <w:rFonts w:ascii="Arial" w:eastAsia="Times New Roman" w:hAnsi="Arial" w:cs="Arial"/>
            <w:color w:val="0000FF"/>
            <w:sz w:val="20"/>
            <w:szCs w:val="20"/>
            <w:u w:val="single"/>
          </w:rPr>
          <w:t>(Revogado pela Lei nº 9.393, de 19.12.96)</w:t>
        </w:r>
        <w:proofErr w:type="gramStart"/>
      </w:hyperlink>
      <w:proofErr w:type="gramEnd"/>
    </w:p>
    <w:p w:rsidR="003259DA" w:rsidRPr="003259DA" w:rsidRDefault="003259DA" w:rsidP="003259DA">
      <w:pPr>
        <w:spacing w:after="0" w:line="240" w:lineRule="auto"/>
        <w:ind w:firstLine="450"/>
        <w:rPr>
          <w:rFonts w:ascii="Times New Roman" w:eastAsia="Times New Roman" w:hAnsi="Times New Roman" w:cs="Times New Roman"/>
          <w:color w:val="000000"/>
          <w:sz w:val="20"/>
          <w:szCs w:val="20"/>
        </w:rPr>
      </w:pPr>
      <w:bookmarkStart w:id="5" w:name="art14pc"/>
      <w:bookmarkEnd w:id="5"/>
      <w:r w:rsidRPr="003259DA">
        <w:rPr>
          <w:rFonts w:ascii="Arial" w:eastAsia="Times New Roman" w:hAnsi="Arial" w:cs="Arial"/>
          <w:strike/>
          <w:color w:val="000000"/>
          <w:sz w:val="20"/>
          <w:szCs w:val="20"/>
        </w:rPr>
        <w:t xml:space="preserve">c) as demais quotas, acrescidas de juros </w:t>
      </w:r>
      <w:proofErr w:type="gramStart"/>
      <w:r w:rsidRPr="003259DA">
        <w:rPr>
          <w:rFonts w:ascii="Arial" w:eastAsia="Times New Roman" w:hAnsi="Arial" w:cs="Arial"/>
          <w:strike/>
          <w:color w:val="000000"/>
          <w:sz w:val="20"/>
          <w:szCs w:val="20"/>
        </w:rPr>
        <w:t>equivalentes à taxa média mensal de captação do Tesouro Nacional relativa</w:t>
      </w:r>
      <w:proofErr w:type="gramEnd"/>
      <w:r w:rsidRPr="003259DA">
        <w:rPr>
          <w:rFonts w:ascii="Arial" w:eastAsia="Times New Roman" w:hAnsi="Arial" w:cs="Arial"/>
          <w:strike/>
          <w:color w:val="000000"/>
          <w:sz w:val="20"/>
          <w:szCs w:val="20"/>
        </w:rPr>
        <w:t xml:space="preserve"> à Dívida Mobiliária Federal Interna, vencerão no último dia útil de cada mês;    </w:t>
      </w:r>
      <w:hyperlink r:id="rId32" w:anchor="art90" w:history="1">
        <w:r w:rsidRPr="003259DA">
          <w:rPr>
            <w:rFonts w:ascii="Arial" w:eastAsia="Times New Roman" w:hAnsi="Arial" w:cs="Arial"/>
            <w:strike/>
            <w:color w:val="0000FF"/>
            <w:sz w:val="20"/>
            <w:szCs w:val="20"/>
            <w:u w:val="single"/>
          </w:rPr>
          <w:t>(Redação dada  pela Lei nº 8.981, de 1995)</w:t>
        </w:r>
      </w:hyperlink>
      <w:r w:rsidRPr="003259DA">
        <w:rPr>
          <w:rFonts w:ascii="Arial" w:eastAsia="Times New Roman" w:hAnsi="Arial" w:cs="Arial"/>
          <w:color w:val="000000"/>
          <w:sz w:val="20"/>
          <w:szCs w:val="20"/>
        </w:rPr>
        <w:t>     </w:t>
      </w:r>
      <w:hyperlink r:id="rId33" w:anchor="art24" w:history="1">
        <w:r w:rsidRPr="003259DA">
          <w:rPr>
            <w:rFonts w:ascii="Arial" w:eastAsia="Times New Roman" w:hAnsi="Arial" w:cs="Arial"/>
            <w:color w:val="0000FF"/>
            <w:sz w:val="20"/>
            <w:szCs w:val="20"/>
            <w:u w:val="single"/>
          </w:rPr>
          <w:t>(Revogado pela Lei nº 9.393, de 1996)</w:t>
        </w:r>
      </w:hyperlink>
      <w:r w:rsidRPr="003259DA">
        <w:rPr>
          <w:rFonts w:ascii="Arial" w:eastAsia="Times New Roman" w:hAnsi="Arial" w:cs="Arial"/>
          <w:color w:val="000000"/>
          <w:sz w:val="20"/>
          <w:szCs w:val="20"/>
        </w:rPr>
        <w:t>     </w:t>
      </w:r>
      <w:hyperlink r:id="rId34" w:anchor="art62a" w:history="1">
        <w:r w:rsidRPr="003259DA">
          <w:rPr>
            <w:rFonts w:ascii="Arial" w:eastAsia="Times New Roman" w:hAnsi="Arial" w:cs="Arial"/>
            <w:color w:val="0000FF"/>
            <w:sz w:val="20"/>
            <w:szCs w:val="20"/>
            <w:u w:val="single"/>
          </w:rPr>
          <w:t>(Vide Lei nº 9.430, de 1996)</w:t>
        </w:r>
      </w:hyperlink>
    </w:p>
    <w:p w:rsidR="003259DA" w:rsidRPr="003259DA" w:rsidRDefault="003259DA" w:rsidP="003259DA">
      <w:pPr>
        <w:spacing w:after="0" w:line="240" w:lineRule="auto"/>
        <w:ind w:firstLine="450"/>
        <w:rPr>
          <w:rFonts w:ascii="Times New Roman" w:eastAsia="Times New Roman" w:hAnsi="Times New Roman" w:cs="Times New Roman"/>
          <w:color w:val="000000"/>
          <w:sz w:val="20"/>
          <w:szCs w:val="20"/>
        </w:rPr>
      </w:pPr>
      <w:r w:rsidRPr="003259DA">
        <w:rPr>
          <w:rFonts w:ascii="Arial" w:eastAsia="Times New Roman" w:hAnsi="Arial" w:cs="Arial"/>
          <w:strike/>
          <w:color w:val="000000"/>
          <w:sz w:val="20"/>
          <w:szCs w:val="20"/>
        </w:rPr>
        <w:t>d) é facultado ao contribuinte antecipar, total ou parcialmente, o pagamento do imposto ou das quotas.    </w:t>
      </w:r>
      <w:hyperlink r:id="rId35" w:anchor="art90" w:history="1">
        <w:r w:rsidRPr="003259DA">
          <w:rPr>
            <w:rFonts w:ascii="Arial" w:eastAsia="Times New Roman" w:hAnsi="Arial" w:cs="Arial"/>
            <w:strike/>
            <w:color w:val="0000FF"/>
            <w:sz w:val="20"/>
            <w:szCs w:val="20"/>
            <w:u w:val="single"/>
          </w:rPr>
          <w:t>(Redação dada  pela Lei nº 8.981, de 1995)</w:t>
        </w:r>
      </w:hyperlink>
      <w:r w:rsidRPr="003259DA">
        <w:rPr>
          <w:rFonts w:ascii="Arial" w:eastAsia="Times New Roman" w:hAnsi="Arial" w:cs="Arial"/>
          <w:color w:val="000000"/>
          <w:sz w:val="20"/>
          <w:szCs w:val="20"/>
        </w:rPr>
        <w:t>    </w:t>
      </w:r>
      <w:hyperlink r:id="rId36" w:anchor="art24" w:history="1">
        <w:r w:rsidRPr="003259DA">
          <w:rPr>
            <w:rFonts w:ascii="Arial" w:eastAsia="Times New Roman" w:hAnsi="Arial" w:cs="Arial"/>
            <w:color w:val="0000FF"/>
            <w:sz w:val="20"/>
            <w:szCs w:val="20"/>
            <w:u w:val="single"/>
          </w:rPr>
          <w:t>(Revogado pela Lei nº 9.393, de 19.12.96)</w:t>
        </w:r>
        <w:proofErr w:type="gramStart"/>
      </w:hyperlink>
      <w:proofErr w:type="gramEnd"/>
    </w:p>
    <w:p w:rsidR="003259DA" w:rsidRPr="003259DA" w:rsidRDefault="003259DA" w:rsidP="003259DA">
      <w:pPr>
        <w:spacing w:after="0" w:line="240" w:lineRule="auto"/>
        <w:rPr>
          <w:rFonts w:ascii="Times New Roman" w:eastAsia="Times New Roman" w:hAnsi="Times New Roman" w:cs="Times New Roman"/>
          <w:color w:val="000000"/>
          <w:sz w:val="20"/>
          <w:szCs w:val="20"/>
        </w:rPr>
      </w:pPr>
      <w:r w:rsidRPr="003259DA">
        <w:rPr>
          <w:rFonts w:ascii="Arial" w:eastAsia="Times New Roman" w:hAnsi="Arial" w:cs="Arial"/>
          <w:strike/>
          <w:color w:val="000000"/>
          <w:sz w:val="20"/>
          <w:szCs w:val="20"/>
        </w:rPr>
        <w:t>       Art. 15. O Cadastro Fiscal de Imóveis Rurais - CAFIR, da SRF, será formado com base nas informações fornecidas pelos contribuintes, obrigados a apresentar a Declaração de Informações do ITR, nos prazos fixados pela Secretaria da Receita Federal. </w:t>
      </w:r>
      <w:hyperlink r:id="rId37"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Parágrafo único. O desmembramento, anexação, alienação ou sucessão </w:t>
      </w:r>
      <w:r w:rsidRPr="003259DA">
        <w:rPr>
          <w:rFonts w:ascii="Arial" w:eastAsia="Times New Roman" w:hAnsi="Arial" w:cs="Arial"/>
          <w:i/>
          <w:iCs/>
          <w:strike/>
          <w:color w:val="000000"/>
          <w:sz w:val="20"/>
          <w:szCs w:val="20"/>
        </w:rPr>
        <w:t>causa mortis</w:t>
      </w:r>
      <w:r w:rsidRPr="003259DA">
        <w:rPr>
          <w:rFonts w:ascii="Arial" w:eastAsia="Times New Roman" w:hAnsi="Arial" w:cs="Arial"/>
          <w:strike/>
          <w:color w:val="000000"/>
          <w:sz w:val="20"/>
          <w:szCs w:val="20"/>
        </w:rPr>
        <w:t>, de áreas parciais ou totais de imóveis rurais, deverão ser informados à SRF no prazo máximo de sessenta dias, a contar de sua efetivação.</w:t>
      </w:r>
      <w:r w:rsidRPr="003259DA">
        <w:rPr>
          <w:rFonts w:ascii="Arial" w:eastAsia="Times New Roman" w:hAnsi="Arial" w:cs="Arial"/>
          <w:strike/>
          <w:color w:val="000000"/>
          <w:sz w:val="20"/>
          <w:szCs w:val="20"/>
        </w:rPr>
        <w:br/>
        <w:t>       Art. 16. A falta de apresentação da declaração referida no artigo anterior ou sua apresentação fora do prazo fixado sujeitará o contribuinte à multa de um por cento ao mês ou fração sobre o imposto devido ou como se devido fosse, sem prejuízo da multa e dos juros de mora pela falta ou insuficiência de recolhimento do imposto ou quota. </w:t>
      </w:r>
      <w:hyperlink r:id="rId38"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Art. 17. Não se aplicam na formação do CAFIR os dispositivos da </w:t>
      </w:r>
      <w:hyperlink r:id="rId39" w:history="1">
        <w:r w:rsidRPr="003259DA">
          <w:rPr>
            <w:rFonts w:ascii="Arial" w:eastAsia="Times New Roman" w:hAnsi="Arial" w:cs="Arial"/>
            <w:strike/>
            <w:color w:val="0000FF"/>
            <w:sz w:val="20"/>
            <w:szCs w:val="20"/>
            <w:u w:val="single"/>
          </w:rPr>
          <w:t>Lei nº 5.868, de 12 de dezembro de 1972</w:t>
        </w:r>
      </w:hyperlink>
      <w:r w:rsidRPr="003259DA">
        <w:rPr>
          <w:rFonts w:ascii="Arial" w:eastAsia="Times New Roman" w:hAnsi="Arial" w:cs="Arial"/>
          <w:strike/>
          <w:color w:val="000000"/>
          <w:sz w:val="20"/>
          <w:szCs w:val="20"/>
        </w:rPr>
        <w:t>. </w:t>
      </w:r>
      <w:hyperlink r:id="rId40"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Art. 18. Nos casos de omissão de declaração ou informação, bem assim de subavaliação ou incorreção dos valores declarados por parte do contribuinte, a SRF procederá à determinação e ao lançamento do ITR com base em dados de que dispuser. </w:t>
      </w:r>
      <w:hyperlink r:id="rId41"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Art. 19. A notificação do lançamento far-se-á no ato da entrega da Declaração de Informações do ITR, ou por via postal, com prova de recebimento, ou por edital. </w:t>
      </w:r>
      <w:hyperlink r:id="rId42"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Parágrafo único. Far-se-á notificação por edital, quando for desconhecido ou incerto o endereço do contribuinte ou quando este se encontrar ausente no exterior, ou, ainda, se for impraticável a notificação pelos outros meios legais.</w:t>
      </w:r>
      <w:r w:rsidRPr="003259DA">
        <w:rPr>
          <w:rFonts w:ascii="Arial" w:eastAsia="Times New Roman" w:hAnsi="Arial" w:cs="Arial"/>
          <w:strike/>
          <w:color w:val="000000"/>
          <w:sz w:val="20"/>
          <w:szCs w:val="20"/>
        </w:rPr>
        <w:br/>
        <w:t>       Art. 20. Nos casos de lançamento de ofício nas hipóteses abaixo, sobre a totalidade ou diferença do imposto serão aplicadas as seguintes multas: </w:t>
      </w:r>
      <w:hyperlink r:id="rId43"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I - de cem por cento, nos casos de falta de declaração e nos de declaração inexata, excetuada a hipótese do inciso seguinte;</w:t>
      </w:r>
      <w:r w:rsidRPr="003259DA">
        <w:rPr>
          <w:rFonts w:ascii="Arial" w:eastAsia="Times New Roman" w:hAnsi="Arial" w:cs="Arial"/>
          <w:strike/>
          <w:color w:val="000000"/>
          <w:sz w:val="20"/>
          <w:szCs w:val="20"/>
        </w:rPr>
        <w:br/>
        <w:t>       II - de trezentos por cento, nos casos de evidente intuito de fraude, definidos nos </w:t>
      </w:r>
      <w:hyperlink r:id="rId44" w:anchor="art71" w:history="1">
        <w:r w:rsidRPr="003259DA">
          <w:rPr>
            <w:rFonts w:ascii="Arial" w:eastAsia="Times New Roman" w:hAnsi="Arial" w:cs="Arial"/>
            <w:strike/>
            <w:color w:val="0000FF"/>
            <w:sz w:val="20"/>
            <w:szCs w:val="20"/>
            <w:u w:val="single"/>
          </w:rPr>
          <w:t xml:space="preserve">arts. </w:t>
        </w:r>
        <w:proofErr w:type="gramStart"/>
        <w:r w:rsidRPr="003259DA">
          <w:rPr>
            <w:rFonts w:ascii="Arial" w:eastAsia="Times New Roman" w:hAnsi="Arial" w:cs="Arial"/>
            <w:strike/>
            <w:color w:val="0000FF"/>
            <w:sz w:val="20"/>
            <w:szCs w:val="20"/>
            <w:u w:val="single"/>
          </w:rPr>
          <w:t>71, 72 e 73</w:t>
        </w:r>
        <w:proofErr w:type="gramEnd"/>
        <w:r w:rsidRPr="003259DA">
          <w:rPr>
            <w:rFonts w:ascii="Arial" w:eastAsia="Times New Roman" w:hAnsi="Arial" w:cs="Arial"/>
            <w:strike/>
            <w:color w:val="0000FF"/>
            <w:sz w:val="20"/>
            <w:szCs w:val="20"/>
            <w:u w:val="single"/>
          </w:rPr>
          <w:t xml:space="preserve"> da Lei nº 4.502, de 30 de novembro de 1964</w:t>
        </w:r>
      </w:hyperlink>
      <w:r w:rsidRPr="003259DA">
        <w:rPr>
          <w:rFonts w:ascii="Arial" w:eastAsia="Times New Roman" w:hAnsi="Arial" w:cs="Arial"/>
          <w:strike/>
          <w:color w:val="000000"/>
          <w:sz w:val="20"/>
          <w:szCs w:val="20"/>
        </w:rPr>
        <w:t>, independentemente de outras penalidades administrativas ou criminais cabíveis.</w:t>
      </w:r>
      <w:r w:rsidRPr="003259DA">
        <w:rPr>
          <w:rFonts w:ascii="Arial" w:eastAsia="Times New Roman" w:hAnsi="Arial" w:cs="Arial"/>
          <w:strike/>
          <w:color w:val="000000"/>
          <w:sz w:val="20"/>
          <w:szCs w:val="20"/>
        </w:rPr>
        <w:br/>
        <w:t>       </w:t>
      </w:r>
      <w:bookmarkStart w:id="6" w:name="art21"/>
      <w:bookmarkEnd w:id="6"/>
      <w:r w:rsidRPr="003259DA">
        <w:rPr>
          <w:rFonts w:ascii="Arial" w:eastAsia="Times New Roman" w:hAnsi="Arial" w:cs="Arial"/>
          <w:strike/>
          <w:color w:val="000000"/>
          <w:sz w:val="20"/>
          <w:szCs w:val="20"/>
        </w:rPr>
        <w:t xml:space="preserve">Art. 21. A concessão de incentivos fiscais e de crédito rural, em todas as suas modalidades, </w:t>
      </w:r>
      <w:r w:rsidRPr="003259DA">
        <w:rPr>
          <w:rFonts w:ascii="Arial" w:eastAsia="Times New Roman" w:hAnsi="Arial" w:cs="Arial"/>
          <w:strike/>
          <w:color w:val="000000"/>
          <w:sz w:val="20"/>
          <w:szCs w:val="20"/>
        </w:rPr>
        <w:lastRenderedPageBreak/>
        <w:t>bem assim a constituição das respectivas contrapartidas ou garantias, ficam condicionadas à comprovação do recolhimento do imposto, relativo ao imóvel rural objeto do incentivo ou financiamento e referente aos últimos cinco exercícios, ressalvados os casos comprovadamente pendentes de decisão administrativa ou judicial. </w:t>
      </w:r>
      <w:hyperlink r:id="rId45" w:anchor="art24" w:history="1">
        <w:r w:rsidRPr="003259DA">
          <w:rPr>
            <w:rFonts w:ascii="Arial" w:eastAsia="Times New Roman" w:hAnsi="Arial" w:cs="Arial"/>
            <w:color w:val="0000FF"/>
            <w:sz w:val="20"/>
            <w:szCs w:val="20"/>
            <w:u w:val="single"/>
          </w:rPr>
          <w:t>(Revogado pela Lei nº 9.393, de 19.12.96)</w:t>
        </w:r>
      </w:hyperlink>
      <w:r w:rsidRPr="003259DA">
        <w:rPr>
          <w:rFonts w:ascii="Arial" w:eastAsia="Times New Roman" w:hAnsi="Arial" w:cs="Arial"/>
          <w:strike/>
          <w:color w:val="000000"/>
          <w:sz w:val="20"/>
          <w:szCs w:val="20"/>
        </w:rPr>
        <w:br/>
        <w:t>       Art. 22. Até ulterior disposição legal, o tamanho do módulo fiscal, por município, utilizado, permanecerá fixo, para os demais fins. </w:t>
      </w:r>
      <w:hyperlink r:id="rId46" w:anchor="art24" w:history="1">
        <w:r w:rsidRPr="003259DA">
          <w:rPr>
            <w:rFonts w:ascii="Arial" w:eastAsia="Times New Roman" w:hAnsi="Arial" w:cs="Arial"/>
            <w:color w:val="0000FF"/>
            <w:sz w:val="20"/>
            <w:szCs w:val="20"/>
            <w:u w:val="single"/>
          </w:rPr>
          <w:t>(Revogado pela Lei nº 9.393, de 19.12.96)</w:t>
        </w:r>
        <w:proofErr w:type="gramStart"/>
      </w:hyperlink>
      <w:proofErr w:type="gramEnd"/>
    </w:p>
    <w:p w:rsidR="003259DA" w:rsidRPr="003259DA" w:rsidRDefault="003259DA" w:rsidP="003259DA">
      <w:pPr>
        <w:spacing w:before="100" w:beforeAutospacing="1" w:after="100" w:afterAutospacing="1" w:line="240" w:lineRule="auto"/>
        <w:rPr>
          <w:rFonts w:ascii="Times New Roman" w:eastAsia="Times New Roman" w:hAnsi="Times New Roman" w:cs="Times New Roman"/>
          <w:color w:val="000000"/>
          <w:sz w:val="20"/>
          <w:szCs w:val="20"/>
        </w:rPr>
      </w:pPr>
      <w:r w:rsidRPr="003259DA">
        <w:rPr>
          <w:rFonts w:ascii="Arial" w:eastAsia="Times New Roman" w:hAnsi="Arial" w:cs="Arial"/>
          <w:color w:val="000000"/>
          <w:sz w:val="20"/>
          <w:szCs w:val="20"/>
        </w:rPr>
        <w:t>        </w:t>
      </w:r>
      <w:bookmarkStart w:id="7" w:name="art23"/>
      <w:bookmarkEnd w:id="7"/>
      <w:r w:rsidRPr="003259DA">
        <w:rPr>
          <w:rFonts w:ascii="Arial" w:eastAsia="Times New Roman" w:hAnsi="Arial" w:cs="Arial"/>
          <w:color w:val="000000"/>
          <w:sz w:val="20"/>
          <w:szCs w:val="20"/>
        </w:rPr>
        <w:t>Art. 23. É transferida para o Instituto Nacional de Colonização e Reforma Agrária (</w:t>
      </w:r>
      <w:proofErr w:type="gramStart"/>
      <w:r w:rsidRPr="003259DA">
        <w:rPr>
          <w:rFonts w:ascii="Arial" w:eastAsia="Times New Roman" w:hAnsi="Arial" w:cs="Arial"/>
          <w:color w:val="000000"/>
          <w:sz w:val="20"/>
          <w:szCs w:val="20"/>
        </w:rPr>
        <w:t>Incra</w:t>
      </w:r>
      <w:proofErr w:type="gramEnd"/>
      <w:r w:rsidRPr="003259DA">
        <w:rPr>
          <w:rFonts w:ascii="Arial" w:eastAsia="Times New Roman" w:hAnsi="Arial" w:cs="Arial"/>
          <w:color w:val="000000"/>
          <w:sz w:val="20"/>
          <w:szCs w:val="20"/>
        </w:rPr>
        <w:t>) a administração e cobrança da Taxa de Serviços Cadastrais, de que trata o </w:t>
      </w:r>
      <w:hyperlink r:id="rId47" w:anchor="art5" w:history="1">
        <w:r w:rsidRPr="003259DA">
          <w:rPr>
            <w:rFonts w:ascii="Arial" w:eastAsia="Times New Roman" w:hAnsi="Arial" w:cs="Arial"/>
            <w:color w:val="0000FF"/>
            <w:sz w:val="20"/>
            <w:szCs w:val="20"/>
            <w:u w:val="single"/>
          </w:rPr>
          <w:t>art. 5º do Decreto-Lei nº 57, de 18 de novembro de 1966</w:t>
        </w:r>
      </w:hyperlink>
      <w:r w:rsidRPr="003259DA">
        <w:rPr>
          <w:rFonts w:ascii="Arial" w:eastAsia="Times New Roman" w:hAnsi="Arial" w:cs="Arial"/>
          <w:color w:val="000000"/>
          <w:sz w:val="20"/>
          <w:szCs w:val="20"/>
        </w:rPr>
        <w:t>, com as alterações do </w:t>
      </w:r>
      <w:hyperlink r:id="rId48" w:history="1">
        <w:r w:rsidRPr="003259DA">
          <w:rPr>
            <w:rFonts w:ascii="Arial" w:eastAsia="Times New Roman" w:hAnsi="Arial" w:cs="Arial"/>
            <w:color w:val="0000FF"/>
            <w:sz w:val="20"/>
            <w:szCs w:val="20"/>
            <w:u w:val="single"/>
          </w:rPr>
          <w:t>art. 2º da Lei nº 6.746, de 10 de dezembro de 1979</w:t>
        </w:r>
      </w:hyperlink>
      <w:r w:rsidRPr="003259DA">
        <w:rPr>
          <w:rFonts w:ascii="Arial" w:eastAsia="Times New Roman" w:hAnsi="Arial" w:cs="Arial"/>
          <w:color w:val="000000"/>
          <w:sz w:val="20"/>
          <w:szCs w:val="20"/>
        </w:rPr>
        <w:t>, e do </w:t>
      </w:r>
      <w:hyperlink r:id="rId49" w:history="1">
        <w:r w:rsidRPr="003259DA">
          <w:rPr>
            <w:rFonts w:ascii="Arial" w:eastAsia="Times New Roman" w:hAnsi="Arial" w:cs="Arial"/>
            <w:color w:val="0000FF"/>
            <w:sz w:val="20"/>
            <w:szCs w:val="20"/>
            <w:u w:val="single"/>
          </w:rPr>
          <w:t>Decreto-Lei nº 1.989, de 28 de dezembro de 1982.</w:t>
        </w:r>
      </w:hyperlink>
    </w:p>
    <w:p w:rsidR="003259DA" w:rsidRPr="003259DA" w:rsidRDefault="003259DA" w:rsidP="003259DA">
      <w:pPr>
        <w:spacing w:before="100" w:beforeAutospacing="1" w:after="100" w:afterAutospacing="1" w:line="240" w:lineRule="auto"/>
        <w:rPr>
          <w:rFonts w:ascii="Times New Roman" w:eastAsia="Times New Roman" w:hAnsi="Times New Roman" w:cs="Times New Roman"/>
          <w:color w:val="000000"/>
          <w:sz w:val="20"/>
          <w:szCs w:val="20"/>
        </w:rPr>
      </w:pPr>
      <w:r w:rsidRPr="003259DA">
        <w:rPr>
          <w:rFonts w:ascii="Arial" w:eastAsia="Times New Roman" w:hAnsi="Arial" w:cs="Arial"/>
          <w:color w:val="000000"/>
          <w:sz w:val="20"/>
          <w:szCs w:val="20"/>
        </w:rPr>
        <w:t xml:space="preserve">        Parágrafo único. Compete ao </w:t>
      </w:r>
      <w:proofErr w:type="gramStart"/>
      <w:r w:rsidRPr="003259DA">
        <w:rPr>
          <w:rFonts w:ascii="Arial" w:eastAsia="Times New Roman" w:hAnsi="Arial" w:cs="Arial"/>
          <w:color w:val="000000"/>
          <w:sz w:val="20"/>
          <w:szCs w:val="20"/>
        </w:rPr>
        <w:t>Incra</w:t>
      </w:r>
      <w:proofErr w:type="gramEnd"/>
      <w:r w:rsidRPr="003259DA">
        <w:rPr>
          <w:rFonts w:ascii="Arial" w:eastAsia="Times New Roman" w:hAnsi="Arial" w:cs="Arial"/>
          <w:color w:val="000000"/>
          <w:sz w:val="20"/>
          <w:szCs w:val="20"/>
        </w:rPr>
        <w:t xml:space="preserve"> a apuração, inscrição e cobrança da Dívida Ativa, relativamente à Taxa de Serviços Cadastrais.</w:t>
      </w:r>
    </w:p>
    <w:p w:rsidR="003259DA" w:rsidRPr="003259DA" w:rsidRDefault="003259DA" w:rsidP="003259DA">
      <w:pPr>
        <w:spacing w:before="100" w:beforeAutospacing="1" w:after="100" w:afterAutospacing="1" w:line="240" w:lineRule="auto"/>
        <w:rPr>
          <w:rFonts w:ascii="Times New Roman" w:eastAsia="Times New Roman" w:hAnsi="Times New Roman" w:cs="Times New Roman"/>
          <w:color w:val="000000"/>
          <w:sz w:val="20"/>
          <w:szCs w:val="20"/>
        </w:rPr>
      </w:pPr>
      <w:r w:rsidRPr="003259DA">
        <w:rPr>
          <w:rFonts w:ascii="Arial" w:eastAsia="Times New Roman" w:hAnsi="Arial" w:cs="Arial"/>
          <w:color w:val="000000"/>
          <w:sz w:val="20"/>
          <w:szCs w:val="20"/>
        </w:rPr>
        <w:t>        </w:t>
      </w:r>
      <w:bookmarkStart w:id="8" w:name="art24"/>
      <w:bookmarkEnd w:id="8"/>
      <w:r w:rsidRPr="003259DA">
        <w:rPr>
          <w:rFonts w:ascii="Arial" w:eastAsia="Times New Roman" w:hAnsi="Arial" w:cs="Arial"/>
          <w:color w:val="000000"/>
          <w:sz w:val="20"/>
          <w:szCs w:val="20"/>
        </w:rPr>
        <w:t>Art. 24. A competência de administração das seguintes receitas, atualmente arrecadadas pela Secretaria da Receita Federal por força do </w:t>
      </w:r>
      <w:hyperlink r:id="rId50" w:anchor="art1" w:history="1">
        <w:r w:rsidRPr="003259DA">
          <w:rPr>
            <w:rFonts w:ascii="Arial" w:eastAsia="Times New Roman" w:hAnsi="Arial" w:cs="Arial"/>
            <w:color w:val="0000FF"/>
            <w:sz w:val="20"/>
            <w:szCs w:val="20"/>
            <w:u w:val="single"/>
          </w:rPr>
          <w:t>art. 1º da Lei nº 8.022, de 12 de abril de 1990</w:t>
        </w:r>
      </w:hyperlink>
      <w:r w:rsidRPr="003259DA">
        <w:rPr>
          <w:rFonts w:ascii="Arial" w:eastAsia="Times New Roman" w:hAnsi="Arial" w:cs="Arial"/>
          <w:color w:val="000000"/>
          <w:sz w:val="20"/>
          <w:szCs w:val="20"/>
        </w:rPr>
        <w:t>, cessará em 31 de dezembro de 1996:</w:t>
      </w:r>
    </w:p>
    <w:p w:rsidR="003259DA" w:rsidRPr="003259DA" w:rsidRDefault="003259DA" w:rsidP="003259DA">
      <w:pPr>
        <w:spacing w:before="100" w:beforeAutospacing="1" w:after="100" w:afterAutospacing="1" w:line="240" w:lineRule="auto"/>
        <w:rPr>
          <w:rFonts w:ascii="Times New Roman" w:eastAsia="Times New Roman" w:hAnsi="Times New Roman" w:cs="Times New Roman"/>
          <w:color w:val="000000"/>
          <w:sz w:val="20"/>
          <w:szCs w:val="20"/>
        </w:rPr>
      </w:pPr>
      <w:r w:rsidRPr="003259DA">
        <w:rPr>
          <w:rFonts w:ascii="Arial" w:eastAsia="Times New Roman" w:hAnsi="Arial" w:cs="Arial"/>
          <w:color w:val="000000"/>
          <w:sz w:val="20"/>
          <w:szCs w:val="20"/>
        </w:rPr>
        <w:t>        I - Contribuição Sindical Rural, devida à Confederação Nacional da Agricultura (CNA) e à Confederação Nacional dos Trabalhadores na Agricultura (Contag), de acordo com o </w:t>
      </w:r>
      <w:hyperlink r:id="rId51" w:anchor="art4" w:history="1">
        <w:r w:rsidRPr="003259DA">
          <w:rPr>
            <w:rFonts w:ascii="Arial" w:eastAsia="Times New Roman" w:hAnsi="Arial" w:cs="Arial"/>
            <w:color w:val="0000FF"/>
            <w:sz w:val="20"/>
            <w:szCs w:val="20"/>
            <w:u w:val="single"/>
          </w:rPr>
          <w:t>art. 4º do Decreto-Lei nº 1.166, de 15 de abril de 1971</w:t>
        </w:r>
      </w:hyperlink>
      <w:r w:rsidRPr="003259DA">
        <w:rPr>
          <w:rFonts w:ascii="Arial" w:eastAsia="Times New Roman" w:hAnsi="Arial" w:cs="Arial"/>
          <w:color w:val="000000"/>
          <w:sz w:val="20"/>
          <w:szCs w:val="20"/>
        </w:rPr>
        <w:t>, e </w:t>
      </w:r>
      <w:hyperlink r:id="rId52" w:anchor="art580" w:history="1">
        <w:r w:rsidRPr="003259DA">
          <w:rPr>
            <w:rFonts w:ascii="Arial" w:eastAsia="Times New Roman" w:hAnsi="Arial" w:cs="Arial"/>
            <w:color w:val="0000FF"/>
            <w:sz w:val="20"/>
            <w:szCs w:val="20"/>
            <w:u w:val="single"/>
          </w:rPr>
          <w:t>art. 580 da Consolidação das Leis do Trabalho</w:t>
        </w:r>
      </w:hyperlink>
      <w:r w:rsidRPr="003259DA">
        <w:rPr>
          <w:rFonts w:ascii="Arial" w:eastAsia="Times New Roman" w:hAnsi="Arial" w:cs="Arial"/>
          <w:color w:val="000000"/>
          <w:sz w:val="20"/>
          <w:szCs w:val="20"/>
        </w:rPr>
        <w:t> (CLT);</w:t>
      </w:r>
    </w:p>
    <w:p w:rsidR="003259DA" w:rsidRPr="003259DA" w:rsidRDefault="003259DA" w:rsidP="003259DA">
      <w:pPr>
        <w:spacing w:before="100" w:beforeAutospacing="1" w:after="100" w:afterAutospacing="1" w:line="240" w:lineRule="auto"/>
        <w:rPr>
          <w:rFonts w:ascii="Times New Roman" w:eastAsia="Times New Roman" w:hAnsi="Times New Roman" w:cs="Times New Roman"/>
          <w:color w:val="000000"/>
          <w:sz w:val="20"/>
          <w:szCs w:val="20"/>
        </w:rPr>
      </w:pPr>
      <w:r w:rsidRPr="003259DA">
        <w:rPr>
          <w:rFonts w:ascii="Arial" w:eastAsia="Times New Roman" w:hAnsi="Arial" w:cs="Arial"/>
          <w:color w:val="000000"/>
          <w:sz w:val="20"/>
          <w:szCs w:val="20"/>
        </w:rPr>
        <w:t>        II - Contribuição ao Serviço Nacional de Aprendizagem Rural (</w:t>
      </w:r>
      <w:proofErr w:type="spellStart"/>
      <w:r w:rsidRPr="003259DA">
        <w:rPr>
          <w:rFonts w:ascii="Arial" w:eastAsia="Times New Roman" w:hAnsi="Arial" w:cs="Arial"/>
          <w:color w:val="000000"/>
          <w:sz w:val="20"/>
          <w:szCs w:val="20"/>
        </w:rPr>
        <w:t>Senar</w:t>
      </w:r>
      <w:proofErr w:type="spellEnd"/>
      <w:r w:rsidRPr="003259DA">
        <w:rPr>
          <w:rFonts w:ascii="Arial" w:eastAsia="Times New Roman" w:hAnsi="Arial" w:cs="Arial"/>
          <w:color w:val="000000"/>
          <w:sz w:val="20"/>
          <w:szCs w:val="20"/>
        </w:rPr>
        <w:t>), prevista no </w:t>
      </w:r>
      <w:hyperlink r:id="rId53" w:anchor="art3vii" w:history="1">
        <w:r w:rsidRPr="003259DA">
          <w:rPr>
            <w:rFonts w:ascii="Arial" w:eastAsia="Times New Roman" w:hAnsi="Arial" w:cs="Arial"/>
            <w:color w:val="0000FF"/>
            <w:sz w:val="20"/>
            <w:szCs w:val="20"/>
            <w:u w:val="single"/>
          </w:rPr>
          <w:t xml:space="preserve">item VII do art. 3º da Lei nº 8.315, de 23 de dezembro de </w:t>
        </w:r>
        <w:proofErr w:type="gramStart"/>
        <w:r w:rsidRPr="003259DA">
          <w:rPr>
            <w:rFonts w:ascii="Arial" w:eastAsia="Times New Roman" w:hAnsi="Arial" w:cs="Arial"/>
            <w:color w:val="0000FF"/>
            <w:sz w:val="20"/>
            <w:szCs w:val="20"/>
            <w:u w:val="single"/>
          </w:rPr>
          <w:t>1991.</w:t>
        </w:r>
        <w:proofErr w:type="gramEnd"/>
      </w:hyperlink>
    </w:p>
    <w:p w:rsidR="003259DA" w:rsidRPr="003259DA" w:rsidRDefault="003259DA" w:rsidP="003259DA">
      <w:pPr>
        <w:spacing w:before="100" w:beforeAutospacing="1" w:after="100" w:afterAutospacing="1" w:line="240" w:lineRule="auto"/>
        <w:rPr>
          <w:rFonts w:ascii="Times New Roman" w:eastAsia="Times New Roman" w:hAnsi="Times New Roman" w:cs="Times New Roman"/>
          <w:color w:val="000000"/>
          <w:sz w:val="27"/>
          <w:szCs w:val="27"/>
        </w:rPr>
      </w:pPr>
      <w:r w:rsidRPr="003259DA">
        <w:rPr>
          <w:rFonts w:ascii="Times New Roman" w:eastAsia="Times New Roman" w:hAnsi="Times New Roman" w:cs="Times New Roman"/>
          <w:color w:val="000000"/>
          <w:sz w:val="20"/>
          <w:szCs w:val="20"/>
        </w:rPr>
        <w:t>        </w:t>
      </w:r>
      <w:bookmarkStart w:id="9" w:name="25"/>
      <w:bookmarkEnd w:id="9"/>
      <w:r w:rsidRPr="003259DA">
        <w:rPr>
          <w:rFonts w:ascii="Arial" w:eastAsia="Times New Roman" w:hAnsi="Arial" w:cs="Arial"/>
          <w:strike/>
          <w:color w:val="000000"/>
          <w:sz w:val="20"/>
          <w:szCs w:val="20"/>
        </w:rPr>
        <w:t xml:space="preserve">Art. 25. Não serão registrados em cartório quaisquer negócios, operações ou transações, de imóveis rurais, sem a comprovação de quitação do ITR através do DARF ou obtida por certidão negativa expedida pela </w:t>
      </w:r>
      <w:proofErr w:type="gramStart"/>
      <w:r w:rsidRPr="003259DA">
        <w:rPr>
          <w:rFonts w:ascii="Arial" w:eastAsia="Times New Roman" w:hAnsi="Arial" w:cs="Arial"/>
          <w:strike/>
          <w:color w:val="000000"/>
          <w:sz w:val="20"/>
          <w:szCs w:val="20"/>
        </w:rPr>
        <w:t>SRF.</w:t>
      </w:r>
      <w:proofErr w:type="gramEnd"/>
      <w:r w:rsidRPr="003259DA">
        <w:rPr>
          <w:rFonts w:ascii="Arial" w:eastAsia="Times New Roman" w:hAnsi="Arial" w:cs="Arial"/>
          <w:color w:val="000000"/>
          <w:sz w:val="20"/>
          <w:szCs w:val="20"/>
        </w:rPr>
        <w:fldChar w:fldCharType="begin"/>
      </w:r>
      <w:r w:rsidRPr="003259DA">
        <w:rPr>
          <w:rFonts w:ascii="Arial" w:eastAsia="Times New Roman" w:hAnsi="Arial" w:cs="Arial"/>
          <w:color w:val="000000"/>
          <w:sz w:val="20"/>
          <w:szCs w:val="20"/>
        </w:rPr>
        <w:instrText xml:space="preserve"> HYPERLINK "http://www.planalto.gov.br/ccivil_03/leis/L9393.htm" \l "art24" </w:instrText>
      </w:r>
      <w:r w:rsidRPr="003259DA">
        <w:rPr>
          <w:rFonts w:ascii="Arial" w:eastAsia="Times New Roman" w:hAnsi="Arial" w:cs="Arial"/>
          <w:color w:val="000000"/>
          <w:sz w:val="20"/>
          <w:szCs w:val="20"/>
        </w:rPr>
        <w:fldChar w:fldCharType="separate"/>
      </w:r>
      <w:r w:rsidRPr="003259DA">
        <w:rPr>
          <w:rFonts w:ascii="Arial" w:eastAsia="Times New Roman" w:hAnsi="Arial" w:cs="Arial"/>
          <w:color w:val="0000FF"/>
          <w:sz w:val="20"/>
          <w:szCs w:val="20"/>
          <w:u w:val="single"/>
        </w:rPr>
        <w:t>(Revogado pela Lei nº 9.393, de 19.12.96)</w:t>
      </w:r>
      <w:r w:rsidRPr="003259DA">
        <w:rPr>
          <w:rFonts w:ascii="Arial" w:eastAsia="Times New Roman" w:hAnsi="Arial" w:cs="Arial"/>
          <w:color w:val="000000"/>
          <w:sz w:val="20"/>
          <w:szCs w:val="20"/>
        </w:rPr>
        <w:fldChar w:fldCharType="end"/>
      </w:r>
      <w:r w:rsidRPr="003259DA">
        <w:rPr>
          <w:rFonts w:ascii="Arial" w:eastAsia="Times New Roman" w:hAnsi="Arial" w:cs="Arial"/>
          <w:strike/>
          <w:color w:val="000000"/>
          <w:sz w:val="20"/>
          <w:szCs w:val="20"/>
        </w:rPr>
        <w:br/>
        <w:t xml:space="preserve">        Parágrafo único. Serão responsabilizados como terceiros os adquirentes, tabeliões, escrivães e demais serventuários de ofício que, por omissão, registrarem imóveis rurais sem observarem o disposto neste </w:t>
      </w:r>
      <w:proofErr w:type="gramStart"/>
      <w:r w:rsidRPr="003259DA">
        <w:rPr>
          <w:rFonts w:ascii="Arial" w:eastAsia="Times New Roman" w:hAnsi="Arial" w:cs="Arial"/>
          <w:strike/>
          <w:color w:val="000000"/>
          <w:sz w:val="20"/>
          <w:szCs w:val="20"/>
        </w:rPr>
        <w:t>artigo.</w:t>
      </w:r>
      <w:proofErr w:type="gramEnd"/>
      <w:hyperlink r:id="rId54" w:anchor="art24" w:history="1">
        <w:r w:rsidRPr="003259DA">
          <w:rPr>
            <w:rFonts w:ascii="Arial" w:eastAsia="Times New Roman" w:hAnsi="Arial" w:cs="Arial"/>
            <w:color w:val="0000FF"/>
            <w:sz w:val="20"/>
            <w:szCs w:val="20"/>
            <w:u w:val="single"/>
          </w:rPr>
          <w:t>(Revogado pela Lei nº 9.393, de 19.12.96)</w:t>
        </w:r>
      </w:hyperlink>
    </w:p>
    <w:p w:rsidR="003259DA" w:rsidRPr="003259DA" w:rsidRDefault="003259DA" w:rsidP="003259DA">
      <w:pPr>
        <w:spacing w:before="100" w:beforeAutospacing="1" w:after="100" w:afterAutospacing="1" w:line="240" w:lineRule="auto"/>
        <w:rPr>
          <w:rFonts w:ascii="Times New Roman" w:eastAsia="Times New Roman" w:hAnsi="Times New Roman" w:cs="Times New Roman"/>
          <w:color w:val="000000"/>
          <w:sz w:val="20"/>
          <w:szCs w:val="20"/>
        </w:rPr>
      </w:pPr>
      <w:r w:rsidRPr="003259DA">
        <w:rPr>
          <w:rFonts w:ascii="Arial" w:eastAsia="Times New Roman" w:hAnsi="Arial" w:cs="Arial"/>
          <w:color w:val="000000"/>
          <w:sz w:val="20"/>
          <w:szCs w:val="20"/>
        </w:rPr>
        <w:t>        </w:t>
      </w:r>
      <w:bookmarkStart w:id="10" w:name="art26"/>
      <w:bookmarkEnd w:id="10"/>
      <w:r w:rsidRPr="003259DA">
        <w:rPr>
          <w:rFonts w:ascii="Arial" w:eastAsia="Times New Roman" w:hAnsi="Arial" w:cs="Arial"/>
          <w:color w:val="000000"/>
          <w:sz w:val="20"/>
          <w:szCs w:val="20"/>
        </w:rPr>
        <w:t>Art. 26. Esta lei entra em vigor na data de sua publicação.</w:t>
      </w:r>
    </w:p>
    <w:p w:rsidR="003259DA" w:rsidRPr="003259DA" w:rsidRDefault="003259DA" w:rsidP="003259DA">
      <w:pPr>
        <w:spacing w:before="100" w:beforeAutospacing="1" w:after="100" w:afterAutospacing="1" w:line="240" w:lineRule="auto"/>
        <w:rPr>
          <w:rFonts w:ascii="Times New Roman" w:eastAsia="Times New Roman" w:hAnsi="Times New Roman" w:cs="Times New Roman"/>
          <w:color w:val="000000"/>
          <w:sz w:val="20"/>
          <w:szCs w:val="20"/>
        </w:rPr>
      </w:pPr>
      <w:r w:rsidRPr="003259DA">
        <w:rPr>
          <w:rFonts w:ascii="Arial" w:eastAsia="Times New Roman" w:hAnsi="Arial" w:cs="Arial"/>
          <w:color w:val="000000"/>
          <w:sz w:val="20"/>
          <w:szCs w:val="20"/>
        </w:rPr>
        <w:t>        Brasília, 28 de janeiro de 1994, 173º da Independência e 106º da República.</w:t>
      </w:r>
    </w:p>
    <w:p w:rsidR="003259DA" w:rsidRPr="003259DA" w:rsidRDefault="003259DA" w:rsidP="003259DA">
      <w:pPr>
        <w:spacing w:before="100" w:beforeAutospacing="1" w:after="100" w:afterAutospacing="1" w:line="240" w:lineRule="auto"/>
        <w:rPr>
          <w:rFonts w:ascii="Times New Roman" w:eastAsia="Times New Roman" w:hAnsi="Times New Roman" w:cs="Times New Roman"/>
          <w:color w:val="000000"/>
          <w:sz w:val="20"/>
          <w:szCs w:val="20"/>
        </w:rPr>
      </w:pPr>
      <w:r w:rsidRPr="003259DA">
        <w:rPr>
          <w:rFonts w:ascii="Arial" w:eastAsia="Times New Roman" w:hAnsi="Arial" w:cs="Arial"/>
          <w:color w:val="000000"/>
          <w:sz w:val="20"/>
          <w:szCs w:val="20"/>
        </w:rPr>
        <w:t>ITAMAR FRANCO</w:t>
      </w:r>
      <w:r w:rsidRPr="003259DA">
        <w:rPr>
          <w:rFonts w:ascii="Arial" w:eastAsia="Times New Roman" w:hAnsi="Arial" w:cs="Arial"/>
          <w:color w:val="000000"/>
          <w:sz w:val="20"/>
          <w:szCs w:val="20"/>
        </w:rPr>
        <w:br/>
      </w:r>
      <w:r w:rsidRPr="003259DA">
        <w:rPr>
          <w:rFonts w:ascii="Arial" w:eastAsia="Times New Roman" w:hAnsi="Arial" w:cs="Arial"/>
          <w:i/>
          <w:iCs/>
          <w:color w:val="000000"/>
          <w:sz w:val="20"/>
          <w:szCs w:val="20"/>
        </w:rPr>
        <w:t>Fernando Henrique Cardoso</w:t>
      </w:r>
    </w:p>
    <w:p w:rsidR="003259DA" w:rsidRPr="003259DA" w:rsidRDefault="003259DA" w:rsidP="003259DA">
      <w:pPr>
        <w:spacing w:before="100" w:beforeAutospacing="1" w:after="100" w:afterAutospacing="1" w:line="240" w:lineRule="auto"/>
        <w:rPr>
          <w:rFonts w:ascii="Times New Roman" w:eastAsia="Times New Roman" w:hAnsi="Times New Roman" w:cs="Times New Roman"/>
          <w:color w:val="000000"/>
          <w:sz w:val="27"/>
          <w:szCs w:val="27"/>
        </w:rPr>
      </w:pPr>
      <w:r w:rsidRPr="003259DA">
        <w:rPr>
          <w:rFonts w:ascii="Arial" w:eastAsia="Times New Roman" w:hAnsi="Arial" w:cs="Arial"/>
          <w:color w:val="FF0000"/>
          <w:sz w:val="20"/>
          <w:szCs w:val="20"/>
        </w:rPr>
        <w:t>Este texto não substitui o publicado no DOU de 29.1.1994</w:t>
      </w:r>
    </w:p>
    <w:p w:rsidR="003259DA" w:rsidRPr="003259DA" w:rsidRDefault="003259DA" w:rsidP="003259D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259DA">
        <w:rPr>
          <w:rFonts w:ascii="Arial" w:eastAsia="Times New Roman" w:hAnsi="Arial" w:cs="Arial"/>
          <w:color w:val="000000"/>
          <w:sz w:val="20"/>
          <w:szCs w:val="20"/>
        </w:rPr>
        <w:t>Anexo I</w:t>
      </w:r>
    </w:p>
    <w:p w:rsidR="003259DA" w:rsidRPr="003259DA" w:rsidRDefault="003259DA" w:rsidP="003259D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259DA">
        <w:rPr>
          <w:rFonts w:ascii="Arial" w:eastAsia="Times New Roman" w:hAnsi="Arial" w:cs="Arial"/>
          <w:color w:val="000000"/>
          <w:sz w:val="20"/>
          <w:szCs w:val="20"/>
        </w:rPr>
        <w:t>TABELA I: GERAL</w:t>
      </w:r>
    </w:p>
    <w:tbl>
      <w:tblPr>
        <w:tblW w:w="9000" w:type="dxa"/>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1458"/>
        <w:gridCol w:w="1434"/>
        <w:gridCol w:w="1521"/>
        <w:gridCol w:w="1521"/>
        <w:gridCol w:w="1521"/>
        <w:gridCol w:w="1545"/>
      </w:tblGrid>
      <w:tr w:rsidR="003259DA" w:rsidRPr="003259DA" w:rsidTr="003259DA">
        <w:trPr>
          <w:tblCellSpacing w:w="24" w:type="dxa"/>
          <w:jc w:val="center"/>
        </w:trPr>
        <w:tc>
          <w:tcPr>
            <w:tcW w:w="800" w:type="pct"/>
            <w:vMerge w:val="restar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TAMANHO</w:t>
            </w:r>
            <w:r w:rsidRPr="003259DA">
              <w:rPr>
                <w:rFonts w:ascii="Arial" w:eastAsia="Times New Roman" w:hAnsi="Arial" w:cs="Arial"/>
                <w:sz w:val="20"/>
                <w:szCs w:val="20"/>
              </w:rPr>
              <w:br/>
              <w:t>HECTARES</w:t>
            </w:r>
          </w:p>
        </w:tc>
        <w:tc>
          <w:tcPr>
            <w:tcW w:w="4200" w:type="pct"/>
            <w:gridSpan w:val="5"/>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UTILIZAÇÃO EFETIVA DA ÁREA APROVEITÁVEL %</w:t>
            </w:r>
          </w:p>
        </w:tc>
      </w:tr>
      <w:tr w:rsidR="003259DA" w:rsidRPr="003259DA" w:rsidTr="003259DA">
        <w:trPr>
          <w:tblCellSpacing w:w="24"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&gt;80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&gt;65 A 80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&gt;50 A 65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&gt;30 A 50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 A 30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Até 25</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0,02</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0,04</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0,08</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0,14</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25 a 50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0,03</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0,06</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0,12</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50 a 100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0,50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100 a 250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0.07</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0,50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0,70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lastRenderedPageBreak/>
              <w:t>250 a 500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0,40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0,70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1,00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500 a 1000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0,60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1,00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1,40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1000 a 2000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0,40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0,80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1,35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1,90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2000 a 3000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0,50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1,00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1,70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2,40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3000 a 5000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0,60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1,20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2,05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2,90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5000 a 10000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0,70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1,40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2,40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3,40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10000 a 15000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0,40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0,80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1,60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2,75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3,90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Acima de 15000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0,45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0,90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1,80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3,15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4,50</w:t>
            </w:r>
          </w:p>
        </w:tc>
      </w:tr>
    </w:tbl>
    <w:p w:rsidR="003259DA" w:rsidRPr="003259DA" w:rsidRDefault="003259DA" w:rsidP="003259D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259DA">
        <w:rPr>
          <w:rFonts w:ascii="Arial" w:eastAsia="Times New Roman" w:hAnsi="Arial" w:cs="Arial"/>
          <w:color w:val="000000"/>
          <w:sz w:val="20"/>
          <w:szCs w:val="20"/>
        </w:rPr>
        <w:t>TABELA II: MUNICÍPIOS DO POLÍGONO DA SECA E DA AMAZÔNIA ORIENTAL</w:t>
      </w:r>
    </w:p>
    <w:tbl>
      <w:tblPr>
        <w:tblW w:w="9000" w:type="dxa"/>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1458"/>
        <w:gridCol w:w="1434"/>
        <w:gridCol w:w="1521"/>
        <w:gridCol w:w="1521"/>
        <w:gridCol w:w="1521"/>
        <w:gridCol w:w="1545"/>
      </w:tblGrid>
      <w:tr w:rsidR="003259DA" w:rsidRPr="003259DA" w:rsidTr="003259DA">
        <w:trPr>
          <w:tblCellSpacing w:w="24" w:type="dxa"/>
          <w:jc w:val="center"/>
        </w:trPr>
        <w:tc>
          <w:tcPr>
            <w:tcW w:w="800" w:type="pct"/>
            <w:vMerge w:val="restar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TAMANHO</w:t>
            </w:r>
            <w:r w:rsidRPr="003259DA">
              <w:rPr>
                <w:rFonts w:ascii="Arial" w:eastAsia="Times New Roman" w:hAnsi="Arial" w:cs="Arial"/>
                <w:sz w:val="20"/>
                <w:szCs w:val="20"/>
              </w:rPr>
              <w:br/>
              <w:t>HECTARES</w:t>
            </w:r>
          </w:p>
        </w:tc>
        <w:tc>
          <w:tcPr>
            <w:tcW w:w="4200" w:type="pct"/>
            <w:gridSpan w:val="5"/>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UTILIZAÇÃO EFETIVA DA ÁREA APROVEITÁVEL %</w:t>
            </w:r>
          </w:p>
        </w:tc>
      </w:tr>
      <w:tr w:rsidR="003259DA" w:rsidRPr="003259DA" w:rsidTr="003259DA">
        <w:trPr>
          <w:tblCellSpacing w:w="24"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&gt;80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&gt;65 A 80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&gt;50 A 65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&gt;30 A 50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 A 30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Até 40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0,02</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0,04</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0,08</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0,14</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40 a 80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0,03</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0,06</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0,12</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80 a 160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0,50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160 a 400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0.07</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0,50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0,70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400 a 800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0,40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0,70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1,00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800 a 1600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0,60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1,00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1,40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1600 a 3200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0,40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0,80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1,35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1,90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3200 a 4800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0,50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1,00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1,70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2,40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4800 a 8000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0,60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1,20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2,05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2,90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8000 a 16000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0,70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1,40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2,40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3,40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16000 a 24000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0,40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0,80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1,60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2,75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3,90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Acima de 24000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0,45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0,90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1,80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3,15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4,50</w:t>
            </w:r>
          </w:p>
        </w:tc>
      </w:tr>
    </w:tbl>
    <w:p w:rsidR="003259DA" w:rsidRPr="003259DA" w:rsidRDefault="003259DA" w:rsidP="003259D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259DA">
        <w:rPr>
          <w:rFonts w:ascii="Arial" w:eastAsia="Times New Roman" w:hAnsi="Arial" w:cs="Arial"/>
          <w:color w:val="000000"/>
          <w:sz w:val="20"/>
          <w:szCs w:val="20"/>
        </w:rPr>
        <w:t>TABELA III: MUNICÍPIOS DA AMAZÔNIA OCIDENTAL E DO PANTANAL MATOGROSSENSE</w:t>
      </w:r>
      <w:r w:rsidRPr="003259DA">
        <w:rPr>
          <w:rFonts w:ascii="Arial" w:eastAsia="Times New Roman" w:hAnsi="Arial" w:cs="Arial"/>
          <w:color w:val="000000"/>
          <w:sz w:val="20"/>
          <w:szCs w:val="20"/>
        </w:rPr>
        <w:br/>
        <w:t>E SUL MATOGROSSENSE</w:t>
      </w:r>
    </w:p>
    <w:tbl>
      <w:tblPr>
        <w:tblW w:w="9000" w:type="dxa"/>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1458"/>
        <w:gridCol w:w="1434"/>
        <w:gridCol w:w="1521"/>
        <w:gridCol w:w="1521"/>
        <w:gridCol w:w="1521"/>
        <w:gridCol w:w="1545"/>
      </w:tblGrid>
      <w:tr w:rsidR="003259DA" w:rsidRPr="003259DA" w:rsidTr="003259DA">
        <w:trPr>
          <w:tblCellSpacing w:w="24" w:type="dxa"/>
          <w:jc w:val="center"/>
        </w:trPr>
        <w:tc>
          <w:tcPr>
            <w:tcW w:w="800" w:type="pct"/>
            <w:vMerge w:val="restar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TAMANHO</w:t>
            </w:r>
            <w:r w:rsidRPr="003259DA">
              <w:rPr>
                <w:rFonts w:ascii="Arial" w:eastAsia="Times New Roman" w:hAnsi="Arial" w:cs="Arial"/>
                <w:sz w:val="20"/>
                <w:szCs w:val="20"/>
              </w:rPr>
              <w:br/>
              <w:t>HECTARES</w:t>
            </w:r>
          </w:p>
        </w:tc>
        <w:tc>
          <w:tcPr>
            <w:tcW w:w="4200" w:type="pct"/>
            <w:gridSpan w:val="5"/>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UTILIZAÇÃO EFETIVA DA ÁREA APROVEITÁVEL %</w:t>
            </w:r>
          </w:p>
        </w:tc>
      </w:tr>
      <w:tr w:rsidR="003259DA" w:rsidRPr="003259DA" w:rsidTr="003259DA">
        <w:trPr>
          <w:tblCellSpacing w:w="24"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&gt;80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&gt;65 A 80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&gt;50 A 65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&gt;30 A 50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 A 30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Até 80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0,02</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0,04</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0,08</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0,14</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80 a 160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0,03</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0,06</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0,12</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160 a 320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0,50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320 a 800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0.07</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0,50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0,70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800 a 1600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0,40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0,70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1,00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1600 a 3200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0,15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0,60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1,00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1,40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3200 a 6400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0,40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0,80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1,35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1,90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6400 a 9600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0,25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0,50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1,00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1,70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2,40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lastRenderedPageBreak/>
              <w:t>9600 a 16000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0,60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1,20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2,05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2,90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16000 a 32000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0,35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0,70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1,40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2,40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3,40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32000 a 48000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0,40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0,80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1,60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2,75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3,90</w:t>
            </w:r>
          </w:p>
        </w:tc>
      </w:tr>
      <w:tr w:rsidR="003259DA" w:rsidRPr="003259DA" w:rsidTr="003259DA">
        <w:trPr>
          <w:tblCellSpacing w:w="24" w:type="dxa"/>
          <w:jc w:val="center"/>
        </w:trPr>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rPr>
                <w:rFonts w:ascii="Times New Roman" w:eastAsia="Times New Roman" w:hAnsi="Times New Roman" w:cs="Times New Roman"/>
                <w:sz w:val="24"/>
                <w:szCs w:val="24"/>
              </w:rPr>
            </w:pPr>
            <w:r w:rsidRPr="003259DA">
              <w:rPr>
                <w:rFonts w:ascii="Arial" w:eastAsia="Times New Roman" w:hAnsi="Arial" w:cs="Arial"/>
                <w:sz w:val="20"/>
                <w:szCs w:val="20"/>
              </w:rPr>
              <w:t>Acima de 48000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0,45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0,90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1,80</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3,15</w:t>
            </w:r>
          </w:p>
        </w:tc>
        <w:tc>
          <w:tcPr>
            <w:tcW w:w="850" w:type="pct"/>
            <w:tcBorders>
              <w:top w:val="outset" w:sz="6" w:space="0" w:color="auto"/>
              <w:left w:val="outset" w:sz="6" w:space="0" w:color="auto"/>
              <w:bottom w:val="outset" w:sz="6" w:space="0" w:color="auto"/>
              <w:right w:val="outset" w:sz="6" w:space="0" w:color="auto"/>
            </w:tcBorders>
            <w:vAlign w:val="center"/>
            <w:hideMark/>
          </w:tcPr>
          <w:p w:rsidR="003259DA" w:rsidRPr="003259DA" w:rsidRDefault="003259DA" w:rsidP="003259DA">
            <w:pPr>
              <w:spacing w:after="0" w:line="240" w:lineRule="auto"/>
              <w:jc w:val="center"/>
              <w:rPr>
                <w:rFonts w:ascii="Times New Roman" w:eastAsia="Times New Roman" w:hAnsi="Times New Roman" w:cs="Times New Roman"/>
                <w:sz w:val="24"/>
                <w:szCs w:val="24"/>
              </w:rPr>
            </w:pPr>
            <w:r w:rsidRPr="003259DA">
              <w:rPr>
                <w:rFonts w:ascii="Arial" w:eastAsia="Times New Roman" w:hAnsi="Arial" w:cs="Arial"/>
                <w:sz w:val="20"/>
                <w:szCs w:val="20"/>
              </w:rPr>
              <w:t>4,50</w:t>
            </w:r>
          </w:p>
        </w:tc>
      </w:tr>
    </w:tbl>
    <w:p w:rsidR="005320DE" w:rsidRPr="003259DA" w:rsidRDefault="003259DA" w:rsidP="003259D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259DA">
        <w:rPr>
          <w:rFonts w:ascii="Arial" w:eastAsia="Times New Roman" w:hAnsi="Arial" w:cs="Arial"/>
          <w:color w:val="FF0000"/>
          <w:sz w:val="27"/>
          <w:szCs w:val="27"/>
        </w:rPr>
        <w:t>*</w:t>
      </w:r>
      <w:bookmarkStart w:id="11" w:name="_GoBack"/>
      <w:bookmarkEnd w:id="11"/>
    </w:p>
    <w:sectPr w:rsidR="005320DE" w:rsidRPr="003259D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9DA"/>
    <w:rsid w:val="003259DA"/>
    <w:rsid w:val="005320D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3259D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3259DA"/>
    <w:rPr>
      <w:b/>
      <w:bCs/>
    </w:rPr>
  </w:style>
  <w:style w:type="character" w:styleId="Hyperlink">
    <w:name w:val="Hyperlink"/>
    <w:basedOn w:val="Fontepargpadro"/>
    <w:uiPriority w:val="99"/>
    <w:semiHidden/>
    <w:unhideWhenUsed/>
    <w:rsid w:val="003259D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3259D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3259DA"/>
    <w:rPr>
      <w:b/>
      <w:bCs/>
    </w:rPr>
  </w:style>
  <w:style w:type="character" w:styleId="Hyperlink">
    <w:name w:val="Hyperlink"/>
    <w:basedOn w:val="Fontepargpadro"/>
    <w:uiPriority w:val="99"/>
    <w:semiHidden/>
    <w:unhideWhenUsed/>
    <w:rsid w:val="003259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92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9393.htm" TargetMode="External"/><Relationship Id="rId18" Type="http://schemas.openxmlformats.org/officeDocument/2006/relationships/hyperlink" Target="http://www.planalto.gov.br/ccivil_03/leis/L9393.htm" TargetMode="External"/><Relationship Id="rId26" Type="http://schemas.openxmlformats.org/officeDocument/2006/relationships/hyperlink" Target="http://www.planalto.gov.br/ccivil_03/leis/L8981.htm" TargetMode="External"/><Relationship Id="rId39" Type="http://schemas.openxmlformats.org/officeDocument/2006/relationships/hyperlink" Target="http://www.planalto.gov.br/ccivil_03/leis/L5868.htm" TargetMode="External"/><Relationship Id="rId21" Type="http://schemas.openxmlformats.org/officeDocument/2006/relationships/hyperlink" Target="http://www.planalto.gov.br/ccivil_03/leis/L9393.htm" TargetMode="External"/><Relationship Id="rId34" Type="http://schemas.openxmlformats.org/officeDocument/2006/relationships/hyperlink" Target="http://www.planalto.gov.br/ccivil_03/leis/L9430.htm" TargetMode="External"/><Relationship Id="rId42" Type="http://schemas.openxmlformats.org/officeDocument/2006/relationships/hyperlink" Target="http://www.planalto.gov.br/ccivil_03/leis/L9393.htm" TargetMode="External"/><Relationship Id="rId47" Type="http://schemas.openxmlformats.org/officeDocument/2006/relationships/hyperlink" Target="http://www.planalto.gov.br/ccivil_03/Decreto-Lei/Del0057.htm" TargetMode="External"/><Relationship Id="rId50" Type="http://schemas.openxmlformats.org/officeDocument/2006/relationships/hyperlink" Target="http://www.planalto.gov.br/ccivil_03/leis/1989_1994/L8022.htm" TargetMode="External"/><Relationship Id="rId55" Type="http://schemas.openxmlformats.org/officeDocument/2006/relationships/fontTable" Target="fontTable.xml"/><Relationship Id="rId7" Type="http://schemas.openxmlformats.org/officeDocument/2006/relationships/hyperlink" Target="http://www.planalto.gov.br/ccivil_03/leis/L8847compilado.htm" TargetMode="External"/><Relationship Id="rId12" Type="http://schemas.openxmlformats.org/officeDocument/2006/relationships/hyperlink" Target="http://www.planalto.gov.br/ccivil_03/leis/L9393.htm" TargetMode="External"/><Relationship Id="rId17" Type="http://schemas.openxmlformats.org/officeDocument/2006/relationships/hyperlink" Target="http://www.planalto.gov.br/ccivil_03/leis/L9393.htm" TargetMode="External"/><Relationship Id="rId25" Type="http://schemas.openxmlformats.org/officeDocument/2006/relationships/hyperlink" Target="http://www.planalto.gov.br/ccivil_03/leis/L9393.htm" TargetMode="External"/><Relationship Id="rId33" Type="http://schemas.openxmlformats.org/officeDocument/2006/relationships/hyperlink" Target="http://www.planalto.gov.br/ccivil_03/leis/L9393.htm" TargetMode="External"/><Relationship Id="rId38" Type="http://schemas.openxmlformats.org/officeDocument/2006/relationships/hyperlink" Target="http://www.planalto.gov.br/ccivil_03/leis/L9393.htm" TargetMode="External"/><Relationship Id="rId46" Type="http://schemas.openxmlformats.org/officeDocument/2006/relationships/hyperlink" Target="http://www.planalto.gov.br/ccivil_03/leis/L9393.htm" TargetMode="External"/><Relationship Id="rId2" Type="http://schemas.microsoft.com/office/2007/relationships/stylesWithEffects" Target="stylesWithEffects.xml"/><Relationship Id="rId16" Type="http://schemas.openxmlformats.org/officeDocument/2006/relationships/hyperlink" Target="http://www.planalto.gov.br/ccivil_03/leis/L9393.htm" TargetMode="External"/><Relationship Id="rId20" Type="http://schemas.openxmlformats.org/officeDocument/2006/relationships/hyperlink" Target="http://www.planalto.gov.br/ccivil_03/leis/L9393.htm" TargetMode="External"/><Relationship Id="rId29" Type="http://schemas.openxmlformats.org/officeDocument/2006/relationships/hyperlink" Target="http://www.planalto.gov.br/ccivil_03/leis/L9393.htm" TargetMode="External"/><Relationship Id="rId41" Type="http://schemas.openxmlformats.org/officeDocument/2006/relationships/hyperlink" Target="http://www.planalto.gov.br/ccivil_03/leis/L9393.htm" TargetMode="External"/><Relationship Id="rId54" Type="http://schemas.openxmlformats.org/officeDocument/2006/relationships/hyperlink" Target="http://www.planalto.gov.br/ccivil_03/leis/L9393.htm" TargetMode="External"/><Relationship Id="rId1" Type="http://schemas.openxmlformats.org/officeDocument/2006/relationships/styles" Target="styles.xml"/><Relationship Id="rId6" Type="http://schemas.openxmlformats.org/officeDocument/2006/relationships/hyperlink" Target="http://www.planalto.gov.br/ccivil_03/MPV/1990-1995/399.htm" TargetMode="External"/><Relationship Id="rId11" Type="http://schemas.openxmlformats.org/officeDocument/2006/relationships/hyperlink" Target="http://www.planalto.gov.br/ccivil_03/leis/L9393.htm" TargetMode="External"/><Relationship Id="rId24" Type="http://schemas.openxmlformats.org/officeDocument/2006/relationships/hyperlink" Target="http://www.planalto.gov.br/ccivil_03/leis/L9065.htm" TargetMode="External"/><Relationship Id="rId32" Type="http://schemas.openxmlformats.org/officeDocument/2006/relationships/hyperlink" Target="http://www.planalto.gov.br/ccivil_03/leis/L8981.htm" TargetMode="External"/><Relationship Id="rId37" Type="http://schemas.openxmlformats.org/officeDocument/2006/relationships/hyperlink" Target="http://www.planalto.gov.br/ccivil_03/leis/L9393.htm" TargetMode="External"/><Relationship Id="rId40" Type="http://schemas.openxmlformats.org/officeDocument/2006/relationships/hyperlink" Target="http://www.planalto.gov.br/ccivil_03/leis/L9393.htm" TargetMode="External"/><Relationship Id="rId45" Type="http://schemas.openxmlformats.org/officeDocument/2006/relationships/hyperlink" Target="http://www.planalto.gov.br/ccivil_03/leis/L9393.htm" TargetMode="External"/><Relationship Id="rId53" Type="http://schemas.openxmlformats.org/officeDocument/2006/relationships/hyperlink" Target="http://www.planalto.gov.br/ccivil_03/leis/L8315.htm" TargetMode="External"/><Relationship Id="rId5" Type="http://schemas.openxmlformats.org/officeDocument/2006/relationships/hyperlink" Target="http://legislacao.planalto.gov.br/legisla/legislacao.nsf/Viw_Identificacao/lei%208.847-1994?OpenDocument" TargetMode="External"/><Relationship Id="rId15" Type="http://schemas.openxmlformats.org/officeDocument/2006/relationships/hyperlink" Target="http://www.planalto.gov.br/ccivil_03/leis/L9393.htm" TargetMode="External"/><Relationship Id="rId23" Type="http://schemas.openxmlformats.org/officeDocument/2006/relationships/hyperlink" Target="http://www.planalto.gov.br/ccivil_03/leis/L8981.htm" TargetMode="External"/><Relationship Id="rId28" Type="http://schemas.openxmlformats.org/officeDocument/2006/relationships/hyperlink" Target="http://www.planalto.gov.br/ccivil_03/leis/L8981.htm" TargetMode="External"/><Relationship Id="rId36" Type="http://schemas.openxmlformats.org/officeDocument/2006/relationships/hyperlink" Target="http://www.planalto.gov.br/ccivil_03/leis/L9393.htm" TargetMode="External"/><Relationship Id="rId49" Type="http://schemas.openxmlformats.org/officeDocument/2006/relationships/hyperlink" Target="http://www.planalto.gov.br/ccivil_03/Decreto-Lei/1965-1988/Del1989.htm" TargetMode="External"/><Relationship Id="rId10" Type="http://schemas.openxmlformats.org/officeDocument/2006/relationships/hyperlink" Target="http://www.planalto.gov.br/ccivil_03/leis/L8981.htm" TargetMode="External"/><Relationship Id="rId19" Type="http://schemas.openxmlformats.org/officeDocument/2006/relationships/hyperlink" Target="http://www.planalto.gov.br/ccivil_03/leis/L4771.htm" TargetMode="External"/><Relationship Id="rId31" Type="http://schemas.openxmlformats.org/officeDocument/2006/relationships/hyperlink" Target="http://www.planalto.gov.br/ccivil_03/leis/L9393.htm" TargetMode="External"/><Relationship Id="rId44" Type="http://schemas.openxmlformats.org/officeDocument/2006/relationships/hyperlink" Target="http://www.planalto.gov.br/ccivil_03/leis/L4502.htm" TargetMode="External"/><Relationship Id="rId52" Type="http://schemas.openxmlformats.org/officeDocument/2006/relationships/hyperlink" Target="http://www.planalto.gov.br/ccivil_03/Decreto-Lei/Del5452.htm" TargetMode="External"/><Relationship Id="rId4" Type="http://schemas.openxmlformats.org/officeDocument/2006/relationships/webSettings" Target="webSettings.xml"/><Relationship Id="rId9" Type="http://schemas.openxmlformats.org/officeDocument/2006/relationships/hyperlink" Target="http://www.planalto.gov.br/ccivil_03/leis/L9393.htm" TargetMode="External"/><Relationship Id="rId14" Type="http://schemas.openxmlformats.org/officeDocument/2006/relationships/hyperlink" Target="http://www.planalto.gov.br/ccivil_03/Constituicao/Constituicao.htm" TargetMode="External"/><Relationship Id="rId22" Type="http://schemas.openxmlformats.org/officeDocument/2006/relationships/hyperlink" Target="http://www.planalto.gov.br/ccivil_03/leis/L9393.htm" TargetMode="External"/><Relationship Id="rId27" Type="http://schemas.openxmlformats.org/officeDocument/2006/relationships/hyperlink" Target="http://www.planalto.gov.br/ccivil_03/leis/L9393.htm" TargetMode="External"/><Relationship Id="rId30" Type="http://schemas.openxmlformats.org/officeDocument/2006/relationships/hyperlink" Target="http://www.planalto.gov.br/ccivil_03/leis/L8981.htm" TargetMode="External"/><Relationship Id="rId35" Type="http://schemas.openxmlformats.org/officeDocument/2006/relationships/hyperlink" Target="http://www.planalto.gov.br/ccivil_03/leis/L8981.htm" TargetMode="External"/><Relationship Id="rId43" Type="http://schemas.openxmlformats.org/officeDocument/2006/relationships/hyperlink" Target="http://www.planalto.gov.br/ccivil_03/leis/L9393.htm" TargetMode="External"/><Relationship Id="rId48" Type="http://schemas.openxmlformats.org/officeDocument/2006/relationships/hyperlink" Target="https://legislacao.planalto.gov.br/LEGISLA/Legislacao.nsf/viwTodos/1d8b382e96b3a3d7032569fa0074645b?OpenDocument&amp;Highlight=1,&amp;AutoFramed" TargetMode="External"/><Relationship Id="rId56" Type="http://schemas.openxmlformats.org/officeDocument/2006/relationships/theme" Target="theme/theme1.xml"/><Relationship Id="rId8" Type="http://schemas.openxmlformats.org/officeDocument/2006/relationships/hyperlink" Target="http://www.planalto.gov.br/ccivil_03/leis/L9393.htm" TargetMode="External"/><Relationship Id="rId51" Type="http://schemas.openxmlformats.org/officeDocument/2006/relationships/hyperlink" Target="http://www.planalto.gov.br/ccivil_03/Decreto-Lei/1965-1988/Del1166.htm" TargetMode="External"/><Relationship Id="rId3"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3262</Words>
  <Characters>17619</Characters>
  <Application>Microsoft Office Word</Application>
  <DocSecurity>0</DocSecurity>
  <Lines>146</Lines>
  <Paragraphs>41</Paragraphs>
  <ScaleCrop>false</ScaleCrop>
  <Company/>
  <LinksUpToDate>false</LinksUpToDate>
  <CharactersWithSpaces>20840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2023-11-09T16:46:00Z</dcterms:created>
  <dcterms:modified xsi:type="dcterms:W3CDTF">2023-11-09T16:59:00Z</dcterms:modified>
</cp:coreProperties>
</file>