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7B2591" w:rsidRPr="007B2591" w:rsidTr="007B2591">
        <w:trPr>
          <w:tblCellSpacing w:w="0" w:type="dxa"/>
          <w:jc w:val="center"/>
        </w:trPr>
        <w:tc>
          <w:tcPr>
            <w:tcW w:w="700" w:type="pct"/>
            <w:vAlign w:val="center"/>
            <w:hideMark/>
          </w:tcPr>
          <w:p w:rsidR="007B2591" w:rsidRPr="007B2591" w:rsidRDefault="007B2591" w:rsidP="007B2591">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7B2591" w:rsidRPr="007B2591" w:rsidRDefault="007B2591" w:rsidP="007B2591">
            <w:pPr>
              <w:spacing w:before="100" w:beforeAutospacing="1" w:after="100" w:afterAutospacing="1" w:line="240" w:lineRule="auto"/>
              <w:jc w:val="center"/>
              <w:rPr>
                <w:rFonts w:ascii="Times New Roman" w:eastAsia="Times New Roman" w:hAnsi="Times New Roman" w:cs="Times New Roman"/>
                <w:sz w:val="24"/>
                <w:szCs w:val="24"/>
              </w:rPr>
            </w:pPr>
            <w:r w:rsidRPr="007B2591">
              <w:rPr>
                <w:rFonts w:ascii="Arial" w:eastAsia="Times New Roman" w:hAnsi="Arial" w:cs="Arial"/>
                <w:b/>
                <w:bCs/>
                <w:color w:val="808000"/>
                <w:sz w:val="36"/>
                <w:szCs w:val="36"/>
              </w:rPr>
              <w:t>Presidência da República</w:t>
            </w:r>
            <w:r w:rsidRPr="007B2591">
              <w:rPr>
                <w:rFonts w:ascii="Arial" w:eastAsia="Times New Roman" w:hAnsi="Arial" w:cs="Arial"/>
                <w:b/>
                <w:bCs/>
                <w:color w:val="808000"/>
                <w:sz w:val="24"/>
                <w:szCs w:val="24"/>
              </w:rPr>
              <w:br/>
            </w:r>
            <w:r w:rsidRPr="007B2591">
              <w:rPr>
                <w:rFonts w:ascii="Arial" w:eastAsia="Times New Roman" w:hAnsi="Arial" w:cs="Arial"/>
                <w:b/>
                <w:bCs/>
                <w:color w:val="808000"/>
                <w:sz w:val="27"/>
                <w:szCs w:val="27"/>
              </w:rPr>
              <w:t>Casa Civil</w:t>
            </w:r>
            <w:r w:rsidRPr="007B2591">
              <w:rPr>
                <w:rFonts w:ascii="Arial" w:eastAsia="Times New Roman" w:hAnsi="Arial" w:cs="Arial"/>
                <w:b/>
                <w:bCs/>
                <w:color w:val="808000"/>
                <w:sz w:val="27"/>
                <w:szCs w:val="27"/>
              </w:rPr>
              <w:br/>
            </w:r>
            <w:r w:rsidRPr="007B2591">
              <w:rPr>
                <w:rFonts w:ascii="Arial" w:eastAsia="Times New Roman" w:hAnsi="Arial" w:cs="Arial"/>
                <w:b/>
                <w:bCs/>
                <w:color w:val="808000"/>
                <w:sz w:val="24"/>
                <w:szCs w:val="24"/>
              </w:rPr>
              <w:t>Subchefia para Assuntos Jurídicos</w:t>
            </w:r>
          </w:p>
        </w:tc>
      </w:tr>
    </w:tbl>
    <w:p w:rsidR="007B2591" w:rsidRPr="007B2591" w:rsidRDefault="007B2591" w:rsidP="007B2591">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7B2591">
          <w:rPr>
            <w:rFonts w:ascii="Arial" w:eastAsia="Times New Roman" w:hAnsi="Arial" w:cs="Arial"/>
            <w:b/>
            <w:bCs/>
            <w:color w:val="000080"/>
            <w:sz w:val="24"/>
            <w:szCs w:val="24"/>
            <w:u w:val="single"/>
          </w:rPr>
          <w:t xml:space="preserve">LEI Nº 8.437, DE 30 DE JUNHO DE </w:t>
        </w:r>
        <w:proofErr w:type="gramStart"/>
        <w:r w:rsidRPr="007B2591">
          <w:rPr>
            <w:rFonts w:ascii="Arial" w:eastAsia="Times New Roman" w:hAnsi="Arial" w:cs="Arial"/>
            <w:b/>
            <w:bCs/>
            <w:color w:val="000080"/>
            <w:sz w:val="24"/>
            <w:szCs w:val="24"/>
            <w:u w:val="single"/>
          </w:rPr>
          <w:t>1992.</w:t>
        </w:r>
        <w:proofErr w:type="gramEnd"/>
      </w:hyperlink>
    </w:p>
    <w:tbl>
      <w:tblPr>
        <w:tblW w:w="5000" w:type="pct"/>
        <w:tblCellMar>
          <w:left w:w="0" w:type="dxa"/>
          <w:right w:w="0" w:type="dxa"/>
        </w:tblCellMar>
        <w:tblLook w:val="04A0" w:firstRow="1" w:lastRow="0" w:firstColumn="1" w:lastColumn="0" w:noHBand="0" w:noVBand="1"/>
      </w:tblPr>
      <w:tblGrid>
        <w:gridCol w:w="5017"/>
        <w:gridCol w:w="3487"/>
      </w:tblGrid>
      <w:tr w:rsidR="007B2591" w:rsidRPr="007B2591" w:rsidTr="007B2591">
        <w:tc>
          <w:tcPr>
            <w:tcW w:w="2950" w:type="pct"/>
            <w:tcBorders>
              <w:top w:val="nil"/>
              <w:left w:val="nil"/>
              <w:bottom w:val="nil"/>
              <w:right w:val="nil"/>
            </w:tcBorders>
            <w:vAlign w:val="center"/>
            <w:hideMark/>
          </w:tcPr>
          <w:p w:rsidR="007B2591" w:rsidRPr="007B2591" w:rsidRDefault="007B2591" w:rsidP="007B2591">
            <w:pPr>
              <w:spacing w:after="0" w:line="240" w:lineRule="auto"/>
              <w:rPr>
                <w:rFonts w:ascii="Times New Roman" w:eastAsia="Times New Roman" w:hAnsi="Times New Roman" w:cs="Times New Roman"/>
                <w:sz w:val="24"/>
                <w:szCs w:val="24"/>
              </w:rPr>
            </w:pPr>
          </w:p>
        </w:tc>
        <w:tc>
          <w:tcPr>
            <w:tcW w:w="2050" w:type="pct"/>
            <w:tcBorders>
              <w:top w:val="nil"/>
              <w:left w:val="nil"/>
              <w:bottom w:val="nil"/>
              <w:right w:val="nil"/>
            </w:tcBorders>
            <w:vAlign w:val="center"/>
            <w:hideMark/>
          </w:tcPr>
          <w:p w:rsidR="007B2591" w:rsidRPr="007B2591" w:rsidRDefault="007B2591" w:rsidP="007B2591">
            <w:pPr>
              <w:spacing w:before="100" w:beforeAutospacing="1" w:after="100" w:afterAutospacing="1" w:line="240" w:lineRule="auto"/>
              <w:rPr>
                <w:rFonts w:ascii="Times New Roman" w:eastAsia="Times New Roman" w:hAnsi="Times New Roman" w:cs="Times New Roman"/>
                <w:sz w:val="24"/>
                <w:szCs w:val="24"/>
              </w:rPr>
            </w:pPr>
            <w:r w:rsidRPr="007B2591">
              <w:rPr>
                <w:rFonts w:ascii="Arial" w:eastAsia="Times New Roman" w:hAnsi="Arial" w:cs="Arial"/>
                <w:color w:val="800000"/>
                <w:sz w:val="20"/>
                <w:szCs w:val="20"/>
              </w:rPr>
              <w:t>Dispõe sobre a concessão de medidas cautelares contra atos do Poder Público e dá outras providências.</w:t>
            </w:r>
          </w:p>
        </w:tc>
      </w:tr>
    </w:tbl>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0"/>
          <w:szCs w:val="20"/>
        </w:rPr>
      </w:pPr>
      <w:proofErr w:type="gramStart"/>
      <w:r w:rsidRPr="007B2591">
        <w:rPr>
          <w:rFonts w:ascii="Arial" w:eastAsia="Times New Roman" w:hAnsi="Arial" w:cs="Arial"/>
          <w:b/>
          <w:bCs/>
          <w:color w:val="000000"/>
          <w:sz w:val="20"/>
          <w:szCs w:val="20"/>
        </w:rPr>
        <w:t>O PRESIDENTE DA REPÚBLICA </w:t>
      </w:r>
      <w:r w:rsidRPr="007B2591">
        <w:rPr>
          <w:rFonts w:ascii="Arial" w:eastAsia="Times New Roman" w:hAnsi="Arial" w:cs="Arial"/>
          <w:color w:val="000000"/>
          <w:sz w:val="20"/>
          <w:szCs w:val="20"/>
        </w:rPr>
        <w:t>Faço</w:t>
      </w:r>
      <w:proofErr w:type="gramEnd"/>
      <w:r w:rsidRPr="007B2591">
        <w:rPr>
          <w:rFonts w:ascii="Arial" w:eastAsia="Times New Roman" w:hAnsi="Arial" w:cs="Arial"/>
          <w:color w:val="000000"/>
          <w:sz w:val="20"/>
          <w:szCs w:val="20"/>
        </w:rPr>
        <w:t xml:space="preserve"> saber que o Congresso Nacional decreta e eu sanciono a seguinte lei:</w:t>
      </w:r>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0" w:name="art1"/>
      <w:bookmarkEnd w:id="0"/>
      <w:r w:rsidRPr="007B2591">
        <w:rPr>
          <w:rFonts w:ascii="Arial" w:eastAsia="Times New Roman" w:hAnsi="Arial" w:cs="Arial"/>
          <w:color w:val="000000"/>
          <w:sz w:val="20"/>
          <w:szCs w:val="20"/>
        </w:rPr>
        <w:t>Art. 1° Não será cabível medida liminar contra atos do Poder Público, no procedimento cautelar ou em quaisquer outras ações de natureza cautelar ou preventiva, toda vez que providência semelhante não puder ser concedida em ações de mandado de segurança, em virtude de vedação legal.</w:t>
      </w:r>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1" w:name="art1§1"/>
      <w:bookmarkEnd w:id="1"/>
      <w:r w:rsidRPr="007B2591">
        <w:rPr>
          <w:rFonts w:ascii="Arial" w:eastAsia="Times New Roman" w:hAnsi="Arial" w:cs="Arial"/>
          <w:color w:val="000000"/>
          <w:sz w:val="20"/>
          <w:szCs w:val="20"/>
        </w:rPr>
        <w:t>§ 1° Não será cabível, no juízo de primeiro grau, medida cautelar inominada ou a sua liminar, quando impugnado ato de autoridade sujeita, na via de mandado de segurança, à competência originária de tribunal.</w:t>
      </w:r>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 w:name="art1§2"/>
      <w:bookmarkEnd w:id="2"/>
      <w:r w:rsidRPr="007B2591">
        <w:rPr>
          <w:rFonts w:ascii="Arial" w:eastAsia="Times New Roman" w:hAnsi="Arial" w:cs="Arial"/>
          <w:color w:val="000000"/>
          <w:sz w:val="20"/>
          <w:szCs w:val="20"/>
        </w:rPr>
        <w:t>§ 2° O disposto no parágrafo anterior não se aplica aos processos de ação popular e de ação civil pública.</w:t>
      </w:r>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3" w:name="art1§3"/>
      <w:bookmarkEnd w:id="3"/>
      <w:r w:rsidRPr="007B2591">
        <w:rPr>
          <w:rFonts w:ascii="Arial" w:eastAsia="Times New Roman" w:hAnsi="Arial" w:cs="Arial"/>
          <w:color w:val="000000"/>
          <w:sz w:val="20"/>
          <w:szCs w:val="20"/>
        </w:rPr>
        <w:t>§ 3° Não será cabível medida liminar que esgote, no todo ou em qualquer parte, o objeto da ação.</w:t>
      </w:r>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4" w:name="art1§4"/>
      <w:bookmarkEnd w:id="4"/>
      <w:r w:rsidRPr="007B2591">
        <w:rPr>
          <w:rFonts w:ascii="Arial" w:eastAsia="Times New Roman" w:hAnsi="Arial" w:cs="Arial"/>
          <w:color w:val="000000"/>
          <w:sz w:val="20"/>
          <w:szCs w:val="20"/>
        </w:rPr>
        <w:t>§ 4° </w:t>
      </w:r>
      <w:r w:rsidRPr="007B2591">
        <w:rPr>
          <w:rFonts w:ascii="Arial" w:eastAsia="Times New Roman" w:hAnsi="Arial" w:cs="Arial"/>
          <w:color w:val="000000"/>
          <w:sz w:val="24"/>
          <w:szCs w:val="24"/>
        </w:rPr>
        <w:t>Nos casos em que cabível medida liminar, sem prejuízo da comunicação ao dirigente do órgão ou entidade, o respectivo representante judicial dela será imediatamente intimado.        </w:t>
      </w:r>
      <w:hyperlink r:id="rId6" w:anchor="art1" w:history="1">
        <w:r w:rsidRPr="007B2591">
          <w:rPr>
            <w:rFonts w:ascii="Arial" w:eastAsia="Times New Roman" w:hAnsi="Arial" w:cs="Arial"/>
            <w:color w:val="0000FF"/>
            <w:sz w:val="20"/>
            <w:szCs w:val="20"/>
            <w:u w:val="single"/>
          </w:rPr>
          <w:t>(Incluído pela Medida Provisória nº 2,180-35, de 2001)</w:t>
        </w:r>
        <w:proofErr w:type="gramStart"/>
      </w:hyperlink>
      <w:proofErr w:type="gramEnd"/>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7"/>
          <w:szCs w:val="27"/>
        </w:rPr>
      </w:pPr>
      <w:bookmarkStart w:id="5" w:name="art1§5"/>
      <w:bookmarkEnd w:id="5"/>
      <w:r w:rsidRPr="007B2591">
        <w:rPr>
          <w:rFonts w:ascii="Arial" w:eastAsia="Times New Roman" w:hAnsi="Arial" w:cs="Arial"/>
          <w:color w:val="000000"/>
          <w:sz w:val="24"/>
          <w:szCs w:val="24"/>
        </w:rPr>
        <w:t>§ 5</w:t>
      </w:r>
      <w:r w:rsidRPr="007B2591">
        <w:rPr>
          <w:rFonts w:ascii="Arial" w:eastAsia="Times New Roman" w:hAnsi="Arial" w:cs="Arial"/>
          <w:color w:val="000000"/>
          <w:sz w:val="24"/>
          <w:szCs w:val="24"/>
          <w:u w:val="single"/>
          <w:vertAlign w:val="superscript"/>
        </w:rPr>
        <w:t>o</w:t>
      </w:r>
      <w:r w:rsidRPr="007B2591">
        <w:rPr>
          <w:rFonts w:ascii="Arial" w:eastAsia="Times New Roman" w:hAnsi="Arial" w:cs="Arial"/>
          <w:color w:val="000000"/>
          <w:sz w:val="24"/>
          <w:szCs w:val="24"/>
        </w:rPr>
        <w:t> Não será cabível medida liminar que defira compensação de créditos tributários ou previdenciários.        </w:t>
      </w:r>
      <w:hyperlink r:id="rId7" w:anchor="art1" w:history="1">
        <w:r w:rsidRPr="007B2591">
          <w:rPr>
            <w:rFonts w:ascii="Arial" w:eastAsia="Times New Roman" w:hAnsi="Arial" w:cs="Arial"/>
            <w:color w:val="0000FF"/>
            <w:sz w:val="20"/>
            <w:szCs w:val="20"/>
            <w:u w:val="single"/>
          </w:rPr>
          <w:t>(Incluído pela Medida Provisória nº 2,180-35, de 2001)</w:t>
        </w:r>
        <w:proofErr w:type="gramStart"/>
      </w:hyperlink>
      <w:proofErr w:type="gramEnd"/>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6" w:name="art2"/>
      <w:bookmarkEnd w:id="6"/>
      <w:r w:rsidRPr="007B2591">
        <w:rPr>
          <w:rFonts w:ascii="Arial" w:eastAsia="Times New Roman" w:hAnsi="Arial" w:cs="Arial"/>
          <w:color w:val="000000"/>
          <w:sz w:val="20"/>
          <w:szCs w:val="20"/>
        </w:rPr>
        <w:t xml:space="preserve">Art. 2º No mandado de segurança coletivo e na ação civil pública, a liminar será concedida, quando cabível, após a audiência do representante judicial da pessoa jurídica de direito público, que deverá se pronunciar no prazo de setenta e duas </w:t>
      </w:r>
      <w:proofErr w:type="gramStart"/>
      <w:r w:rsidRPr="007B2591">
        <w:rPr>
          <w:rFonts w:ascii="Arial" w:eastAsia="Times New Roman" w:hAnsi="Arial" w:cs="Arial"/>
          <w:color w:val="000000"/>
          <w:sz w:val="20"/>
          <w:szCs w:val="20"/>
        </w:rPr>
        <w:t>horas .</w:t>
      </w:r>
      <w:proofErr w:type="gramEnd"/>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7" w:name="art3"/>
      <w:bookmarkEnd w:id="7"/>
      <w:r w:rsidRPr="007B2591">
        <w:rPr>
          <w:rFonts w:ascii="Arial" w:eastAsia="Times New Roman" w:hAnsi="Arial" w:cs="Arial"/>
          <w:color w:val="000000"/>
          <w:sz w:val="20"/>
          <w:szCs w:val="20"/>
        </w:rPr>
        <w:t xml:space="preserve">Art. 3° O recurso voluntário ou </w:t>
      </w:r>
      <w:proofErr w:type="spellStart"/>
      <w:r w:rsidRPr="007B2591">
        <w:rPr>
          <w:rFonts w:ascii="Arial" w:eastAsia="Times New Roman" w:hAnsi="Arial" w:cs="Arial"/>
          <w:color w:val="000000"/>
          <w:sz w:val="20"/>
          <w:szCs w:val="20"/>
        </w:rPr>
        <w:t>ex</w:t>
      </w:r>
      <w:proofErr w:type="spellEnd"/>
      <w:r w:rsidRPr="007B2591">
        <w:rPr>
          <w:rFonts w:ascii="Arial" w:eastAsia="Times New Roman" w:hAnsi="Arial" w:cs="Arial"/>
          <w:color w:val="000000"/>
          <w:sz w:val="20"/>
          <w:szCs w:val="20"/>
        </w:rPr>
        <w:t xml:space="preserve"> </w:t>
      </w:r>
      <w:proofErr w:type="spellStart"/>
      <w:r w:rsidRPr="007B2591">
        <w:rPr>
          <w:rFonts w:ascii="Arial" w:eastAsia="Times New Roman" w:hAnsi="Arial" w:cs="Arial"/>
          <w:color w:val="000000"/>
          <w:sz w:val="20"/>
          <w:szCs w:val="20"/>
        </w:rPr>
        <w:t>officio</w:t>
      </w:r>
      <w:proofErr w:type="spellEnd"/>
      <w:r w:rsidRPr="007B2591">
        <w:rPr>
          <w:rFonts w:ascii="Arial" w:eastAsia="Times New Roman" w:hAnsi="Arial" w:cs="Arial"/>
          <w:color w:val="000000"/>
          <w:sz w:val="20"/>
          <w:szCs w:val="20"/>
        </w:rPr>
        <w:t>, interposto contra sentença em processo cautelar, proferida contra pessoa jurídica de direito público ou seus agentes, que importe em outorga ou adição de vencimentos ou de reclassificação funcional, terá efeito suspensivo.</w:t>
      </w:r>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8" w:name="art4"/>
      <w:bookmarkEnd w:id="8"/>
      <w:r w:rsidRPr="007B2591">
        <w:rPr>
          <w:rFonts w:ascii="Arial" w:eastAsia="Times New Roman" w:hAnsi="Arial" w:cs="Arial"/>
          <w:color w:val="000000"/>
          <w:sz w:val="20"/>
          <w:szCs w:val="20"/>
        </w:rPr>
        <w:t>Art. 4° Compete ao presidente do tribunal, ao qual couber o conhecimento do respectivo recurso, suspender, em despacho fundamentado, a execução da liminar nas ações movidas contra o Poder Público ou seus agentes, a requerimento do Ministério Público ou da pessoa jurídica de direito público interessada, em caso de manifesto interesse público ou de flagrante ilegitimidade, e para evitar grave lesão à ordem, à saúde, à segurança e à economia públicas.</w:t>
      </w:r>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9" w:name="art4§1"/>
      <w:bookmarkEnd w:id="9"/>
      <w:r w:rsidRPr="007B2591">
        <w:rPr>
          <w:rFonts w:ascii="Arial" w:eastAsia="Times New Roman" w:hAnsi="Arial" w:cs="Arial"/>
          <w:color w:val="000000"/>
          <w:sz w:val="20"/>
          <w:szCs w:val="20"/>
        </w:rPr>
        <w:t>§ 1° Aplica-se o disposto neste artigo à sentença proferida em processo de ação cautelar inominada, no processo de ação popular e na ação civil pública, enquanto não transitada em julgado.</w:t>
      </w:r>
    </w:p>
    <w:p w:rsidR="007B2591" w:rsidRPr="007B2591" w:rsidRDefault="007B2591" w:rsidP="007B2591">
      <w:pPr>
        <w:spacing w:after="0" w:line="240" w:lineRule="auto"/>
        <w:ind w:firstLine="450"/>
        <w:rPr>
          <w:rFonts w:ascii="Times New Roman" w:eastAsia="Times New Roman" w:hAnsi="Times New Roman" w:cs="Times New Roman"/>
          <w:color w:val="000000"/>
          <w:sz w:val="20"/>
          <w:szCs w:val="20"/>
        </w:rPr>
      </w:pPr>
      <w:bookmarkStart w:id="10" w:name="art4§2"/>
      <w:bookmarkEnd w:id="10"/>
      <w:r w:rsidRPr="007B2591">
        <w:rPr>
          <w:rFonts w:ascii="Arial" w:eastAsia="Times New Roman" w:hAnsi="Arial" w:cs="Arial"/>
          <w:strike/>
          <w:color w:val="000000"/>
          <w:sz w:val="20"/>
          <w:szCs w:val="20"/>
        </w:rPr>
        <w:lastRenderedPageBreak/>
        <w:t>§ 2° O presidente do tribunal poderá ouvir o autor e o Ministério Público, em cinco dias.</w:t>
      </w:r>
    </w:p>
    <w:p w:rsidR="007B2591" w:rsidRPr="007B2591" w:rsidRDefault="007B2591" w:rsidP="007B2591">
      <w:pPr>
        <w:spacing w:before="100" w:beforeAutospacing="1" w:after="100" w:afterAutospacing="1" w:line="240" w:lineRule="auto"/>
        <w:jc w:val="both"/>
        <w:rPr>
          <w:rFonts w:ascii="Times New Roman" w:eastAsia="Times New Roman" w:hAnsi="Times New Roman" w:cs="Times New Roman"/>
          <w:color w:val="000000"/>
          <w:sz w:val="20"/>
          <w:szCs w:val="20"/>
        </w:rPr>
      </w:pPr>
      <w:r w:rsidRPr="007B2591">
        <w:rPr>
          <w:rFonts w:ascii="Arial" w:eastAsia="Times New Roman" w:hAnsi="Arial" w:cs="Arial"/>
          <w:color w:val="000000"/>
          <w:sz w:val="20"/>
          <w:szCs w:val="20"/>
        </w:rPr>
        <w:t>        </w:t>
      </w:r>
      <w:bookmarkStart w:id="11" w:name="art4§2."/>
      <w:bookmarkEnd w:id="11"/>
      <w:r w:rsidRPr="007B2591">
        <w:rPr>
          <w:rFonts w:ascii="Arial" w:eastAsia="Times New Roman" w:hAnsi="Arial" w:cs="Arial"/>
          <w:color w:val="000000"/>
          <w:sz w:val="20"/>
          <w:szCs w:val="20"/>
        </w:rPr>
        <w:t>§ 2</w:t>
      </w:r>
      <w:r w:rsidRPr="007B2591">
        <w:rPr>
          <w:rFonts w:ascii="Arial" w:eastAsia="Times New Roman" w:hAnsi="Arial" w:cs="Arial"/>
          <w:color w:val="000000"/>
          <w:sz w:val="20"/>
          <w:szCs w:val="20"/>
          <w:u w:val="single"/>
          <w:vertAlign w:val="superscript"/>
        </w:rPr>
        <w:t>o</w:t>
      </w:r>
      <w:r w:rsidRPr="007B2591">
        <w:rPr>
          <w:rFonts w:ascii="Arial" w:eastAsia="Times New Roman" w:hAnsi="Arial" w:cs="Arial"/>
          <w:color w:val="000000"/>
          <w:sz w:val="20"/>
          <w:szCs w:val="20"/>
        </w:rPr>
        <w:t>  O Presidente do Tribunal poderá ouvir o autor e o Ministério Público, em setenta e duas horas.        </w:t>
      </w:r>
      <w:hyperlink r:id="rId8" w:anchor="art1" w:history="1">
        <w:r w:rsidRPr="007B2591">
          <w:rPr>
            <w:rFonts w:ascii="Arial" w:eastAsia="Times New Roman" w:hAnsi="Arial" w:cs="Arial"/>
            <w:color w:val="0000FF"/>
            <w:sz w:val="20"/>
            <w:szCs w:val="20"/>
            <w:u w:val="single"/>
          </w:rPr>
          <w:t>(Redação dada pela Medida Provisória nº 2,180-35, de 2001)</w:t>
        </w:r>
        <w:proofErr w:type="gramStart"/>
      </w:hyperlink>
      <w:proofErr w:type="gramEnd"/>
    </w:p>
    <w:p w:rsidR="007B2591" w:rsidRPr="007B2591" w:rsidRDefault="007B2591" w:rsidP="007B2591">
      <w:pPr>
        <w:spacing w:before="100" w:beforeAutospacing="1" w:after="100" w:afterAutospacing="1" w:line="240" w:lineRule="auto"/>
        <w:jc w:val="both"/>
        <w:rPr>
          <w:rFonts w:ascii="Times New Roman" w:eastAsia="Times New Roman" w:hAnsi="Times New Roman" w:cs="Times New Roman"/>
          <w:color w:val="000000"/>
          <w:sz w:val="20"/>
          <w:szCs w:val="20"/>
        </w:rPr>
      </w:pPr>
      <w:r w:rsidRPr="007B2591">
        <w:rPr>
          <w:rFonts w:ascii="Arial" w:eastAsia="Times New Roman" w:hAnsi="Arial" w:cs="Arial"/>
          <w:color w:val="000000"/>
          <w:sz w:val="20"/>
          <w:szCs w:val="20"/>
        </w:rPr>
        <w:t>        </w:t>
      </w:r>
      <w:bookmarkStart w:id="12" w:name="art4§3"/>
      <w:bookmarkEnd w:id="12"/>
      <w:r w:rsidRPr="007B2591">
        <w:rPr>
          <w:rFonts w:ascii="Arial" w:eastAsia="Times New Roman" w:hAnsi="Arial" w:cs="Arial"/>
          <w:strike/>
          <w:color w:val="000000"/>
          <w:sz w:val="20"/>
          <w:szCs w:val="20"/>
        </w:rPr>
        <w:t>§ 3° Do despacho que conceder ou negar a suspensão, caberá agravo, no prazo de cinco dias.</w:t>
      </w:r>
    </w:p>
    <w:p w:rsidR="007B2591" w:rsidRPr="007B2591" w:rsidRDefault="007B2591" w:rsidP="007B2591">
      <w:pPr>
        <w:spacing w:before="100" w:beforeAutospacing="1" w:after="100" w:afterAutospacing="1" w:line="240" w:lineRule="auto"/>
        <w:jc w:val="both"/>
        <w:rPr>
          <w:rFonts w:ascii="Times New Roman" w:eastAsia="Times New Roman" w:hAnsi="Times New Roman" w:cs="Times New Roman"/>
          <w:color w:val="000000"/>
          <w:sz w:val="20"/>
          <w:szCs w:val="20"/>
        </w:rPr>
      </w:pPr>
      <w:r w:rsidRPr="007B2591">
        <w:rPr>
          <w:rFonts w:ascii="Arial" w:eastAsia="Times New Roman" w:hAnsi="Arial" w:cs="Arial"/>
          <w:color w:val="000000"/>
          <w:sz w:val="20"/>
          <w:szCs w:val="20"/>
        </w:rPr>
        <w:t>        </w:t>
      </w:r>
      <w:bookmarkStart w:id="13" w:name="art4§3."/>
      <w:bookmarkEnd w:id="13"/>
      <w:r w:rsidRPr="007B2591">
        <w:rPr>
          <w:rFonts w:ascii="Arial" w:eastAsia="Times New Roman" w:hAnsi="Arial" w:cs="Arial"/>
          <w:color w:val="000000"/>
          <w:sz w:val="20"/>
          <w:szCs w:val="20"/>
        </w:rPr>
        <w:t>§ 3</w:t>
      </w:r>
      <w:r w:rsidRPr="007B2591">
        <w:rPr>
          <w:rFonts w:ascii="Arial" w:eastAsia="Times New Roman" w:hAnsi="Arial" w:cs="Arial"/>
          <w:color w:val="000000"/>
          <w:sz w:val="20"/>
          <w:szCs w:val="20"/>
          <w:u w:val="single"/>
          <w:vertAlign w:val="superscript"/>
        </w:rPr>
        <w:t>o</w:t>
      </w:r>
      <w:r w:rsidRPr="007B2591">
        <w:rPr>
          <w:rFonts w:ascii="Arial" w:eastAsia="Times New Roman" w:hAnsi="Arial" w:cs="Arial"/>
          <w:color w:val="000000"/>
          <w:sz w:val="20"/>
          <w:szCs w:val="20"/>
        </w:rPr>
        <w:t>  Do despacho que conceder ou negar a suspensão, caberá agravo, no prazo de cinco dias, que será levado a julgamento na sessão seguinte a sua interposição.        </w:t>
      </w:r>
      <w:hyperlink r:id="rId9" w:anchor="art1" w:history="1">
        <w:r w:rsidRPr="007B2591">
          <w:rPr>
            <w:rFonts w:ascii="Arial" w:eastAsia="Times New Roman" w:hAnsi="Arial" w:cs="Arial"/>
            <w:color w:val="0000FF"/>
            <w:sz w:val="20"/>
            <w:szCs w:val="20"/>
            <w:u w:val="single"/>
          </w:rPr>
          <w:t>(Redação dada pela Medida Provisória nº 2,180-35, de 2001)</w:t>
        </w:r>
        <w:proofErr w:type="gramStart"/>
      </w:hyperlink>
      <w:proofErr w:type="gramEnd"/>
    </w:p>
    <w:p w:rsidR="007B2591" w:rsidRPr="007B2591" w:rsidRDefault="007B2591" w:rsidP="007B2591">
      <w:pPr>
        <w:spacing w:before="100" w:beforeAutospacing="1" w:after="100" w:afterAutospacing="1" w:line="240" w:lineRule="auto"/>
        <w:jc w:val="both"/>
        <w:rPr>
          <w:rFonts w:ascii="Times New Roman" w:eastAsia="Times New Roman" w:hAnsi="Times New Roman" w:cs="Times New Roman"/>
          <w:color w:val="000000"/>
          <w:sz w:val="20"/>
          <w:szCs w:val="20"/>
        </w:rPr>
      </w:pPr>
      <w:r w:rsidRPr="007B2591">
        <w:rPr>
          <w:rFonts w:ascii="Arial" w:eastAsia="Times New Roman" w:hAnsi="Arial" w:cs="Arial"/>
          <w:color w:val="000000"/>
          <w:sz w:val="20"/>
          <w:szCs w:val="20"/>
        </w:rPr>
        <w:t>        </w:t>
      </w:r>
      <w:bookmarkStart w:id="14" w:name="art4§4"/>
      <w:bookmarkEnd w:id="14"/>
      <w:r w:rsidRPr="007B2591">
        <w:rPr>
          <w:rFonts w:ascii="Arial" w:eastAsia="Times New Roman" w:hAnsi="Arial" w:cs="Arial"/>
          <w:color w:val="000000"/>
          <w:sz w:val="20"/>
          <w:szCs w:val="20"/>
        </w:rPr>
        <w:t>§ 4</w:t>
      </w:r>
      <w:r w:rsidRPr="007B2591">
        <w:rPr>
          <w:rFonts w:ascii="Arial" w:eastAsia="Times New Roman" w:hAnsi="Arial" w:cs="Arial"/>
          <w:color w:val="000000"/>
          <w:sz w:val="20"/>
          <w:szCs w:val="20"/>
          <w:u w:val="single"/>
          <w:vertAlign w:val="superscript"/>
        </w:rPr>
        <w:t>o</w:t>
      </w:r>
      <w:r w:rsidRPr="007B2591">
        <w:rPr>
          <w:rFonts w:ascii="Arial" w:eastAsia="Times New Roman" w:hAnsi="Arial" w:cs="Arial"/>
          <w:color w:val="000000"/>
          <w:sz w:val="20"/>
          <w:szCs w:val="20"/>
        </w:rPr>
        <w:t>  Se do julgamento do agravo de que trata o § 3</w:t>
      </w:r>
      <w:r w:rsidRPr="007B2591">
        <w:rPr>
          <w:rFonts w:ascii="Arial" w:eastAsia="Times New Roman" w:hAnsi="Arial" w:cs="Arial"/>
          <w:color w:val="000000"/>
          <w:sz w:val="20"/>
          <w:szCs w:val="20"/>
          <w:u w:val="single"/>
          <w:vertAlign w:val="superscript"/>
        </w:rPr>
        <w:t>o</w:t>
      </w:r>
      <w:r w:rsidRPr="007B2591">
        <w:rPr>
          <w:rFonts w:ascii="Arial" w:eastAsia="Times New Roman" w:hAnsi="Arial" w:cs="Arial"/>
          <w:color w:val="000000"/>
          <w:sz w:val="20"/>
          <w:szCs w:val="20"/>
        </w:rPr>
        <w:t> resultar a manutenção ou o restabelecimento da decisão que se pretende suspender, caberá novo pedido de suspensão ao Presidente do Tribunal competente para conhecer de eventual recurso especial ou extraordinário.        </w:t>
      </w:r>
      <w:hyperlink r:id="rId10" w:anchor="art1" w:history="1">
        <w:r w:rsidRPr="007B2591">
          <w:rPr>
            <w:rFonts w:ascii="Arial" w:eastAsia="Times New Roman" w:hAnsi="Arial" w:cs="Arial"/>
            <w:color w:val="0000FF"/>
            <w:sz w:val="20"/>
            <w:szCs w:val="20"/>
            <w:u w:val="single"/>
          </w:rPr>
          <w:t>(Incluído pela Medida Provisória nº 2,180-35, de 2001)</w:t>
        </w:r>
        <w:proofErr w:type="gramStart"/>
      </w:hyperlink>
      <w:proofErr w:type="gramEnd"/>
    </w:p>
    <w:p w:rsidR="007B2591" w:rsidRPr="007B2591" w:rsidRDefault="007B2591" w:rsidP="007B2591">
      <w:pPr>
        <w:spacing w:before="100" w:beforeAutospacing="1" w:after="100" w:afterAutospacing="1" w:line="240" w:lineRule="auto"/>
        <w:jc w:val="both"/>
        <w:rPr>
          <w:rFonts w:ascii="Times New Roman" w:eastAsia="Times New Roman" w:hAnsi="Times New Roman" w:cs="Times New Roman"/>
          <w:color w:val="000000"/>
          <w:sz w:val="20"/>
          <w:szCs w:val="20"/>
        </w:rPr>
      </w:pPr>
      <w:r w:rsidRPr="007B2591">
        <w:rPr>
          <w:rFonts w:ascii="Arial" w:eastAsia="Times New Roman" w:hAnsi="Arial" w:cs="Arial"/>
          <w:color w:val="000000"/>
          <w:sz w:val="20"/>
          <w:szCs w:val="20"/>
        </w:rPr>
        <w:t>        </w:t>
      </w:r>
      <w:bookmarkStart w:id="15" w:name="art4§5"/>
      <w:bookmarkEnd w:id="15"/>
      <w:r w:rsidRPr="007B2591">
        <w:rPr>
          <w:rFonts w:ascii="Arial" w:eastAsia="Times New Roman" w:hAnsi="Arial" w:cs="Arial"/>
          <w:color w:val="000000"/>
          <w:sz w:val="20"/>
          <w:szCs w:val="20"/>
        </w:rPr>
        <w:t>§ 5</w:t>
      </w:r>
      <w:r w:rsidRPr="007B2591">
        <w:rPr>
          <w:rFonts w:ascii="Arial" w:eastAsia="Times New Roman" w:hAnsi="Arial" w:cs="Arial"/>
          <w:color w:val="000000"/>
          <w:sz w:val="20"/>
          <w:szCs w:val="20"/>
          <w:u w:val="single"/>
          <w:vertAlign w:val="superscript"/>
        </w:rPr>
        <w:t>o</w:t>
      </w:r>
      <w:r w:rsidRPr="007B2591">
        <w:rPr>
          <w:rFonts w:ascii="Arial" w:eastAsia="Times New Roman" w:hAnsi="Arial" w:cs="Arial"/>
          <w:color w:val="000000"/>
          <w:sz w:val="20"/>
          <w:szCs w:val="20"/>
        </w:rPr>
        <w:t>  É cabível também o pedido de suspensão a que se refere o § 4</w:t>
      </w:r>
      <w:r w:rsidRPr="007B2591">
        <w:rPr>
          <w:rFonts w:ascii="Arial" w:eastAsia="Times New Roman" w:hAnsi="Arial" w:cs="Arial"/>
          <w:color w:val="000000"/>
          <w:sz w:val="20"/>
          <w:szCs w:val="20"/>
          <w:u w:val="single"/>
          <w:vertAlign w:val="superscript"/>
        </w:rPr>
        <w:t>o</w:t>
      </w:r>
      <w:r w:rsidRPr="007B2591">
        <w:rPr>
          <w:rFonts w:ascii="Arial" w:eastAsia="Times New Roman" w:hAnsi="Arial" w:cs="Arial"/>
          <w:color w:val="000000"/>
          <w:sz w:val="20"/>
          <w:szCs w:val="20"/>
        </w:rPr>
        <w:t>, quando negado provimento a agravo de instrumento interposto contra a liminar a que se refere este artigo.       </w:t>
      </w:r>
      <w:hyperlink r:id="rId11" w:anchor="art1" w:history="1">
        <w:r w:rsidRPr="007B2591">
          <w:rPr>
            <w:rFonts w:ascii="Arial" w:eastAsia="Times New Roman" w:hAnsi="Arial" w:cs="Arial"/>
            <w:color w:val="0000FF"/>
            <w:sz w:val="20"/>
            <w:szCs w:val="20"/>
            <w:u w:val="single"/>
          </w:rPr>
          <w:t>(Incluído pela Medida Provisória nº 2,180-35, de 2001)</w:t>
        </w:r>
        <w:proofErr w:type="gramStart"/>
      </w:hyperlink>
      <w:proofErr w:type="gramEnd"/>
    </w:p>
    <w:p w:rsidR="007B2591" w:rsidRPr="007B2591" w:rsidRDefault="007B2591" w:rsidP="007B2591">
      <w:pPr>
        <w:spacing w:before="100" w:beforeAutospacing="1" w:after="100" w:afterAutospacing="1" w:line="240" w:lineRule="auto"/>
        <w:jc w:val="both"/>
        <w:rPr>
          <w:rFonts w:ascii="Times New Roman" w:eastAsia="Times New Roman" w:hAnsi="Times New Roman" w:cs="Times New Roman"/>
          <w:color w:val="000000"/>
          <w:sz w:val="20"/>
          <w:szCs w:val="20"/>
        </w:rPr>
      </w:pPr>
      <w:r w:rsidRPr="007B2591">
        <w:rPr>
          <w:rFonts w:ascii="Arial" w:eastAsia="Times New Roman" w:hAnsi="Arial" w:cs="Arial"/>
          <w:color w:val="000000"/>
          <w:sz w:val="20"/>
          <w:szCs w:val="20"/>
        </w:rPr>
        <w:t>        </w:t>
      </w:r>
      <w:bookmarkStart w:id="16" w:name="art4§6"/>
      <w:bookmarkEnd w:id="16"/>
      <w:r w:rsidRPr="007B2591">
        <w:rPr>
          <w:rFonts w:ascii="Arial" w:eastAsia="Times New Roman" w:hAnsi="Arial" w:cs="Arial"/>
          <w:color w:val="000000"/>
          <w:sz w:val="20"/>
          <w:szCs w:val="20"/>
        </w:rPr>
        <w:t>§ 6</w:t>
      </w:r>
      <w:r w:rsidRPr="007B2591">
        <w:rPr>
          <w:rFonts w:ascii="Arial" w:eastAsia="Times New Roman" w:hAnsi="Arial" w:cs="Arial"/>
          <w:color w:val="000000"/>
          <w:sz w:val="20"/>
          <w:szCs w:val="20"/>
          <w:u w:val="single"/>
          <w:vertAlign w:val="superscript"/>
        </w:rPr>
        <w:t>o</w:t>
      </w:r>
      <w:r w:rsidRPr="007B2591">
        <w:rPr>
          <w:rFonts w:ascii="Arial" w:eastAsia="Times New Roman" w:hAnsi="Arial" w:cs="Arial"/>
          <w:color w:val="000000"/>
          <w:sz w:val="20"/>
          <w:szCs w:val="20"/>
        </w:rPr>
        <w:t>  A interposição do agravo de instrumento contra liminar concedida nas ações movidas contra o Poder Público e seus agentes não prejudica nem condiciona o julgamento do pedido de suspensão a que se refere este artigo.        </w:t>
      </w:r>
      <w:hyperlink r:id="rId12" w:anchor="art1" w:history="1">
        <w:r w:rsidRPr="007B2591">
          <w:rPr>
            <w:rFonts w:ascii="Arial" w:eastAsia="Times New Roman" w:hAnsi="Arial" w:cs="Arial"/>
            <w:color w:val="0000FF"/>
            <w:sz w:val="20"/>
            <w:szCs w:val="20"/>
            <w:u w:val="single"/>
          </w:rPr>
          <w:t>(Incluído pela Medida Provisória nº 2,180-35, de 2001)</w:t>
        </w:r>
        <w:proofErr w:type="gramStart"/>
      </w:hyperlink>
      <w:proofErr w:type="gramEnd"/>
    </w:p>
    <w:p w:rsidR="007B2591" w:rsidRPr="007B2591" w:rsidRDefault="007B2591" w:rsidP="007B2591">
      <w:pPr>
        <w:spacing w:before="100" w:beforeAutospacing="1" w:after="100" w:afterAutospacing="1" w:line="240" w:lineRule="auto"/>
        <w:jc w:val="both"/>
        <w:rPr>
          <w:rFonts w:ascii="Times New Roman" w:eastAsia="Times New Roman" w:hAnsi="Times New Roman" w:cs="Times New Roman"/>
          <w:color w:val="000000"/>
          <w:sz w:val="20"/>
          <w:szCs w:val="20"/>
        </w:rPr>
      </w:pPr>
      <w:r w:rsidRPr="007B2591">
        <w:rPr>
          <w:rFonts w:ascii="Arial" w:eastAsia="Times New Roman" w:hAnsi="Arial" w:cs="Arial"/>
          <w:color w:val="000000"/>
          <w:sz w:val="20"/>
          <w:szCs w:val="20"/>
        </w:rPr>
        <w:t>        </w:t>
      </w:r>
      <w:bookmarkStart w:id="17" w:name="art4§7"/>
      <w:bookmarkEnd w:id="17"/>
      <w:r w:rsidRPr="007B2591">
        <w:rPr>
          <w:rFonts w:ascii="Arial" w:eastAsia="Times New Roman" w:hAnsi="Arial" w:cs="Arial"/>
          <w:color w:val="000000"/>
          <w:sz w:val="20"/>
          <w:szCs w:val="20"/>
        </w:rPr>
        <w:t>§ 7</w:t>
      </w:r>
      <w:r w:rsidRPr="007B2591">
        <w:rPr>
          <w:rFonts w:ascii="Arial" w:eastAsia="Times New Roman" w:hAnsi="Arial" w:cs="Arial"/>
          <w:color w:val="000000"/>
          <w:sz w:val="20"/>
          <w:szCs w:val="20"/>
          <w:u w:val="single"/>
          <w:vertAlign w:val="superscript"/>
        </w:rPr>
        <w:t>o</w:t>
      </w:r>
      <w:r w:rsidRPr="007B2591">
        <w:rPr>
          <w:rFonts w:ascii="Arial" w:eastAsia="Times New Roman" w:hAnsi="Arial" w:cs="Arial"/>
          <w:color w:val="000000"/>
          <w:sz w:val="20"/>
          <w:szCs w:val="20"/>
        </w:rPr>
        <w:t>  O Presidente do Tribunal poderá conferir ao pedido efeito suspensivo liminar, se constatar, em juízo prévio, a plausibilidade do direito invocado e a urgência na concessão da medida.        </w:t>
      </w:r>
      <w:hyperlink r:id="rId13" w:anchor="art1" w:history="1">
        <w:r w:rsidRPr="007B2591">
          <w:rPr>
            <w:rFonts w:ascii="Arial" w:eastAsia="Times New Roman" w:hAnsi="Arial" w:cs="Arial"/>
            <w:color w:val="0000FF"/>
            <w:sz w:val="20"/>
            <w:szCs w:val="20"/>
            <w:u w:val="single"/>
          </w:rPr>
          <w:t>(Incluído pela Medida Provisória nº 2,180-35, de 2001)</w:t>
        </w:r>
        <w:proofErr w:type="gramStart"/>
      </w:hyperlink>
      <w:proofErr w:type="gramEnd"/>
    </w:p>
    <w:p w:rsidR="007B2591" w:rsidRPr="007B2591" w:rsidRDefault="007B2591" w:rsidP="007B2591">
      <w:pPr>
        <w:spacing w:before="100" w:beforeAutospacing="1" w:after="100" w:afterAutospacing="1" w:line="240" w:lineRule="auto"/>
        <w:jc w:val="both"/>
        <w:rPr>
          <w:rFonts w:ascii="Times New Roman" w:eastAsia="Times New Roman" w:hAnsi="Times New Roman" w:cs="Times New Roman"/>
          <w:color w:val="000000"/>
          <w:sz w:val="20"/>
          <w:szCs w:val="20"/>
        </w:rPr>
      </w:pPr>
      <w:r w:rsidRPr="007B2591">
        <w:rPr>
          <w:rFonts w:ascii="Arial" w:eastAsia="Times New Roman" w:hAnsi="Arial" w:cs="Arial"/>
          <w:color w:val="000000"/>
          <w:sz w:val="20"/>
          <w:szCs w:val="20"/>
        </w:rPr>
        <w:t>        </w:t>
      </w:r>
      <w:bookmarkStart w:id="18" w:name="art4§8"/>
      <w:bookmarkEnd w:id="18"/>
      <w:r w:rsidRPr="007B2591">
        <w:rPr>
          <w:rFonts w:ascii="Arial" w:eastAsia="Times New Roman" w:hAnsi="Arial" w:cs="Arial"/>
          <w:color w:val="000000"/>
          <w:sz w:val="20"/>
          <w:szCs w:val="20"/>
        </w:rPr>
        <w:t>§ 8</w:t>
      </w:r>
      <w:r w:rsidRPr="007B2591">
        <w:rPr>
          <w:rFonts w:ascii="Arial" w:eastAsia="Times New Roman" w:hAnsi="Arial" w:cs="Arial"/>
          <w:color w:val="000000"/>
          <w:sz w:val="20"/>
          <w:szCs w:val="20"/>
          <w:u w:val="single"/>
          <w:vertAlign w:val="superscript"/>
        </w:rPr>
        <w:t>o</w:t>
      </w:r>
      <w:r w:rsidRPr="007B2591">
        <w:rPr>
          <w:rFonts w:ascii="Arial" w:eastAsia="Times New Roman" w:hAnsi="Arial" w:cs="Arial"/>
          <w:color w:val="000000"/>
          <w:sz w:val="20"/>
          <w:szCs w:val="20"/>
        </w:rPr>
        <w:t xml:space="preserve">  As liminares cujo objeto seja idêntico poderão ser suspensas em uma única decisão, podendo o Presidente </w:t>
      </w:r>
      <w:proofErr w:type="gramStart"/>
      <w:r w:rsidRPr="007B2591">
        <w:rPr>
          <w:rFonts w:ascii="Arial" w:eastAsia="Times New Roman" w:hAnsi="Arial" w:cs="Arial"/>
          <w:color w:val="000000"/>
          <w:sz w:val="20"/>
          <w:szCs w:val="20"/>
        </w:rPr>
        <w:t>do Tribunal estender</w:t>
      </w:r>
      <w:proofErr w:type="gramEnd"/>
      <w:r w:rsidRPr="007B2591">
        <w:rPr>
          <w:rFonts w:ascii="Arial" w:eastAsia="Times New Roman" w:hAnsi="Arial" w:cs="Arial"/>
          <w:color w:val="000000"/>
          <w:sz w:val="20"/>
          <w:szCs w:val="20"/>
        </w:rPr>
        <w:t xml:space="preserve"> os efeitos da suspensão a liminares supervenientes, mediante simples aditamento do pedido original.       </w:t>
      </w:r>
      <w:hyperlink r:id="rId14" w:anchor="art1" w:history="1">
        <w:r w:rsidRPr="007B2591">
          <w:rPr>
            <w:rFonts w:ascii="Arial" w:eastAsia="Times New Roman" w:hAnsi="Arial" w:cs="Arial"/>
            <w:color w:val="0000FF"/>
            <w:sz w:val="20"/>
            <w:szCs w:val="20"/>
            <w:u w:val="single"/>
          </w:rPr>
          <w:t>(Incluído pela Medida Provisória nº 2,180-35, de 2001)</w:t>
        </w:r>
      </w:hyperlink>
    </w:p>
    <w:p w:rsidR="007B2591" w:rsidRPr="007B2591" w:rsidRDefault="007B2591" w:rsidP="007B2591">
      <w:pPr>
        <w:spacing w:before="100" w:beforeAutospacing="1" w:after="100" w:afterAutospacing="1" w:line="240" w:lineRule="auto"/>
        <w:jc w:val="both"/>
        <w:rPr>
          <w:rFonts w:ascii="Times New Roman" w:eastAsia="Times New Roman" w:hAnsi="Times New Roman" w:cs="Times New Roman"/>
          <w:color w:val="000000"/>
          <w:sz w:val="20"/>
          <w:szCs w:val="20"/>
        </w:rPr>
      </w:pPr>
      <w:r w:rsidRPr="007B2591">
        <w:rPr>
          <w:rFonts w:ascii="Arial" w:eastAsia="Times New Roman" w:hAnsi="Arial" w:cs="Arial"/>
          <w:color w:val="000000"/>
          <w:sz w:val="20"/>
          <w:szCs w:val="20"/>
        </w:rPr>
        <w:t>        </w:t>
      </w:r>
      <w:bookmarkStart w:id="19" w:name="art4§9"/>
      <w:bookmarkEnd w:id="19"/>
      <w:r w:rsidRPr="007B2591">
        <w:rPr>
          <w:rFonts w:ascii="Arial" w:eastAsia="Times New Roman" w:hAnsi="Arial" w:cs="Arial"/>
          <w:color w:val="000000"/>
          <w:sz w:val="20"/>
          <w:szCs w:val="20"/>
        </w:rPr>
        <w:t>§ 9</w:t>
      </w:r>
      <w:r w:rsidRPr="007B2591">
        <w:rPr>
          <w:rFonts w:ascii="Arial" w:eastAsia="Times New Roman" w:hAnsi="Arial" w:cs="Arial"/>
          <w:color w:val="000000"/>
          <w:sz w:val="20"/>
          <w:szCs w:val="20"/>
          <w:u w:val="single"/>
          <w:vertAlign w:val="superscript"/>
        </w:rPr>
        <w:t>o</w:t>
      </w:r>
      <w:r w:rsidRPr="007B2591">
        <w:rPr>
          <w:rFonts w:ascii="Arial" w:eastAsia="Times New Roman" w:hAnsi="Arial" w:cs="Arial"/>
          <w:color w:val="000000"/>
          <w:sz w:val="20"/>
          <w:szCs w:val="20"/>
        </w:rPr>
        <w:t>  A suspensão deferida pelo Presidente do Tribunal vigorará até o trânsito em julgado da decisão de mérito na ação principal.       </w:t>
      </w:r>
      <w:hyperlink r:id="rId15" w:anchor="art1" w:history="1">
        <w:r w:rsidRPr="007B2591">
          <w:rPr>
            <w:rFonts w:ascii="Arial" w:eastAsia="Times New Roman" w:hAnsi="Arial" w:cs="Arial"/>
            <w:color w:val="0000FF"/>
            <w:sz w:val="20"/>
            <w:szCs w:val="20"/>
            <w:u w:val="single"/>
          </w:rPr>
          <w:t>(Incluído pela Medida Provisória nº 2,180-35, de 2001)</w:t>
        </w:r>
        <w:proofErr w:type="gramStart"/>
      </w:hyperlink>
      <w:proofErr w:type="gramEnd"/>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0" w:name="art5"/>
      <w:bookmarkEnd w:id="20"/>
      <w:r w:rsidRPr="007B2591">
        <w:rPr>
          <w:rFonts w:ascii="Arial" w:eastAsia="Times New Roman" w:hAnsi="Arial" w:cs="Arial"/>
          <w:color w:val="000000"/>
          <w:sz w:val="20"/>
          <w:szCs w:val="20"/>
        </w:rPr>
        <w:t>Art. 5° Esta lei entra em vigor na data de sua publicação.</w:t>
      </w:r>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0"/>
          <w:szCs w:val="20"/>
        </w:rPr>
      </w:pPr>
      <w:bookmarkStart w:id="21" w:name="art6"/>
      <w:bookmarkEnd w:id="21"/>
      <w:r w:rsidRPr="007B2591">
        <w:rPr>
          <w:rFonts w:ascii="Arial" w:eastAsia="Times New Roman" w:hAnsi="Arial" w:cs="Arial"/>
          <w:color w:val="000000"/>
          <w:sz w:val="20"/>
          <w:szCs w:val="20"/>
        </w:rPr>
        <w:t>Art. 6° Revogam-se as disposições em contrário.</w:t>
      </w:r>
    </w:p>
    <w:p w:rsidR="007B2591" w:rsidRPr="007B2591" w:rsidRDefault="007B2591" w:rsidP="007B2591">
      <w:pPr>
        <w:spacing w:before="100" w:beforeAutospacing="1" w:after="100" w:afterAutospacing="1" w:line="240" w:lineRule="auto"/>
        <w:ind w:firstLine="450"/>
        <w:rPr>
          <w:rFonts w:ascii="Times New Roman" w:eastAsia="Times New Roman" w:hAnsi="Times New Roman" w:cs="Times New Roman"/>
          <w:color w:val="000000"/>
          <w:sz w:val="27"/>
          <w:szCs w:val="27"/>
        </w:rPr>
      </w:pPr>
      <w:r w:rsidRPr="007B2591">
        <w:rPr>
          <w:rFonts w:ascii="Arial" w:eastAsia="Times New Roman" w:hAnsi="Arial" w:cs="Arial"/>
          <w:color w:val="000000"/>
          <w:sz w:val="20"/>
          <w:szCs w:val="20"/>
        </w:rPr>
        <w:t>Brasília, 30 de junho de 1992; 171° da Independência e 104° da República.</w:t>
      </w:r>
    </w:p>
    <w:p w:rsidR="007B2591" w:rsidRPr="007B2591" w:rsidRDefault="007B2591" w:rsidP="007B2591">
      <w:pPr>
        <w:spacing w:before="100" w:beforeAutospacing="1" w:after="100" w:afterAutospacing="1" w:line="240" w:lineRule="auto"/>
        <w:rPr>
          <w:rFonts w:ascii="Times New Roman" w:eastAsia="Times New Roman" w:hAnsi="Times New Roman" w:cs="Times New Roman"/>
          <w:color w:val="000000"/>
          <w:sz w:val="27"/>
          <w:szCs w:val="27"/>
        </w:rPr>
      </w:pPr>
      <w:r w:rsidRPr="007B2591">
        <w:rPr>
          <w:rFonts w:ascii="Arial" w:eastAsia="Times New Roman" w:hAnsi="Arial" w:cs="Arial"/>
          <w:color w:val="000000"/>
          <w:sz w:val="20"/>
          <w:szCs w:val="20"/>
        </w:rPr>
        <w:t>FERNANDO COLLOR</w:t>
      </w:r>
      <w:r w:rsidRPr="007B2591">
        <w:rPr>
          <w:rFonts w:ascii="Arial" w:eastAsia="Times New Roman" w:hAnsi="Arial" w:cs="Arial"/>
          <w:color w:val="000000"/>
          <w:sz w:val="20"/>
          <w:szCs w:val="20"/>
        </w:rPr>
        <w:br/>
      </w:r>
      <w:r w:rsidRPr="007B2591">
        <w:rPr>
          <w:rFonts w:ascii="Arial" w:eastAsia="Times New Roman" w:hAnsi="Arial" w:cs="Arial"/>
          <w:i/>
          <w:iCs/>
          <w:color w:val="000000"/>
          <w:sz w:val="20"/>
          <w:szCs w:val="20"/>
        </w:rPr>
        <w:t>Célio Borja</w:t>
      </w:r>
      <w:r w:rsidRPr="007B2591">
        <w:rPr>
          <w:rFonts w:ascii="Arial" w:eastAsia="Times New Roman" w:hAnsi="Arial" w:cs="Arial"/>
          <w:i/>
          <w:iCs/>
          <w:color w:val="000000"/>
          <w:sz w:val="20"/>
          <w:szCs w:val="20"/>
        </w:rPr>
        <w:br/>
        <w:t>Marcílio Marques Moreira</w:t>
      </w:r>
    </w:p>
    <w:p w:rsidR="007B2591" w:rsidRPr="007B2591" w:rsidRDefault="007B2591" w:rsidP="007B2591">
      <w:pPr>
        <w:spacing w:before="100" w:beforeAutospacing="1" w:after="100" w:afterAutospacing="1" w:line="240" w:lineRule="auto"/>
        <w:jc w:val="both"/>
        <w:rPr>
          <w:rFonts w:ascii="Times New Roman" w:eastAsia="Times New Roman" w:hAnsi="Times New Roman" w:cs="Times New Roman"/>
          <w:color w:val="000000"/>
          <w:sz w:val="27"/>
          <w:szCs w:val="27"/>
        </w:rPr>
      </w:pPr>
      <w:r w:rsidRPr="007B2591">
        <w:rPr>
          <w:rFonts w:ascii="Arial" w:eastAsia="Times New Roman" w:hAnsi="Arial" w:cs="Arial"/>
          <w:color w:val="FF0000"/>
          <w:sz w:val="20"/>
          <w:szCs w:val="20"/>
        </w:rPr>
        <w:t>Este texto não substitui o publicado no DOU de 1.7.1992</w:t>
      </w:r>
    </w:p>
    <w:p w:rsidR="005320DE" w:rsidRPr="007B2591" w:rsidRDefault="007B2591" w:rsidP="007B259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7B2591">
        <w:rPr>
          <w:rFonts w:ascii="Times New Roman" w:eastAsia="Times New Roman" w:hAnsi="Times New Roman" w:cs="Times New Roman"/>
          <w:color w:val="FF0000"/>
          <w:sz w:val="27"/>
          <w:szCs w:val="27"/>
        </w:rPr>
        <w:t>*</w:t>
      </w:r>
      <w:bookmarkStart w:id="22" w:name="_GoBack"/>
      <w:bookmarkEnd w:id="22"/>
    </w:p>
    <w:sectPr w:rsidR="005320DE" w:rsidRPr="007B259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91"/>
    <w:rsid w:val="005320DE"/>
    <w:rsid w:val="007B259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B259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B2591"/>
    <w:rPr>
      <w:b/>
      <w:bCs/>
    </w:rPr>
  </w:style>
  <w:style w:type="character" w:styleId="Hyperlink">
    <w:name w:val="Hyperlink"/>
    <w:basedOn w:val="Fontepargpadro"/>
    <w:uiPriority w:val="99"/>
    <w:semiHidden/>
    <w:unhideWhenUsed/>
    <w:rsid w:val="007B259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B259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7B2591"/>
    <w:rPr>
      <w:b/>
      <w:bCs/>
    </w:rPr>
  </w:style>
  <w:style w:type="character" w:styleId="Hyperlink">
    <w:name w:val="Hyperlink"/>
    <w:basedOn w:val="Fontepargpadro"/>
    <w:uiPriority w:val="99"/>
    <w:semiHidden/>
    <w:unhideWhenUsed/>
    <w:rsid w:val="007B25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56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MPV/2180-35.htm" TargetMode="External"/><Relationship Id="rId13" Type="http://schemas.openxmlformats.org/officeDocument/2006/relationships/hyperlink" Target="http://www.planalto.gov.br/ccivil_03/MPV/2180-35.htm" TargetMode="External"/><Relationship Id="rId3" Type="http://schemas.openxmlformats.org/officeDocument/2006/relationships/settings" Target="settings.xml"/><Relationship Id="rId7" Type="http://schemas.openxmlformats.org/officeDocument/2006/relationships/hyperlink" Target="http://www.planalto.gov.br/ccivil_03/MPV/2180-35.htm" TargetMode="External"/><Relationship Id="rId12" Type="http://schemas.openxmlformats.org/officeDocument/2006/relationships/hyperlink" Target="http://www.planalto.gov.br/ccivil_03/MPV/2180-35.htm"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lanalto.gov.br/ccivil_03/MPV/2180-35.htm" TargetMode="External"/><Relationship Id="rId11" Type="http://schemas.openxmlformats.org/officeDocument/2006/relationships/hyperlink" Target="http://www.planalto.gov.br/ccivil_03/MPV/2180-35.htm" TargetMode="External"/><Relationship Id="rId5" Type="http://schemas.openxmlformats.org/officeDocument/2006/relationships/hyperlink" Target="http://legislacao.planalto.gov.br/legisla/legislacao.nsf/Viw_Identificacao/lei%208.437-1992?OpenDocument" TargetMode="External"/><Relationship Id="rId15" Type="http://schemas.openxmlformats.org/officeDocument/2006/relationships/hyperlink" Target="http://www.planalto.gov.br/ccivil_03/MPV/2180-35.htm" TargetMode="External"/><Relationship Id="rId10" Type="http://schemas.openxmlformats.org/officeDocument/2006/relationships/hyperlink" Target="http://www.planalto.gov.br/ccivil_03/MPV/2180-35.htm" TargetMode="External"/><Relationship Id="rId4" Type="http://schemas.openxmlformats.org/officeDocument/2006/relationships/webSettings" Target="webSettings.xml"/><Relationship Id="rId9" Type="http://schemas.openxmlformats.org/officeDocument/2006/relationships/hyperlink" Target="http://www.planalto.gov.br/ccivil_03/MPV/2180-35.htm" TargetMode="External"/><Relationship Id="rId14" Type="http://schemas.openxmlformats.org/officeDocument/2006/relationships/hyperlink" Target="http://www.planalto.gov.br/ccivil_03/MPV/2180-35.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938</Words>
  <Characters>5068</Characters>
  <Application>Microsoft Office Word</Application>
  <DocSecurity>0</DocSecurity>
  <Lines>42</Lines>
  <Paragraphs>11</Paragraphs>
  <ScaleCrop>false</ScaleCrop>
  <Company/>
  <LinksUpToDate>false</LinksUpToDate>
  <CharactersWithSpaces>5995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2023-09-25T05:06:00Z</dcterms:created>
  <dcterms:modified xsi:type="dcterms:W3CDTF">2023-09-25T05:22:00Z</dcterms:modified>
</cp:coreProperties>
</file>