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0F1752" w:rsidRPr="000F1752" w:rsidTr="000F175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F1752" w:rsidRPr="000F1752" w:rsidRDefault="000F1752" w:rsidP="000F1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F1752" w:rsidRPr="000F1752" w:rsidRDefault="000F1752" w:rsidP="000F1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5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F175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F175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F175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F175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F1752" w:rsidRPr="000F1752" w:rsidRDefault="000F1752" w:rsidP="000F17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F175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7.960, DE 21 DE DEZEMBRO DE </w:t>
        </w:r>
        <w:proofErr w:type="gramStart"/>
        <w:r w:rsidRPr="000F175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0F1752" w:rsidRPr="000F1752" w:rsidTr="000F1752">
        <w:trPr>
          <w:tblCellSpacing w:w="0" w:type="dxa"/>
        </w:trPr>
        <w:tc>
          <w:tcPr>
            <w:tcW w:w="2500" w:type="pct"/>
            <w:vAlign w:val="center"/>
            <w:hideMark/>
          </w:tcPr>
          <w:p w:rsidR="000F1752" w:rsidRPr="000F1752" w:rsidRDefault="000F1752" w:rsidP="000F1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0F175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Conversão da Medida Provisória nº 111, de 1989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0F1752" w:rsidRPr="000F1752" w:rsidRDefault="000F1752" w:rsidP="000F1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5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prisão temporária.</w:t>
            </w:r>
          </w:p>
        </w:tc>
      </w:tr>
    </w:tbl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art1"/>
      <w:bookmarkEnd w:id="0"/>
      <w:r w:rsidRPr="000F1752">
        <w:rPr>
          <w:rFonts w:ascii="Arial" w:eastAsia="Times New Roman" w:hAnsi="Arial" w:cs="Arial"/>
          <w:color w:val="000000"/>
          <w:sz w:val="20"/>
          <w:szCs w:val="20"/>
        </w:rPr>
        <w:t>Art. 1° Caberá prisão temporária:   </w:t>
      </w:r>
      <w:hyperlink r:id="rId7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 3360)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     </w:t>
      </w:r>
      <w:hyperlink r:id="rId8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 4109)</w:t>
        </w:r>
      </w:hyperlink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art1i"/>
      <w:bookmarkEnd w:id="1"/>
      <w:r w:rsidRPr="000F1752">
        <w:rPr>
          <w:rFonts w:ascii="Arial" w:eastAsia="Times New Roman" w:hAnsi="Arial" w:cs="Arial"/>
          <w:color w:val="000000"/>
          <w:sz w:val="20"/>
          <w:szCs w:val="20"/>
        </w:rPr>
        <w:t>I - quando imprescindível para as investigações do inquérito policial;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" w:name="art1ii"/>
      <w:bookmarkEnd w:id="2"/>
      <w:r w:rsidRPr="000F1752">
        <w:rPr>
          <w:rFonts w:ascii="Arial" w:eastAsia="Times New Roman" w:hAnsi="Arial" w:cs="Arial"/>
          <w:color w:val="000000"/>
          <w:sz w:val="20"/>
          <w:szCs w:val="20"/>
        </w:rPr>
        <w:t>II - quando o indicado não tiver residência fixa ou não fornecer elementos necessários ao esclarecimento de sua identidade;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" w:name="art1iii"/>
      <w:bookmarkEnd w:id="3"/>
      <w:r w:rsidRPr="000F1752">
        <w:rPr>
          <w:rFonts w:ascii="Arial" w:eastAsia="Times New Roman" w:hAnsi="Arial" w:cs="Arial"/>
          <w:color w:val="000000"/>
          <w:sz w:val="20"/>
          <w:szCs w:val="20"/>
        </w:rPr>
        <w:t>III - quando houver fundadas razões, de acordo com qualquer prova admitida na legislação penal, de autoria ou participação do indiciado nos seguintes crimes: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4" w:name="art1iiia"/>
      <w:bookmarkEnd w:id="4"/>
      <w:r w:rsidRPr="000F1752">
        <w:rPr>
          <w:rFonts w:ascii="Arial" w:eastAsia="Times New Roman" w:hAnsi="Arial" w:cs="Arial"/>
          <w:color w:val="000000"/>
          <w:sz w:val="20"/>
          <w:szCs w:val="20"/>
        </w:rPr>
        <w:t>a) homicídio doloso </w:t>
      </w:r>
      <w:hyperlink r:id="rId9" w:anchor="art121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121, caput, e seu § 2°)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5" w:name="art1iiib"/>
      <w:bookmarkEnd w:id="5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b) </w:t>
      </w:r>
      <w:proofErr w:type="spell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seqüestro</w:t>
      </w:r>
      <w:proofErr w:type="spellEnd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 ou cárcere privado</w:t>
      </w:r>
      <w:hyperlink r:id="rId10" w:anchor="art148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(art. 148, caput, e seus §§ 1° e 2°</w:t>
        </w:r>
        <w:proofErr w:type="gramStart"/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);</w:t>
        </w:r>
        <w:proofErr w:type="gramEnd"/>
      </w:hyperlink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6" w:name="art1iiic"/>
      <w:bookmarkEnd w:id="6"/>
      <w:r w:rsidRPr="000F1752">
        <w:rPr>
          <w:rFonts w:ascii="Arial" w:eastAsia="Times New Roman" w:hAnsi="Arial" w:cs="Arial"/>
          <w:color w:val="000000"/>
          <w:sz w:val="20"/>
          <w:szCs w:val="20"/>
        </w:rPr>
        <w:t>c) roubo </w:t>
      </w:r>
      <w:hyperlink r:id="rId11" w:anchor="art157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157, caput, e seus §§ 1°, 2° e 3°</w:t>
        </w:r>
        <w:proofErr w:type="gramStart"/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);</w:t>
        </w:r>
        <w:proofErr w:type="gramEnd"/>
      </w:hyperlink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art1iiid"/>
      <w:bookmarkEnd w:id="7"/>
      <w:r w:rsidRPr="000F1752">
        <w:rPr>
          <w:rFonts w:ascii="Arial" w:eastAsia="Times New Roman" w:hAnsi="Arial" w:cs="Arial"/>
          <w:color w:val="000000"/>
          <w:sz w:val="20"/>
          <w:szCs w:val="20"/>
        </w:rPr>
        <w:t>d) extorsão </w:t>
      </w:r>
      <w:hyperlink r:id="rId12" w:anchor="art158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158, caput, e seus §§ 1° e 2°</w:t>
        </w:r>
        <w:proofErr w:type="gramStart"/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);</w:t>
        </w:r>
        <w:proofErr w:type="gramEnd"/>
      </w:hyperlink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8" w:name="art1iiie"/>
      <w:bookmarkEnd w:id="8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e) extorsão mediante </w:t>
      </w:r>
      <w:proofErr w:type="spell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seqüestro</w:t>
      </w:r>
      <w:proofErr w:type="spellEnd"/>
      <w:r w:rsidRPr="000F1752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13" w:anchor="art159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159, caput, e seus §§ 1°, 2° e 3°)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9" w:name="art1iiif"/>
      <w:bookmarkEnd w:id="9"/>
      <w:r w:rsidRPr="000F1752">
        <w:rPr>
          <w:rFonts w:ascii="Arial" w:eastAsia="Times New Roman" w:hAnsi="Arial" w:cs="Arial"/>
          <w:color w:val="000000"/>
          <w:sz w:val="20"/>
          <w:szCs w:val="20"/>
        </w:rPr>
        <w:t>f) estupro </w:t>
      </w:r>
      <w:hyperlink r:id="rId14" w:anchor="art213.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213, caput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, e sua combinação com o </w:t>
      </w:r>
      <w:hyperlink r:id="rId15" w:anchor="art223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223, caput, e parágrafo único)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;          </w:t>
      </w:r>
      <w:hyperlink r:id="rId16" w:anchor="art223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2.848, de 1940)</w:t>
        </w:r>
        <w:proofErr w:type="gramStart"/>
      </w:hyperlink>
      <w:proofErr w:type="gramEnd"/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0" w:name="art1iiig"/>
      <w:bookmarkEnd w:id="10"/>
      <w:r w:rsidRPr="000F1752">
        <w:rPr>
          <w:rFonts w:ascii="Arial" w:eastAsia="Times New Roman" w:hAnsi="Arial" w:cs="Arial"/>
          <w:color w:val="000000"/>
          <w:sz w:val="20"/>
          <w:szCs w:val="20"/>
        </w:rPr>
        <w:t>g) atentado violento ao pudor </w:t>
      </w:r>
      <w:hyperlink r:id="rId17" w:anchor="art214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214, caput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, e sua combinação com o </w:t>
      </w:r>
      <w:hyperlink r:id="rId18" w:anchor="art223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223, caput, e parágrafo único)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;        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0F1752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19" w:anchor="art223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2.848, de 1940)</w:t>
        </w:r>
      </w:hyperlink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1" w:name="art1iiih"/>
      <w:bookmarkEnd w:id="11"/>
      <w:r w:rsidRPr="000F1752">
        <w:rPr>
          <w:rFonts w:ascii="Arial" w:eastAsia="Times New Roman" w:hAnsi="Arial" w:cs="Arial"/>
          <w:color w:val="000000"/>
          <w:sz w:val="20"/>
          <w:szCs w:val="20"/>
        </w:rPr>
        <w:t>h) rapto violento </w:t>
      </w:r>
      <w:hyperlink r:id="rId20" w:anchor="art219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219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, e sua combinação com o </w:t>
      </w:r>
      <w:hyperlink r:id="rId21" w:anchor="art223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223 caput, e parágrafo único)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;          </w:t>
      </w:r>
      <w:hyperlink r:id="rId22" w:anchor="art219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2.848, de 1940)</w:t>
        </w:r>
        <w:proofErr w:type="gramStart"/>
      </w:hyperlink>
      <w:proofErr w:type="gramEnd"/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2" w:name="art1iii.i"/>
      <w:bookmarkEnd w:id="12"/>
      <w:r w:rsidRPr="000F1752">
        <w:rPr>
          <w:rFonts w:ascii="Arial" w:eastAsia="Times New Roman" w:hAnsi="Arial" w:cs="Arial"/>
          <w:color w:val="000000"/>
          <w:sz w:val="20"/>
          <w:szCs w:val="20"/>
        </w:rPr>
        <w:t>i) epidemia com resultado de morte </w:t>
      </w:r>
      <w:hyperlink r:id="rId23" w:anchor="art267%C2%A71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267, § 1°)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3" w:name="art1iiij"/>
      <w:bookmarkEnd w:id="13"/>
      <w:r w:rsidRPr="000F1752">
        <w:rPr>
          <w:rFonts w:ascii="Arial" w:eastAsia="Times New Roman" w:hAnsi="Arial" w:cs="Arial"/>
          <w:color w:val="000000"/>
          <w:sz w:val="20"/>
          <w:szCs w:val="20"/>
        </w:rPr>
        <w:t>j) envenenamento de água potável ou substância alimentícia ou medicinal qualificado pela morte (</w:t>
      </w:r>
      <w:hyperlink r:id="rId24" w:anchor="art270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270, caput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, combinado com </w:t>
      </w:r>
      <w:hyperlink r:id="rId25" w:anchor="art285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285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);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4" w:name="art1iiil"/>
      <w:bookmarkEnd w:id="14"/>
      <w:r w:rsidRPr="000F1752">
        <w:rPr>
          <w:rFonts w:ascii="Arial" w:eastAsia="Times New Roman" w:hAnsi="Arial" w:cs="Arial"/>
          <w:color w:val="000000"/>
          <w:sz w:val="20"/>
          <w:szCs w:val="20"/>
        </w:rPr>
        <w:t>l) quadrilha ou bando </w:t>
      </w:r>
      <w:hyperlink r:id="rId26" w:anchor="art288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288)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, todos do Código Penal;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5" w:name="art1iii.m"/>
      <w:bookmarkEnd w:id="15"/>
      <w:r w:rsidRPr="000F1752">
        <w:rPr>
          <w:rFonts w:ascii="Arial" w:eastAsia="Times New Roman" w:hAnsi="Arial" w:cs="Arial"/>
          <w:color w:val="000000"/>
          <w:sz w:val="20"/>
          <w:szCs w:val="20"/>
        </w:rPr>
        <w:t>m) genocídio </w:t>
      </w:r>
      <w:hyperlink r:id="rId27" w:anchor="art1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(arts. 1°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28" w:anchor="art2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2°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29" w:anchor="art3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3° da Lei n° 2.889, de 1° de outubro de 1956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), em qualquer de 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sua formas</w:t>
      </w:r>
      <w:proofErr w:type="gramEnd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 típicas;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6" w:name="art1iii.n"/>
      <w:bookmarkEnd w:id="16"/>
      <w:r w:rsidRPr="000F1752">
        <w:rPr>
          <w:rFonts w:ascii="Arial" w:eastAsia="Times New Roman" w:hAnsi="Arial" w:cs="Arial"/>
          <w:color w:val="000000"/>
          <w:sz w:val="20"/>
          <w:szCs w:val="20"/>
        </w:rPr>
        <w:t>n) tráfico de drogas </w:t>
      </w:r>
      <w:hyperlink r:id="rId30" w:anchor="art12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12 da Lei n° 6.368, de 21 de outubro de 1976)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7" w:name="art1iiio"/>
      <w:bookmarkEnd w:id="17"/>
      <w:r w:rsidRPr="000F1752">
        <w:rPr>
          <w:rFonts w:ascii="Arial" w:eastAsia="Times New Roman" w:hAnsi="Arial" w:cs="Arial"/>
          <w:color w:val="000000"/>
          <w:sz w:val="20"/>
          <w:szCs w:val="20"/>
        </w:rPr>
        <w:lastRenderedPageBreak/>
        <w:t>o) crimes contra o sistema financeiro (</w:t>
      </w:r>
      <w:hyperlink r:id="rId31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n° 7.492, de 16 de junho de 1986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8" w:name="art1iiip"/>
      <w:bookmarkEnd w:id="18"/>
      <w:r w:rsidRPr="000F1752">
        <w:rPr>
          <w:rFonts w:ascii="Arial" w:eastAsia="Times New Roman" w:hAnsi="Arial" w:cs="Arial"/>
          <w:color w:val="000000"/>
          <w:sz w:val="20"/>
          <w:szCs w:val="20"/>
          <w:lang w:val="pt-PT"/>
        </w:rPr>
        <w:t>p) crimes previstos na Lei de Terrorismo.        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  <w:lang w:val="pt-PT"/>
        </w:rPr>
        <w:t xml:space="preserve">  </w:t>
      </w:r>
      <w:proofErr w:type="gramEnd"/>
      <w:r w:rsidRPr="000F1752">
        <w:rPr>
          <w:rFonts w:ascii="Arial" w:eastAsia="Times New Roman" w:hAnsi="Arial" w:cs="Arial"/>
          <w:color w:val="000000"/>
          <w:sz w:val="20"/>
          <w:szCs w:val="20"/>
          <w:lang w:val="pt-PT"/>
        </w:rPr>
        <w:t> </w:t>
      </w:r>
      <w:hyperlink r:id="rId32" w:anchor="art18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PT"/>
          </w:rPr>
          <w:t>(Incluído pela Lei nº 13.260, de 2016)</w:t>
        </w:r>
      </w:hyperlink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9" w:name="art2"/>
      <w:bookmarkEnd w:id="19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Art. 2° A prisão temporária será decretada pelo Juiz, em face da representação da autoridade policial ou de requerimento do Ministério Público, e terá o prazo de 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 (cinco) dias, prorrogável por igual período em caso de extrema e comprovada necessidade.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0" w:name="art2§1"/>
      <w:bookmarkEnd w:id="20"/>
      <w:r w:rsidRPr="000F1752">
        <w:rPr>
          <w:rFonts w:ascii="Arial" w:eastAsia="Times New Roman" w:hAnsi="Arial" w:cs="Arial"/>
          <w:color w:val="000000"/>
          <w:sz w:val="20"/>
          <w:szCs w:val="20"/>
        </w:rPr>
        <w:t>§ 1° Na hipótese de representação da autoridade policial, o Juiz, antes de decidir, ouvirá o Ministério Público.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1" w:name="art2§2"/>
      <w:bookmarkEnd w:id="21"/>
      <w:r w:rsidRPr="000F1752">
        <w:rPr>
          <w:rFonts w:ascii="Arial" w:eastAsia="Times New Roman" w:hAnsi="Arial" w:cs="Arial"/>
          <w:color w:val="000000"/>
          <w:sz w:val="20"/>
          <w:szCs w:val="20"/>
        </w:rPr>
        <w:t>§ 2° O despacho que decretar a prisão temporária deverá ser fundamentado e prolatado dentro do prazo de 24 (vinte e quatro) horas, contadas a partir do recebimento da representação ou do requerimento.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2" w:name="art2§3"/>
      <w:bookmarkEnd w:id="22"/>
      <w:r w:rsidRPr="000F1752">
        <w:rPr>
          <w:rFonts w:ascii="Arial" w:eastAsia="Times New Roman" w:hAnsi="Arial" w:cs="Arial"/>
          <w:color w:val="000000"/>
          <w:sz w:val="20"/>
          <w:szCs w:val="20"/>
        </w:rPr>
        <w:t>§ 3° O Juiz poderá, de ofício, ou a requerimento do Ministério Público e do Advogado, determinar que o preso lhe seja apresentado, solicitar informações e esclarecimentos da autoridade policial e submetê-lo a exame de corpo de delito.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3" w:name="art2§4"/>
      <w:bookmarkEnd w:id="23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§ 4° Decretada 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 prisão temporária, expedir-se-á mandado de prisão, em duas vias, uma das quais será entregue ao indiciado e servirá como nota de culpa.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4" w:name="art2§4a"/>
      <w:bookmarkEnd w:id="24"/>
      <w:r w:rsidRPr="000F1752">
        <w:rPr>
          <w:rFonts w:ascii="Arial" w:eastAsia="Times New Roman" w:hAnsi="Arial" w:cs="Arial"/>
          <w:color w:val="000000"/>
          <w:sz w:val="20"/>
          <w:szCs w:val="20"/>
        </w:rPr>
        <w:t>§ 4º-A  O mandado de prisão conterá necessariamente o período de duração da prisão temporária estabelecido no </w:t>
      </w:r>
      <w:r w:rsidRPr="000F1752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0F1752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0F1752">
        <w:rPr>
          <w:rFonts w:ascii="Arial" w:eastAsia="Times New Roman" w:hAnsi="Arial" w:cs="Arial"/>
          <w:color w:val="000000"/>
          <w:sz w:val="20"/>
          <w:szCs w:val="20"/>
        </w:rPr>
        <w:t>deste artigo, bem como o dia em que o preso deverá ser libertado.   </w:t>
      </w:r>
      <w:hyperlink r:id="rId33" w:anchor="art40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13.869. de 2019)</w:t>
        </w:r>
        <w:proofErr w:type="gramStart"/>
      </w:hyperlink>
      <w:proofErr w:type="gramEnd"/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5" w:name="art2§5"/>
      <w:bookmarkEnd w:id="25"/>
      <w:r w:rsidRPr="000F1752">
        <w:rPr>
          <w:rFonts w:ascii="Arial" w:eastAsia="Times New Roman" w:hAnsi="Arial" w:cs="Arial"/>
          <w:color w:val="000000"/>
          <w:sz w:val="20"/>
          <w:szCs w:val="20"/>
        </w:rPr>
        <w:t>§ 5° A prisão somente poderá ser executada depois da expedição de mandado judicial.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6" w:name="art2§6"/>
      <w:bookmarkEnd w:id="26"/>
      <w:r w:rsidRPr="000F1752">
        <w:rPr>
          <w:rFonts w:ascii="Arial" w:eastAsia="Times New Roman" w:hAnsi="Arial" w:cs="Arial"/>
          <w:color w:val="000000"/>
          <w:sz w:val="20"/>
          <w:szCs w:val="20"/>
        </w:rPr>
        <w:t>§ 6° Efetuada a prisão, a autoridade policial informará o preso dos direitos previstos no art. 5° da Constituição Federal.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7" w:name="art2§7"/>
      <w:bookmarkEnd w:id="27"/>
      <w:r w:rsidRPr="000F1752">
        <w:rPr>
          <w:rFonts w:ascii="Arial" w:eastAsia="Times New Roman" w:hAnsi="Arial" w:cs="Arial"/>
          <w:strike/>
          <w:color w:val="000000"/>
          <w:sz w:val="20"/>
          <w:szCs w:val="20"/>
        </w:rPr>
        <w:t>§ 7° Decorrido o prazo de cinco dias de detenção, o preso deverá ser posto imediatamente em liberdade, salvo se já tiver sido decretada sua prisão preventiva.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8" w:name="art2§7."/>
      <w:bookmarkEnd w:id="28"/>
      <w:r w:rsidRPr="000F1752">
        <w:rPr>
          <w:rFonts w:ascii="Arial" w:eastAsia="Times New Roman" w:hAnsi="Arial" w:cs="Arial"/>
          <w:color w:val="000000"/>
          <w:sz w:val="20"/>
          <w:szCs w:val="20"/>
        </w:rPr>
        <w:t>§ 7º  Decorrido o prazo contido no mandado de prisão, a autoridade responsável pela custódia deverá, independentemente de nova ordem da autoridade judicial, pôr imediatamente o preso em liberdade, salvo se já tiver sido comunicada da prorrogação da prisão temporária ou da decretação da prisão preventiva.  </w:t>
      </w:r>
      <w:hyperlink r:id="rId34" w:anchor="art40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13.869. de 2019)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  </w:t>
      </w:r>
      <w:proofErr w:type="gramEnd"/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color w:val="000000"/>
          <w:sz w:val="20"/>
          <w:szCs w:val="20"/>
        </w:rPr>
        <w:t>§ 8º  Inclui-se o dia do cumprimento do mandado de prisão no cômputo do prazo de prisão temporária.       </w:t>
      </w:r>
      <w:hyperlink r:id="rId35" w:anchor="art40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13.869. de 2019)</w:t>
        </w:r>
        <w:proofErr w:type="gramStart"/>
      </w:hyperlink>
      <w:proofErr w:type="gramEnd"/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9" w:name="art3"/>
      <w:bookmarkEnd w:id="29"/>
      <w:r w:rsidRPr="000F1752">
        <w:rPr>
          <w:rFonts w:ascii="Arial" w:eastAsia="Times New Roman" w:hAnsi="Arial" w:cs="Arial"/>
          <w:color w:val="000000"/>
          <w:sz w:val="20"/>
          <w:szCs w:val="20"/>
        </w:rPr>
        <w:t>Art. 3° Os presos temporários deverão permanecer, obrigatoriamente, separados dos demais detentos.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0" w:name="art4"/>
      <w:bookmarkEnd w:id="30"/>
      <w:r w:rsidRPr="000F1752">
        <w:rPr>
          <w:rFonts w:ascii="Arial" w:eastAsia="Times New Roman" w:hAnsi="Arial" w:cs="Arial"/>
          <w:color w:val="000000"/>
          <w:sz w:val="20"/>
          <w:szCs w:val="20"/>
        </w:rPr>
        <w:t>Art. 4° O </w:t>
      </w:r>
      <w:hyperlink r:id="rId36" w:anchor="art4" w:history="1"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4° da Lei n° 4.898, de </w:t>
        </w:r>
        <w:proofErr w:type="gramStart"/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0F175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1965,</w:t>
        </w:r>
      </w:hyperlink>
      <w:r w:rsidRPr="000F1752">
        <w:rPr>
          <w:rFonts w:ascii="Arial" w:eastAsia="Times New Roman" w:hAnsi="Arial" w:cs="Arial"/>
          <w:color w:val="000000"/>
          <w:sz w:val="20"/>
          <w:szCs w:val="20"/>
        </w:rPr>
        <w:t> fica acrescido da alínea i, com a seguinte redação:</w:t>
      </w:r>
    </w:p>
    <w:p w:rsidR="000F1752" w:rsidRPr="000F1752" w:rsidRDefault="000F1752" w:rsidP="000F175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4° ...</w:t>
      </w:r>
      <w:proofErr w:type="gramEnd"/>
      <w:r w:rsidRPr="000F175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color w:val="000000"/>
          <w:sz w:val="20"/>
          <w:szCs w:val="20"/>
        </w:rPr>
        <w:t xml:space="preserve">i) </w:t>
      </w:r>
      <w:proofErr w:type="gramStart"/>
      <w:r w:rsidRPr="000F1752">
        <w:rPr>
          <w:rFonts w:ascii="Arial" w:eastAsia="Times New Roman" w:hAnsi="Arial" w:cs="Arial"/>
          <w:color w:val="000000"/>
          <w:sz w:val="20"/>
          <w:szCs w:val="20"/>
        </w:rPr>
        <w:t>prolongar a execução de prisão temporária, de pena ou de medida de segurança, deixando de expedir em tempo oportuno ou de cumprir imediatamente ordem de liberdade;"</w:t>
      </w:r>
      <w:proofErr w:type="gramEnd"/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1" w:name="art5"/>
      <w:bookmarkEnd w:id="31"/>
      <w:r w:rsidRPr="000F1752">
        <w:rPr>
          <w:rFonts w:ascii="Arial" w:eastAsia="Times New Roman" w:hAnsi="Arial" w:cs="Arial"/>
          <w:color w:val="000000"/>
          <w:sz w:val="20"/>
          <w:szCs w:val="20"/>
        </w:rPr>
        <w:t>Art. 5° Em todas as comarcas e seções judiciárias haverá um plantão permanente de vinte e quatro horas do Poder Judiciário e do Ministério Público para apreciação dos pedidos de prisão temporária.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2" w:name="art6"/>
      <w:bookmarkEnd w:id="32"/>
      <w:r w:rsidRPr="000F1752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6° Esta Lei entra em vigor na data de sua publicação.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3" w:name="art7"/>
      <w:bookmarkEnd w:id="33"/>
      <w:r w:rsidRPr="000F1752">
        <w:rPr>
          <w:rFonts w:ascii="Arial" w:eastAsia="Times New Roman" w:hAnsi="Arial" w:cs="Arial"/>
          <w:color w:val="000000"/>
          <w:sz w:val="20"/>
          <w:szCs w:val="20"/>
        </w:rPr>
        <w:t>Art. 7° Revogam-se as disposições em contrário.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color w:val="000000"/>
          <w:sz w:val="20"/>
          <w:szCs w:val="20"/>
        </w:rPr>
        <w:t>Brasília, 21 de dezembro de 1989; 168° da Independência e 101° da República.</w:t>
      </w:r>
    </w:p>
    <w:p w:rsidR="000F1752" w:rsidRPr="000F1752" w:rsidRDefault="000F1752" w:rsidP="000F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color w:val="000000"/>
          <w:sz w:val="20"/>
          <w:szCs w:val="20"/>
        </w:rPr>
        <w:t>JOSÉ SARNEY</w:t>
      </w:r>
      <w:r w:rsidRPr="000F1752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0F1752">
        <w:rPr>
          <w:rFonts w:ascii="Arial" w:eastAsia="Times New Roman" w:hAnsi="Arial" w:cs="Arial"/>
          <w:i/>
          <w:iCs/>
          <w:color w:val="000000"/>
          <w:sz w:val="20"/>
          <w:szCs w:val="20"/>
        </w:rPr>
        <w:t>J. Saulo Ramos</w:t>
      </w:r>
    </w:p>
    <w:p w:rsidR="000F1752" w:rsidRPr="000F1752" w:rsidRDefault="000F1752" w:rsidP="000F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22.12.1989</w:t>
      </w:r>
    </w:p>
    <w:p w:rsidR="005320DE" w:rsidRPr="000F1752" w:rsidRDefault="000F1752" w:rsidP="000F17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1752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34" w:name="_GoBack"/>
      <w:bookmarkEnd w:id="34"/>
    </w:p>
    <w:sectPr w:rsidR="005320DE" w:rsidRPr="000F17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752"/>
    <w:rsid w:val="000F1752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F175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F1752"/>
    <w:rPr>
      <w:color w:val="0000FF"/>
      <w:u w:val="single"/>
    </w:rPr>
  </w:style>
  <w:style w:type="paragraph" w:customStyle="1" w:styleId="texto2">
    <w:name w:val="texto2"/>
    <w:basedOn w:val="Normal"/>
    <w:rsid w:val="000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F175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F1752"/>
    <w:rPr>
      <w:color w:val="0000FF"/>
      <w:u w:val="single"/>
    </w:rPr>
  </w:style>
  <w:style w:type="paragraph" w:customStyle="1" w:styleId="texto2">
    <w:name w:val="texto2"/>
    <w:basedOn w:val="Normal"/>
    <w:rsid w:val="000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64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tf.jus.br/processos/detalhe.asp?incidente=2629686" TargetMode="External"/><Relationship Id="rId13" Type="http://schemas.openxmlformats.org/officeDocument/2006/relationships/hyperlink" Target="http://www.planalto.gov.br/ccivil_03/Decreto-Lei/Del2848.htm" TargetMode="External"/><Relationship Id="rId18" Type="http://schemas.openxmlformats.org/officeDocument/2006/relationships/hyperlink" Target="http://www.planalto.gov.br/ccivil_03/Decreto-Lei/Del2848.htm" TargetMode="External"/><Relationship Id="rId26" Type="http://schemas.openxmlformats.org/officeDocument/2006/relationships/hyperlink" Target="http://www.planalto.gov.br/ccivil_03/Decreto-Lei/Del2848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Decreto-Lei/Del2848.htm" TargetMode="External"/><Relationship Id="rId34" Type="http://schemas.openxmlformats.org/officeDocument/2006/relationships/hyperlink" Target="http://www.planalto.gov.br/ccivil_03/_Ato2019-2022/2019/Lei/L13869.htm" TargetMode="External"/><Relationship Id="rId7" Type="http://schemas.openxmlformats.org/officeDocument/2006/relationships/hyperlink" Target="https://portal.stf.jus.br/processos/detalhe.asp?incidente=2259375" TargetMode="External"/><Relationship Id="rId12" Type="http://schemas.openxmlformats.org/officeDocument/2006/relationships/hyperlink" Target="http://www.planalto.gov.br/ccivil_03/Decreto-Lei/Del2848.htm" TargetMode="External"/><Relationship Id="rId17" Type="http://schemas.openxmlformats.org/officeDocument/2006/relationships/hyperlink" Target="http://www.planalto.gov.br/ccivil_03/Decreto-Lei/Del2848.htm" TargetMode="External"/><Relationship Id="rId25" Type="http://schemas.openxmlformats.org/officeDocument/2006/relationships/hyperlink" Target="http://www.planalto.gov.br/ccivil_03/Decreto-Lei/Del2848.htm" TargetMode="External"/><Relationship Id="rId33" Type="http://schemas.openxmlformats.org/officeDocument/2006/relationships/hyperlink" Target="http://www.planalto.gov.br/ccivil_03/_Ato2019-2022/2019/Lei/L13869.htm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Decreto-Lei/Del2848.htm" TargetMode="External"/><Relationship Id="rId20" Type="http://schemas.openxmlformats.org/officeDocument/2006/relationships/hyperlink" Target="http://www.planalto.gov.br/ccivil_03/Decreto-Lei/Del2848.htm" TargetMode="External"/><Relationship Id="rId29" Type="http://schemas.openxmlformats.org/officeDocument/2006/relationships/hyperlink" Target="http://www.planalto.gov.br/ccivil_03/Leis/L288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1988-1989/111.htm" TargetMode="External"/><Relationship Id="rId11" Type="http://schemas.openxmlformats.org/officeDocument/2006/relationships/hyperlink" Target="http://www.planalto.gov.br/ccivil_03/Decreto-Lei/Del2848.htm" TargetMode="External"/><Relationship Id="rId24" Type="http://schemas.openxmlformats.org/officeDocument/2006/relationships/hyperlink" Target="http://www.planalto.gov.br/ccivil_03/Decreto-Lei/Del2848.htm" TargetMode="External"/><Relationship Id="rId32" Type="http://schemas.openxmlformats.org/officeDocument/2006/relationships/hyperlink" Target="http://www.planalto.gov.br/ccivil_03/_Ato2015-2018/2016/Lei/L13260.htm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960-1989?OpenDocument" TargetMode="External"/><Relationship Id="rId15" Type="http://schemas.openxmlformats.org/officeDocument/2006/relationships/hyperlink" Target="http://www.planalto.gov.br/ccivil_03/Decreto-Lei/Del2848.htm" TargetMode="External"/><Relationship Id="rId23" Type="http://schemas.openxmlformats.org/officeDocument/2006/relationships/hyperlink" Target="http://www.planalto.gov.br/ccivil_03/Decreto-Lei/Del2848.htm" TargetMode="External"/><Relationship Id="rId28" Type="http://schemas.openxmlformats.org/officeDocument/2006/relationships/hyperlink" Target="http://www.planalto.gov.br/ccivil_03/Leis/L2889.htm" TargetMode="External"/><Relationship Id="rId36" Type="http://schemas.openxmlformats.org/officeDocument/2006/relationships/hyperlink" Target="http://www.planalto.gov.br/ccivil_03/Leis/L4898.htm" TargetMode="External"/><Relationship Id="rId10" Type="http://schemas.openxmlformats.org/officeDocument/2006/relationships/hyperlink" Target="http://www.planalto.gov.br/ccivil_03/Decreto-Lei/Del2848.htm" TargetMode="External"/><Relationship Id="rId19" Type="http://schemas.openxmlformats.org/officeDocument/2006/relationships/hyperlink" Target="http://www.planalto.gov.br/ccivil_03/Decreto-Lei/Del2848.htm" TargetMode="External"/><Relationship Id="rId31" Type="http://schemas.openxmlformats.org/officeDocument/2006/relationships/hyperlink" Target="http://www.planalto.gov.br/ccivil_03/Leis/L749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Del2848.htm" TargetMode="External"/><Relationship Id="rId14" Type="http://schemas.openxmlformats.org/officeDocument/2006/relationships/hyperlink" Target="http://www.planalto.gov.br/ccivil_03/Decreto-Lei/Del2848.htm" TargetMode="External"/><Relationship Id="rId22" Type="http://schemas.openxmlformats.org/officeDocument/2006/relationships/hyperlink" Target="http://www.planalto.gov.br/ccivil_03/Decreto-Lei/Del2848.htm" TargetMode="External"/><Relationship Id="rId27" Type="http://schemas.openxmlformats.org/officeDocument/2006/relationships/hyperlink" Target="http://www.planalto.gov.br/ccivil_03/Leis/L2889.htm" TargetMode="External"/><Relationship Id="rId30" Type="http://schemas.openxmlformats.org/officeDocument/2006/relationships/hyperlink" Target="http://www.planalto.gov.br/ccivil_03/Leis/L6368.htm" TargetMode="External"/><Relationship Id="rId35" Type="http://schemas.openxmlformats.org/officeDocument/2006/relationships/hyperlink" Target="http://www.planalto.gov.br/ccivil_03/_Ato2019-2022/2019/Lei/L1386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1222</Words>
  <Characters>6603</Characters>
  <Application>Microsoft Office Word</Application>
  <DocSecurity>0</DocSecurity>
  <Lines>55</Lines>
  <Paragraphs>15</Paragraphs>
  <ScaleCrop>false</ScaleCrop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2023-10-01T15:34:00Z</dcterms:created>
  <dcterms:modified xsi:type="dcterms:W3CDTF">2023-10-01T15:43:00Z</dcterms:modified>
</cp:coreProperties>
</file>