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8F3934" w:rsidRPr="008F3934" w14:paraId="40D9A2BA" w14:textId="77777777" w:rsidTr="008F3934">
        <w:trPr>
          <w:tblCellSpacing w:w="0" w:type="dxa"/>
          <w:jc w:val="center"/>
        </w:trPr>
        <w:tc>
          <w:tcPr>
            <w:tcW w:w="700" w:type="pct"/>
            <w:vAlign w:val="center"/>
            <w:hideMark/>
          </w:tcPr>
          <w:p w14:paraId="19AFC32D" w14:textId="5406CA92"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614470FF" wp14:editId="4A525800">
                      <wp:extent cx="704850" cy="781050"/>
                      <wp:effectExtent l="0" t="0" r="0" b="0"/>
                      <wp:docPr id="1689210677"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7F3C1D" id="AutoShape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06DF5557"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Arial" w:eastAsia="Times New Roman" w:hAnsi="Arial" w:cs="Arial"/>
                <w:b/>
                <w:bCs/>
                <w:color w:val="808000"/>
                <w:kern w:val="0"/>
                <w:sz w:val="36"/>
                <w:szCs w:val="36"/>
                <w:lang w:eastAsia="zh-CN"/>
                <w14:ligatures w14:val="none"/>
              </w:rPr>
              <w:t>Presidência da República</w:t>
            </w:r>
            <w:r w:rsidRPr="008F3934">
              <w:rPr>
                <w:rFonts w:ascii="Arial" w:eastAsia="Times New Roman" w:hAnsi="Arial" w:cs="Arial"/>
                <w:b/>
                <w:bCs/>
                <w:color w:val="808000"/>
                <w:kern w:val="0"/>
                <w:sz w:val="24"/>
                <w:szCs w:val="24"/>
                <w:lang w:eastAsia="zh-CN"/>
                <w14:ligatures w14:val="none"/>
              </w:rPr>
              <w:br/>
            </w:r>
            <w:r w:rsidRPr="008F3934">
              <w:rPr>
                <w:rFonts w:ascii="Arial" w:eastAsia="Times New Roman" w:hAnsi="Arial" w:cs="Arial"/>
                <w:b/>
                <w:bCs/>
                <w:color w:val="808000"/>
                <w:kern w:val="0"/>
                <w:sz w:val="27"/>
                <w:szCs w:val="27"/>
                <w:lang w:eastAsia="zh-CN"/>
                <w14:ligatures w14:val="none"/>
              </w:rPr>
              <w:t>Casa Civil</w:t>
            </w:r>
            <w:r w:rsidRPr="008F3934">
              <w:rPr>
                <w:rFonts w:ascii="Arial" w:eastAsia="Times New Roman" w:hAnsi="Arial" w:cs="Arial"/>
                <w:b/>
                <w:bCs/>
                <w:color w:val="808000"/>
                <w:kern w:val="0"/>
                <w:sz w:val="27"/>
                <w:szCs w:val="27"/>
                <w:lang w:eastAsia="zh-CN"/>
                <w14:ligatures w14:val="none"/>
              </w:rPr>
              <w:br/>
            </w:r>
            <w:r w:rsidRPr="008F3934">
              <w:rPr>
                <w:rFonts w:ascii="Arial" w:eastAsia="Times New Roman" w:hAnsi="Arial" w:cs="Arial"/>
                <w:b/>
                <w:bCs/>
                <w:color w:val="808000"/>
                <w:kern w:val="0"/>
                <w:sz w:val="24"/>
                <w:szCs w:val="24"/>
                <w:lang w:eastAsia="zh-CN"/>
                <w14:ligatures w14:val="none"/>
              </w:rPr>
              <w:t>Subchefia para Assuntos Jurídicos</w:t>
            </w:r>
          </w:p>
        </w:tc>
      </w:tr>
    </w:tbl>
    <w:p w14:paraId="78449548"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8F3934">
          <w:rPr>
            <w:rFonts w:ascii="Arial" w:eastAsia="Times New Roman" w:hAnsi="Arial" w:cs="Arial"/>
            <w:b/>
            <w:bCs/>
            <w:color w:val="0000FF"/>
            <w:kern w:val="0"/>
            <w:sz w:val="20"/>
            <w:szCs w:val="20"/>
            <w:u w:val="single"/>
            <w:lang w:eastAsia="zh-CN"/>
            <w14:ligatures w14:val="none"/>
          </w:rPr>
          <w:t>LEI Nº 7.285, DE 11 DE DEZEMBRO DE 1984.</w:t>
        </w:r>
      </w:hyperlink>
    </w:p>
    <w:tbl>
      <w:tblPr>
        <w:tblW w:w="5000" w:type="pct"/>
        <w:tblCellSpacing w:w="0" w:type="dxa"/>
        <w:tblCellMar>
          <w:left w:w="0" w:type="dxa"/>
          <w:right w:w="0" w:type="dxa"/>
        </w:tblCellMar>
        <w:tblLook w:val="04A0" w:firstRow="1" w:lastRow="0" w:firstColumn="1" w:lastColumn="0" w:noHBand="0" w:noVBand="1"/>
      </w:tblPr>
      <w:tblGrid>
        <w:gridCol w:w="4242"/>
        <w:gridCol w:w="4596"/>
      </w:tblGrid>
      <w:tr w:rsidR="008F3934" w:rsidRPr="008F3934" w14:paraId="00AFD9AB" w14:textId="77777777" w:rsidTr="008F3934">
        <w:trPr>
          <w:tblCellSpacing w:w="0" w:type="dxa"/>
        </w:trPr>
        <w:tc>
          <w:tcPr>
            <w:tcW w:w="2400" w:type="pct"/>
            <w:vAlign w:val="center"/>
            <w:hideMark/>
          </w:tcPr>
          <w:p w14:paraId="7A1FD194" w14:textId="77777777" w:rsidR="008F3934" w:rsidRPr="008F3934" w:rsidRDefault="008F3934" w:rsidP="008F3934">
            <w:pPr>
              <w:spacing w:after="0" w:line="240" w:lineRule="auto"/>
              <w:rPr>
                <w:rFonts w:ascii="Times New Roman" w:eastAsia="Times New Roman" w:hAnsi="Times New Roman" w:cs="Times New Roman"/>
                <w:kern w:val="0"/>
                <w:sz w:val="24"/>
                <w:szCs w:val="24"/>
                <w:lang w:eastAsia="zh-CN"/>
                <w14:ligatures w14:val="none"/>
              </w:rPr>
            </w:pPr>
          </w:p>
        </w:tc>
        <w:tc>
          <w:tcPr>
            <w:tcW w:w="2600" w:type="pct"/>
            <w:vAlign w:val="center"/>
            <w:hideMark/>
          </w:tcPr>
          <w:p w14:paraId="31B826A8" w14:textId="77777777" w:rsidR="008F3934" w:rsidRPr="008F3934" w:rsidRDefault="008F3934" w:rsidP="008F3934">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F3934">
              <w:rPr>
                <w:rFonts w:ascii="Arial" w:eastAsia="Times New Roman" w:hAnsi="Arial" w:cs="Arial"/>
                <w:color w:val="800000"/>
                <w:kern w:val="0"/>
                <w:sz w:val="20"/>
                <w:szCs w:val="20"/>
                <w:lang w:eastAsia="zh-CN"/>
                <w14:ligatures w14:val="none"/>
              </w:rPr>
              <w:t>Autoriza a reversão ao Município de Barra do Garças, Estado de Mato Grosso, do terreno que menciona.</w:t>
            </w:r>
          </w:p>
        </w:tc>
      </w:tr>
    </w:tbl>
    <w:p w14:paraId="753E3867" w14:textId="77777777" w:rsidR="008F3934" w:rsidRPr="008F3934" w:rsidRDefault="008F3934" w:rsidP="008F3934">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eastAsia="zh-CN"/>
          <w14:ligatures w14:val="none"/>
        </w:rPr>
      </w:pPr>
      <w:r w:rsidRPr="008F3934">
        <w:rPr>
          <w:rFonts w:ascii="Arial" w:eastAsia="Times New Roman" w:hAnsi="Arial" w:cs="Arial"/>
          <w:b/>
          <w:bCs/>
          <w:kern w:val="0"/>
          <w:sz w:val="20"/>
          <w:szCs w:val="20"/>
          <w:lang w:eastAsia="zh-CN"/>
          <w14:ligatures w14:val="none"/>
        </w:rPr>
        <w:t>O PRESIDENTE DA REPÚBLICA</w:t>
      </w:r>
    </w:p>
    <w:p w14:paraId="6F06CBF7" w14:textId="77777777" w:rsidR="008F3934" w:rsidRPr="008F3934" w:rsidRDefault="008F3934" w:rsidP="008F3934">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eastAsia="zh-CN"/>
          <w14:ligatures w14:val="none"/>
        </w:rPr>
      </w:pPr>
      <w:r w:rsidRPr="008F3934">
        <w:rPr>
          <w:rFonts w:ascii="Arial" w:eastAsia="Times New Roman" w:hAnsi="Arial" w:cs="Arial"/>
          <w:kern w:val="0"/>
          <w:sz w:val="20"/>
          <w:szCs w:val="20"/>
          <w:lang w:eastAsia="zh-CN"/>
          <w14:ligatures w14:val="none"/>
        </w:rPr>
        <w:t>Faço saber que o CONGRESSO NACIONAL decreta e eu sanciono a seguinte Lei:</w:t>
      </w:r>
    </w:p>
    <w:p w14:paraId="72CBB48B" w14:textId="77777777" w:rsidR="008F3934" w:rsidRPr="008F3934" w:rsidRDefault="008F3934" w:rsidP="008F3934">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eastAsia="zh-CN"/>
          <w14:ligatures w14:val="none"/>
        </w:rPr>
      </w:pPr>
      <w:bookmarkStart w:id="0" w:name="art1"/>
      <w:bookmarkEnd w:id="0"/>
      <w:r w:rsidRPr="008F3934">
        <w:rPr>
          <w:rFonts w:ascii="Arial" w:eastAsia="Times New Roman" w:hAnsi="Arial" w:cs="Arial"/>
          <w:kern w:val="0"/>
          <w:sz w:val="20"/>
          <w:szCs w:val="20"/>
          <w:lang w:eastAsia="zh-CN"/>
          <w14:ligatures w14:val="none"/>
        </w:rPr>
        <w:t>Art. 1º - Fica o Poder Executivo autorizado a promover a reversão ao Município de Barra do Garças, Estado de Mato Grosso, do terreno, com área de 150,6300 ha (cento e cinqüenta hectares e sessenta e três ares) situado naquele Município, doado à União Federal, através da Lei Municipal nº 98, de 1º de março de 1955, e da Escritura Pública de Doação, de 1º de março de 1957, transcrita no Cartório do 1º Ofício do Registro de lmóveis da Comarca de Barra do Garças, às fls. 358, do Livro nº 3-C, sob o nº 1.784, em 11 de março de 1957.</w:t>
      </w:r>
    </w:p>
    <w:p w14:paraId="0BDA3568" w14:textId="77777777" w:rsidR="008F3934" w:rsidRPr="008F3934" w:rsidRDefault="008F3934" w:rsidP="008F3934">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eastAsia="zh-CN"/>
          <w14:ligatures w14:val="none"/>
        </w:rPr>
      </w:pPr>
      <w:r w:rsidRPr="008F3934">
        <w:rPr>
          <w:rFonts w:ascii="Arial" w:eastAsia="Times New Roman" w:hAnsi="Arial" w:cs="Arial"/>
          <w:kern w:val="0"/>
          <w:sz w:val="20"/>
          <w:szCs w:val="20"/>
          <w:lang w:eastAsia="zh-CN"/>
          <w14:ligatures w14:val="none"/>
        </w:rPr>
        <w:t>Parágrafo único - As benfeitorias erigidas no terreno pela União Federal serão transferidas ao Município de Barra do Garças, independentemente de indenização.</w:t>
      </w:r>
    </w:p>
    <w:p w14:paraId="4D3F8277" w14:textId="77777777" w:rsidR="008F3934" w:rsidRPr="008F3934" w:rsidRDefault="008F3934" w:rsidP="008F3934">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eastAsia="zh-CN"/>
          <w14:ligatures w14:val="none"/>
        </w:rPr>
      </w:pPr>
      <w:bookmarkStart w:id="1" w:name="art2"/>
      <w:bookmarkEnd w:id="1"/>
      <w:r w:rsidRPr="008F3934">
        <w:rPr>
          <w:rFonts w:ascii="Arial" w:eastAsia="Times New Roman" w:hAnsi="Arial" w:cs="Arial"/>
          <w:kern w:val="0"/>
          <w:sz w:val="20"/>
          <w:szCs w:val="20"/>
          <w:lang w:eastAsia="zh-CN"/>
          <w14:ligatures w14:val="none"/>
        </w:rPr>
        <w:t>Art. 2º - Esta Lei entra em vigor na data de sua publicação.</w:t>
      </w:r>
    </w:p>
    <w:p w14:paraId="187CE51A" w14:textId="77777777" w:rsidR="008F3934" w:rsidRPr="008F3934" w:rsidRDefault="008F3934" w:rsidP="008F3934">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eastAsia="zh-CN"/>
          <w14:ligatures w14:val="none"/>
        </w:rPr>
      </w:pPr>
      <w:bookmarkStart w:id="2" w:name="art3"/>
      <w:bookmarkEnd w:id="2"/>
      <w:r w:rsidRPr="008F3934">
        <w:rPr>
          <w:rFonts w:ascii="Arial" w:eastAsia="Times New Roman" w:hAnsi="Arial" w:cs="Arial"/>
          <w:kern w:val="0"/>
          <w:sz w:val="20"/>
          <w:szCs w:val="20"/>
          <w:lang w:eastAsia="zh-CN"/>
          <w14:ligatures w14:val="none"/>
        </w:rPr>
        <w:t>Art. 3º - Revogam-se as disposições em contrário.</w:t>
      </w:r>
    </w:p>
    <w:p w14:paraId="0A6DD012" w14:textId="77777777" w:rsidR="008F3934" w:rsidRPr="008F3934" w:rsidRDefault="008F3934" w:rsidP="008F3934">
      <w:pPr>
        <w:spacing w:before="100" w:beforeAutospacing="1" w:after="100" w:afterAutospacing="1" w:line="240" w:lineRule="auto"/>
        <w:ind w:firstLine="525"/>
        <w:jc w:val="both"/>
        <w:textAlignment w:val="top"/>
        <w:rPr>
          <w:rFonts w:ascii="Times New Roman" w:eastAsia="Times New Roman" w:hAnsi="Times New Roman" w:cs="Times New Roman"/>
          <w:kern w:val="0"/>
          <w:sz w:val="24"/>
          <w:szCs w:val="24"/>
          <w:lang w:eastAsia="zh-CN"/>
          <w14:ligatures w14:val="none"/>
        </w:rPr>
      </w:pPr>
      <w:r w:rsidRPr="008F3934">
        <w:rPr>
          <w:rFonts w:ascii="Arial" w:eastAsia="Times New Roman" w:hAnsi="Arial" w:cs="Arial"/>
          <w:kern w:val="0"/>
          <w:sz w:val="20"/>
          <w:szCs w:val="20"/>
          <w:lang w:eastAsia="zh-CN"/>
          <w14:ligatures w14:val="none"/>
        </w:rPr>
        <w:t>Brasília, em 11 de dezembro de 1984; 163º da Independência e 96º da República.</w:t>
      </w:r>
    </w:p>
    <w:p w14:paraId="31D3E9CD" w14:textId="77777777" w:rsidR="008F3934" w:rsidRPr="008F3934" w:rsidRDefault="008F3934" w:rsidP="008F3934">
      <w:pPr>
        <w:spacing w:after="0" w:line="240" w:lineRule="auto"/>
        <w:textAlignment w:val="top"/>
        <w:rPr>
          <w:rFonts w:ascii="Times New Roman" w:eastAsia="Times New Roman" w:hAnsi="Times New Roman" w:cs="Times New Roman"/>
          <w:kern w:val="0"/>
          <w:sz w:val="24"/>
          <w:szCs w:val="24"/>
          <w:lang w:eastAsia="zh-CN"/>
          <w14:ligatures w14:val="none"/>
        </w:rPr>
      </w:pPr>
      <w:r w:rsidRPr="008F3934">
        <w:rPr>
          <w:rFonts w:ascii="Arial" w:eastAsia="Times New Roman" w:hAnsi="Arial" w:cs="Arial"/>
          <w:kern w:val="0"/>
          <w:sz w:val="20"/>
          <w:szCs w:val="20"/>
          <w:lang w:eastAsia="zh-CN"/>
          <w14:ligatures w14:val="none"/>
        </w:rPr>
        <w:t>JOÃO FIGUEIREDO</w:t>
      </w:r>
    </w:p>
    <w:p w14:paraId="29BD3E35" w14:textId="77777777" w:rsidR="008F3934" w:rsidRPr="008F3934" w:rsidRDefault="008F3934" w:rsidP="008F3934">
      <w:pPr>
        <w:spacing w:after="0" w:line="240" w:lineRule="auto"/>
        <w:textAlignment w:val="top"/>
        <w:rPr>
          <w:rFonts w:ascii="Times New Roman" w:eastAsia="Times New Roman" w:hAnsi="Times New Roman" w:cs="Times New Roman"/>
          <w:kern w:val="0"/>
          <w:sz w:val="24"/>
          <w:szCs w:val="24"/>
          <w:lang w:eastAsia="zh-CN"/>
          <w14:ligatures w14:val="none"/>
        </w:rPr>
      </w:pPr>
      <w:r w:rsidRPr="008F3934">
        <w:rPr>
          <w:rFonts w:ascii="Arial" w:eastAsia="Times New Roman" w:hAnsi="Arial" w:cs="Arial"/>
          <w:kern w:val="0"/>
          <w:sz w:val="20"/>
          <w:szCs w:val="20"/>
          <w:lang w:eastAsia="zh-CN"/>
          <w14:ligatures w14:val="none"/>
        </w:rPr>
        <w:t>Ernane Galvêas</w:t>
      </w:r>
    </w:p>
    <w:p w14:paraId="5C083DD6" w14:textId="77777777" w:rsidR="008F3934" w:rsidRPr="008F3934" w:rsidRDefault="008F3934" w:rsidP="008F393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F3934">
        <w:rPr>
          <w:rFonts w:ascii="Arial" w:eastAsia="Times New Roman" w:hAnsi="Arial" w:cs="Arial"/>
          <w:color w:val="FF0000"/>
          <w:kern w:val="0"/>
          <w:sz w:val="20"/>
          <w:szCs w:val="20"/>
          <w:lang w:eastAsia="zh-CN"/>
          <w14:ligatures w14:val="none"/>
        </w:rPr>
        <w:t>Este texto não substitui o publicado no D.O.U. de 12.12.1984</w:t>
      </w:r>
    </w:p>
    <w:p w14:paraId="433918A1"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Arial" w:eastAsia="Times New Roman" w:hAnsi="Arial" w:cs="Arial"/>
          <w:color w:val="FF0000"/>
          <w:kern w:val="0"/>
          <w:sz w:val="20"/>
          <w:szCs w:val="20"/>
          <w:lang w:eastAsia="zh-CN"/>
          <w14:ligatures w14:val="none"/>
        </w:rPr>
        <w:t>*</w:t>
      </w:r>
    </w:p>
    <w:p w14:paraId="0072A2D2"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t> </w:t>
      </w:r>
    </w:p>
    <w:p w14:paraId="48DD0CF5"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t> </w:t>
      </w:r>
    </w:p>
    <w:p w14:paraId="6346F576"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t> </w:t>
      </w:r>
    </w:p>
    <w:p w14:paraId="344388BC"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t> </w:t>
      </w:r>
    </w:p>
    <w:p w14:paraId="1DE1581C"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t> </w:t>
      </w:r>
    </w:p>
    <w:p w14:paraId="68FDEC68"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t> </w:t>
      </w:r>
    </w:p>
    <w:p w14:paraId="7063417F"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lastRenderedPageBreak/>
        <w:t> </w:t>
      </w:r>
    </w:p>
    <w:p w14:paraId="2AD49EAC"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t> </w:t>
      </w:r>
    </w:p>
    <w:p w14:paraId="39D7F7F0"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t> </w:t>
      </w:r>
    </w:p>
    <w:p w14:paraId="2D4F88A8"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t> </w:t>
      </w:r>
    </w:p>
    <w:p w14:paraId="5F3A6008"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t> </w:t>
      </w:r>
    </w:p>
    <w:p w14:paraId="5D830C4A" w14:textId="77777777" w:rsidR="008F3934" w:rsidRPr="008F3934" w:rsidRDefault="008F3934" w:rsidP="008F39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F3934">
        <w:rPr>
          <w:rFonts w:ascii="Times New Roman" w:eastAsia="Times New Roman" w:hAnsi="Times New Roman" w:cs="Times New Roman"/>
          <w:kern w:val="0"/>
          <w:sz w:val="24"/>
          <w:szCs w:val="24"/>
          <w:lang w:eastAsia="zh-CN"/>
          <w14:ligatures w14:val="none"/>
        </w:rPr>
        <w:t> </w:t>
      </w:r>
    </w:p>
    <w:p w14:paraId="6C4A3F46"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934"/>
    <w:rsid w:val="002608AA"/>
    <w:rsid w:val="00311013"/>
    <w:rsid w:val="008F39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02A64"/>
  <w15:chartTrackingRefBased/>
  <w15:docId w15:val="{0E5CABD3-7FDD-49E1-92EB-1A13C85AA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8F393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8F3934"/>
    <w:rPr>
      <w:b/>
      <w:bCs/>
    </w:rPr>
  </w:style>
  <w:style w:type="character" w:styleId="Hyperlink">
    <w:name w:val="Hyperlink"/>
    <w:basedOn w:val="Fontepargpadro"/>
    <w:uiPriority w:val="99"/>
    <w:semiHidden/>
    <w:unhideWhenUsed/>
    <w:rsid w:val="008F39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3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egislacao.planalto.gov.br/legisla/legislacao.nsf/Viw_Identificacao/lei%207.285-1984?OpenDocumen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2023-10-16T17:50:00Z</dcterms:created>
  <dcterms:modified xsi:type="dcterms:W3CDTF">2023-10-16T17:51:00Z</dcterms:modified>
</cp:coreProperties>
</file>