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3C1A35" w:rsidRPr="003C1A35" w:rsidTr="003C1A3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3C1A35" w:rsidRPr="003C1A35" w:rsidRDefault="003C1A35" w:rsidP="003C1A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3C1A35" w:rsidRPr="003C1A35" w:rsidRDefault="003C1A35" w:rsidP="003C1A3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A3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3C1A3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3C1A3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3C1A3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3C1A3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3C1A35" w:rsidRPr="003C1A35" w:rsidRDefault="003C1A35" w:rsidP="003C1A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3C1A35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7.218, DE 19 DE SETEMBRO DE </w:t>
        </w:r>
        <w:proofErr w:type="gramStart"/>
        <w:r w:rsidRPr="003C1A35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3C1A35" w:rsidRPr="003C1A35" w:rsidTr="003C1A35">
        <w:trPr>
          <w:tblCellSpacing w:w="0" w:type="dxa"/>
        </w:trPr>
        <w:tc>
          <w:tcPr>
            <w:tcW w:w="2400" w:type="pct"/>
            <w:vAlign w:val="center"/>
            <w:hideMark/>
          </w:tcPr>
          <w:p w:rsidR="003C1A35" w:rsidRPr="003C1A35" w:rsidRDefault="003C1A35" w:rsidP="003C1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3C1A35" w:rsidRPr="003C1A35" w:rsidRDefault="003C1A35" w:rsidP="003C1A3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A3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a estrutura e a denominação da Categoria Funcional de Técnico em Reabilitação, do Grupo-Outras Atividades de Nível Superior, e dá outras providências.</w:t>
            </w:r>
          </w:p>
        </w:tc>
      </w:tr>
    </w:tbl>
    <w:p w:rsidR="003C1A35" w:rsidRPr="003C1A35" w:rsidRDefault="003C1A35" w:rsidP="003C1A3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C1A35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</w:p>
    <w:p w:rsidR="003C1A35" w:rsidRPr="003C1A35" w:rsidRDefault="003C1A35" w:rsidP="003C1A3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C1A35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Lei:</w:t>
      </w:r>
    </w:p>
    <w:p w:rsidR="003C1A35" w:rsidRPr="003C1A35" w:rsidRDefault="003C1A35" w:rsidP="003C1A3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3C1A35">
        <w:rPr>
          <w:rFonts w:ascii="Arial" w:eastAsia="Times New Roman" w:hAnsi="Arial" w:cs="Arial"/>
          <w:color w:val="000000"/>
          <w:sz w:val="20"/>
          <w:szCs w:val="20"/>
        </w:rPr>
        <w:t>Art. 1º - A Categoria Funcional de Técnico em Reabilitação, código NS-906 ou LT-NS-906, do Grupo-Outras Atividades de Nível Superior, a que se refere a </w:t>
      </w:r>
      <w:hyperlink r:id="rId6" w:history="1">
        <w:r w:rsidRPr="003C1A35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nº 5.645, de 10 de dezembro de 1970</w:t>
        </w:r>
      </w:hyperlink>
      <w:r w:rsidRPr="003C1A35">
        <w:rPr>
          <w:rFonts w:ascii="Arial" w:eastAsia="Times New Roman" w:hAnsi="Arial" w:cs="Arial"/>
          <w:color w:val="000000"/>
          <w:sz w:val="20"/>
          <w:szCs w:val="20"/>
        </w:rPr>
        <w:t>, passa a denominar-se Terapeuta Ocupacional, conservado o mesmo código, com a alteração da estrutura, na forma constante do anexo desta Lei.</w:t>
      </w:r>
    </w:p>
    <w:p w:rsidR="003C1A35" w:rsidRPr="003C1A35" w:rsidRDefault="003C1A35" w:rsidP="003C1A3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C1A35">
        <w:rPr>
          <w:rFonts w:ascii="Arial" w:eastAsia="Times New Roman" w:hAnsi="Arial" w:cs="Arial"/>
          <w:color w:val="000000"/>
          <w:sz w:val="20"/>
          <w:szCs w:val="20"/>
        </w:rPr>
        <w:t>Parágrafo único - O preenchimento dos cargos ou empregos da classe especial e das intermediárias da Categoria Funcional de Terapeuta Ocupacional far-se-á mediante progressão funcional ou outras formas legais de provimento.</w:t>
      </w:r>
    </w:p>
    <w:p w:rsidR="003C1A35" w:rsidRPr="003C1A35" w:rsidRDefault="003C1A35" w:rsidP="003C1A3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3C1A35">
        <w:rPr>
          <w:rFonts w:ascii="Arial" w:eastAsia="Times New Roman" w:hAnsi="Arial" w:cs="Arial"/>
          <w:color w:val="000000"/>
          <w:sz w:val="20"/>
          <w:szCs w:val="20"/>
        </w:rPr>
        <w:t>Art. 2º - Os servidores atualmente posicionados nas referências NS-1 a NS-4 ficam automaticamente localizados na referência NS-5, inicial da classe A.</w:t>
      </w:r>
    </w:p>
    <w:p w:rsidR="003C1A35" w:rsidRPr="003C1A35" w:rsidRDefault="003C1A35" w:rsidP="003C1A3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3C1A35">
        <w:rPr>
          <w:rFonts w:ascii="Arial" w:eastAsia="Times New Roman" w:hAnsi="Arial" w:cs="Arial"/>
          <w:color w:val="000000"/>
          <w:sz w:val="20"/>
          <w:szCs w:val="20"/>
        </w:rPr>
        <w:t>Art. 3º - Os servidores alcançados pelo disposto nesta Lei serão posicionados nas novas classes, mantidas as atuais referências de vencimento ou salário, ressalvado o disposto no art. 2º desta Lei.</w:t>
      </w:r>
    </w:p>
    <w:p w:rsidR="003C1A35" w:rsidRPr="003C1A35" w:rsidRDefault="003C1A35" w:rsidP="003C1A3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3C1A35">
        <w:rPr>
          <w:rFonts w:ascii="Arial" w:eastAsia="Times New Roman" w:hAnsi="Arial" w:cs="Arial"/>
          <w:color w:val="000000"/>
          <w:sz w:val="20"/>
          <w:szCs w:val="20"/>
        </w:rPr>
        <w:t>Art. 4º - A nova estrutura não prejudicará a tramitação e a solução de pedidos de transferência e movimentação de servidores, apresentados até a data de vigência desta Lei.</w:t>
      </w:r>
    </w:p>
    <w:p w:rsidR="003C1A35" w:rsidRPr="003C1A35" w:rsidRDefault="003C1A35" w:rsidP="003C1A3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3C1A35">
        <w:rPr>
          <w:rFonts w:ascii="Arial" w:eastAsia="Times New Roman" w:hAnsi="Arial" w:cs="Arial"/>
          <w:color w:val="000000"/>
          <w:sz w:val="20"/>
          <w:szCs w:val="20"/>
        </w:rPr>
        <w:t>Art. 5º - A despesa com a execução desta Lei correrá à conta das dotações próprias do Orçamento da União e das autarquias federais.</w:t>
      </w:r>
    </w:p>
    <w:p w:rsidR="003C1A35" w:rsidRPr="003C1A35" w:rsidRDefault="003C1A35" w:rsidP="003C1A3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3C1A35">
        <w:rPr>
          <w:rFonts w:ascii="Arial" w:eastAsia="Times New Roman" w:hAnsi="Arial" w:cs="Arial"/>
          <w:color w:val="000000"/>
          <w:sz w:val="20"/>
          <w:szCs w:val="20"/>
        </w:rPr>
        <w:t>Art. 6º - Esta Lei, incluindo os seus efeitos financeiros, entra em vigor na data de sua publicação.</w:t>
      </w:r>
    </w:p>
    <w:p w:rsidR="003C1A35" w:rsidRPr="003C1A35" w:rsidRDefault="003C1A35" w:rsidP="003C1A3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3C1A35">
        <w:rPr>
          <w:rFonts w:ascii="Arial" w:eastAsia="Times New Roman" w:hAnsi="Arial" w:cs="Arial"/>
          <w:color w:val="000000"/>
          <w:sz w:val="20"/>
          <w:szCs w:val="20"/>
        </w:rPr>
        <w:t>Art. 7º - Revogam-se as disposições em contrário.</w:t>
      </w:r>
    </w:p>
    <w:p w:rsidR="003C1A35" w:rsidRPr="003C1A35" w:rsidRDefault="003C1A35" w:rsidP="003C1A35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C1A35">
        <w:rPr>
          <w:rFonts w:ascii="Arial" w:eastAsia="Times New Roman" w:hAnsi="Arial" w:cs="Arial"/>
          <w:color w:val="000000"/>
          <w:sz w:val="20"/>
          <w:szCs w:val="20"/>
        </w:rPr>
        <w:t>Brasília, em 19 de setembro de 1984; 163º da Independência e 96º da República.</w:t>
      </w:r>
    </w:p>
    <w:p w:rsidR="003C1A35" w:rsidRPr="003C1A35" w:rsidRDefault="003C1A35" w:rsidP="003C1A3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C1A35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3C1A35" w:rsidRPr="003C1A35" w:rsidRDefault="003C1A35" w:rsidP="003C1A35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C1A35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3C1A35" w:rsidRPr="003C1A35" w:rsidRDefault="003C1A35" w:rsidP="003C1A3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C1A35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3C1A35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3C1A35">
        <w:rPr>
          <w:rFonts w:ascii="Arial" w:eastAsia="Times New Roman" w:hAnsi="Arial" w:cs="Arial"/>
          <w:color w:val="FF0000"/>
          <w:sz w:val="20"/>
          <w:szCs w:val="20"/>
        </w:rPr>
        <w:t xml:space="preserve"> 20.9.1984</w:t>
      </w:r>
    </w:p>
    <w:p w:rsidR="005320DE" w:rsidRPr="003C1A35" w:rsidRDefault="003C1A35" w:rsidP="003C1A3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C1A35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7" w:name="_GoBack"/>
      <w:bookmarkEnd w:id="7"/>
    </w:p>
    <w:sectPr w:rsidR="005320DE" w:rsidRPr="003C1A3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A35"/>
    <w:rsid w:val="003C1A35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C1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C1A3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C1A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C1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3C1A3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C1A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645.htm" TargetMode="External"/><Relationship Id="rId5" Type="http://schemas.openxmlformats.org/officeDocument/2006/relationships/hyperlink" Target="http://legislacao.planalto.gov.br/legisla/legislacao.nsf/Viw_Identificacao/lei%207.218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2023-10-01T15:21:00Z</dcterms:created>
  <dcterms:modified xsi:type="dcterms:W3CDTF">2023-10-01T15:27:00Z</dcterms:modified>
</cp:coreProperties>
</file>