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EC35E3" w:rsidRPr="00EC35E3" w:rsidTr="00EC35E3">
        <w:trPr>
          <w:tblCellSpacing w:w="0" w:type="dxa"/>
          <w:jc w:val="center"/>
        </w:trPr>
        <w:tc>
          <w:tcPr>
            <w:tcW w:w="700" w:type="pct"/>
            <w:vAlign w:val="center"/>
            <w:hideMark/>
          </w:tcPr>
          <w:p w:rsidR="00EC35E3" w:rsidRPr="00EC35E3" w:rsidRDefault="00EC35E3" w:rsidP="00EC35E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EC35E3" w:rsidRPr="00EC35E3" w:rsidRDefault="00EC35E3" w:rsidP="00EC35E3">
            <w:pPr>
              <w:spacing w:before="100" w:beforeAutospacing="1" w:after="100" w:afterAutospacing="1" w:line="240" w:lineRule="auto"/>
              <w:jc w:val="center"/>
              <w:rPr>
                <w:rFonts w:ascii="Times New Roman" w:eastAsia="Times New Roman" w:hAnsi="Times New Roman" w:cs="Times New Roman"/>
                <w:sz w:val="24"/>
                <w:szCs w:val="24"/>
              </w:rPr>
            </w:pPr>
            <w:r w:rsidRPr="00EC35E3">
              <w:rPr>
                <w:rFonts w:ascii="Arial" w:eastAsia="Times New Roman" w:hAnsi="Arial" w:cs="Arial"/>
                <w:b/>
                <w:bCs/>
                <w:color w:val="808000"/>
                <w:sz w:val="36"/>
                <w:szCs w:val="36"/>
              </w:rPr>
              <w:t>Presidência da República</w:t>
            </w:r>
            <w:r w:rsidRPr="00EC35E3">
              <w:rPr>
                <w:rFonts w:ascii="Arial" w:eastAsia="Times New Roman" w:hAnsi="Arial" w:cs="Arial"/>
                <w:b/>
                <w:bCs/>
                <w:color w:val="808000"/>
                <w:sz w:val="24"/>
                <w:szCs w:val="24"/>
              </w:rPr>
              <w:br/>
            </w:r>
            <w:r w:rsidRPr="00EC35E3">
              <w:rPr>
                <w:rFonts w:ascii="Arial" w:eastAsia="Times New Roman" w:hAnsi="Arial" w:cs="Arial"/>
                <w:b/>
                <w:bCs/>
                <w:color w:val="808000"/>
                <w:sz w:val="27"/>
                <w:szCs w:val="27"/>
              </w:rPr>
              <w:t>Casa Civil</w:t>
            </w:r>
            <w:r w:rsidRPr="00EC35E3">
              <w:rPr>
                <w:rFonts w:ascii="Arial" w:eastAsia="Times New Roman" w:hAnsi="Arial" w:cs="Arial"/>
                <w:b/>
                <w:bCs/>
                <w:color w:val="808000"/>
                <w:sz w:val="27"/>
                <w:szCs w:val="27"/>
              </w:rPr>
              <w:br/>
            </w:r>
            <w:r w:rsidRPr="00EC35E3">
              <w:rPr>
                <w:rFonts w:ascii="Arial" w:eastAsia="Times New Roman" w:hAnsi="Arial" w:cs="Arial"/>
                <w:b/>
                <w:bCs/>
                <w:color w:val="808000"/>
                <w:sz w:val="24"/>
                <w:szCs w:val="24"/>
              </w:rPr>
              <w:t>Subchefia para Assuntos Jurídicos</w:t>
            </w:r>
          </w:p>
        </w:tc>
      </w:tr>
    </w:tbl>
    <w:p w:rsidR="00EC35E3" w:rsidRPr="00EC35E3" w:rsidRDefault="00EC35E3" w:rsidP="00EC35E3">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EC35E3">
          <w:rPr>
            <w:rFonts w:ascii="Arial" w:eastAsia="Times New Roman" w:hAnsi="Arial" w:cs="Arial"/>
            <w:b/>
            <w:bCs/>
            <w:color w:val="0000FF"/>
            <w:sz w:val="20"/>
            <w:szCs w:val="20"/>
            <w:u w:val="single"/>
          </w:rPr>
          <w:t xml:space="preserve">LEI Nº 6.996, DE </w:t>
        </w:r>
        <w:proofErr w:type="gramStart"/>
        <w:r w:rsidRPr="00EC35E3">
          <w:rPr>
            <w:rFonts w:ascii="Arial" w:eastAsia="Times New Roman" w:hAnsi="Arial" w:cs="Arial"/>
            <w:b/>
            <w:bCs/>
            <w:color w:val="0000FF"/>
            <w:sz w:val="20"/>
            <w:szCs w:val="20"/>
            <w:u w:val="single"/>
          </w:rPr>
          <w:t>7</w:t>
        </w:r>
        <w:proofErr w:type="gramEnd"/>
        <w:r w:rsidRPr="00EC35E3">
          <w:rPr>
            <w:rFonts w:ascii="Arial" w:eastAsia="Times New Roman" w:hAnsi="Arial" w:cs="Arial"/>
            <w:b/>
            <w:bCs/>
            <w:color w:val="0000FF"/>
            <w:sz w:val="20"/>
            <w:szCs w:val="20"/>
            <w:u w:val="single"/>
          </w:rPr>
          <w:t xml:space="preserve"> DE JUNHO DE 1982.</w:t>
        </w:r>
      </w:hyperlink>
    </w:p>
    <w:tbl>
      <w:tblPr>
        <w:tblW w:w="5000" w:type="pct"/>
        <w:tblCellSpacing w:w="0" w:type="dxa"/>
        <w:tblCellMar>
          <w:left w:w="0" w:type="dxa"/>
          <w:right w:w="0" w:type="dxa"/>
        </w:tblCellMar>
        <w:tblLook w:val="04A0" w:firstRow="1" w:lastRow="0" w:firstColumn="1" w:lastColumn="0" w:noHBand="0" w:noVBand="1"/>
      </w:tblPr>
      <w:tblGrid>
        <w:gridCol w:w="4082"/>
        <w:gridCol w:w="4422"/>
      </w:tblGrid>
      <w:tr w:rsidR="00EC35E3" w:rsidRPr="00EC35E3" w:rsidTr="00EC35E3">
        <w:trPr>
          <w:tblCellSpacing w:w="0" w:type="dxa"/>
        </w:trPr>
        <w:tc>
          <w:tcPr>
            <w:tcW w:w="2400" w:type="pct"/>
            <w:vAlign w:val="center"/>
            <w:hideMark/>
          </w:tcPr>
          <w:p w:rsidR="00EC35E3" w:rsidRPr="00EC35E3" w:rsidRDefault="00EC35E3" w:rsidP="00EC35E3">
            <w:pPr>
              <w:spacing w:after="0" w:line="240" w:lineRule="auto"/>
              <w:rPr>
                <w:rFonts w:ascii="Times New Roman" w:eastAsia="Times New Roman" w:hAnsi="Times New Roman" w:cs="Times New Roman"/>
                <w:sz w:val="24"/>
                <w:szCs w:val="24"/>
              </w:rPr>
            </w:pPr>
            <w:r w:rsidRPr="00EC35E3">
              <w:rPr>
                <w:rFonts w:ascii="Times New Roman" w:eastAsia="Times New Roman" w:hAnsi="Times New Roman" w:cs="Times New Roman"/>
                <w:sz w:val="24"/>
                <w:szCs w:val="24"/>
              </w:rPr>
              <w:t> </w:t>
            </w:r>
          </w:p>
        </w:tc>
        <w:tc>
          <w:tcPr>
            <w:tcW w:w="2600" w:type="pct"/>
            <w:vAlign w:val="center"/>
            <w:hideMark/>
          </w:tcPr>
          <w:p w:rsidR="00EC35E3" w:rsidRPr="00EC35E3" w:rsidRDefault="00EC35E3" w:rsidP="00EC35E3">
            <w:pPr>
              <w:spacing w:before="100" w:beforeAutospacing="1" w:after="100" w:afterAutospacing="1" w:line="240" w:lineRule="auto"/>
              <w:jc w:val="both"/>
              <w:rPr>
                <w:rFonts w:ascii="Times New Roman" w:eastAsia="Times New Roman" w:hAnsi="Times New Roman" w:cs="Times New Roman"/>
                <w:sz w:val="24"/>
                <w:szCs w:val="24"/>
              </w:rPr>
            </w:pPr>
            <w:r w:rsidRPr="00EC35E3">
              <w:rPr>
                <w:rFonts w:ascii="Arial" w:eastAsia="Times New Roman" w:hAnsi="Arial" w:cs="Arial"/>
                <w:color w:val="800000"/>
                <w:sz w:val="20"/>
                <w:szCs w:val="20"/>
              </w:rPr>
              <w:t>Dispõe sobre a utilização de processamento eletrônico de dados nos serviços eleitorais e dá outras providências.</w:t>
            </w:r>
          </w:p>
        </w:tc>
      </w:tr>
    </w:tbl>
    <w:p w:rsidR="00EC35E3" w:rsidRPr="00EC35E3" w:rsidRDefault="00EC35E3" w:rsidP="00EC35E3">
      <w:pPr>
        <w:spacing w:after="0" w:line="240" w:lineRule="auto"/>
        <w:rPr>
          <w:rFonts w:ascii="Times New Roman" w:eastAsia="Times New Roman" w:hAnsi="Times New Roman" w:cs="Times New Roman"/>
          <w:vanish/>
          <w:sz w:val="24"/>
          <w:szCs w:val="24"/>
        </w:rPr>
      </w:pPr>
    </w:p>
    <w:tbl>
      <w:tblPr>
        <w:tblW w:w="0" w:type="auto"/>
        <w:tblCellSpacing w:w="0" w:type="dxa"/>
        <w:tblCellMar>
          <w:left w:w="0" w:type="dxa"/>
          <w:right w:w="0" w:type="dxa"/>
        </w:tblCellMar>
        <w:tblLook w:val="04A0" w:firstRow="1" w:lastRow="0" w:firstColumn="1" w:lastColumn="0" w:noHBand="0" w:noVBand="1"/>
      </w:tblPr>
      <w:tblGrid>
        <w:gridCol w:w="8504"/>
      </w:tblGrid>
      <w:tr w:rsidR="00EC35E3" w:rsidRPr="00EC35E3" w:rsidTr="00EC35E3">
        <w:trPr>
          <w:tblCellSpacing w:w="0" w:type="dxa"/>
        </w:trPr>
        <w:tc>
          <w:tcPr>
            <w:tcW w:w="0" w:type="auto"/>
            <w:shd w:val="clear" w:color="auto" w:fill="FFFFFF"/>
            <w:vAlign w:val="center"/>
            <w:hideMark/>
          </w:tcPr>
          <w:p w:rsidR="00EC35E3" w:rsidRPr="00EC35E3" w:rsidRDefault="00EC35E3" w:rsidP="00EC35E3">
            <w:pPr>
              <w:spacing w:before="300" w:after="300" w:line="240" w:lineRule="auto"/>
              <w:ind w:firstLine="525"/>
              <w:rPr>
                <w:rFonts w:ascii="Times New Roman" w:eastAsia="Times New Roman" w:hAnsi="Times New Roman" w:cs="Times New Roman"/>
                <w:sz w:val="24"/>
                <w:szCs w:val="24"/>
              </w:rPr>
            </w:pPr>
            <w:r w:rsidRPr="00EC35E3">
              <w:rPr>
                <w:rFonts w:ascii="Arial" w:eastAsia="Times New Roman" w:hAnsi="Arial" w:cs="Arial"/>
                <w:b/>
                <w:bCs/>
                <w:sz w:val="20"/>
                <w:szCs w:val="20"/>
              </w:rPr>
              <w:t>O PRESIDENTE DA REPÚBLICA</w:t>
            </w:r>
            <w:proofErr w:type="gramStart"/>
            <w:r w:rsidRPr="00EC35E3">
              <w:rPr>
                <w:rFonts w:ascii="Arial" w:eastAsia="Times New Roman" w:hAnsi="Arial" w:cs="Arial"/>
                <w:sz w:val="20"/>
                <w:szCs w:val="20"/>
              </w:rPr>
              <w:t>, faço</w:t>
            </w:r>
            <w:proofErr w:type="gramEnd"/>
            <w:r w:rsidRPr="00EC35E3">
              <w:rPr>
                <w:rFonts w:ascii="Arial" w:eastAsia="Times New Roman" w:hAnsi="Arial" w:cs="Arial"/>
                <w:sz w:val="20"/>
                <w:szCs w:val="20"/>
              </w:rPr>
              <w:t xml:space="preserve"> saber que o Congresso Nacional decreta e eu sanciono a seguinte Lei:</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bookmarkStart w:id="0" w:name="art1"/>
            <w:bookmarkEnd w:id="0"/>
            <w:r w:rsidRPr="00EC35E3">
              <w:rPr>
                <w:rFonts w:ascii="Arial" w:eastAsia="Times New Roman" w:hAnsi="Arial" w:cs="Arial"/>
                <w:sz w:val="20"/>
                <w:szCs w:val="20"/>
              </w:rPr>
              <w:t>Art. 1º - Os Tribunais Regionais Eleitorais, nos Estados em que for autorizado pelo Tribunal Superior Eleitoral, poderão utilizar processamento eletrônico de dados nos serviços eleitorais, na forma prevista nesta Lei.</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 1º - A autorização do Tribunal Superior Eleitoral será solicitada pelo Tribunal Regional Eleitoral interessado, que, previamente, ouvirá os Partidos Políticos.</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 2º - O pedido de autorização poderá referir-se ao alistamento eleitoral, à votação e à apuração, ou a apenas uma dessas fases, em todo o Estado, em determinadas Zonas Eleitorais ou em parte destas.</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bookmarkStart w:id="1" w:name="art2"/>
            <w:bookmarkEnd w:id="1"/>
            <w:r w:rsidRPr="00EC35E3">
              <w:rPr>
                <w:rFonts w:ascii="Arial" w:eastAsia="Times New Roman" w:hAnsi="Arial" w:cs="Arial"/>
                <w:sz w:val="20"/>
                <w:szCs w:val="20"/>
              </w:rPr>
              <w:t>Art. 2º - Concedida a autorização, o Tribunal Regional Eleitoral, em conformidade com as condições e peculiaridades locais, executará os serviços de processamento eletrônico de dados diretamente ou mediante convênio ou contrato.</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 1º - Os serviços de que trata este artigo deverão ser executados de acordo com definições e especificações fixadas pelo Tribunal Superior Eleitoral.</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bookmarkStart w:id="2" w:name="art2§2"/>
            <w:bookmarkEnd w:id="2"/>
            <w:r w:rsidRPr="00EC35E3">
              <w:rPr>
                <w:rFonts w:ascii="Arial" w:eastAsia="Times New Roman" w:hAnsi="Arial" w:cs="Arial"/>
                <w:strike/>
                <w:sz w:val="20"/>
                <w:szCs w:val="20"/>
              </w:rPr>
              <w:t xml:space="preserve">§ 2º - Os serviços de que trata este artigo não poderão ser contratados a entidades da administração direta ou indireta dos Estados e Municípios ou a empresas cuja maioria de capital for </w:t>
            </w:r>
            <w:proofErr w:type="gramStart"/>
            <w:r w:rsidRPr="00EC35E3">
              <w:rPr>
                <w:rFonts w:ascii="Arial" w:eastAsia="Times New Roman" w:hAnsi="Arial" w:cs="Arial"/>
                <w:strike/>
                <w:sz w:val="20"/>
                <w:szCs w:val="20"/>
              </w:rPr>
              <w:t>detido</w:t>
            </w:r>
            <w:proofErr w:type="gramEnd"/>
            <w:r w:rsidRPr="00EC35E3">
              <w:rPr>
                <w:rFonts w:ascii="Arial" w:eastAsia="Times New Roman" w:hAnsi="Arial" w:cs="Arial"/>
                <w:strike/>
                <w:sz w:val="20"/>
                <w:szCs w:val="20"/>
              </w:rPr>
              <w:t xml:space="preserve"> por pessoa física ou jurídica estabelecida no exterior.</w:t>
            </w:r>
            <w:r w:rsidRPr="00EC35E3">
              <w:rPr>
                <w:rFonts w:ascii="Arial" w:eastAsia="Times New Roman" w:hAnsi="Arial" w:cs="Arial"/>
                <w:sz w:val="20"/>
                <w:szCs w:val="20"/>
              </w:rPr>
              <w:t> </w:t>
            </w:r>
            <w:hyperlink r:id="rId6" w:anchor="art12" w:history="1">
              <w:r w:rsidRPr="00EC35E3">
                <w:rPr>
                  <w:rFonts w:ascii="Arial" w:eastAsia="Times New Roman" w:hAnsi="Arial" w:cs="Arial"/>
                  <w:color w:val="0000FF"/>
                  <w:sz w:val="20"/>
                  <w:szCs w:val="20"/>
                  <w:u w:val="single"/>
                </w:rPr>
                <w:t>(Revogado pela Lei nº 7.444, de 1985)</w:t>
              </w:r>
            </w:hyperlink>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bookmarkStart w:id="3" w:name="art3"/>
            <w:bookmarkEnd w:id="3"/>
            <w:r w:rsidRPr="00EC35E3">
              <w:rPr>
                <w:rFonts w:ascii="Arial" w:eastAsia="Times New Roman" w:hAnsi="Arial" w:cs="Arial"/>
                <w:sz w:val="20"/>
                <w:szCs w:val="20"/>
              </w:rPr>
              <w:t>Art. 3º - Ao setor da Secretaria do Tribunal Regional Eleitoral responsável pelos serviços de processamento eletrônico de dados compete:</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I - preencher as fórmulas dos títulos e documentos eleitorais;</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II - confeccionar relações de eleitores destinadas aos Cartórios Eleitorais e aos Partidos Políticos;</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III - manter atualizado o cadastro geral de eleitores do Estado;</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IV - manter atualizado o cadastro de filiação partidária, expedindo relações destinadas aos Partidos Políticos e à Justiça Eleitoral;</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V - expedir comunicações padronizadas e previamente programadas nos processos de alistamento, transferência ou cancelamento de inscrições;</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 xml:space="preserve">VI - contar votos, ou totalizar resultados já apurados, expedindo relações ou boletins </w:t>
            </w:r>
            <w:r w:rsidRPr="00EC35E3">
              <w:rPr>
                <w:rFonts w:ascii="Arial" w:eastAsia="Times New Roman" w:hAnsi="Arial" w:cs="Arial"/>
                <w:sz w:val="20"/>
                <w:szCs w:val="20"/>
              </w:rPr>
              <w:lastRenderedPageBreak/>
              <w:t>destinados à Justiça Eleitoral e aos Partidos Políticos;</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VII - calcular quociente eleitoral, quociente partidário e distribuição de sobras, indicando os eleitos;</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VIII - preencher diplomas e expedir relações com os resultados finais de cada pleito, destinados à justiça Eleitoral e aos Partidos Políticos;</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IX - executar outras tarefas que lhe forem atribuídas por instruções do Tribunal Superior Eleitoral.</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bookmarkStart w:id="4" w:name="art4"/>
            <w:bookmarkEnd w:id="4"/>
            <w:r w:rsidRPr="00EC35E3">
              <w:rPr>
                <w:rFonts w:ascii="Arial" w:eastAsia="Times New Roman" w:hAnsi="Arial" w:cs="Arial"/>
                <w:sz w:val="20"/>
                <w:szCs w:val="20"/>
              </w:rPr>
              <w:t>Art. 4º - O alistamento se faz mediante a inscrição do eleitor.</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Parágrafo único - Para efeito de inscrição, domicílio eleitoral é o lugar de residência ou moradia do requerente, e, verificado ter o alistando mais de uma, considerar-se-á domicílio qualquer delas.</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bookmarkStart w:id="5" w:name="art5"/>
            <w:bookmarkEnd w:id="5"/>
            <w:r w:rsidRPr="00EC35E3">
              <w:rPr>
                <w:rFonts w:ascii="Arial" w:eastAsia="Times New Roman" w:hAnsi="Arial" w:cs="Arial"/>
                <w:sz w:val="20"/>
                <w:szCs w:val="20"/>
              </w:rPr>
              <w:t xml:space="preserve">Art. 5º - O alistando apresentará em cartório, ou em local previamente designado, requerimento em formulário que obedecerá </w:t>
            </w:r>
            <w:proofErr w:type="gramStart"/>
            <w:r w:rsidRPr="00EC35E3">
              <w:rPr>
                <w:rFonts w:ascii="Arial" w:eastAsia="Times New Roman" w:hAnsi="Arial" w:cs="Arial"/>
                <w:sz w:val="20"/>
                <w:szCs w:val="20"/>
              </w:rPr>
              <w:t>a modelo aprovado pelo Tribunal Superior Eleitoral</w:t>
            </w:r>
            <w:proofErr w:type="gramEnd"/>
            <w:r w:rsidRPr="00EC35E3">
              <w:rPr>
                <w:rFonts w:ascii="Arial" w:eastAsia="Times New Roman" w:hAnsi="Arial" w:cs="Arial"/>
                <w:sz w:val="20"/>
                <w:szCs w:val="20"/>
              </w:rPr>
              <w:t>.</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Parágrafo único - O escrivão, o funcionário ou o preparador, recebendo o formulário e documentos, determinará que o alistando date e assine o requerimento, e, ato contínuo, atestará terem sido a data e a assinatura lançadas na sua presença.</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bookmarkStart w:id="6" w:name="art6"/>
            <w:bookmarkEnd w:id="6"/>
            <w:r w:rsidRPr="00EC35E3">
              <w:rPr>
                <w:rFonts w:ascii="Arial" w:eastAsia="Times New Roman" w:hAnsi="Arial" w:cs="Arial"/>
                <w:sz w:val="20"/>
                <w:szCs w:val="20"/>
              </w:rPr>
              <w:t>Art. 6º - O pedido de inscrição do eleitor será instruído com um dos seguintes documentos:</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I - carteira de identidade;</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II - certificado de quitação de serviço militar;</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III - carteira emitida pelos órgãos criados por lei federal, controladores do exercício profissional;</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IV - certidão de idade extraída do Registro Civil;</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 xml:space="preserve">V - instrumento público do qual se infira, por direito, ter </w:t>
            </w:r>
            <w:proofErr w:type="gramStart"/>
            <w:r w:rsidRPr="00EC35E3">
              <w:rPr>
                <w:rFonts w:ascii="Arial" w:eastAsia="Times New Roman" w:hAnsi="Arial" w:cs="Arial"/>
                <w:sz w:val="20"/>
                <w:szCs w:val="20"/>
              </w:rPr>
              <w:t>o requerente idade</w:t>
            </w:r>
            <w:proofErr w:type="gramEnd"/>
            <w:r w:rsidRPr="00EC35E3">
              <w:rPr>
                <w:rFonts w:ascii="Arial" w:eastAsia="Times New Roman" w:hAnsi="Arial" w:cs="Arial"/>
                <w:sz w:val="20"/>
                <w:szCs w:val="20"/>
              </w:rPr>
              <w:t xml:space="preserve"> superior a 18 (dezoito) anos e do qual conste, também, os demais elementos necessários à sua qualificação;</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VI - documento do qual se infira a nacionalidade brasileira, originária ou adquirida, do requerente.</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 1º - A restituição de qualquer documento não poderá ser feita antes de despachado o requerimento pelo Juiz Eleitoral.</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 xml:space="preserve">§ 2º - Sempre que, com o documento, for apresentada cópia, o original será </w:t>
            </w:r>
            <w:proofErr w:type="gramStart"/>
            <w:r w:rsidRPr="00EC35E3">
              <w:rPr>
                <w:rFonts w:ascii="Arial" w:eastAsia="Times New Roman" w:hAnsi="Arial" w:cs="Arial"/>
                <w:sz w:val="20"/>
                <w:szCs w:val="20"/>
              </w:rPr>
              <w:t>devolvido no ato, feita</w:t>
            </w:r>
            <w:proofErr w:type="gramEnd"/>
            <w:r w:rsidRPr="00EC35E3">
              <w:rPr>
                <w:rFonts w:ascii="Arial" w:eastAsia="Times New Roman" w:hAnsi="Arial" w:cs="Arial"/>
                <w:sz w:val="20"/>
                <w:szCs w:val="20"/>
              </w:rPr>
              <w:t xml:space="preserve"> a autenticação pelo próprio funcionário do Cartório Eleitoral, mediante aposição de sua assinatura no verso da cópia.</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 3º - O documento poderá ser apresentado em cópia autenticada por tabelião, dispensando-se, nessa hipótese, nova conferência com o documento original.</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bookmarkStart w:id="7" w:name="art7"/>
            <w:bookmarkEnd w:id="7"/>
            <w:r w:rsidRPr="00EC35E3">
              <w:rPr>
                <w:rFonts w:ascii="Arial" w:eastAsia="Times New Roman" w:hAnsi="Arial" w:cs="Arial"/>
                <w:sz w:val="20"/>
                <w:szCs w:val="20"/>
              </w:rPr>
              <w:t xml:space="preserve">Art. 7º - Despachado o requerimento de inscrição pelo Juiz Eleitoral, o setor da Secretaria do Tribunal Regional Eleitoral responsável pelos serviços de processamento eletrônico de dados enviará ao Cartório Eleitoral, que as fornecerá aos Partidos Políticos, relações dos eleitores inscritos originariamente ou por transferência, com os respectivos endereços, assim </w:t>
            </w:r>
            <w:r w:rsidRPr="00EC35E3">
              <w:rPr>
                <w:rFonts w:ascii="Arial" w:eastAsia="Times New Roman" w:hAnsi="Arial" w:cs="Arial"/>
                <w:sz w:val="20"/>
                <w:szCs w:val="20"/>
              </w:rPr>
              <w:lastRenderedPageBreak/>
              <w:t>como dos pedidos indeferidos ou convertidos em diligência.</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 xml:space="preserve">§ 1º - Do despacho que indeferir o requerimento de inscrição, caberá recurso interposto pelo alistando no prazo de </w:t>
            </w:r>
            <w:proofErr w:type="gramStart"/>
            <w:r w:rsidRPr="00EC35E3">
              <w:rPr>
                <w:rFonts w:ascii="Arial" w:eastAsia="Times New Roman" w:hAnsi="Arial" w:cs="Arial"/>
                <w:sz w:val="20"/>
                <w:szCs w:val="20"/>
              </w:rPr>
              <w:t>5</w:t>
            </w:r>
            <w:proofErr w:type="gramEnd"/>
            <w:r w:rsidRPr="00EC35E3">
              <w:rPr>
                <w:rFonts w:ascii="Arial" w:eastAsia="Times New Roman" w:hAnsi="Arial" w:cs="Arial"/>
                <w:sz w:val="20"/>
                <w:szCs w:val="20"/>
              </w:rPr>
              <w:t xml:space="preserve"> (cinco) dias e, do que o deferir, poderá recorrer qualquer delegado de Partido Político no prazo de 10 (dez) dias.</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 2º - As relações a que se refere o "caput" deste artigo serão fornecidas aos Partidos Políticos nos dias 1º (primeiro) e 15 (quinze) de cada mês, ou no 1º (primeiro) dia útil seguinte, datas em que começarão a correr os prazos mencionados no parágrafo anterior, ainda que tenham sido exibidas ao alistando antes dessas datas e mesmo que os Partidos não as retirem.</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bookmarkStart w:id="8" w:name="art8"/>
            <w:bookmarkEnd w:id="8"/>
            <w:r w:rsidRPr="00EC35E3">
              <w:rPr>
                <w:rFonts w:ascii="Arial" w:eastAsia="Times New Roman" w:hAnsi="Arial" w:cs="Arial"/>
                <w:sz w:val="20"/>
                <w:szCs w:val="20"/>
              </w:rPr>
              <w:t>Art. 8º - A transferência do eleitor só será admitida se satisfeitas as seguintes exigências:</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I - entrada do requerimento no Cartório Eleitoral do novo domicílio até 100 (cem) dias antes da data da eleição;</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 xml:space="preserve">II - transcurso de, pelo menos, </w:t>
            </w:r>
            <w:proofErr w:type="gramStart"/>
            <w:r w:rsidRPr="00EC35E3">
              <w:rPr>
                <w:rFonts w:ascii="Arial" w:eastAsia="Times New Roman" w:hAnsi="Arial" w:cs="Arial"/>
                <w:sz w:val="20"/>
                <w:szCs w:val="20"/>
              </w:rPr>
              <w:t>1</w:t>
            </w:r>
            <w:proofErr w:type="gramEnd"/>
            <w:r w:rsidRPr="00EC35E3">
              <w:rPr>
                <w:rFonts w:ascii="Arial" w:eastAsia="Times New Roman" w:hAnsi="Arial" w:cs="Arial"/>
                <w:sz w:val="20"/>
                <w:szCs w:val="20"/>
              </w:rPr>
              <w:t xml:space="preserve"> (um) ano da inscrição anterior;</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 xml:space="preserve">III - residência mínima de </w:t>
            </w:r>
            <w:proofErr w:type="gramStart"/>
            <w:r w:rsidRPr="00EC35E3">
              <w:rPr>
                <w:rFonts w:ascii="Arial" w:eastAsia="Times New Roman" w:hAnsi="Arial" w:cs="Arial"/>
                <w:sz w:val="20"/>
                <w:szCs w:val="20"/>
              </w:rPr>
              <w:t>3</w:t>
            </w:r>
            <w:proofErr w:type="gramEnd"/>
            <w:r w:rsidRPr="00EC35E3">
              <w:rPr>
                <w:rFonts w:ascii="Arial" w:eastAsia="Times New Roman" w:hAnsi="Arial" w:cs="Arial"/>
                <w:sz w:val="20"/>
                <w:szCs w:val="20"/>
              </w:rPr>
              <w:t xml:space="preserve"> (três) meses no novo domicílio, declarada, sob as penas da lei, pelo próprio eleitor.</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Parágrafo único - O disposto nos incisos II e III deste artigo não se aplica à transferência de título eleitoral de servidor público civil, militar, autárquico, ou de membro de sua família, por motivo de remoção ou transferência.</w:t>
            </w:r>
          </w:p>
          <w:p w:rsidR="00EC35E3" w:rsidRPr="00EC35E3" w:rsidRDefault="00EC35E3" w:rsidP="00EC35E3">
            <w:pPr>
              <w:spacing w:after="0" w:line="240" w:lineRule="auto"/>
              <w:ind w:firstLine="525"/>
              <w:rPr>
                <w:rFonts w:ascii="Times New Roman" w:eastAsia="Times New Roman" w:hAnsi="Times New Roman" w:cs="Times New Roman"/>
                <w:sz w:val="24"/>
                <w:szCs w:val="24"/>
              </w:rPr>
            </w:pPr>
            <w:bookmarkStart w:id="9" w:name="art9"/>
            <w:bookmarkEnd w:id="9"/>
            <w:r w:rsidRPr="00EC35E3">
              <w:rPr>
                <w:rFonts w:ascii="Arial" w:eastAsia="Times New Roman" w:hAnsi="Arial" w:cs="Arial"/>
                <w:strike/>
                <w:sz w:val="20"/>
                <w:szCs w:val="20"/>
              </w:rPr>
              <w:t xml:space="preserve">Art. 9º - Nas Zonas Eleitorais em que o alistamento se fizer pelo processamento eletrônico de dados, será cancelada a inscrição do eleitor que não votar e não pagar a multa ou se justificar no prazo de </w:t>
            </w:r>
            <w:proofErr w:type="gramStart"/>
            <w:r w:rsidRPr="00EC35E3">
              <w:rPr>
                <w:rFonts w:ascii="Arial" w:eastAsia="Times New Roman" w:hAnsi="Arial" w:cs="Arial"/>
                <w:strike/>
                <w:sz w:val="20"/>
                <w:szCs w:val="20"/>
              </w:rPr>
              <w:t>6</w:t>
            </w:r>
            <w:proofErr w:type="gramEnd"/>
            <w:r w:rsidRPr="00EC35E3">
              <w:rPr>
                <w:rFonts w:ascii="Arial" w:eastAsia="Times New Roman" w:hAnsi="Arial" w:cs="Arial"/>
                <w:strike/>
                <w:sz w:val="20"/>
                <w:szCs w:val="20"/>
              </w:rPr>
              <w:t xml:space="preserve"> (seis) meses, a contar da data de eleição.</w:t>
            </w:r>
            <w:r w:rsidRPr="00EC35E3">
              <w:rPr>
                <w:rFonts w:ascii="Arial" w:eastAsia="Times New Roman" w:hAnsi="Arial" w:cs="Arial"/>
                <w:sz w:val="20"/>
                <w:szCs w:val="20"/>
              </w:rPr>
              <w:t>         </w:t>
            </w:r>
            <w:hyperlink r:id="rId7" w:anchor="art5" w:history="1">
              <w:r w:rsidRPr="00EC35E3">
                <w:rPr>
                  <w:rFonts w:ascii="Arial" w:eastAsia="Times New Roman" w:hAnsi="Arial" w:cs="Arial"/>
                  <w:color w:val="0000FF"/>
                  <w:sz w:val="20"/>
                  <w:szCs w:val="20"/>
                  <w:u w:val="single"/>
                </w:rPr>
                <w:t>(Revogado pela Lei nº 7.663, de 1988)</w:t>
              </w:r>
            </w:hyperlink>
          </w:p>
          <w:p w:rsidR="00EC35E3" w:rsidRPr="00EC35E3" w:rsidRDefault="00EC35E3" w:rsidP="00EC35E3">
            <w:pPr>
              <w:spacing w:after="0" w:line="240" w:lineRule="auto"/>
              <w:ind w:firstLine="525"/>
              <w:rPr>
                <w:rFonts w:ascii="Times New Roman" w:eastAsia="Times New Roman" w:hAnsi="Times New Roman" w:cs="Times New Roman"/>
                <w:sz w:val="24"/>
                <w:szCs w:val="24"/>
              </w:rPr>
            </w:pPr>
            <w:r w:rsidRPr="00EC35E3">
              <w:rPr>
                <w:rFonts w:ascii="Arial" w:eastAsia="Times New Roman" w:hAnsi="Arial" w:cs="Arial"/>
                <w:strike/>
                <w:sz w:val="20"/>
                <w:szCs w:val="20"/>
              </w:rPr>
              <w:t>Parágrafo único - Sem prova de que votou na última eleição, pagou a respectiva multa ou de que se justificou devidamente, não poderá o eleitor:</w:t>
            </w:r>
            <w:r w:rsidRPr="00EC35E3">
              <w:rPr>
                <w:rFonts w:ascii="Arial" w:eastAsia="Times New Roman" w:hAnsi="Arial" w:cs="Arial"/>
                <w:sz w:val="20"/>
                <w:szCs w:val="20"/>
              </w:rPr>
              <w:t>        </w:t>
            </w:r>
            <w:hyperlink r:id="rId8" w:anchor="art5" w:history="1">
              <w:r w:rsidRPr="00EC35E3">
                <w:rPr>
                  <w:rFonts w:ascii="Arial" w:eastAsia="Times New Roman" w:hAnsi="Arial" w:cs="Arial"/>
                  <w:color w:val="0000FF"/>
                  <w:sz w:val="20"/>
                  <w:szCs w:val="20"/>
                  <w:u w:val="single"/>
                </w:rPr>
                <w:t>(Revogado pela Lei nº 7.663, de 1988)</w:t>
              </w:r>
              <w:proofErr w:type="gramStart"/>
            </w:hyperlink>
            <w:proofErr w:type="gramEnd"/>
          </w:p>
          <w:p w:rsidR="00EC35E3" w:rsidRPr="00EC35E3" w:rsidRDefault="00EC35E3" w:rsidP="00EC35E3">
            <w:pPr>
              <w:spacing w:after="0" w:line="240" w:lineRule="auto"/>
              <w:ind w:firstLine="525"/>
              <w:rPr>
                <w:rFonts w:ascii="Times New Roman" w:eastAsia="Times New Roman" w:hAnsi="Times New Roman" w:cs="Times New Roman"/>
                <w:sz w:val="24"/>
                <w:szCs w:val="24"/>
              </w:rPr>
            </w:pPr>
            <w:r w:rsidRPr="00EC35E3">
              <w:rPr>
                <w:rFonts w:ascii="Arial" w:eastAsia="Times New Roman" w:hAnsi="Arial" w:cs="Arial"/>
                <w:strike/>
                <w:sz w:val="20"/>
                <w:szCs w:val="20"/>
              </w:rPr>
              <w:t>I - ser investido ou ser empossado em cargo ou função pública;</w:t>
            </w:r>
            <w:r w:rsidRPr="00EC35E3">
              <w:rPr>
                <w:rFonts w:ascii="Arial" w:eastAsia="Times New Roman" w:hAnsi="Arial" w:cs="Arial"/>
                <w:sz w:val="20"/>
                <w:szCs w:val="20"/>
              </w:rPr>
              <w:t>        </w:t>
            </w:r>
            <w:hyperlink r:id="rId9" w:anchor="art5" w:history="1">
              <w:r w:rsidRPr="00EC35E3">
                <w:rPr>
                  <w:rFonts w:ascii="Arial" w:eastAsia="Times New Roman" w:hAnsi="Arial" w:cs="Arial"/>
                  <w:color w:val="0000FF"/>
                  <w:sz w:val="20"/>
                  <w:szCs w:val="20"/>
                  <w:u w:val="single"/>
                </w:rPr>
                <w:t>(Revogado pela Lei nº 7.663, de 1988)</w:t>
              </w:r>
              <w:proofErr w:type="gramStart"/>
            </w:hyperlink>
            <w:proofErr w:type="gramEnd"/>
          </w:p>
          <w:p w:rsidR="00EC35E3" w:rsidRPr="00EC35E3" w:rsidRDefault="00EC35E3" w:rsidP="00EC35E3">
            <w:pPr>
              <w:spacing w:after="0" w:line="240" w:lineRule="auto"/>
              <w:ind w:firstLine="525"/>
              <w:rPr>
                <w:rFonts w:ascii="Times New Roman" w:eastAsia="Times New Roman" w:hAnsi="Times New Roman" w:cs="Times New Roman"/>
                <w:sz w:val="24"/>
                <w:szCs w:val="24"/>
              </w:rPr>
            </w:pPr>
            <w:r w:rsidRPr="00EC35E3">
              <w:rPr>
                <w:rFonts w:ascii="Arial" w:eastAsia="Times New Roman" w:hAnsi="Arial" w:cs="Arial"/>
                <w:strike/>
                <w:sz w:val="20"/>
                <w:szCs w:val="20"/>
              </w:rPr>
              <w:t xml:space="preserve">II - receber vencimentos, remuneração, salário ou proventos de função ou emprego público, autárquico, paraestatal, bem como em empresas públicas ou fundações mantidas ou instituídas pelo Poder Público, correspondentes ao 2º (segundo) mês </w:t>
            </w:r>
            <w:proofErr w:type="spellStart"/>
            <w:r w:rsidRPr="00EC35E3">
              <w:rPr>
                <w:rFonts w:ascii="Arial" w:eastAsia="Times New Roman" w:hAnsi="Arial" w:cs="Arial"/>
                <w:strike/>
                <w:sz w:val="20"/>
                <w:szCs w:val="20"/>
              </w:rPr>
              <w:t>subseqüente</w:t>
            </w:r>
            <w:proofErr w:type="spellEnd"/>
            <w:r w:rsidRPr="00EC35E3">
              <w:rPr>
                <w:rFonts w:ascii="Arial" w:eastAsia="Times New Roman" w:hAnsi="Arial" w:cs="Arial"/>
                <w:strike/>
                <w:sz w:val="20"/>
                <w:szCs w:val="20"/>
              </w:rPr>
              <w:t xml:space="preserve"> ao da eleição;</w:t>
            </w:r>
            <w:r w:rsidRPr="00EC35E3">
              <w:rPr>
                <w:rFonts w:ascii="Arial" w:eastAsia="Times New Roman" w:hAnsi="Arial" w:cs="Arial"/>
                <w:sz w:val="20"/>
                <w:szCs w:val="20"/>
              </w:rPr>
              <w:t>        </w:t>
            </w:r>
            <w:hyperlink r:id="rId10" w:anchor="art5" w:history="1">
              <w:r w:rsidRPr="00EC35E3">
                <w:rPr>
                  <w:rFonts w:ascii="Arial" w:eastAsia="Times New Roman" w:hAnsi="Arial" w:cs="Arial"/>
                  <w:color w:val="0000FF"/>
                  <w:sz w:val="20"/>
                  <w:szCs w:val="20"/>
                  <w:u w:val="single"/>
                </w:rPr>
                <w:t>(Revogado pela Lei nº 7.663, de 1988)</w:t>
              </w:r>
              <w:proofErr w:type="gramStart"/>
            </w:hyperlink>
            <w:proofErr w:type="gramEnd"/>
          </w:p>
          <w:p w:rsidR="00EC35E3" w:rsidRPr="00EC35E3" w:rsidRDefault="00EC35E3" w:rsidP="00EC35E3">
            <w:pPr>
              <w:spacing w:after="0" w:line="240" w:lineRule="auto"/>
              <w:ind w:firstLine="525"/>
              <w:rPr>
                <w:rFonts w:ascii="Times New Roman" w:eastAsia="Times New Roman" w:hAnsi="Times New Roman" w:cs="Times New Roman"/>
                <w:sz w:val="24"/>
                <w:szCs w:val="24"/>
              </w:rPr>
            </w:pPr>
            <w:r w:rsidRPr="00EC35E3">
              <w:rPr>
                <w:rFonts w:ascii="Arial" w:eastAsia="Times New Roman" w:hAnsi="Arial" w:cs="Arial"/>
                <w:strike/>
                <w:sz w:val="20"/>
                <w:szCs w:val="20"/>
              </w:rPr>
              <w:t>III - firmar, como pessoa física, quaisquer contratos de prestação de serviços perante Órgãos ou entidades da União, dos Estados, dos Territórios ou dos Municípios;</w:t>
            </w:r>
            <w:r w:rsidRPr="00EC35E3">
              <w:rPr>
                <w:rFonts w:ascii="Arial" w:eastAsia="Times New Roman" w:hAnsi="Arial" w:cs="Arial"/>
                <w:sz w:val="20"/>
                <w:szCs w:val="20"/>
              </w:rPr>
              <w:t>        </w:t>
            </w:r>
            <w:hyperlink r:id="rId11" w:anchor="art5" w:history="1">
              <w:r w:rsidRPr="00EC35E3">
                <w:rPr>
                  <w:rFonts w:ascii="Arial" w:eastAsia="Times New Roman" w:hAnsi="Arial" w:cs="Arial"/>
                  <w:color w:val="0000FF"/>
                  <w:sz w:val="20"/>
                  <w:szCs w:val="20"/>
                  <w:u w:val="single"/>
                </w:rPr>
                <w:t>(Revogado pela Lei nº 7.663, de 1988)</w:t>
              </w:r>
              <w:proofErr w:type="gramStart"/>
            </w:hyperlink>
            <w:proofErr w:type="gramEnd"/>
          </w:p>
          <w:p w:rsidR="00EC35E3" w:rsidRPr="00EC35E3" w:rsidRDefault="00EC35E3" w:rsidP="00EC35E3">
            <w:pPr>
              <w:spacing w:after="0" w:line="240" w:lineRule="auto"/>
              <w:ind w:firstLine="525"/>
              <w:rPr>
                <w:rFonts w:ascii="Times New Roman" w:eastAsia="Times New Roman" w:hAnsi="Times New Roman" w:cs="Times New Roman"/>
                <w:sz w:val="24"/>
                <w:szCs w:val="24"/>
              </w:rPr>
            </w:pPr>
            <w:r w:rsidRPr="00EC35E3">
              <w:rPr>
                <w:rFonts w:ascii="Arial" w:eastAsia="Times New Roman" w:hAnsi="Arial" w:cs="Arial"/>
                <w:strike/>
                <w:sz w:val="20"/>
                <w:szCs w:val="20"/>
              </w:rPr>
              <w:t>IV - obter passaporte.</w:t>
            </w:r>
            <w:r w:rsidRPr="00EC35E3">
              <w:rPr>
                <w:rFonts w:ascii="Arial" w:eastAsia="Times New Roman" w:hAnsi="Arial" w:cs="Arial"/>
                <w:sz w:val="20"/>
                <w:szCs w:val="20"/>
              </w:rPr>
              <w:t>        </w:t>
            </w:r>
            <w:hyperlink r:id="rId12" w:anchor="art5" w:history="1">
              <w:r w:rsidRPr="00EC35E3">
                <w:rPr>
                  <w:rFonts w:ascii="Arial" w:eastAsia="Times New Roman" w:hAnsi="Arial" w:cs="Arial"/>
                  <w:color w:val="0000FF"/>
                  <w:sz w:val="20"/>
                  <w:szCs w:val="20"/>
                  <w:u w:val="single"/>
                </w:rPr>
                <w:t>(Revogado pela Lei nº 7.663, de 1988)</w:t>
              </w:r>
              <w:proofErr w:type="gramStart"/>
            </w:hyperlink>
            <w:proofErr w:type="gramEnd"/>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bookmarkStart w:id="10" w:name="art10"/>
            <w:bookmarkEnd w:id="10"/>
            <w:r w:rsidRPr="00EC35E3">
              <w:rPr>
                <w:rFonts w:ascii="Arial" w:eastAsia="Times New Roman" w:hAnsi="Arial" w:cs="Arial"/>
                <w:sz w:val="20"/>
                <w:szCs w:val="20"/>
              </w:rPr>
              <w:t>Art. 10 - Na votação poderá ser utilizada cédula de acordo com modelo aprovado pelo Tribunal Superior Eleitoral.</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bookmarkStart w:id="11" w:name="art11"/>
            <w:bookmarkEnd w:id="11"/>
            <w:r w:rsidRPr="00EC35E3">
              <w:rPr>
                <w:rFonts w:ascii="Arial" w:eastAsia="Times New Roman" w:hAnsi="Arial" w:cs="Arial"/>
                <w:sz w:val="20"/>
                <w:szCs w:val="20"/>
              </w:rPr>
              <w:t>Art. 11 - O Tribunal Superior Eleitoral estabelecerá o número de eleitores das seções eleitorais em função do número de cabinas nelas existentes.</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Parágrafo único - Cada seção eleitoral terá, no mínimo, duas cabinas.</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bookmarkStart w:id="12" w:name="art12"/>
            <w:bookmarkEnd w:id="12"/>
            <w:r w:rsidRPr="00EC35E3">
              <w:rPr>
                <w:rFonts w:ascii="Arial" w:eastAsia="Times New Roman" w:hAnsi="Arial" w:cs="Arial"/>
                <w:sz w:val="20"/>
                <w:szCs w:val="20"/>
              </w:rPr>
              <w:t>Art. 12 - Nas seções das Zonas Eleitorais em que o alistamento se fizer pelo processamento eletrônico de dados, as folhas individuais de votação serão substituídas por listas de eleitores, emitidas por computador, das quais constarão, além do nome do eleitor, os dados de qualificação indicados pelo Tribunal Superior Eleitoral.</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 xml:space="preserve">§ 1º - Somente poderão votar fora da respectiva seção os mesários, os candidatos e os </w:t>
            </w:r>
            <w:r w:rsidRPr="00EC35E3">
              <w:rPr>
                <w:rFonts w:ascii="Arial" w:eastAsia="Times New Roman" w:hAnsi="Arial" w:cs="Arial"/>
                <w:sz w:val="20"/>
                <w:szCs w:val="20"/>
              </w:rPr>
              <w:lastRenderedPageBreak/>
              <w:t>fiscais ou delegados de Partidos Políticos, desde que eleitores do Município e de posse do título eleitoral.</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 2º - Ainda que não esteja de posse do seu título, o eleitor será admitido a votar desde que seja inscrito na seção, conste da lista dos eleitores e exiba documento que comprove sua identidade.</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 3º - Os votos dos eleitores mencionados nos parágrafos anteriores não serão tomados em separado.</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 4º - O voto em separado será recolhido em invólucro especial e somente será admitido quando houver dúvida quanto à identidade ou inscrição do eleitor, ou quando da lista não constar nome de eleitor que apresentar título correspondente à seção.</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 5º - A validade dos votos tomados em separado, das seções de um mesmo Município, será examinada em conjunto pela Junta Apuradora, independentemente da apuração dos votos contidos nas urnas.</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bookmarkStart w:id="13" w:name="art13"/>
            <w:bookmarkEnd w:id="13"/>
            <w:r w:rsidRPr="00EC35E3">
              <w:rPr>
                <w:rFonts w:ascii="Arial" w:eastAsia="Times New Roman" w:hAnsi="Arial" w:cs="Arial"/>
                <w:sz w:val="20"/>
                <w:szCs w:val="20"/>
              </w:rPr>
              <w:t>Art. 13 - O Tribunal Superior Eleitoral poderá autorizar a criação de Juntas Apuradoras Regionais, nos termos das instruções que baixar.</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bookmarkStart w:id="14" w:name="art14"/>
            <w:bookmarkEnd w:id="14"/>
            <w:r w:rsidRPr="00EC35E3">
              <w:rPr>
                <w:rFonts w:ascii="Arial" w:eastAsia="Times New Roman" w:hAnsi="Arial" w:cs="Arial"/>
                <w:sz w:val="20"/>
                <w:szCs w:val="20"/>
              </w:rPr>
              <w:t>Art. 14 - A apuração poderá ser iniciada a partir do recebimento da primeira urna, prolongando-se pelo tempo necessário, observado o prazo máximo de 10 (dez) dias.</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Parágrafo único - Ultrapassada a fase de abertura da urna, as cédulas programadas para a apuração através da computação serão eletronicamente processadas, caso em que os Partidos poderão manter fiscais nos locais destinados a esse fim.</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bookmarkStart w:id="15" w:name="art15"/>
            <w:bookmarkEnd w:id="15"/>
            <w:r w:rsidRPr="00EC35E3">
              <w:rPr>
                <w:rFonts w:ascii="Arial" w:eastAsia="Times New Roman" w:hAnsi="Arial" w:cs="Arial"/>
                <w:sz w:val="20"/>
                <w:szCs w:val="20"/>
              </w:rPr>
              <w:t>Art. 15 - Incorrerá nas penas do </w:t>
            </w:r>
            <w:hyperlink r:id="rId13" w:anchor="art315" w:history="1">
              <w:r w:rsidRPr="00EC35E3">
                <w:rPr>
                  <w:rFonts w:ascii="Arial" w:eastAsia="Times New Roman" w:hAnsi="Arial" w:cs="Arial"/>
                  <w:color w:val="0000FF"/>
                  <w:sz w:val="20"/>
                  <w:szCs w:val="20"/>
                  <w:u w:val="single"/>
                </w:rPr>
                <w:t>art. 315 do Código Eleitoral</w:t>
              </w:r>
            </w:hyperlink>
            <w:r w:rsidRPr="00EC35E3">
              <w:rPr>
                <w:rFonts w:ascii="Arial" w:eastAsia="Times New Roman" w:hAnsi="Arial" w:cs="Arial"/>
                <w:sz w:val="20"/>
                <w:szCs w:val="20"/>
              </w:rPr>
              <w:t> quem, no processamento eletrônico das cédulas, alterar resultados, qualquer que seja o método utilizado.</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bookmarkStart w:id="16" w:name="art16"/>
            <w:bookmarkEnd w:id="16"/>
            <w:r w:rsidRPr="00EC35E3">
              <w:rPr>
                <w:rFonts w:ascii="Arial" w:eastAsia="Times New Roman" w:hAnsi="Arial" w:cs="Arial"/>
                <w:strike/>
                <w:sz w:val="20"/>
                <w:szCs w:val="20"/>
              </w:rPr>
              <w:t>Art. 16 - Nos Estados em que for utilizado processamento eletrônico de dados no alistamento, a filiação partidária far-se-á em formulário próprio, que substituirá as fichas.</w:t>
            </w:r>
            <w:r w:rsidRPr="00EC35E3">
              <w:rPr>
                <w:rFonts w:ascii="Arial" w:eastAsia="Times New Roman" w:hAnsi="Arial" w:cs="Arial"/>
                <w:sz w:val="20"/>
                <w:szCs w:val="20"/>
              </w:rPr>
              <w:t> </w:t>
            </w:r>
            <w:hyperlink r:id="rId14" w:anchor="art63" w:history="1">
              <w:r w:rsidRPr="00EC35E3">
                <w:rPr>
                  <w:rFonts w:ascii="Arial" w:eastAsia="Times New Roman" w:hAnsi="Arial" w:cs="Arial"/>
                  <w:color w:val="0000FF"/>
                  <w:sz w:val="20"/>
                  <w:szCs w:val="20"/>
                  <w:u w:val="single"/>
                </w:rPr>
                <w:t>Revogado pela Lei nº 9.096, de 1995</w:t>
              </w:r>
              <w:proofErr w:type="gramStart"/>
            </w:hyperlink>
            <w:proofErr w:type="gramEnd"/>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 xml:space="preserve">§ 1º - Deferida a filiação, a Comissão Executiva, no prazo de </w:t>
            </w:r>
            <w:proofErr w:type="gramStart"/>
            <w:r w:rsidRPr="00EC35E3">
              <w:rPr>
                <w:rFonts w:ascii="Arial" w:eastAsia="Times New Roman" w:hAnsi="Arial" w:cs="Arial"/>
                <w:sz w:val="20"/>
                <w:szCs w:val="20"/>
              </w:rPr>
              <w:t>3</w:t>
            </w:r>
            <w:proofErr w:type="gramEnd"/>
            <w:r w:rsidRPr="00EC35E3">
              <w:rPr>
                <w:rFonts w:ascii="Arial" w:eastAsia="Times New Roman" w:hAnsi="Arial" w:cs="Arial"/>
                <w:sz w:val="20"/>
                <w:szCs w:val="20"/>
              </w:rPr>
              <w:t xml:space="preserve"> (três) dias, enviará o formulário à Justiça Eleitoral.</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 2º - Estando em vigor a inscrição eleitoral, será emitido, por processo eletrônico, cartão de filiado para o eleitor, e incluído o seu nome nas relações destinadas ao Partido Político e ao Cartório Eleitoral.</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bookmarkStart w:id="17" w:name="art17"/>
            <w:bookmarkEnd w:id="17"/>
            <w:r w:rsidRPr="00EC35E3">
              <w:rPr>
                <w:rFonts w:ascii="Arial" w:eastAsia="Times New Roman" w:hAnsi="Arial" w:cs="Arial"/>
                <w:sz w:val="20"/>
                <w:szCs w:val="20"/>
              </w:rPr>
              <w:t>Art. 17 - Os arts. 6º e 8º e o parágrafo único do art. 9º desta Lei também serão aplicados nas Zonas Eleitorais em que o alistamento continuar a ser efetuado na forma prevista no Código Eleitoral.</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bookmarkStart w:id="18" w:name="art18"/>
            <w:bookmarkEnd w:id="18"/>
            <w:r w:rsidRPr="00EC35E3">
              <w:rPr>
                <w:rFonts w:ascii="Arial" w:eastAsia="Times New Roman" w:hAnsi="Arial" w:cs="Arial"/>
                <w:sz w:val="20"/>
                <w:szCs w:val="20"/>
              </w:rPr>
              <w:t>Art. 18 - O Tribunal Superior Eleitoral expedirá as instruções que se fizerem necessárias para o cumprimento desta Lei, inclusive divulgando entre os Partidos Políticos, os Juízes e os Cartórios Eleitorais manuais de procedimentos detalhando a nova sistemática.</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bookmarkStart w:id="19" w:name="art19"/>
            <w:bookmarkEnd w:id="19"/>
            <w:r w:rsidRPr="00EC35E3">
              <w:rPr>
                <w:rFonts w:ascii="Arial" w:eastAsia="Times New Roman" w:hAnsi="Arial" w:cs="Arial"/>
                <w:sz w:val="20"/>
                <w:szCs w:val="20"/>
              </w:rPr>
              <w:t>Art. 19 - Esta Lei entra em vigor na data de sua publicação.</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bookmarkStart w:id="20" w:name="art20"/>
            <w:bookmarkEnd w:id="20"/>
            <w:r w:rsidRPr="00EC35E3">
              <w:rPr>
                <w:rFonts w:ascii="Arial" w:eastAsia="Times New Roman" w:hAnsi="Arial" w:cs="Arial"/>
                <w:sz w:val="20"/>
                <w:szCs w:val="20"/>
              </w:rPr>
              <w:t>Art. 20 - Revogam-se as disposições em contrário.</w:t>
            </w:r>
          </w:p>
          <w:p w:rsidR="00EC35E3" w:rsidRPr="00EC35E3" w:rsidRDefault="00EC35E3" w:rsidP="00EC35E3">
            <w:pPr>
              <w:spacing w:before="100" w:beforeAutospacing="1" w:after="100" w:afterAutospacing="1" w:line="240" w:lineRule="auto"/>
              <w:ind w:firstLine="525"/>
              <w:rPr>
                <w:rFonts w:ascii="Times New Roman" w:eastAsia="Times New Roman" w:hAnsi="Times New Roman" w:cs="Times New Roman"/>
                <w:sz w:val="24"/>
                <w:szCs w:val="24"/>
              </w:rPr>
            </w:pPr>
            <w:r w:rsidRPr="00EC35E3">
              <w:rPr>
                <w:rFonts w:ascii="Arial" w:eastAsia="Times New Roman" w:hAnsi="Arial" w:cs="Arial"/>
                <w:sz w:val="20"/>
                <w:szCs w:val="20"/>
              </w:rPr>
              <w:t>Brasília, em 07 de junho de 1982; 161º da Independência e 94º da República.</w:t>
            </w:r>
          </w:p>
          <w:p w:rsidR="00EC35E3" w:rsidRPr="00EC35E3" w:rsidRDefault="00EC35E3" w:rsidP="00EC35E3">
            <w:pPr>
              <w:spacing w:before="100" w:beforeAutospacing="1" w:after="100" w:afterAutospacing="1" w:line="240" w:lineRule="auto"/>
              <w:rPr>
                <w:rFonts w:ascii="Times New Roman" w:eastAsia="Times New Roman" w:hAnsi="Times New Roman" w:cs="Times New Roman"/>
                <w:sz w:val="24"/>
                <w:szCs w:val="24"/>
              </w:rPr>
            </w:pPr>
            <w:r w:rsidRPr="00EC35E3">
              <w:rPr>
                <w:rFonts w:ascii="Arial" w:eastAsia="Times New Roman" w:hAnsi="Arial" w:cs="Arial"/>
                <w:sz w:val="20"/>
                <w:szCs w:val="20"/>
              </w:rPr>
              <w:t>JOÃO FIGUEIREDO</w:t>
            </w:r>
            <w:r w:rsidRPr="00EC35E3">
              <w:rPr>
                <w:rFonts w:ascii="Arial" w:eastAsia="Times New Roman" w:hAnsi="Arial" w:cs="Arial"/>
                <w:sz w:val="20"/>
                <w:szCs w:val="20"/>
              </w:rPr>
              <w:br/>
            </w:r>
            <w:r w:rsidRPr="00EC35E3">
              <w:rPr>
                <w:rFonts w:ascii="Arial" w:eastAsia="Times New Roman" w:hAnsi="Arial" w:cs="Arial"/>
                <w:i/>
                <w:iCs/>
                <w:sz w:val="20"/>
                <w:szCs w:val="20"/>
              </w:rPr>
              <w:lastRenderedPageBreak/>
              <w:t>Ibrahim Abi-Ackel</w:t>
            </w:r>
          </w:p>
        </w:tc>
      </w:tr>
    </w:tbl>
    <w:p w:rsidR="00EC35E3" w:rsidRPr="00EC35E3" w:rsidRDefault="00EC35E3" w:rsidP="00EC35E3">
      <w:pPr>
        <w:spacing w:before="100" w:beforeAutospacing="1" w:after="100" w:afterAutospacing="1" w:line="240" w:lineRule="auto"/>
        <w:rPr>
          <w:rFonts w:ascii="Times New Roman" w:eastAsia="Times New Roman" w:hAnsi="Times New Roman" w:cs="Times New Roman"/>
          <w:color w:val="000000"/>
          <w:sz w:val="27"/>
          <w:szCs w:val="27"/>
        </w:rPr>
      </w:pPr>
      <w:r w:rsidRPr="00EC35E3">
        <w:rPr>
          <w:rFonts w:ascii="Arial" w:eastAsia="Times New Roman" w:hAnsi="Arial" w:cs="Arial"/>
          <w:color w:val="FF0000"/>
          <w:sz w:val="20"/>
          <w:szCs w:val="20"/>
        </w:rPr>
        <w:lastRenderedPageBreak/>
        <w:t>Este texto não substitui o publicado no DOU de 8.6.1982</w:t>
      </w:r>
    </w:p>
    <w:p w:rsidR="005320DE" w:rsidRPr="00EC35E3" w:rsidRDefault="00EC35E3" w:rsidP="00EC35E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C35E3">
        <w:rPr>
          <w:rFonts w:ascii="Arial" w:eastAsia="Times New Roman" w:hAnsi="Arial" w:cs="Arial"/>
          <w:color w:val="FF0000"/>
          <w:sz w:val="20"/>
          <w:szCs w:val="20"/>
        </w:rPr>
        <w:t>*</w:t>
      </w:r>
      <w:bookmarkStart w:id="21" w:name="_GoBack"/>
      <w:bookmarkEnd w:id="21"/>
    </w:p>
    <w:sectPr w:rsidR="005320DE" w:rsidRPr="00EC35E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5E3"/>
    <w:rsid w:val="005320DE"/>
    <w:rsid w:val="00EC35E3"/>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C35E3"/>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EC35E3"/>
    <w:rPr>
      <w:b/>
      <w:bCs/>
    </w:rPr>
  </w:style>
  <w:style w:type="character" w:styleId="Hyperlink">
    <w:name w:val="Hyperlink"/>
    <w:basedOn w:val="Fontepargpadro"/>
    <w:uiPriority w:val="99"/>
    <w:semiHidden/>
    <w:unhideWhenUsed/>
    <w:rsid w:val="00EC35E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C35E3"/>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EC35E3"/>
    <w:rPr>
      <w:b/>
      <w:bCs/>
    </w:rPr>
  </w:style>
  <w:style w:type="character" w:styleId="Hyperlink">
    <w:name w:val="Hyperlink"/>
    <w:basedOn w:val="Fontepargpadro"/>
    <w:uiPriority w:val="99"/>
    <w:semiHidden/>
    <w:unhideWhenUsed/>
    <w:rsid w:val="00EC35E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17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1980-1988/L7663.htm" TargetMode="External"/><Relationship Id="rId13" Type="http://schemas.openxmlformats.org/officeDocument/2006/relationships/hyperlink" Target="http://www.planalto.gov.br/ccivil_03/leis/L4737.htm" TargetMode="External"/><Relationship Id="rId3" Type="http://schemas.openxmlformats.org/officeDocument/2006/relationships/settings" Target="settings.xml"/><Relationship Id="rId7" Type="http://schemas.openxmlformats.org/officeDocument/2006/relationships/hyperlink" Target="http://www.planalto.gov.br/ccivil_03/leis/1980-1988/L7663.htm" TargetMode="External"/><Relationship Id="rId12" Type="http://schemas.openxmlformats.org/officeDocument/2006/relationships/hyperlink" Target="http://www.planalto.gov.br/ccivil_03/leis/1980-1988/L7663.htm"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planalto.gov.br/ccivil_03/leis/1980-1988/L7444.htm" TargetMode="External"/><Relationship Id="rId11" Type="http://schemas.openxmlformats.org/officeDocument/2006/relationships/hyperlink" Target="http://www.planalto.gov.br/ccivil_03/leis/1980-1988/L7663.htm" TargetMode="External"/><Relationship Id="rId5" Type="http://schemas.openxmlformats.org/officeDocument/2006/relationships/hyperlink" Target="http://legislacao.planalto.gov.br/legisla/legislacao.nsf/Viw_Identificacao/lei%206.996-1982?OpenDocument" TargetMode="External"/><Relationship Id="rId15" Type="http://schemas.openxmlformats.org/officeDocument/2006/relationships/fontTable" Target="fontTable.xml"/><Relationship Id="rId10" Type="http://schemas.openxmlformats.org/officeDocument/2006/relationships/hyperlink" Target="http://www.planalto.gov.br/ccivil_03/leis/1980-1988/L7663.htm" TargetMode="External"/><Relationship Id="rId4" Type="http://schemas.openxmlformats.org/officeDocument/2006/relationships/webSettings" Target="webSettings.xml"/><Relationship Id="rId9" Type="http://schemas.openxmlformats.org/officeDocument/2006/relationships/hyperlink" Target="http://www.planalto.gov.br/ccivil_03/leis/1980-1988/L7663.htm" TargetMode="External"/><Relationship Id="rId14" Type="http://schemas.openxmlformats.org/officeDocument/2006/relationships/hyperlink" Target="http://www.planalto.gov.br/ccivil_03/leis/L9096.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1839</Words>
  <Characters>9931</Characters>
  <Application>Microsoft Office Word</Application>
  <DocSecurity>0</DocSecurity>
  <Lines>82</Lines>
  <Paragraphs>23</Paragraphs>
  <ScaleCrop>false</ScaleCrop>
  <Company/>
  <LinksUpToDate>false</LinksUpToDate>
  <CharactersWithSpaces>11747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2023-10-29T21:41:00Z</dcterms:created>
  <dcterms:modified xsi:type="dcterms:W3CDTF">2023-10-29T21:50:00Z</dcterms:modified>
</cp:coreProperties>
</file>