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5186"/>
      </w:tblGrid>
      <w:tr w:rsidR="00DD1CD8" w:rsidRPr="00DD1CD8" w:rsidTr="00DD1CD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D1CD8" w:rsidRPr="00DD1CD8" w:rsidRDefault="00DD1CD8" w:rsidP="00DD1C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D1CD8" w:rsidRPr="00DD1CD8" w:rsidRDefault="00DD1CD8" w:rsidP="00DD1C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CD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D1CD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D1CD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D1CD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D1CD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DD1CD8" w:rsidRPr="00DD1CD8" w:rsidRDefault="00DD1CD8" w:rsidP="00DD1C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DD1CD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DD1CD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DD1CD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6.899, DE 08 DE ABRIL DE </w:t>
        </w:r>
        <w:proofErr w:type="gramStart"/>
        <w:r w:rsidRPr="00DD1CD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DD1CD8" w:rsidRPr="00DD1CD8" w:rsidTr="00DD1CD8">
        <w:trPr>
          <w:tblCellSpacing w:w="0" w:type="dxa"/>
        </w:trPr>
        <w:tc>
          <w:tcPr>
            <w:tcW w:w="2600" w:type="pct"/>
            <w:vAlign w:val="center"/>
            <w:hideMark/>
          </w:tcPr>
          <w:p w:rsidR="00DD1CD8" w:rsidRPr="00DD1CD8" w:rsidRDefault="00DD1CD8" w:rsidP="00DD1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C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DD1CD8" w:rsidRPr="00DD1CD8" w:rsidRDefault="00DD1CD8" w:rsidP="00DD1C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CD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Determina a aplicação da correção monetária nos débitos oriundos de decisão judicial e dá outras providências.</w:t>
            </w:r>
          </w:p>
        </w:tc>
      </w:tr>
    </w:tbl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D1CD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DD1CD8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</w:t>
      </w:r>
      <w:r w:rsidRPr="00DD1CD8">
        <w:rPr>
          <w:rFonts w:ascii="Arial" w:eastAsia="Times New Roman" w:hAnsi="Arial" w:cs="Arial"/>
          <w:color w:val="000000"/>
          <w:sz w:val="20"/>
          <w:szCs w:val="20"/>
        </w:rPr>
        <w:t> ,</w:t>
      </w:r>
      <w:proofErr w:type="gramEnd"/>
      <w:r w:rsidRPr="00DD1CD8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proofErr w:type="spellStart"/>
      <w:r w:rsidRPr="00DD1CD8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D1CD8">
        <w:rPr>
          <w:rFonts w:ascii="Arial" w:eastAsia="Times New Roman" w:hAnsi="Arial" w:cs="Arial"/>
          <w:color w:val="000000"/>
          <w:sz w:val="20"/>
          <w:szCs w:val="20"/>
        </w:rPr>
        <w:t xml:space="preserve"> 1º - A correção monetária incide sobre qualquer débito resultante de decisão judicial, inclusive sobre custas e honorários advocatícios.</w:t>
      </w:r>
    </w:p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DD1CD8">
        <w:rPr>
          <w:rFonts w:ascii="Arial" w:eastAsia="Times New Roman" w:hAnsi="Arial" w:cs="Arial"/>
          <w:color w:val="000000"/>
          <w:sz w:val="20"/>
          <w:szCs w:val="20"/>
        </w:rPr>
        <w:t>§ 1º - Nas execuções de títulos de dívida líquida e certa, a correção será calculada a contar do respectivo vencimento.</w:t>
      </w:r>
    </w:p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DD1CD8">
        <w:rPr>
          <w:rFonts w:ascii="Arial" w:eastAsia="Times New Roman" w:hAnsi="Arial" w:cs="Arial"/>
          <w:color w:val="000000"/>
          <w:sz w:val="20"/>
          <w:szCs w:val="20"/>
        </w:rPr>
        <w:t>§ 2º - Nos demais casos, o cálculo far-se-á a partir do ajuizamento da ação.</w:t>
      </w:r>
    </w:p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2"/>
      <w:bookmarkEnd w:id="1"/>
      <w:proofErr w:type="spellStart"/>
      <w:r w:rsidRPr="00DD1CD8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D1CD8">
        <w:rPr>
          <w:rFonts w:ascii="Arial" w:eastAsia="Times New Roman" w:hAnsi="Arial" w:cs="Arial"/>
          <w:color w:val="000000"/>
          <w:sz w:val="20"/>
          <w:szCs w:val="20"/>
        </w:rPr>
        <w:t xml:space="preserve"> 2º - O Poder Executivo, no prazo de 60 (sessenta) dias, regulamentará a forma pela qual será efetuado o cálculo da correção monetária.          </w:t>
      </w:r>
      <w:hyperlink r:id="rId6" w:history="1">
        <w:r w:rsidRPr="00DD1CD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(Regulamento)</w:t>
        </w:r>
        <w:proofErr w:type="gramStart"/>
      </w:hyperlink>
      <w:proofErr w:type="gramEnd"/>
    </w:p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3"/>
      <w:bookmarkEnd w:id="2"/>
      <w:proofErr w:type="spellStart"/>
      <w:r w:rsidRPr="00DD1CD8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D1CD8">
        <w:rPr>
          <w:rFonts w:ascii="Arial" w:eastAsia="Times New Roman" w:hAnsi="Arial" w:cs="Arial"/>
          <w:color w:val="000000"/>
          <w:sz w:val="20"/>
          <w:szCs w:val="20"/>
        </w:rPr>
        <w:t xml:space="preserve"> 3º - O disposto nesta Lei aplica-se a todas as causas pendentes de julgamento.</w:t>
      </w:r>
    </w:p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4"/>
      <w:bookmarkEnd w:id="3"/>
      <w:proofErr w:type="spellStart"/>
      <w:r w:rsidRPr="00DD1CD8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D1CD8">
        <w:rPr>
          <w:rFonts w:ascii="Arial" w:eastAsia="Times New Roman" w:hAnsi="Arial" w:cs="Arial"/>
          <w:color w:val="000000"/>
          <w:sz w:val="20"/>
          <w:szCs w:val="20"/>
        </w:rPr>
        <w:t xml:space="preserve"> 4º - Esta Lei entrará em vigor na data de sua publicação.</w:t>
      </w:r>
    </w:p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5"/>
      <w:bookmarkEnd w:id="4"/>
      <w:proofErr w:type="spellStart"/>
      <w:r w:rsidRPr="00DD1CD8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DD1CD8">
        <w:rPr>
          <w:rFonts w:ascii="Arial" w:eastAsia="Times New Roman" w:hAnsi="Arial" w:cs="Arial"/>
          <w:color w:val="000000"/>
          <w:sz w:val="20"/>
          <w:szCs w:val="20"/>
        </w:rPr>
        <w:t xml:space="preserve"> 5º - Revogam-se as disposições em contrário.</w:t>
      </w:r>
    </w:p>
    <w:p w:rsidR="00DD1CD8" w:rsidRPr="00DD1CD8" w:rsidRDefault="00DD1CD8" w:rsidP="00DD1CD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DD1CD8">
        <w:rPr>
          <w:rFonts w:ascii="Arial" w:eastAsia="Times New Roman" w:hAnsi="Arial" w:cs="Arial"/>
          <w:color w:val="000000"/>
          <w:sz w:val="20"/>
          <w:szCs w:val="20"/>
        </w:rPr>
        <w:t>Brasília, em 08 de abril de 1981; 160º da Independência e 93º da República.</w:t>
      </w:r>
    </w:p>
    <w:p w:rsidR="00DD1CD8" w:rsidRPr="00DD1CD8" w:rsidRDefault="00DD1CD8" w:rsidP="00DD1CD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D1CD8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DD1CD8" w:rsidRPr="00DD1CD8" w:rsidRDefault="00DD1CD8" w:rsidP="00DD1CD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D1CD8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DD1CD8" w:rsidRPr="00DD1CD8" w:rsidRDefault="00DD1CD8" w:rsidP="00DD1CD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D1CD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DD1CD8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DD1CD8" w:rsidRPr="00DD1CD8" w:rsidRDefault="00DD1CD8" w:rsidP="00DD1CD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D1CD8">
        <w:rPr>
          <w:rFonts w:ascii="Arial" w:eastAsia="Times New Roman" w:hAnsi="Arial" w:cs="Arial"/>
          <w:i/>
          <w:iCs/>
          <w:color w:val="000000"/>
          <w:sz w:val="20"/>
          <w:szCs w:val="20"/>
        </w:rPr>
        <w:t>José Flávio Pécora</w:t>
      </w:r>
    </w:p>
    <w:p w:rsidR="00DD1CD8" w:rsidRPr="00DD1CD8" w:rsidRDefault="00DD1CD8" w:rsidP="00DD1CD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D1CD8">
        <w:rPr>
          <w:rFonts w:ascii="Arial" w:eastAsia="Times New Roman" w:hAnsi="Arial" w:cs="Arial"/>
          <w:i/>
          <w:iCs/>
          <w:color w:val="000000"/>
          <w:sz w:val="20"/>
          <w:szCs w:val="20"/>
        </w:rPr>
        <w:t>Hélio Beltrão</w:t>
      </w:r>
    </w:p>
    <w:p w:rsidR="00DD1CD8" w:rsidRPr="00DD1CD8" w:rsidRDefault="00DD1CD8" w:rsidP="00DD1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D1CD8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9.4.1981</w:t>
      </w:r>
    </w:p>
    <w:p w:rsidR="005320DE" w:rsidRPr="00DD1CD8" w:rsidRDefault="00DD1CD8" w:rsidP="00DD1C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D1CD8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5" w:name="_GoBack"/>
      <w:bookmarkEnd w:id="5"/>
    </w:p>
    <w:sectPr w:rsidR="005320DE" w:rsidRPr="00DD1C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CD8"/>
    <w:rsid w:val="005320DE"/>
    <w:rsid w:val="00DD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D1CD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D1CD8"/>
    <w:rPr>
      <w:color w:val="0000FF"/>
      <w:u w:val="single"/>
    </w:rPr>
  </w:style>
  <w:style w:type="paragraph" w:customStyle="1" w:styleId="p12">
    <w:name w:val="p12"/>
    <w:basedOn w:val="Normal"/>
    <w:rsid w:val="00DD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DD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D1CD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D1CD8"/>
    <w:rPr>
      <w:color w:val="0000FF"/>
      <w:u w:val="single"/>
    </w:rPr>
  </w:style>
  <w:style w:type="paragraph" w:customStyle="1" w:styleId="p12">
    <w:name w:val="p12"/>
    <w:basedOn w:val="Normal"/>
    <w:rsid w:val="00DD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rsid w:val="00DD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D86649.htm" TargetMode="External"/><Relationship Id="rId5" Type="http://schemas.openxmlformats.org/officeDocument/2006/relationships/hyperlink" Target="http://legislacao.planalto.gov.br/legisla/legislacao.nsf/Viw_Identificacao/lei%206.899-198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2023-09-19T11:21:00Z</dcterms:created>
  <dcterms:modified xsi:type="dcterms:W3CDTF">2023-09-19T11:33:00Z</dcterms:modified>
</cp:coreProperties>
</file>