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425A8F" w:rsidRPr="00425A8F" w14:paraId="38D82729" w14:textId="77777777" w:rsidTr="00425A8F">
        <w:trPr>
          <w:tblCellSpacing w:w="0" w:type="dxa"/>
          <w:jc w:val="center"/>
        </w:trPr>
        <w:tc>
          <w:tcPr>
            <w:tcW w:w="700" w:type="pct"/>
            <w:vAlign w:val="center"/>
            <w:hideMark/>
          </w:tcPr>
          <w:p w14:paraId="7EE94ABE" w14:textId="305ADF43" w:rsidR="00425A8F" w:rsidRPr="00425A8F" w:rsidRDefault="00425A8F" w:rsidP="00425A8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25A8F">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32CD0944" wp14:editId="45D2502E">
                      <wp:extent cx="705485" cy="782955"/>
                      <wp:effectExtent l="0" t="0" r="0" b="0"/>
                      <wp:docPr id="210084157"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FCA6D1" id="AutoShape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14:paraId="56E56172" w14:textId="77777777" w:rsidR="00425A8F" w:rsidRPr="00425A8F" w:rsidRDefault="00425A8F" w:rsidP="00425A8F">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b/>
                <w:bCs/>
                <w:color w:val="808000"/>
                <w:kern w:val="0"/>
                <w:sz w:val="36"/>
                <w:szCs w:val="36"/>
                <w:lang w:val="pt-BR" w:eastAsia="zh-CN"/>
                <w14:ligatures w14:val="none"/>
              </w:rPr>
              <w:t>Presidência da República</w:t>
            </w:r>
            <w:r w:rsidRPr="00425A8F">
              <w:rPr>
                <w:rFonts w:ascii="Arial" w:eastAsia="Times New Roman" w:hAnsi="Arial" w:cs="Arial"/>
                <w:b/>
                <w:bCs/>
                <w:color w:val="808000"/>
                <w:kern w:val="0"/>
                <w:sz w:val="24"/>
                <w:szCs w:val="24"/>
                <w:lang w:val="pt-BR" w:eastAsia="zh-CN"/>
                <w14:ligatures w14:val="none"/>
              </w:rPr>
              <w:br/>
            </w:r>
            <w:r w:rsidRPr="00425A8F">
              <w:rPr>
                <w:rFonts w:ascii="Arial" w:eastAsia="Times New Roman" w:hAnsi="Arial" w:cs="Arial"/>
                <w:b/>
                <w:bCs/>
                <w:color w:val="808000"/>
                <w:kern w:val="0"/>
                <w:sz w:val="27"/>
                <w:szCs w:val="27"/>
                <w:lang w:val="pt-BR" w:eastAsia="zh-CN"/>
                <w14:ligatures w14:val="none"/>
              </w:rPr>
              <w:t>Casa Civil</w:t>
            </w:r>
            <w:r w:rsidRPr="00425A8F">
              <w:rPr>
                <w:rFonts w:ascii="Arial" w:eastAsia="Times New Roman" w:hAnsi="Arial" w:cs="Arial"/>
                <w:b/>
                <w:bCs/>
                <w:color w:val="808000"/>
                <w:kern w:val="0"/>
                <w:sz w:val="27"/>
                <w:szCs w:val="27"/>
                <w:lang w:val="pt-BR" w:eastAsia="zh-CN"/>
                <w14:ligatures w14:val="none"/>
              </w:rPr>
              <w:br/>
            </w:r>
            <w:r w:rsidRPr="00425A8F">
              <w:rPr>
                <w:rFonts w:ascii="Arial" w:eastAsia="Times New Roman" w:hAnsi="Arial" w:cs="Arial"/>
                <w:b/>
                <w:bCs/>
                <w:color w:val="808000"/>
                <w:kern w:val="0"/>
                <w:sz w:val="24"/>
                <w:szCs w:val="24"/>
                <w:lang w:val="pt-BR" w:eastAsia="zh-CN"/>
                <w14:ligatures w14:val="none"/>
              </w:rPr>
              <w:t>Subchefia para Assuntos Jurídicos</w:t>
            </w:r>
          </w:p>
        </w:tc>
      </w:tr>
    </w:tbl>
    <w:p w14:paraId="57631414" w14:textId="77777777" w:rsidR="00425A8F" w:rsidRPr="00425A8F" w:rsidRDefault="00425A8F" w:rsidP="00425A8F">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425A8F">
          <w:rPr>
            <w:rFonts w:ascii="Arial" w:eastAsia="Times New Roman" w:hAnsi="Arial" w:cs="Arial"/>
            <w:b/>
            <w:bCs/>
            <w:color w:val="0000FF"/>
            <w:kern w:val="0"/>
            <w:sz w:val="20"/>
            <w:szCs w:val="20"/>
            <w:u w:val="single"/>
            <w:lang w:val="pt-BR" w:eastAsia="zh-CN"/>
            <w14:ligatures w14:val="none"/>
          </w:rPr>
          <w:t>LEI Nº 5.315, DE 12 DE SETEMBRO DE 1967</w:t>
        </w:r>
      </w:hyperlink>
      <w:r w:rsidRPr="00425A8F">
        <w:rPr>
          <w:rFonts w:ascii="Arial" w:eastAsia="Times New Roman" w:hAnsi="Arial" w:cs="Arial"/>
          <w:b/>
          <w:bCs/>
          <w:color w:val="000080"/>
          <w:kern w:val="0"/>
          <w:sz w:val="20"/>
          <w:szCs w:val="20"/>
          <w:lang w:val="pt-BR" w:eastAsia="zh-CN"/>
          <w14:ligatures w14:val="none"/>
        </w:rPr>
        <w:t>.</w:t>
      </w:r>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425A8F" w:rsidRPr="00425A8F" w14:paraId="1800E39F" w14:textId="77777777" w:rsidTr="00425A8F">
        <w:trPr>
          <w:tblCellSpacing w:w="0" w:type="dxa"/>
        </w:trPr>
        <w:tc>
          <w:tcPr>
            <w:tcW w:w="2550" w:type="pct"/>
            <w:vAlign w:val="center"/>
            <w:hideMark/>
          </w:tcPr>
          <w:p w14:paraId="0F062859" w14:textId="77777777" w:rsidR="00425A8F" w:rsidRPr="00425A8F" w:rsidRDefault="00425A8F" w:rsidP="00425A8F">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425A8F">
                <w:rPr>
                  <w:rFonts w:ascii="Arial" w:eastAsia="Times New Roman" w:hAnsi="Arial" w:cs="Arial"/>
                  <w:color w:val="0000FF"/>
                  <w:kern w:val="0"/>
                  <w:sz w:val="20"/>
                  <w:szCs w:val="20"/>
                  <w:u w:val="single"/>
                  <w:lang w:val="pt-BR" w:eastAsia="zh-CN"/>
                  <w14:ligatures w14:val="none"/>
                </w:rPr>
                <w:t>(Regulamento)</w:t>
              </w:r>
            </w:hyperlink>
          </w:p>
          <w:p w14:paraId="7A469314" w14:textId="77777777" w:rsidR="00425A8F" w:rsidRPr="00425A8F" w:rsidRDefault="00425A8F" w:rsidP="00425A8F">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6" w:anchor="art20" w:history="1">
              <w:r w:rsidRPr="00425A8F">
                <w:rPr>
                  <w:rFonts w:ascii="Arial" w:eastAsia="Times New Roman" w:hAnsi="Arial" w:cs="Arial"/>
                  <w:color w:val="0000FF"/>
                  <w:kern w:val="0"/>
                  <w:sz w:val="20"/>
                  <w:szCs w:val="20"/>
                  <w:u w:val="single"/>
                  <w:lang w:val="pt-BR" w:eastAsia="zh-CN"/>
                  <w14:ligatures w14:val="none"/>
                </w:rPr>
                <w:t>(Vide Lei nº 13.954, de 2019)</w:t>
              </w:r>
            </w:hyperlink>
          </w:p>
        </w:tc>
        <w:tc>
          <w:tcPr>
            <w:tcW w:w="2450" w:type="pct"/>
            <w:vAlign w:val="center"/>
            <w:hideMark/>
          </w:tcPr>
          <w:p w14:paraId="008561AD" w14:textId="77777777" w:rsidR="00425A8F" w:rsidRPr="00425A8F" w:rsidRDefault="00425A8F" w:rsidP="00425A8F">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800000"/>
                <w:kern w:val="0"/>
                <w:sz w:val="20"/>
                <w:szCs w:val="20"/>
                <w:lang w:val="pt-BR" w:eastAsia="zh-CN"/>
                <w14:ligatures w14:val="none"/>
              </w:rPr>
              <w:t xml:space="preserve">Regulamenta o art. 178 da Constituição do Brasil, que dispõe sôbre os ex-combatentes da 2ª Guerra Mundial. </w:t>
            </w:r>
          </w:p>
        </w:tc>
      </w:tr>
    </w:tbl>
    <w:p w14:paraId="7528FFF6"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b/>
          <w:bCs/>
          <w:color w:val="000000"/>
          <w:kern w:val="0"/>
          <w:sz w:val="20"/>
          <w:szCs w:val="20"/>
          <w:lang w:val="pt-BR" w:eastAsia="zh-CN"/>
          <w14:ligatures w14:val="none"/>
        </w:rPr>
        <w:t>O PRESIDENTE DA REPÚBLICA</w:t>
      </w:r>
      <w:r w:rsidRPr="00425A8F">
        <w:rPr>
          <w:rFonts w:ascii="Arial" w:eastAsia="Times New Roman" w:hAnsi="Arial" w:cs="Arial"/>
          <w:color w:val="000000"/>
          <w:kern w:val="0"/>
          <w:sz w:val="20"/>
          <w:szCs w:val="20"/>
          <w:lang w:val="pt-BR" w:eastAsia="zh-CN"/>
          <w14:ligatures w14:val="none"/>
        </w:rPr>
        <w:t>, faço saber que o</w:t>
      </w:r>
      <w:r w:rsidRPr="00425A8F">
        <w:rPr>
          <w:rFonts w:ascii="Arial" w:eastAsia="Times New Roman" w:hAnsi="Arial" w:cs="Arial"/>
          <w:b/>
          <w:bCs/>
          <w:color w:val="000000"/>
          <w:kern w:val="0"/>
          <w:sz w:val="20"/>
          <w:szCs w:val="20"/>
          <w:lang w:val="pt-BR" w:eastAsia="zh-CN"/>
          <w14:ligatures w14:val="none"/>
        </w:rPr>
        <w:t xml:space="preserve"> CONGRESSO NACIONAL </w:t>
      </w:r>
      <w:r w:rsidRPr="00425A8F">
        <w:rPr>
          <w:rFonts w:ascii="Arial" w:eastAsia="Times New Roman" w:hAnsi="Arial" w:cs="Arial"/>
          <w:color w:val="000000"/>
          <w:kern w:val="0"/>
          <w:sz w:val="20"/>
          <w:szCs w:val="20"/>
          <w:lang w:val="pt-BR" w:eastAsia="zh-CN"/>
          <w14:ligatures w14:val="none"/>
        </w:rPr>
        <w:t xml:space="preserve">decreta e eu sanciono a seguinte Lei: </w:t>
      </w:r>
    </w:p>
    <w:p w14:paraId="40F0645C"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0" w:name="art1"/>
      <w:bookmarkEnd w:id="0"/>
      <w:r w:rsidRPr="00425A8F">
        <w:rPr>
          <w:rFonts w:ascii="Arial" w:eastAsia="Times New Roman" w:hAnsi="Arial" w:cs="Arial"/>
          <w:color w:val="000000"/>
          <w:kern w:val="0"/>
          <w:sz w:val="20"/>
          <w:szCs w:val="20"/>
          <w:lang w:val="pt-BR" w:eastAsia="zh-CN"/>
          <w14:ligatures w14:val="none"/>
        </w:rPr>
        <w:t xml:space="preserve">Art . 1º Considera-se ex-combatente, para efeito da aplicação do </w:t>
      </w:r>
      <w:hyperlink r:id="rId7" w:anchor="art178" w:history="1">
        <w:r w:rsidRPr="00425A8F">
          <w:rPr>
            <w:rFonts w:ascii="Arial" w:eastAsia="Times New Roman" w:hAnsi="Arial" w:cs="Arial"/>
            <w:color w:val="0000FF"/>
            <w:kern w:val="0"/>
            <w:sz w:val="20"/>
            <w:szCs w:val="20"/>
            <w:u w:val="single"/>
            <w:lang w:val="pt-BR" w:eastAsia="zh-CN"/>
            <w14:ligatures w14:val="none"/>
          </w:rPr>
          <w:t>artigo 178 da Constituição do Brasil</w:t>
        </w:r>
      </w:hyperlink>
      <w:r w:rsidRPr="00425A8F">
        <w:rPr>
          <w:rFonts w:ascii="Arial" w:eastAsia="Times New Roman" w:hAnsi="Arial" w:cs="Arial"/>
          <w:color w:val="000000"/>
          <w:kern w:val="0"/>
          <w:sz w:val="20"/>
          <w:szCs w:val="20"/>
          <w:lang w:val="pt-BR" w:eastAsia="zh-CN"/>
          <w14:ligatures w14:val="none"/>
        </w:rPr>
        <w:t>, todo aquêle que tenha participado efetivamente de operações bélicas, na Segunda Guerra Mundial, como integrante da Fôrça do Exército, da Fôrça Expedicionária Brasileira, da Fôrça Aérea Brasileira, da Marinha de Guerra e da Marinha Mercante, e que, no caso de militar, haja sido licenciado do serviço ativo e com isso retornado à vida civil definitivamente.</w:t>
      </w:r>
    </w:p>
    <w:p w14:paraId="6146F383"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 1º A prova da participação efetiva em operações bélicas será fornecida ao interessado pelos Ministérios Militares. </w:t>
      </w:r>
    </w:p>
    <w:p w14:paraId="79F8DD7A"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 2º Além da fornecida pelos Ministérios Militares, constituem, também, dados de informação para fazer prova de ter tomado parte efetiva em operações bélicas: </w:t>
      </w:r>
    </w:p>
    <w:p w14:paraId="5B5578F2"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a) no Exército: </w:t>
      </w:r>
    </w:p>
    <w:p w14:paraId="790DBDD8"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I - o diploma da Medalha de Campanha ou o certificado de ter serviço no Teatro de Operações da Itália, para o componente da Fôrça Expedicionária Brasileira; </w:t>
      </w:r>
    </w:p>
    <w:p w14:paraId="1F38F0D2"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II - o certificado de que tenha participado efetivamente em missões de vigilância e segurança do litoral, como integrante da guarnição de ilhas oceânicas ou de unidades que se deslocaram de suas sedes para o cumprimento daquelas missões. </w:t>
      </w:r>
    </w:p>
    <w:p w14:paraId="667B6AC0"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b) na Aeronáutica: </w:t>
      </w:r>
    </w:p>
    <w:p w14:paraId="27BB2603"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I - o diploma da Medalha de Campanha da Itália, para o seu portador, ou o diploma da Cruz de Aviação, para os tripulantes de aeronaves engajados em missões de patrulha; </w:t>
      </w:r>
    </w:p>
    <w:p w14:paraId="51AE07E5"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c) na Marinha de Guerra e Marinha Mercante: </w:t>
      </w:r>
    </w:p>
    <w:p w14:paraId="1C71CEFC"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I - o diploma de uma das Medalhas Navais do Mérito de Guerra, para o seu portador, desde que tenha sido tripulante de navio de guerra ou mercante, atacados por inimigos ou destruídos por acidente, ou que tenha participado de comboio de transporte de tropas ou de abastecimentos, ou de missões de patrulha;</w:t>
      </w:r>
    </w:p>
    <w:p w14:paraId="551E5783"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II - o diploma da Medalha de Campanha de Fôrça Expedicionária Brasileira; </w:t>
      </w:r>
    </w:p>
    <w:p w14:paraId="08101EC0"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III - o certificado de que tenha participado efetivamente em missões de vigilância e segurança como integrante da guarnição de ilhas oceânicas; </w:t>
      </w:r>
    </w:p>
    <w:p w14:paraId="6D785D46"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lastRenderedPageBreak/>
        <w:t xml:space="preserve">IV - o certificado de ter participado das operações especificadas nos itens I e II, alínea c , § 2º, do presente artigo; </w:t>
      </w:r>
    </w:p>
    <w:p w14:paraId="3D9F491B"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d) certidão fornecida pelo respectivo Ministério Militar ao ex-combatente integrante de tropa transportada em navios escoltados por navios de guerra. </w:t>
      </w:r>
    </w:p>
    <w:p w14:paraId="22C46242"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 3º A prova de ter servido em Zona de Guerra não autoriza o gôzo das vantagens previstas nesta Lei, ressalvado o preceituado no </w:t>
      </w:r>
      <w:hyperlink r:id="rId8" w:anchor="art177§1" w:history="1">
        <w:r w:rsidRPr="00425A8F">
          <w:rPr>
            <w:rFonts w:ascii="Arial" w:eastAsia="Times New Roman" w:hAnsi="Arial" w:cs="Arial"/>
            <w:color w:val="0000FF"/>
            <w:kern w:val="0"/>
            <w:sz w:val="20"/>
            <w:szCs w:val="20"/>
            <w:u w:val="single"/>
            <w:lang w:val="pt-BR" w:eastAsia="zh-CN"/>
            <w14:ligatures w14:val="none"/>
          </w:rPr>
          <w:t xml:space="preserve">art. 177, § 1º, da Constituição do Brasil de 1967, </w:t>
        </w:r>
      </w:hyperlink>
      <w:r w:rsidRPr="00425A8F">
        <w:rPr>
          <w:rFonts w:ascii="Arial" w:eastAsia="Times New Roman" w:hAnsi="Arial" w:cs="Arial"/>
          <w:color w:val="000000"/>
          <w:kern w:val="0"/>
          <w:sz w:val="20"/>
          <w:szCs w:val="20"/>
          <w:lang w:val="pt-BR" w:eastAsia="zh-CN"/>
          <w14:ligatures w14:val="none"/>
        </w:rPr>
        <w:t xml:space="preserve">e o disposto no § 2º do art. 1º desta Lei. </w:t>
      </w:r>
    </w:p>
    <w:p w14:paraId="62FA4276"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 w:name="art2"/>
      <w:bookmarkEnd w:id="1"/>
      <w:r w:rsidRPr="00425A8F">
        <w:rPr>
          <w:rFonts w:ascii="Arial" w:eastAsia="Times New Roman" w:hAnsi="Arial" w:cs="Arial"/>
          <w:color w:val="000000"/>
          <w:kern w:val="0"/>
          <w:sz w:val="20"/>
          <w:szCs w:val="20"/>
          <w:lang w:val="pt-BR" w:eastAsia="zh-CN"/>
          <w14:ligatures w14:val="none"/>
        </w:rPr>
        <w:t xml:space="preserve">Art . 2º É estável o ex-combatente servidor público civil da União, dos Estados e dos Municípios. </w:t>
      </w:r>
    </w:p>
    <w:p w14:paraId="35D48375"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 w:name="art3"/>
      <w:bookmarkEnd w:id="2"/>
      <w:r w:rsidRPr="00425A8F">
        <w:rPr>
          <w:rFonts w:ascii="Arial" w:eastAsia="Times New Roman" w:hAnsi="Arial" w:cs="Arial"/>
          <w:color w:val="000000"/>
          <w:kern w:val="0"/>
          <w:sz w:val="20"/>
          <w:szCs w:val="20"/>
          <w:lang w:val="pt-BR" w:eastAsia="zh-CN"/>
          <w14:ligatures w14:val="none"/>
        </w:rPr>
        <w:t xml:space="preserve">Art . 3º O Presidente da República aproveitará, mediante nomeação, nos cargos públicos vagos, iniciais de carreira ou isolados, independentemente de concurso, os ex-combatentes que o requererem, mediante apresentação de diploma registrado no Ministério da Educação e Cultura de curso que os qualifiquem para o exercício do cargo, ou mediante prova de capacidade para os demais, segundo critérios a serem fixados em regulamento. </w:t>
      </w:r>
    </w:p>
    <w:p w14:paraId="34C3EA22"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 1º Os que não quiserem submeter-se à prova, ou nela forem inabilitados, serão aproveitados em classe de menor padrão de vencimentos, não destinada a acesso. </w:t>
      </w:r>
    </w:p>
    <w:p w14:paraId="5AF9F0E4"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 2º O requerimento de que trata êste artigo será dirigido aos Ministérios Militares a que estiver vinculado o ex-combatente. </w:t>
      </w:r>
    </w:p>
    <w:p w14:paraId="419B532A"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 3º O Ministério Militar, a que tiver pertencido o ex-combatente, encaminhará o requerimento ao Departamento Administrativo do Pessoal Civil, depois de convenientemente informado pelos órgãos competentes quanto ao atendimento dos requisitos previstos no art. 1º desta Lei. </w:t>
      </w:r>
    </w:p>
    <w:p w14:paraId="7ED24127"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 w:name="art4"/>
      <w:bookmarkEnd w:id="3"/>
      <w:r w:rsidRPr="00425A8F">
        <w:rPr>
          <w:rFonts w:ascii="Arial" w:eastAsia="Times New Roman" w:hAnsi="Arial" w:cs="Arial"/>
          <w:color w:val="000000"/>
          <w:kern w:val="0"/>
          <w:sz w:val="20"/>
          <w:szCs w:val="20"/>
          <w:lang w:val="pt-BR" w:eastAsia="zh-CN"/>
          <w14:ligatures w14:val="none"/>
        </w:rPr>
        <w:t xml:space="preserve">Art . 4º Nenhuma nomeação será feita se houver ex-combatente que tenha requerido o seu aproveitamento no serviço público e esteja em condições de exercer o cargo inicial de carreira para cujo provimento foi realizado concurso. </w:t>
      </w:r>
    </w:p>
    <w:p w14:paraId="631A7FA2"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Parágrafo único. Aberto o concurso e durante o prazo estabelecido para a inscrição dos candidatos, os ex-combatentes deverão requerer o seu aproveitamento para efeito do disposto neste artigo. </w:t>
      </w:r>
    </w:p>
    <w:p w14:paraId="0A9F5D78"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 w:name="art5"/>
      <w:bookmarkEnd w:id="4"/>
      <w:r w:rsidRPr="00425A8F">
        <w:rPr>
          <w:rFonts w:ascii="Arial" w:eastAsia="Times New Roman" w:hAnsi="Arial" w:cs="Arial"/>
          <w:color w:val="000000"/>
          <w:kern w:val="0"/>
          <w:sz w:val="20"/>
          <w:szCs w:val="20"/>
          <w:lang w:val="pt-BR" w:eastAsia="zh-CN"/>
          <w14:ligatures w14:val="none"/>
        </w:rPr>
        <w:t xml:space="preserve">Art . 5º O ex-combatente que, no ato da posse, vier a ser julgado definitivamente incapaz para o serviço público será encaminhado ao Ministério Militar a que estiver vinculado, a fim de que se processe sua reforma, nos têrmos da </w:t>
      </w:r>
      <w:hyperlink r:id="rId9" w:history="1">
        <w:r w:rsidRPr="00425A8F">
          <w:rPr>
            <w:rFonts w:ascii="Arial" w:eastAsia="Times New Roman" w:hAnsi="Arial" w:cs="Arial"/>
            <w:color w:val="0000FF"/>
            <w:kern w:val="0"/>
            <w:sz w:val="20"/>
            <w:szCs w:val="20"/>
            <w:u w:val="single"/>
            <w:lang w:val="pt-BR" w:eastAsia="zh-CN"/>
            <w14:ligatures w14:val="none"/>
          </w:rPr>
          <w:t>Lei nº 2.579, de 23 de agôsto de 1955.</w:t>
        </w:r>
      </w:hyperlink>
      <w:r w:rsidRPr="00425A8F">
        <w:rPr>
          <w:rFonts w:ascii="Arial" w:eastAsia="Times New Roman" w:hAnsi="Arial" w:cs="Arial"/>
          <w:color w:val="000000"/>
          <w:kern w:val="0"/>
          <w:sz w:val="20"/>
          <w:szCs w:val="20"/>
          <w:lang w:val="pt-BR" w:eastAsia="zh-CN"/>
          <w14:ligatures w14:val="none"/>
        </w:rPr>
        <w:t xml:space="preserve"> </w:t>
      </w:r>
    </w:p>
    <w:p w14:paraId="1ED1827D"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Parágrafo único. O ex-combatente já considerado incapaz para o exercício da função pública, em laudo passado por autoridade competente da administração pública, poderá, para efeito de seu aproveitamento, requerer, imediato e diretamente, reinspeção médica, no Ministério Militar a que estiver vinculado, para a concessão da reforma referida neste artigo. </w:t>
      </w:r>
    </w:p>
    <w:p w14:paraId="6687AA3C"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 w:name="art6"/>
      <w:bookmarkEnd w:id="5"/>
      <w:r w:rsidRPr="00425A8F">
        <w:rPr>
          <w:rFonts w:ascii="Arial" w:eastAsia="Times New Roman" w:hAnsi="Arial" w:cs="Arial"/>
          <w:color w:val="000000"/>
          <w:kern w:val="0"/>
          <w:sz w:val="20"/>
          <w:szCs w:val="20"/>
          <w:lang w:val="pt-BR" w:eastAsia="zh-CN"/>
          <w14:ligatures w14:val="none"/>
        </w:rPr>
        <w:t xml:space="preserve">Art . 6º Exclui-se do aproveitamento o ex-combatente que tenha em sua fôlha de antecedentes o registro de condenação penal por mais de dois anos; ou mais de uma condenação e pena menor por qualquer crime doloso. </w:t>
      </w:r>
    </w:p>
    <w:p w14:paraId="7D9A9BCE"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 w:name="art7"/>
      <w:bookmarkEnd w:id="6"/>
      <w:r w:rsidRPr="00425A8F">
        <w:rPr>
          <w:rFonts w:ascii="Arial" w:eastAsia="Times New Roman" w:hAnsi="Arial" w:cs="Arial"/>
          <w:color w:val="000000"/>
          <w:kern w:val="0"/>
          <w:sz w:val="20"/>
          <w:szCs w:val="20"/>
          <w:lang w:val="pt-BR" w:eastAsia="zh-CN"/>
          <w14:ligatures w14:val="none"/>
        </w:rPr>
        <w:t xml:space="preserve">Art . 7º Sòmente será aposentado com 25 (vinte e cinco) anos de serviço público o servidor público civil que o requerer, satisfeitos os requisitos do art. 1º desta Lei. </w:t>
      </w:r>
    </w:p>
    <w:p w14:paraId="2F583023"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lastRenderedPageBreak/>
        <w:t xml:space="preserve">Parágrafo único. O disposto neste artigo aplica-se igualmente ao contribuinte da previdência social. </w:t>
      </w:r>
    </w:p>
    <w:p w14:paraId="653B83C2"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 w:name="art8"/>
      <w:bookmarkEnd w:id="7"/>
      <w:r w:rsidRPr="00425A8F">
        <w:rPr>
          <w:rFonts w:ascii="Arial" w:eastAsia="Times New Roman" w:hAnsi="Arial" w:cs="Arial"/>
          <w:color w:val="000000"/>
          <w:kern w:val="0"/>
          <w:sz w:val="20"/>
          <w:szCs w:val="20"/>
          <w:lang w:val="pt-BR" w:eastAsia="zh-CN"/>
          <w14:ligatures w14:val="none"/>
        </w:rPr>
        <w:t xml:space="preserve">Art . 8º Ao ex-combatente, funcionário civil, fica assegurado o direito à promoção após o interstício legal, e se houver vaga. </w:t>
      </w:r>
    </w:p>
    <w:p w14:paraId="373A8989"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Parágrafo único. Nas promoções subseqüentes, o ex-combatente terá preferência, em igualdade de condições de merecimento ou antiguidade. </w:t>
      </w:r>
    </w:p>
    <w:p w14:paraId="5BBB215D"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8" w:name="art9"/>
      <w:bookmarkEnd w:id="8"/>
      <w:r w:rsidRPr="00425A8F">
        <w:rPr>
          <w:rFonts w:ascii="Arial" w:eastAsia="Times New Roman" w:hAnsi="Arial" w:cs="Arial"/>
          <w:color w:val="000000"/>
          <w:kern w:val="0"/>
          <w:sz w:val="20"/>
          <w:szCs w:val="20"/>
          <w:lang w:val="pt-BR" w:eastAsia="zh-CN"/>
          <w14:ligatures w14:val="none"/>
        </w:rPr>
        <w:t xml:space="preserve">Art . 9º O ex-combatente, sem vínculo empregatício com o serviço público, carente de recursos, que contraiu ou vier contrair moléstia incurável, infecto-contagiosa, ou não, poderá requerer, para fins do art. 5º desta Lei; sua internação nas organizações hospitalares, civis ou militares, do Govêrno Federal. </w:t>
      </w:r>
    </w:p>
    <w:p w14:paraId="34FBC966"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Parágrafo único. A organização militar mais próxima da residência do requerente providenciará sua internação, fornecendo a passagem para o local onde ela fôr possível. </w:t>
      </w:r>
    </w:p>
    <w:p w14:paraId="3A6A1503"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9" w:name="art10"/>
      <w:bookmarkEnd w:id="9"/>
      <w:r w:rsidRPr="00425A8F">
        <w:rPr>
          <w:rFonts w:ascii="Arial" w:eastAsia="Times New Roman" w:hAnsi="Arial" w:cs="Arial"/>
          <w:color w:val="000000"/>
          <w:kern w:val="0"/>
          <w:sz w:val="20"/>
          <w:szCs w:val="20"/>
          <w:lang w:val="pt-BR" w:eastAsia="zh-CN"/>
          <w14:ligatures w14:val="none"/>
        </w:rPr>
        <w:t xml:space="preserve">Art . 10. O ex-combatente já aproveitado e os que vierem a sê-lo não terão direito a novos aproveitamentos. </w:t>
      </w:r>
    </w:p>
    <w:p w14:paraId="12B4EE75"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0" w:name="art11"/>
      <w:bookmarkEnd w:id="10"/>
      <w:r w:rsidRPr="00425A8F">
        <w:rPr>
          <w:rFonts w:ascii="Arial" w:eastAsia="Times New Roman" w:hAnsi="Arial" w:cs="Arial"/>
          <w:color w:val="000000"/>
          <w:kern w:val="0"/>
          <w:sz w:val="20"/>
          <w:szCs w:val="20"/>
          <w:lang w:val="pt-BR" w:eastAsia="zh-CN"/>
          <w14:ligatures w14:val="none"/>
        </w:rPr>
        <w:t xml:space="preserve">Art . 11. O disposto nesta Lei se aplica aos órgãos da administração direta e das autarquias. </w:t>
      </w:r>
    </w:p>
    <w:p w14:paraId="422CB43A"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1" w:name="art12"/>
      <w:bookmarkEnd w:id="11"/>
      <w:r w:rsidRPr="00425A8F">
        <w:rPr>
          <w:rFonts w:ascii="Arial" w:eastAsia="Times New Roman" w:hAnsi="Arial" w:cs="Arial"/>
          <w:color w:val="000000"/>
          <w:kern w:val="0"/>
          <w:sz w:val="20"/>
          <w:szCs w:val="20"/>
          <w:lang w:val="pt-BR" w:eastAsia="zh-CN"/>
          <w14:ligatures w14:val="none"/>
        </w:rPr>
        <w:t xml:space="preserve">Art . 12. O Poder Executivo regulamentará a execução da presente Lei dentro do prazo de 60 (sessenta) dias. </w:t>
      </w:r>
    </w:p>
    <w:p w14:paraId="480AF7FA"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2" w:name="art13"/>
      <w:bookmarkEnd w:id="12"/>
      <w:r w:rsidRPr="00425A8F">
        <w:rPr>
          <w:rFonts w:ascii="Arial" w:eastAsia="Times New Roman" w:hAnsi="Arial" w:cs="Arial"/>
          <w:color w:val="000000"/>
          <w:kern w:val="0"/>
          <w:sz w:val="20"/>
          <w:szCs w:val="20"/>
          <w:lang w:val="pt-BR" w:eastAsia="zh-CN"/>
          <w14:ligatures w14:val="none"/>
        </w:rPr>
        <w:t xml:space="preserve">Art . 13. Esta Lei entra em vigor na data de sua publicação. </w:t>
      </w:r>
    </w:p>
    <w:p w14:paraId="67D802AA"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3" w:name="art14"/>
      <w:bookmarkEnd w:id="13"/>
      <w:r w:rsidRPr="00425A8F">
        <w:rPr>
          <w:rFonts w:ascii="Arial" w:eastAsia="Times New Roman" w:hAnsi="Arial" w:cs="Arial"/>
          <w:color w:val="000000"/>
          <w:kern w:val="0"/>
          <w:sz w:val="20"/>
          <w:szCs w:val="20"/>
          <w:lang w:val="pt-BR" w:eastAsia="zh-CN"/>
          <w14:ligatures w14:val="none"/>
        </w:rPr>
        <w:t xml:space="preserve">Art . 14. Revogam-se as disposições em contrário. </w:t>
      </w:r>
    </w:p>
    <w:p w14:paraId="64EB3395" w14:textId="77777777" w:rsidR="00425A8F" w:rsidRPr="00425A8F" w:rsidRDefault="00425A8F" w:rsidP="00425A8F">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Brasília, 12 de setembro de 1967; 146º da Independência e 79º da República. </w:t>
      </w:r>
    </w:p>
    <w:p w14:paraId="2E26D6B0" w14:textId="77777777" w:rsidR="00425A8F" w:rsidRPr="00425A8F" w:rsidRDefault="00425A8F" w:rsidP="00425A8F">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000000"/>
          <w:kern w:val="0"/>
          <w:sz w:val="20"/>
          <w:szCs w:val="20"/>
          <w:lang w:val="pt-BR" w:eastAsia="zh-CN"/>
          <w14:ligatures w14:val="none"/>
        </w:rPr>
        <w:t xml:space="preserve">A. COSTA E SILVA </w:t>
      </w:r>
      <w:r w:rsidRPr="00425A8F">
        <w:rPr>
          <w:rFonts w:ascii="Arial" w:eastAsia="Times New Roman" w:hAnsi="Arial" w:cs="Arial"/>
          <w:color w:val="000000"/>
          <w:kern w:val="0"/>
          <w:sz w:val="20"/>
          <w:szCs w:val="20"/>
          <w:lang w:val="pt-BR" w:eastAsia="zh-CN"/>
          <w14:ligatures w14:val="none"/>
        </w:rPr>
        <w:br/>
      </w:r>
      <w:r w:rsidRPr="00425A8F">
        <w:rPr>
          <w:rFonts w:ascii="Arial" w:eastAsia="Times New Roman" w:hAnsi="Arial" w:cs="Arial"/>
          <w:i/>
          <w:iCs/>
          <w:color w:val="000000"/>
          <w:kern w:val="0"/>
          <w:sz w:val="20"/>
          <w:szCs w:val="20"/>
          <w:lang w:val="pt-BR" w:eastAsia="zh-CN"/>
          <w14:ligatures w14:val="none"/>
        </w:rPr>
        <w:t xml:space="preserve">Luís Antônio da Gama e Silva </w:t>
      </w:r>
      <w:r w:rsidRPr="00425A8F">
        <w:rPr>
          <w:rFonts w:ascii="Arial" w:eastAsia="Times New Roman" w:hAnsi="Arial" w:cs="Arial"/>
          <w:i/>
          <w:iCs/>
          <w:color w:val="000000"/>
          <w:kern w:val="0"/>
          <w:sz w:val="20"/>
          <w:szCs w:val="20"/>
          <w:lang w:val="pt-BR" w:eastAsia="zh-CN"/>
          <w14:ligatures w14:val="none"/>
        </w:rPr>
        <w:br/>
        <w:t xml:space="preserve">Augusto Hamann Rademaker Grünewald </w:t>
      </w:r>
      <w:r w:rsidRPr="00425A8F">
        <w:rPr>
          <w:rFonts w:ascii="Arial" w:eastAsia="Times New Roman" w:hAnsi="Arial" w:cs="Arial"/>
          <w:i/>
          <w:iCs/>
          <w:color w:val="000000"/>
          <w:kern w:val="0"/>
          <w:sz w:val="20"/>
          <w:szCs w:val="20"/>
          <w:lang w:val="pt-BR" w:eastAsia="zh-CN"/>
          <w14:ligatures w14:val="none"/>
        </w:rPr>
        <w:br/>
        <w:t xml:space="preserve">Aurélio de Lyra Tavares </w:t>
      </w:r>
      <w:r w:rsidRPr="00425A8F">
        <w:rPr>
          <w:rFonts w:ascii="Arial" w:eastAsia="Times New Roman" w:hAnsi="Arial" w:cs="Arial"/>
          <w:i/>
          <w:iCs/>
          <w:color w:val="000000"/>
          <w:kern w:val="0"/>
          <w:sz w:val="20"/>
          <w:szCs w:val="20"/>
          <w:lang w:val="pt-BR" w:eastAsia="zh-CN"/>
          <w14:ligatures w14:val="none"/>
        </w:rPr>
        <w:br/>
        <w:t xml:space="preserve">José de Magalhães Pinto </w:t>
      </w:r>
      <w:r w:rsidRPr="00425A8F">
        <w:rPr>
          <w:rFonts w:ascii="Arial" w:eastAsia="Times New Roman" w:hAnsi="Arial" w:cs="Arial"/>
          <w:i/>
          <w:iCs/>
          <w:color w:val="000000"/>
          <w:kern w:val="0"/>
          <w:sz w:val="20"/>
          <w:szCs w:val="20"/>
          <w:lang w:val="pt-BR" w:eastAsia="zh-CN"/>
          <w14:ligatures w14:val="none"/>
        </w:rPr>
        <w:br/>
        <w:t xml:space="preserve">Antônio Delfim Netto </w:t>
      </w:r>
      <w:r w:rsidRPr="00425A8F">
        <w:rPr>
          <w:rFonts w:ascii="Arial" w:eastAsia="Times New Roman" w:hAnsi="Arial" w:cs="Arial"/>
          <w:i/>
          <w:iCs/>
          <w:color w:val="000000"/>
          <w:kern w:val="0"/>
          <w:sz w:val="20"/>
          <w:szCs w:val="20"/>
          <w:lang w:val="pt-BR" w:eastAsia="zh-CN"/>
          <w14:ligatures w14:val="none"/>
        </w:rPr>
        <w:br/>
        <w:t xml:space="preserve">Mário David Andreazza </w:t>
      </w:r>
      <w:r w:rsidRPr="00425A8F">
        <w:rPr>
          <w:rFonts w:ascii="Arial" w:eastAsia="Times New Roman" w:hAnsi="Arial" w:cs="Arial"/>
          <w:i/>
          <w:iCs/>
          <w:color w:val="000000"/>
          <w:kern w:val="0"/>
          <w:sz w:val="20"/>
          <w:szCs w:val="20"/>
          <w:lang w:val="pt-BR" w:eastAsia="zh-CN"/>
          <w14:ligatures w14:val="none"/>
        </w:rPr>
        <w:br/>
        <w:t xml:space="preserve">Ivo Arzua Pereira </w:t>
      </w:r>
      <w:r w:rsidRPr="00425A8F">
        <w:rPr>
          <w:rFonts w:ascii="Arial" w:eastAsia="Times New Roman" w:hAnsi="Arial" w:cs="Arial"/>
          <w:i/>
          <w:iCs/>
          <w:color w:val="000000"/>
          <w:kern w:val="0"/>
          <w:sz w:val="20"/>
          <w:szCs w:val="20"/>
          <w:lang w:val="pt-BR" w:eastAsia="zh-CN"/>
          <w14:ligatures w14:val="none"/>
        </w:rPr>
        <w:br/>
        <w:t xml:space="preserve">Tarso Dutra </w:t>
      </w:r>
      <w:r w:rsidRPr="00425A8F">
        <w:rPr>
          <w:rFonts w:ascii="Arial" w:eastAsia="Times New Roman" w:hAnsi="Arial" w:cs="Arial"/>
          <w:i/>
          <w:iCs/>
          <w:color w:val="000000"/>
          <w:kern w:val="0"/>
          <w:sz w:val="20"/>
          <w:szCs w:val="20"/>
          <w:lang w:val="pt-BR" w:eastAsia="zh-CN"/>
          <w14:ligatures w14:val="none"/>
        </w:rPr>
        <w:br/>
        <w:t xml:space="preserve">Jarbas G. Passarinho </w:t>
      </w:r>
      <w:r w:rsidRPr="00425A8F">
        <w:rPr>
          <w:rFonts w:ascii="Arial" w:eastAsia="Times New Roman" w:hAnsi="Arial" w:cs="Arial"/>
          <w:i/>
          <w:iCs/>
          <w:color w:val="000000"/>
          <w:kern w:val="0"/>
          <w:sz w:val="20"/>
          <w:szCs w:val="20"/>
          <w:lang w:val="pt-BR" w:eastAsia="zh-CN"/>
          <w14:ligatures w14:val="none"/>
        </w:rPr>
        <w:br/>
        <w:t xml:space="preserve">Márcio de Souza e Mello </w:t>
      </w:r>
      <w:r w:rsidRPr="00425A8F">
        <w:rPr>
          <w:rFonts w:ascii="Arial" w:eastAsia="Times New Roman" w:hAnsi="Arial" w:cs="Arial"/>
          <w:i/>
          <w:iCs/>
          <w:color w:val="000000"/>
          <w:kern w:val="0"/>
          <w:sz w:val="20"/>
          <w:szCs w:val="20"/>
          <w:lang w:val="pt-BR" w:eastAsia="zh-CN"/>
          <w14:ligatures w14:val="none"/>
        </w:rPr>
        <w:br/>
        <w:t xml:space="preserve">Leonel Miranda </w:t>
      </w:r>
      <w:r w:rsidRPr="00425A8F">
        <w:rPr>
          <w:rFonts w:ascii="Arial" w:eastAsia="Times New Roman" w:hAnsi="Arial" w:cs="Arial"/>
          <w:i/>
          <w:iCs/>
          <w:color w:val="000000"/>
          <w:kern w:val="0"/>
          <w:sz w:val="20"/>
          <w:szCs w:val="20"/>
          <w:lang w:val="pt-BR" w:eastAsia="zh-CN"/>
          <w14:ligatures w14:val="none"/>
        </w:rPr>
        <w:br/>
        <w:t xml:space="preserve">José Costa Cavalcanti </w:t>
      </w:r>
      <w:r w:rsidRPr="00425A8F">
        <w:rPr>
          <w:rFonts w:ascii="Arial" w:eastAsia="Times New Roman" w:hAnsi="Arial" w:cs="Arial"/>
          <w:i/>
          <w:iCs/>
          <w:color w:val="000000"/>
          <w:kern w:val="0"/>
          <w:sz w:val="20"/>
          <w:szCs w:val="20"/>
          <w:lang w:val="pt-BR" w:eastAsia="zh-CN"/>
          <w14:ligatures w14:val="none"/>
        </w:rPr>
        <w:br/>
        <w:t xml:space="preserve">José Fernandes de Luna </w:t>
      </w:r>
      <w:r w:rsidRPr="00425A8F">
        <w:rPr>
          <w:rFonts w:ascii="Arial" w:eastAsia="Times New Roman" w:hAnsi="Arial" w:cs="Arial"/>
          <w:i/>
          <w:iCs/>
          <w:color w:val="000000"/>
          <w:kern w:val="0"/>
          <w:sz w:val="20"/>
          <w:szCs w:val="20"/>
          <w:lang w:val="pt-BR" w:eastAsia="zh-CN"/>
          <w14:ligatures w14:val="none"/>
        </w:rPr>
        <w:br/>
        <w:t xml:space="preserve">Hélio Beltrão </w:t>
      </w:r>
      <w:r w:rsidRPr="00425A8F">
        <w:rPr>
          <w:rFonts w:ascii="Arial" w:eastAsia="Times New Roman" w:hAnsi="Arial" w:cs="Arial"/>
          <w:i/>
          <w:iCs/>
          <w:color w:val="000000"/>
          <w:kern w:val="0"/>
          <w:sz w:val="20"/>
          <w:szCs w:val="20"/>
          <w:lang w:val="pt-BR" w:eastAsia="zh-CN"/>
          <w14:ligatures w14:val="none"/>
        </w:rPr>
        <w:br/>
        <w:t xml:space="preserve">Afonso A. Lima </w:t>
      </w:r>
      <w:r w:rsidRPr="00425A8F">
        <w:rPr>
          <w:rFonts w:ascii="Arial" w:eastAsia="Times New Roman" w:hAnsi="Arial" w:cs="Arial"/>
          <w:i/>
          <w:iCs/>
          <w:color w:val="000000"/>
          <w:kern w:val="0"/>
          <w:sz w:val="20"/>
          <w:szCs w:val="20"/>
          <w:lang w:val="pt-BR" w:eastAsia="zh-CN"/>
          <w14:ligatures w14:val="none"/>
        </w:rPr>
        <w:br/>
        <w:t xml:space="preserve">Carlos F. de Simas' </w:t>
      </w:r>
    </w:p>
    <w:p w14:paraId="2306E592" w14:textId="77777777" w:rsidR="00425A8F" w:rsidRPr="00425A8F" w:rsidRDefault="00425A8F" w:rsidP="00425A8F">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425A8F">
        <w:rPr>
          <w:rFonts w:ascii="Arial" w:eastAsia="Times New Roman" w:hAnsi="Arial" w:cs="Arial"/>
          <w:color w:val="FF0000"/>
          <w:kern w:val="0"/>
          <w:sz w:val="20"/>
          <w:szCs w:val="20"/>
          <w:lang w:val="pt-BR" w:eastAsia="zh-CN"/>
          <w14:ligatures w14:val="none"/>
        </w:rPr>
        <w:t>Este texto não substitui o publicado no DOU de 15.9.1967</w:t>
      </w:r>
    </w:p>
    <w:p w14:paraId="5AA1DE64" w14:textId="77777777" w:rsidR="00425A8F" w:rsidRPr="00425A8F" w:rsidRDefault="00425A8F" w:rsidP="00425A8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25A8F">
        <w:rPr>
          <w:rFonts w:ascii="Arial" w:eastAsia="Times New Roman" w:hAnsi="Arial" w:cs="Arial"/>
          <w:color w:val="FF0000"/>
          <w:kern w:val="0"/>
          <w:sz w:val="20"/>
          <w:szCs w:val="20"/>
          <w:lang w:eastAsia="zh-CN"/>
          <w14:ligatures w14:val="none"/>
        </w:rPr>
        <w:t>*</w:t>
      </w:r>
    </w:p>
    <w:p w14:paraId="0EDD7FB1" w14:textId="77777777" w:rsidR="00425A8F" w:rsidRPr="00425A8F" w:rsidRDefault="00425A8F" w:rsidP="00425A8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25A8F">
        <w:rPr>
          <w:rFonts w:ascii="Times New Roman" w:eastAsia="Times New Roman" w:hAnsi="Times New Roman" w:cs="Times New Roman"/>
          <w:kern w:val="0"/>
          <w:sz w:val="24"/>
          <w:szCs w:val="24"/>
          <w:lang w:eastAsia="zh-CN"/>
          <w14:ligatures w14:val="none"/>
        </w:rPr>
        <w:lastRenderedPageBreak/>
        <w:t> </w:t>
      </w:r>
    </w:p>
    <w:p w14:paraId="62786936" w14:textId="77777777" w:rsidR="00425A8F" w:rsidRPr="00425A8F" w:rsidRDefault="00425A8F" w:rsidP="00425A8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25A8F">
        <w:rPr>
          <w:rFonts w:ascii="Times New Roman" w:eastAsia="Times New Roman" w:hAnsi="Times New Roman" w:cs="Times New Roman"/>
          <w:kern w:val="0"/>
          <w:sz w:val="24"/>
          <w:szCs w:val="24"/>
          <w:lang w:eastAsia="zh-CN"/>
          <w14:ligatures w14:val="none"/>
        </w:rPr>
        <w:t> </w:t>
      </w:r>
    </w:p>
    <w:p w14:paraId="40693A7F" w14:textId="77777777" w:rsidR="00425A8F" w:rsidRPr="00425A8F" w:rsidRDefault="00425A8F" w:rsidP="00425A8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25A8F">
        <w:rPr>
          <w:rFonts w:ascii="Times New Roman" w:eastAsia="Times New Roman" w:hAnsi="Times New Roman" w:cs="Times New Roman"/>
          <w:kern w:val="0"/>
          <w:sz w:val="24"/>
          <w:szCs w:val="24"/>
          <w:lang w:eastAsia="zh-CN"/>
          <w14:ligatures w14:val="none"/>
        </w:rPr>
        <w:t> </w:t>
      </w:r>
    </w:p>
    <w:p w14:paraId="1FF5F9F9" w14:textId="77777777" w:rsidR="00425A8F" w:rsidRPr="00425A8F" w:rsidRDefault="00425A8F" w:rsidP="00425A8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25A8F">
        <w:rPr>
          <w:rFonts w:ascii="Times New Roman" w:eastAsia="Times New Roman" w:hAnsi="Times New Roman" w:cs="Times New Roman"/>
          <w:kern w:val="0"/>
          <w:sz w:val="24"/>
          <w:szCs w:val="24"/>
          <w:lang w:eastAsia="zh-CN"/>
          <w14:ligatures w14:val="none"/>
        </w:rPr>
        <w:t> </w:t>
      </w:r>
    </w:p>
    <w:p w14:paraId="3A838526" w14:textId="77777777" w:rsidR="00425A8F" w:rsidRPr="00425A8F" w:rsidRDefault="00425A8F" w:rsidP="00425A8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25A8F">
        <w:rPr>
          <w:rFonts w:ascii="Times New Roman" w:eastAsia="Times New Roman" w:hAnsi="Times New Roman" w:cs="Times New Roman"/>
          <w:kern w:val="0"/>
          <w:sz w:val="24"/>
          <w:szCs w:val="24"/>
          <w:lang w:eastAsia="zh-CN"/>
          <w14:ligatures w14:val="none"/>
        </w:rPr>
        <w:t> </w:t>
      </w:r>
    </w:p>
    <w:p w14:paraId="6297C56A" w14:textId="77777777" w:rsidR="00425A8F" w:rsidRPr="00425A8F" w:rsidRDefault="00425A8F" w:rsidP="00425A8F">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425A8F">
        <w:rPr>
          <w:rFonts w:ascii="Times New Roman" w:eastAsia="Times New Roman" w:hAnsi="Times New Roman" w:cs="Times New Roman"/>
          <w:kern w:val="0"/>
          <w:sz w:val="24"/>
          <w:szCs w:val="24"/>
          <w:lang w:eastAsia="zh-CN"/>
          <w14:ligatures w14:val="none"/>
        </w:rPr>
        <w:t> </w:t>
      </w:r>
    </w:p>
    <w:p w14:paraId="5C097C1A"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A8F"/>
    <w:rsid w:val="002608AA"/>
    <w:rsid w:val="00311013"/>
    <w:rsid w:val="00425A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1040"/>
  <w15:chartTrackingRefBased/>
  <w15:docId w15:val="{139BC6CD-6724-4319-9091-FCDEDFAD0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425A8F"/>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425A8F"/>
    <w:rPr>
      <w:b/>
      <w:bCs/>
    </w:rPr>
  </w:style>
  <w:style w:type="character" w:styleId="Hyperlink">
    <w:name w:val="Hyperlink"/>
    <w:basedOn w:val="Fontepargpadro"/>
    <w:uiPriority w:val="99"/>
    <w:semiHidden/>
    <w:unhideWhenUsed/>
    <w:rsid w:val="00425A8F"/>
    <w:rPr>
      <w:color w:val="0000FF"/>
      <w:u w:val="single"/>
    </w:rPr>
  </w:style>
  <w:style w:type="character" w:styleId="nfase">
    <w:name w:val="Emphasis"/>
    <w:basedOn w:val="Fontepargpadro"/>
    <w:uiPriority w:val="20"/>
    <w:qFormat/>
    <w:rsid w:val="00425A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50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67.htm" TargetMode="External"/><Relationship Id="rId3" Type="http://schemas.openxmlformats.org/officeDocument/2006/relationships/webSettings" Target="webSettings.xml"/><Relationship Id="rId7" Type="http://schemas.openxmlformats.org/officeDocument/2006/relationships/hyperlink" Target="http://www.planalto.gov.br/ccivil_03/Constituicao/Constituicao67.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_Ato2019-2022/2019/Lei/L13954.htm" TargetMode="External"/><Relationship Id="rId11" Type="http://schemas.openxmlformats.org/officeDocument/2006/relationships/theme" Target="theme/theme1.xml"/><Relationship Id="rId5" Type="http://schemas.openxmlformats.org/officeDocument/2006/relationships/hyperlink" Target="http://legislacao.planalto.gov.br/legisla/legislacao.nsf/b110756561cd26fd03256ff500612662/981a8ef60a053dcb032569fa00586794?OpenDocument" TargetMode="External"/><Relationship Id="rId10" Type="http://schemas.openxmlformats.org/officeDocument/2006/relationships/fontTable" Target="fontTable.xml"/><Relationship Id="rId4" Type="http://schemas.openxmlformats.org/officeDocument/2006/relationships/hyperlink" Target="http://legislacao.planalto.gov.br/legisla/legislacao.nsf/Viw_Identificacao/lei%205.315-1967?OpenDocument" TargetMode="External"/><Relationship Id="rId9" Type="http://schemas.openxmlformats.org/officeDocument/2006/relationships/hyperlink" Target="http://www.planalto.gov.br/ccivil_03/leis/L2579.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1152</Words>
  <Characters>6569</Characters>
  <Application>Microsoft Office Word</Application>
  <DocSecurity>0</DocSecurity>
  <Lines>54</Lines>
  <Paragraphs>15</Paragraphs>
  <ScaleCrop>false</ScaleCrop>
  <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2023-07-26T00:10:00Z</dcterms:created>
  <dcterms:modified xsi:type="dcterms:W3CDTF">2023-07-26T00:12:00Z</dcterms:modified>
</cp:coreProperties>
</file>