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40"/>
        <w:gridCol w:w="4813"/>
      </w:tblGrid>
      <w:tr w:rsidR="00AD2F5A" w:rsidRPr="00AD2F5A" w14:paraId="5F53EC47" w14:textId="77777777" w:rsidTr="00AD2F5A">
        <w:trPr>
          <w:tblCellSpacing w:w="0" w:type="dxa"/>
          <w:jc w:val="center"/>
        </w:trPr>
        <w:tc>
          <w:tcPr>
            <w:tcW w:w="700" w:type="pct"/>
            <w:vAlign w:val="center"/>
            <w:hideMark/>
          </w:tcPr>
          <w:p w14:paraId="0EFF876B" w14:textId="73450DB0" w:rsidR="00AD2F5A" w:rsidRPr="00AD2F5A" w:rsidRDefault="00AD2F5A" w:rsidP="00AD2F5A">
            <w:pPr>
              <w:spacing w:before="100" w:beforeAutospacing="1" w:after="100" w:afterAutospacing="1" w:line="240" w:lineRule="auto"/>
              <w:jc w:val="center"/>
              <w:rPr>
                <w:rFonts w:ascii="Times New Roman" w:eastAsia="Times New Roman" w:hAnsi="Times New Roman" w:cs="Times New Roman"/>
                <w:kern w:val="0"/>
                <w:sz w:val="24"/>
                <w:szCs w:val="24"/>
                <w:lang w:eastAsia="pt-BR"/>
                <w14:ligatures w14:val="none"/>
              </w:rPr>
            </w:pPr>
            <w:r w:rsidRPr="00AD2F5A">
              <w:rPr>
                <w:rFonts w:ascii="Times New Roman" w:eastAsia="Times New Roman" w:hAnsi="Times New Roman" w:cs="Times New Roman"/>
                <w:noProof/>
                <w:kern w:val="0"/>
                <w:sz w:val="20"/>
                <w:szCs w:val="20"/>
                <w:lang w:eastAsia="pt-BR"/>
                <w14:ligatures w14:val="none"/>
              </w:rPr>
              <mc:AlternateContent>
                <mc:Choice Requires="wps">
                  <w:drawing>
                    <wp:inline distT="0" distB="0" distL="0" distR="0" wp14:anchorId="479A8C27" wp14:editId="6E740086">
                      <wp:extent cx="723900" cy="784860"/>
                      <wp:effectExtent l="0" t="0" r="0" b="0"/>
                      <wp:docPr id="841768745" name="Retângulo 1" descr="Brasão das Armas Nacionais da República Federativa do Brasi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23900" cy="784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FEC1C28" id="Retângulo 1" o:spid="_x0000_s1026" alt="Brasão das Armas Nacionais da República Federativa do Brasil" style="width:57pt;height:6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" filled="f" stroked="f">
                      <o:lock v:ext="edit" aspectratio="t"/>
                      <w10:anchorlock/>
                    </v:rect>
                  </w:pict>
                </mc:Fallback>
              </mc:AlternateContent>
            </w:r>
          </w:p>
        </w:tc>
        <w:tc>
          <w:tcPr>
            <w:tcW w:w="4300" w:type="pct"/>
            <w:vAlign w:val="center"/>
            <w:hideMark/>
          </w:tcPr>
          <w:p w14:paraId="7BFACB3D" w14:textId="77777777" w:rsidR="00AD2F5A" w:rsidRPr="00AD2F5A" w:rsidRDefault="00AD2F5A" w:rsidP="00AD2F5A">
            <w:pPr>
              <w:spacing w:before="100" w:beforeAutospacing="1" w:after="100" w:afterAutospacing="1" w:line="240" w:lineRule="auto"/>
              <w:jc w:val="center"/>
              <w:rPr>
                <w:rFonts w:ascii="Times New Roman" w:eastAsia="Times New Roman" w:hAnsi="Times New Roman" w:cs="Times New Roman"/>
                <w:kern w:val="0"/>
                <w:sz w:val="24"/>
                <w:szCs w:val="24"/>
                <w:lang w:eastAsia="pt-BR"/>
                <w14:ligatures w14:val="none"/>
              </w:rPr>
            </w:pPr>
            <w:r w:rsidRPr="00AD2F5A">
              <w:rPr>
                <w:rFonts w:ascii="Arial" w:eastAsia="Times New Roman" w:hAnsi="Arial" w:cs="Arial"/>
                <w:b/>
                <w:bCs/>
                <w:color w:val="808000"/>
                <w:kern w:val="0"/>
                <w:sz w:val="36"/>
                <w:szCs w:val="36"/>
                <w:lang w:eastAsia="pt-BR"/>
                <w14:ligatures w14:val="none"/>
              </w:rPr>
              <w:t>Presidência da República</w:t>
            </w:r>
            <w:r w:rsidRPr="00AD2F5A">
              <w:rPr>
                <w:rFonts w:ascii="Arial" w:eastAsia="Times New Roman" w:hAnsi="Arial" w:cs="Arial"/>
                <w:b/>
                <w:bCs/>
                <w:color w:val="808000"/>
                <w:kern w:val="0"/>
                <w:sz w:val="24"/>
                <w:szCs w:val="24"/>
                <w:lang w:eastAsia="pt-BR"/>
                <w14:ligatures w14:val="none"/>
              </w:rPr>
              <w:br/>
            </w:r>
            <w:r w:rsidRPr="00AD2F5A">
              <w:rPr>
                <w:rFonts w:ascii="Arial" w:eastAsia="Times New Roman" w:hAnsi="Arial" w:cs="Arial"/>
                <w:b/>
                <w:bCs/>
                <w:color w:val="808000"/>
                <w:kern w:val="0"/>
                <w:sz w:val="27"/>
                <w:szCs w:val="27"/>
                <w:lang w:eastAsia="pt-BR"/>
                <w14:ligatures w14:val="none"/>
              </w:rPr>
              <w:t>Secretaria-Geral</w:t>
            </w:r>
            <w:r w:rsidRPr="00AD2F5A">
              <w:rPr>
                <w:rFonts w:ascii="Arial" w:eastAsia="Times New Roman" w:hAnsi="Arial" w:cs="Arial"/>
                <w:b/>
                <w:bCs/>
                <w:color w:val="808000"/>
                <w:kern w:val="0"/>
                <w:sz w:val="27"/>
                <w:szCs w:val="27"/>
                <w:lang w:eastAsia="pt-BR"/>
                <w14:ligatures w14:val="none"/>
              </w:rPr>
              <w:br/>
            </w:r>
            <w:r w:rsidRPr="00AD2F5A">
              <w:rPr>
                <w:rFonts w:ascii="Arial" w:eastAsia="Times New Roman" w:hAnsi="Arial" w:cs="Arial"/>
                <w:b/>
                <w:bCs/>
                <w:color w:val="808000"/>
                <w:kern w:val="0"/>
                <w:sz w:val="24"/>
                <w:szCs w:val="24"/>
                <w:lang w:eastAsia="pt-BR"/>
                <w14:ligatures w14:val="none"/>
              </w:rPr>
              <w:t>Subchefia para Assuntos Jurídicos</w:t>
            </w:r>
          </w:p>
        </w:tc>
      </w:tr>
    </w:tbl>
    <w:p w14:paraId="319C4938" w14:textId="77777777" w:rsidR="00AD2F5A" w:rsidRPr="00AD2F5A" w:rsidRDefault="00AD2F5A" w:rsidP="00AD2F5A">
      <w:pPr>
        <w:spacing w:before="300" w:after="300" w:line="240" w:lineRule="auto"/>
        <w:jc w:val="center"/>
        <w:rPr>
          <w:rFonts w:ascii="Times New Roman" w:eastAsia="Times New Roman" w:hAnsi="Times New Roman" w:cs="Times New Roman"/>
          <w:color w:val="000000"/>
          <w:kern w:val="0"/>
          <w:sz w:val="27"/>
          <w:szCs w:val="27"/>
          <w:lang w:eastAsia="pt-BR"/>
          <w14:ligatures w14:val="none"/>
        </w:rPr>
      </w:pPr>
      <w:hyperlink r:id="rId4" w:history="1">
        <w:r w:rsidRPr="00AD2F5A">
          <w:rPr>
            <w:rFonts w:ascii="Arial" w:eastAsia="Times New Roman" w:hAnsi="Arial" w:cs="Arial"/>
            <w:b/>
            <w:bCs/>
            <w:color w:val="000080"/>
            <w:kern w:val="0"/>
            <w:sz w:val="24"/>
            <w:szCs w:val="24"/>
            <w:u w:val="single"/>
            <w:lang w:eastAsia="pt-BR"/>
            <w14:ligatures w14:val="none"/>
          </w:rPr>
          <w:t>LEI Nº 13.135, DE 17 DE JUNHO DE 2015.</w:t>
        </w:r>
      </w:hyperlink>
    </w:p>
    <w:tbl>
      <w:tblPr>
        <w:tblW w:w="5000" w:type="pct"/>
        <w:tblCellSpacing w:w="0" w:type="dxa"/>
        <w:tblCellMar>
          <w:left w:w="0" w:type="dxa"/>
          <w:right w:w="0" w:type="dxa"/>
        </w:tblCellMar>
        <w:tblLook w:val="04A0" w:firstRow="1" w:lastRow="0" w:firstColumn="1" w:lastColumn="0" w:noHBand="0" w:noVBand="1"/>
      </w:tblPr>
      <w:tblGrid>
        <w:gridCol w:w="4252"/>
        <w:gridCol w:w="4252"/>
      </w:tblGrid>
      <w:tr w:rsidR="00AD2F5A" w:rsidRPr="00AD2F5A" w14:paraId="2682A486" w14:textId="77777777" w:rsidTr="00AD2F5A">
        <w:trPr>
          <w:tblCellSpacing w:w="0" w:type="dxa"/>
        </w:trPr>
        <w:tc>
          <w:tcPr>
            <w:tcW w:w="2500" w:type="pct"/>
            <w:vAlign w:val="center"/>
            <w:hideMark/>
          </w:tcPr>
          <w:p w14:paraId="53B1B29F" w14:textId="77777777" w:rsidR="00AD2F5A" w:rsidRPr="00AD2F5A" w:rsidRDefault="00AD2F5A" w:rsidP="00AD2F5A">
            <w:pPr>
              <w:spacing w:after="0" w:line="240" w:lineRule="auto"/>
              <w:rPr>
                <w:rFonts w:ascii="Times New Roman" w:eastAsia="Times New Roman" w:hAnsi="Times New Roman" w:cs="Times New Roman"/>
                <w:kern w:val="0"/>
                <w:sz w:val="24"/>
                <w:szCs w:val="24"/>
                <w:lang w:eastAsia="pt-BR"/>
                <w14:ligatures w14:val="none"/>
              </w:rPr>
            </w:pPr>
            <w:hyperlink r:id="rId5" w:anchor="art6" w:history="1">
              <w:r w:rsidRPr="00AD2F5A">
                <w:rPr>
                  <w:rFonts w:ascii="Times New Roman" w:eastAsia="Times New Roman" w:hAnsi="Times New Roman" w:cs="Times New Roman"/>
                  <w:color w:val="0000FF"/>
                  <w:kern w:val="0"/>
                  <w:sz w:val="20"/>
                  <w:szCs w:val="20"/>
                  <w:u w:val="single"/>
                  <w:lang w:eastAsia="pt-BR"/>
                  <w14:ligatures w14:val="none"/>
                </w:rPr>
                <w:t>Vigência</w:t>
              </w:r>
            </w:hyperlink>
          </w:p>
          <w:p w14:paraId="631E7053" w14:textId="77777777" w:rsidR="00AD2F5A" w:rsidRPr="00AD2F5A" w:rsidRDefault="00AD2F5A" w:rsidP="00AD2F5A">
            <w:pPr>
              <w:spacing w:before="100" w:beforeAutospacing="1" w:after="100" w:afterAutospacing="1" w:line="240" w:lineRule="auto"/>
              <w:rPr>
                <w:rFonts w:ascii="Times New Roman" w:eastAsia="Times New Roman" w:hAnsi="Times New Roman" w:cs="Times New Roman"/>
                <w:kern w:val="0"/>
                <w:sz w:val="24"/>
                <w:szCs w:val="24"/>
                <w:lang w:eastAsia="pt-BR"/>
                <w14:ligatures w14:val="none"/>
              </w:rPr>
            </w:pPr>
            <w:hyperlink r:id="rId6" w:history="1">
              <w:r w:rsidRPr="00AD2F5A">
                <w:rPr>
                  <w:rFonts w:ascii="Times New Roman" w:eastAsia="Times New Roman" w:hAnsi="Times New Roman" w:cs="Times New Roman"/>
                  <w:color w:val="0000FF"/>
                  <w:kern w:val="0"/>
                  <w:sz w:val="20"/>
                  <w:szCs w:val="20"/>
                  <w:u w:val="single"/>
                  <w:lang w:eastAsia="pt-BR"/>
                  <w14:ligatures w14:val="none"/>
                </w:rPr>
                <w:t>Mensagem de veto</w:t>
              </w:r>
            </w:hyperlink>
          </w:p>
          <w:p w14:paraId="21C815F1" w14:textId="77777777" w:rsidR="00AD2F5A" w:rsidRPr="00AD2F5A" w:rsidRDefault="00AD2F5A" w:rsidP="00AD2F5A">
            <w:pPr>
              <w:spacing w:before="100" w:beforeAutospacing="1" w:after="100" w:afterAutospacing="1" w:line="240" w:lineRule="auto"/>
              <w:rPr>
                <w:rFonts w:ascii="Times New Roman" w:eastAsia="Times New Roman" w:hAnsi="Times New Roman" w:cs="Times New Roman"/>
                <w:kern w:val="0"/>
                <w:sz w:val="24"/>
                <w:szCs w:val="24"/>
                <w:lang w:eastAsia="pt-BR"/>
                <w14:ligatures w14:val="none"/>
              </w:rPr>
            </w:pPr>
            <w:hyperlink r:id="rId7" w:history="1">
              <w:r w:rsidRPr="00AD2F5A">
                <w:rPr>
                  <w:rFonts w:ascii="Times New Roman" w:eastAsia="Times New Roman" w:hAnsi="Times New Roman" w:cs="Times New Roman"/>
                  <w:color w:val="0000FF"/>
                  <w:kern w:val="0"/>
                  <w:sz w:val="20"/>
                  <w:szCs w:val="20"/>
                  <w:u w:val="single"/>
                  <w:lang w:eastAsia="pt-BR"/>
                  <w14:ligatures w14:val="none"/>
                </w:rPr>
                <w:t>Conversão da Medida Provisória nº 664, de 2014</w:t>
              </w:r>
            </w:hyperlink>
          </w:p>
        </w:tc>
        <w:tc>
          <w:tcPr>
            <w:tcW w:w="2500" w:type="pct"/>
            <w:vAlign w:val="center"/>
            <w:hideMark/>
          </w:tcPr>
          <w:p w14:paraId="13FE86B6" w14:textId="77777777" w:rsidR="00AD2F5A" w:rsidRPr="00AD2F5A" w:rsidRDefault="00AD2F5A" w:rsidP="00AD2F5A">
            <w:pPr>
              <w:spacing w:after="0" w:line="240" w:lineRule="auto"/>
              <w:rPr>
                <w:rFonts w:ascii="Arial" w:eastAsia="Times New Roman" w:hAnsi="Arial" w:cs="Arial"/>
                <w:kern w:val="0"/>
                <w:sz w:val="20"/>
                <w:szCs w:val="20"/>
                <w:lang w:eastAsia="pt-BR"/>
                <w14:ligatures w14:val="none"/>
              </w:rPr>
            </w:pPr>
            <w:r w:rsidRPr="00AD2F5A">
              <w:rPr>
                <w:rFonts w:ascii="Arial" w:eastAsia="Times New Roman" w:hAnsi="Arial" w:cs="Arial"/>
                <w:color w:val="800000"/>
                <w:kern w:val="0"/>
                <w:sz w:val="20"/>
                <w:szCs w:val="20"/>
                <w:lang w:eastAsia="pt-BR"/>
                <w14:ligatures w14:val="none"/>
              </w:rPr>
              <w:t>Altera as Leis nº 8.213, de 24 de julho de 1991, nº 10.876, de 2 de junho de 2004, nº 8.112, de 11 de dezembro de 1990, e nº 10.666, de 8 de maio de 2003, e dá outras providências.</w:t>
            </w:r>
          </w:p>
        </w:tc>
      </w:tr>
    </w:tbl>
    <w:p w14:paraId="7CEE6931" w14:textId="77777777" w:rsidR="00AD2F5A" w:rsidRPr="00AD2F5A" w:rsidRDefault="00AD2F5A" w:rsidP="00AD2F5A">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r w:rsidRPr="00AD2F5A">
        <w:rPr>
          <w:rFonts w:ascii="Arial" w:eastAsia="Times New Roman" w:hAnsi="Arial" w:cs="Arial"/>
          <w:b/>
          <w:bCs/>
          <w:color w:val="000000"/>
          <w:kern w:val="0"/>
          <w:sz w:val="20"/>
          <w:szCs w:val="20"/>
          <w:lang w:eastAsia="pt-BR"/>
          <w14:ligatures w14:val="none"/>
        </w:rPr>
        <w:t>A PRESIDENTA DA REPÚBLICA </w:t>
      </w:r>
      <w:r w:rsidRPr="00AD2F5A">
        <w:rPr>
          <w:rFonts w:ascii="Arial" w:eastAsia="Times New Roman" w:hAnsi="Arial" w:cs="Arial"/>
          <w:color w:val="000000"/>
          <w:kern w:val="0"/>
          <w:sz w:val="20"/>
          <w:szCs w:val="20"/>
          <w:lang w:eastAsia="pt-BR"/>
          <w14:ligatures w14:val="none"/>
        </w:rPr>
        <w:t>Faço saber que o Congresso Nacional decreta e eu sanciono a seguinte Lei:</w:t>
      </w:r>
    </w:p>
    <w:p w14:paraId="614665B3" w14:textId="77777777" w:rsidR="00AD2F5A" w:rsidRPr="00AD2F5A" w:rsidRDefault="00AD2F5A" w:rsidP="00AD2F5A">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bookmarkStart w:id="0" w:name="art1"/>
      <w:bookmarkEnd w:id="0"/>
      <w:r w:rsidRPr="00AD2F5A">
        <w:rPr>
          <w:rFonts w:ascii="Arial" w:eastAsia="Times New Roman" w:hAnsi="Arial" w:cs="Arial"/>
          <w:color w:val="000000"/>
          <w:kern w:val="0"/>
          <w:sz w:val="20"/>
          <w:szCs w:val="20"/>
          <w:lang w:eastAsia="pt-BR"/>
          <w14:ligatures w14:val="none"/>
        </w:rPr>
        <w:t>Art. 1º A </w:t>
      </w:r>
      <w:hyperlink r:id="rId8" w:history="1">
        <w:r w:rsidRPr="00AD2F5A">
          <w:rPr>
            <w:rFonts w:ascii="Arial" w:eastAsia="Times New Roman" w:hAnsi="Arial" w:cs="Arial"/>
            <w:color w:val="0000FF"/>
            <w:kern w:val="0"/>
            <w:sz w:val="20"/>
            <w:szCs w:val="20"/>
            <w:u w:val="single"/>
            <w:lang w:eastAsia="pt-BR"/>
            <w14:ligatures w14:val="none"/>
          </w:rPr>
          <w:t>Lei nº 8.213, de 24 de julho de 1991 </w:t>
        </w:r>
      </w:hyperlink>
      <w:r w:rsidRPr="00AD2F5A">
        <w:rPr>
          <w:rFonts w:ascii="Arial" w:eastAsia="Times New Roman" w:hAnsi="Arial" w:cs="Arial"/>
          <w:color w:val="000000"/>
          <w:kern w:val="0"/>
          <w:sz w:val="20"/>
          <w:szCs w:val="20"/>
          <w:lang w:eastAsia="pt-BR"/>
          <w14:ligatures w14:val="none"/>
        </w:rPr>
        <w:t>, passa a vigorar com as seguintes alterações:</w:t>
      </w:r>
    </w:p>
    <w:p w14:paraId="64B86941" w14:textId="77777777" w:rsidR="00AD2F5A" w:rsidRPr="00AD2F5A" w:rsidRDefault="00AD2F5A" w:rsidP="00AD2F5A">
      <w:pPr>
        <w:spacing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val="en-US" w:eastAsia="pt-BR"/>
          <w14:ligatures w14:val="none"/>
        </w:rPr>
        <w:t>“Art. 15. ....................................................................</w:t>
      </w:r>
    </w:p>
    <w:p w14:paraId="11AACBAA"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val="en-US" w:eastAsia="pt-BR"/>
          <w14:ligatures w14:val="none"/>
        </w:rPr>
        <w:t>.........................................................................................</w:t>
      </w:r>
    </w:p>
    <w:p w14:paraId="6054058F"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val="en-US" w:eastAsia="pt-BR"/>
          <w14:ligatures w14:val="none"/>
        </w:rPr>
        <w:t>II - (VETADO);</w:t>
      </w:r>
    </w:p>
    <w:p w14:paraId="12661FC2"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val="en-US" w:eastAsia="pt-BR"/>
          <w14:ligatures w14:val="none"/>
        </w:rPr>
        <w:t>...............................................................................” (NR)</w:t>
      </w:r>
    </w:p>
    <w:p w14:paraId="72DD2306"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bookmarkStart w:id="1" w:name="art16"/>
      <w:bookmarkEnd w:id="1"/>
      <w:r w:rsidRPr="00AD2F5A">
        <w:rPr>
          <w:rFonts w:ascii="Arial" w:eastAsia="Times New Roman" w:hAnsi="Arial" w:cs="Arial"/>
          <w:color w:val="000000"/>
          <w:kern w:val="0"/>
          <w:sz w:val="20"/>
          <w:szCs w:val="20"/>
          <w:lang w:val="en-US" w:eastAsia="pt-BR"/>
          <w14:ligatures w14:val="none"/>
        </w:rPr>
        <w:t>“Art. 16. ...................................................................</w:t>
      </w:r>
    </w:p>
    <w:p w14:paraId="28959D4F"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I - (VETADO); </w:t>
      </w:r>
      <w:hyperlink r:id="rId9" w:anchor="art6ii" w:history="1">
        <w:r w:rsidRPr="00AD2F5A">
          <w:rPr>
            <w:rFonts w:ascii="Arial" w:eastAsia="Times New Roman" w:hAnsi="Arial" w:cs="Arial"/>
            <w:color w:val="0000FF"/>
            <w:kern w:val="0"/>
            <w:sz w:val="20"/>
            <w:szCs w:val="20"/>
            <w:u w:val="single"/>
            <w:lang w:eastAsia="pt-BR"/>
            <w14:ligatures w14:val="none"/>
          </w:rPr>
          <w:t>(Vigência)</w:t>
        </w:r>
      </w:hyperlink>
    </w:p>
    <w:p w14:paraId="0EC0AA8E"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w:t>
      </w:r>
    </w:p>
    <w:p w14:paraId="105BCEAC"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hyperlink r:id="rId10" w:anchor="art16iii...." w:history="1">
        <w:r w:rsidRPr="00AD2F5A">
          <w:rPr>
            <w:rFonts w:ascii="Arial" w:eastAsia="Times New Roman" w:hAnsi="Arial" w:cs="Arial"/>
            <w:color w:val="0000FF"/>
            <w:kern w:val="0"/>
            <w:sz w:val="20"/>
            <w:szCs w:val="20"/>
            <w:u w:val="single"/>
            <w:lang w:eastAsia="pt-BR"/>
            <w14:ligatures w14:val="none"/>
          </w:rPr>
          <w:t>III - </w:t>
        </w:r>
      </w:hyperlink>
      <w:r w:rsidRPr="00AD2F5A">
        <w:rPr>
          <w:rFonts w:ascii="Arial" w:eastAsia="Times New Roman" w:hAnsi="Arial" w:cs="Arial"/>
          <w:color w:val="000000"/>
          <w:kern w:val="0"/>
          <w:sz w:val="20"/>
          <w:szCs w:val="20"/>
          <w:lang w:eastAsia="pt-BR"/>
          <w14:ligatures w14:val="none"/>
        </w:rPr>
        <w:t>o irmão de qualquer condição menor de 21 (vinte e um) anos ou inválido ou que tenha deficiência intelectual ou mental ou deficiência grave, nos termos do regulamento; </w:t>
      </w:r>
      <w:hyperlink r:id="rId11" w:anchor="art6ii" w:history="1">
        <w:r w:rsidRPr="00AD2F5A">
          <w:rPr>
            <w:rFonts w:ascii="Arial" w:eastAsia="Times New Roman" w:hAnsi="Arial" w:cs="Arial"/>
            <w:color w:val="0000FF"/>
            <w:kern w:val="0"/>
            <w:sz w:val="20"/>
            <w:szCs w:val="20"/>
            <w:u w:val="single"/>
            <w:lang w:eastAsia="pt-BR"/>
            <w14:ligatures w14:val="none"/>
          </w:rPr>
          <w:t>(Vigência)</w:t>
        </w:r>
      </w:hyperlink>
    </w:p>
    <w:p w14:paraId="2D146218"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 (NR)</w:t>
      </w:r>
    </w:p>
    <w:p w14:paraId="020402BF"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“Art. 26. .....................................................................</w:t>
      </w:r>
    </w:p>
    <w:p w14:paraId="6EEA0C8F"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w:t>
      </w:r>
    </w:p>
    <w:p w14:paraId="23F0CC7B"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hyperlink r:id="rId12" w:anchor="art26ii.." w:history="1">
        <w:r w:rsidRPr="00AD2F5A">
          <w:rPr>
            <w:rFonts w:ascii="Arial" w:eastAsia="Times New Roman" w:hAnsi="Arial" w:cs="Arial"/>
            <w:color w:val="0000FF"/>
            <w:kern w:val="0"/>
            <w:sz w:val="20"/>
            <w:szCs w:val="20"/>
            <w:u w:val="single"/>
            <w:lang w:eastAsia="pt-BR"/>
            <w14:ligatures w14:val="none"/>
          </w:rPr>
          <w:t>II - </w:t>
        </w:r>
      </w:hyperlink>
      <w:r w:rsidRPr="00AD2F5A">
        <w:rPr>
          <w:rFonts w:ascii="Arial" w:eastAsia="Times New Roman" w:hAnsi="Arial" w:cs="Arial"/>
          <w:color w:val="000000"/>
          <w:kern w:val="0"/>
          <w:sz w:val="20"/>
          <w:szCs w:val="20"/>
          <w:lang w:eastAsia="pt-BR"/>
          <w14:ligatures w14:val="none"/>
        </w:rPr>
        <w:t>auxílio-doença e aposentadoria por invalidez nos casos de acidente de qualquer natureza ou causa e de doença profissional ou do trabalho, bem como nos casos de segurado que, após filiar-se ao RGPS, for acometido de alguma das doenças e afecções especificadas em lista elaborada pelos Ministérios da Saúde e da Previdência Social, atualizada a cada 3 (três) anos, de acordo com os critérios de estigma, deformação, mutilação, deficiência ou outro fator que lhe confira especificidade e gravidade que mereçam tratamento particularizado;</w:t>
      </w:r>
    </w:p>
    <w:p w14:paraId="67E13EE8"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 (NR)</w:t>
      </w:r>
    </w:p>
    <w:p w14:paraId="47373B46"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“Art. 29. .....................................................................</w:t>
      </w:r>
    </w:p>
    <w:p w14:paraId="2CE9C2F9"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w:t>
      </w:r>
    </w:p>
    <w:p w14:paraId="1EE99C6E"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hyperlink r:id="rId13" w:anchor="art29%C2%A710." w:history="1">
        <w:r w:rsidRPr="00AD2F5A">
          <w:rPr>
            <w:rFonts w:ascii="Arial" w:eastAsia="Times New Roman" w:hAnsi="Arial" w:cs="Arial"/>
            <w:color w:val="0000FF"/>
            <w:kern w:val="0"/>
            <w:sz w:val="20"/>
            <w:szCs w:val="20"/>
            <w:u w:val="single"/>
            <w:lang w:eastAsia="pt-BR"/>
            <w14:ligatures w14:val="none"/>
          </w:rPr>
          <w:t>§ 10. </w:t>
        </w:r>
      </w:hyperlink>
      <w:r w:rsidRPr="00AD2F5A">
        <w:rPr>
          <w:rFonts w:ascii="Arial" w:eastAsia="Times New Roman" w:hAnsi="Arial" w:cs="Arial"/>
          <w:color w:val="000000"/>
          <w:kern w:val="0"/>
          <w:sz w:val="20"/>
          <w:szCs w:val="20"/>
          <w:lang w:eastAsia="pt-BR"/>
          <w14:ligatures w14:val="none"/>
        </w:rPr>
        <w:t>O auxílio-doença não poderá exceder a média aritmética simples dos últimos 12 (doze) salários-de-contribuição, inclusive em caso de remuneração variável, ou, se não alcançado o número de 12 (doze), a média aritmética simples dos salários-de-contribuição existentes.</w:t>
      </w:r>
    </w:p>
    <w:p w14:paraId="0322F6DD"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 11. (VETADO).</w:t>
      </w:r>
    </w:p>
    <w:p w14:paraId="6F653A06"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 12. (VETADO).</w:t>
      </w:r>
    </w:p>
    <w:p w14:paraId="196FEBCD"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 13. (VETADO).” (NR)</w:t>
      </w:r>
    </w:p>
    <w:p w14:paraId="75B5C600"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“Art. 32. (VETADO).”</w:t>
      </w:r>
    </w:p>
    <w:p w14:paraId="5979E67C"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“Art. 60. ....................................................................</w:t>
      </w:r>
    </w:p>
    <w:p w14:paraId="348BFFE2"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w:t>
      </w:r>
    </w:p>
    <w:p w14:paraId="79E45CF6"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hyperlink r:id="rId14" w:anchor="art60%C2%A75." w:history="1">
        <w:r w:rsidRPr="00AD2F5A">
          <w:rPr>
            <w:rFonts w:ascii="Arial" w:eastAsia="Times New Roman" w:hAnsi="Arial" w:cs="Arial"/>
            <w:color w:val="0000FF"/>
            <w:kern w:val="0"/>
            <w:sz w:val="20"/>
            <w:szCs w:val="20"/>
            <w:u w:val="single"/>
            <w:lang w:eastAsia="pt-BR"/>
            <w14:ligatures w14:val="none"/>
          </w:rPr>
          <w:t>§ 5º </w:t>
        </w:r>
      </w:hyperlink>
      <w:r w:rsidRPr="00AD2F5A">
        <w:rPr>
          <w:rFonts w:ascii="Arial" w:eastAsia="Times New Roman" w:hAnsi="Arial" w:cs="Arial"/>
          <w:color w:val="000000"/>
          <w:kern w:val="0"/>
          <w:sz w:val="20"/>
          <w:szCs w:val="20"/>
          <w:lang w:eastAsia="pt-BR"/>
          <w14:ligatures w14:val="none"/>
        </w:rPr>
        <w:t>Nos casos de impossibilidade de realização de perícia médica pelo órgão ou setor próprio competente, assim como de efetiva incapacidade física ou técnica de implementação das atividades e de atendimento adequado à clientela da previdência social, o INSS poderá, sem ônus para os segurados, celebrar, nos termos do regulamento, convênios, termos de execução descentralizada, termos de fomento ou de colaboração, contratos não onerosos ou acordos de cooperação técnica para realização de perícia médica, por delegação ou simples cooperação técnica, sob sua coordenação e supervisão, com:</w:t>
      </w:r>
    </w:p>
    <w:p w14:paraId="48CF3DBB"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I - órgãos e entidades públicos ou que integrem o Sistema Único de Saúde (SUS);</w:t>
      </w:r>
    </w:p>
    <w:p w14:paraId="51800C38"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II - (VETADO);</w:t>
      </w:r>
    </w:p>
    <w:p w14:paraId="38619FA7"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III - (VETADO).</w:t>
      </w:r>
    </w:p>
    <w:p w14:paraId="1436A54F"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hyperlink r:id="rId15" w:anchor="art60%C2%A76." w:history="1">
        <w:r w:rsidRPr="00AD2F5A">
          <w:rPr>
            <w:rFonts w:ascii="Arial" w:eastAsia="Times New Roman" w:hAnsi="Arial" w:cs="Arial"/>
            <w:color w:val="0000FF"/>
            <w:kern w:val="0"/>
            <w:sz w:val="20"/>
            <w:szCs w:val="20"/>
            <w:u w:val="single"/>
            <w:lang w:eastAsia="pt-BR"/>
            <w14:ligatures w14:val="none"/>
          </w:rPr>
          <w:t>§ 6º </w:t>
        </w:r>
      </w:hyperlink>
      <w:r w:rsidRPr="00AD2F5A">
        <w:rPr>
          <w:rFonts w:ascii="Arial" w:eastAsia="Times New Roman" w:hAnsi="Arial" w:cs="Arial"/>
          <w:color w:val="000000"/>
          <w:kern w:val="0"/>
          <w:sz w:val="20"/>
          <w:szCs w:val="20"/>
          <w:lang w:eastAsia="pt-BR"/>
          <w14:ligatures w14:val="none"/>
        </w:rPr>
        <w:t>O segurado que durante o gozo do auxílio-doença vier a exercer atividade que lhe garanta subsistência poderá ter o benefício cancelado a partir do retorno à atividade.</w:t>
      </w:r>
    </w:p>
    <w:p w14:paraId="0F7080CC"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hyperlink r:id="rId16" w:anchor="art60%C2%A77" w:history="1">
        <w:r w:rsidRPr="00AD2F5A">
          <w:rPr>
            <w:rFonts w:ascii="Arial" w:eastAsia="Times New Roman" w:hAnsi="Arial" w:cs="Arial"/>
            <w:color w:val="0000FF"/>
            <w:kern w:val="0"/>
            <w:sz w:val="20"/>
            <w:szCs w:val="20"/>
            <w:u w:val="single"/>
            <w:lang w:eastAsia="pt-BR"/>
            <w14:ligatures w14:val="none"/>
          </w:rPr>
          <w:t>§ 7º </w:t>
        </w:r>
      </w:hyperlink>
      <w:r w:rsidRPr="00AD2F5A">
        <w:rPr>
          <w:rFonts w:ascii="Arial" w:eastAsia="Times New Roman" w:hAnsi="Arial" w:cs="Arial"/>
          <w:color w:val="000000"/>
          <w:kern w:val="0"/>
          <w:sz w:val="20"/>
          <w:szCs w:val="20"/>
          <w:lang w:eastAsia="pt-BR"/>
          <w14:ligatures w14:val="none"/>
        </w:rPr>
        <w:t>Na hipótese do § 6º, caso o segurado, durante o gozo do auxílio-doença, venha a exercer atividade diversa daquela que gerou o benefício, deverá ser verificada a incapacidade para cada uma das atividades exercidas.” (NR)</w:t>
      </w:r>
    </w:p>
    <w:p w14:paraId="6A09D551"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“Art. 74. .....................................................................</w:t>
      </w:r>
    </w:p>
    <w:p w14:paraId="16498202"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w:t>
      </w:r>
    </w:p>
    <w:p w14:paraId="1D0D4AB0"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hyperlink r:id="rId17" w:anchor="art74%C2%A71." w:history="1">
        <w:r w:rsidRPr="00AD2F5A">
          <w:rPr>
            <w:rFonts w:ascii="Arial" w:eastAsia="Times New Roman" w:hAnsi="Arial" w:cs="Arial"/>
            <w:color w:val="0000FF"/>
            <w:kern w:val="0"/>
            <w:sz w:val="20"/>
            <w:szCs w:val="20"/>
            <w:u w:val="single"/>
            <w:lang w:eastAsia="pt-BR"/>
            <w14:ligatures w14:val="none"/>
          </w:rPr>
          <w:t>§ 1º </w:t>
        </w:r>
      </w:hyperlink>
      <w:r w:rsidRPr="00AD2F5A">
        <w:rPr>
          <w:rFonts w:ascii="Arial" w:eastAsia="Times New Roman" w:hAnsi="Arial" w:cs="Arial"/>
          <w:color w:val="000000"/>
          <w:kern w:val="0"/>
          <w:sz w:val="20"/>
          <w:szCs w:val="20"/>
          <w:lang w:eastAsia="pt-BR"/>
          <w14:ligatures w14:val="none"/>
        </w:rPr>
        <w:t>Perde o direito à pensão por morte, após o trânsito em julgado, o condenado pela prática de crime de que tenha dolosamente resultado a morte do segurado.</w:t>
      </w:r>
    </w:p>
    <w:p w14:paraId="21F7121D"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 2º Perde o direito à pensão por morte o cônjuge, o companheiro ou a companheira se comprovada, a qualquer tempo, simulação ou fraude no casamento ou na união estável, ou a formalização desses com o fim exclusivo de constituir benefício previdenciário, apuradas em processo judicial no qual será assegurado o direito ao contraditório e à ampla defesa.” (NR)</w:t>
      </w:r>
    </w:p>
    <w:p w14:paraId="1E7EA3A6"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 </w:t>
      </w:r>
      <w:bookmarkStart w:id="2" w:name="art77"/>
      <w:bookmarkEnd w:id="2"/>
      <w:r w:rsidRPr="00AD2F5A">
        <w:rPr>
          <w:rFonts w:ascii="Arial" w:eastAsia="Times New Roman" w:hAnsi="Arial" w:cs="Arial"/>
          <w:color w:val="000000"/>
          <w:kern w:val="0"/>
          <w:sz w:val="20"/>
          <w:szCs w:val="20"/>
          <w:lang w:eastAsia="pt-BR"/>
          <w14:ligatures w14:val="none"/>
        </w:rPr>
        <w:t>Art. 77. .....................................................................</w:t>
      </w:r>
    </w:p>
    <w:p w14:paraId="7B58EB39"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w:t>
      </w:r>
    </w:p>
    <w:p w14:paraId="1D44D455"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hyperlink r:id="rId18" w:anchor="art77%C2%A72.." w:history="1">
        <w:r w:rsidRPr="00AD2F5A">
          <w:rPr>
            <w:rFonts w:ascii="Arial" w:eastAsia="Times New Roman" w:hAnsi="Arial" w:cs="Arial"/>
            <w:color w:val="0000FF"/>
            <w:kern w:val="0"/>
            <w:sz w:val="20"/>
            <w:szCs w:val="20"/>
            <w:u w:val="single"/>
            <w:lang w:eastAsia="pt-BR"/>
            <w14:ligatures w14:val="none"/>
          </w:rPr>
          <w:t>§ 2º </w:t>
        </w:r>
      </w:hyperlink>
      <w:r w:rsidRPr="00AD2F5A">
        <w:rPr>
          <w:rFonts w:ascii="Arial" w:eastAsia="Times New Roman" w:hAnsi="Arial" w:cs="Arial"/>
          <w:color w:val="000000"/>
          <w:kern w:val="0"/>
          <w:sz w:val="20"/>
          <w:szCs w:val="20"/>
          <w:lang w:eastAsia="pt-BR"/>
          <w14:ligatures w14:val="none"/>
        </w:rPr>
        <w:t>O direito à percepção de cada cota individual cessará:</w:t>
      </w:r>
    </w:p>
    <w:p w14:paraId="749286A2"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w:t>
      </w:r>
    </w:p>
    <w:p w14:paraId="3443F92D"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hyperlink r:id="rId19" w:anchor="art77%C2%A72ii.." w:history="1">
        <w:r w:rsidRPr="00AD2F5A">
          <w:rPr>
            <w:rFonts w:ascii="Arial" w:eastAsia="Times New Roman" w:hAnsi="Arial" w:cs="Arial"/>
            <w:color w:val="0000FF"/>
            <w:kern w:val="0"/>
            <w:sz w:val="20"/>
            <w:szCs w:val="20"/>
            <w:u w:val="single"/>
            <w:lang w:eastAsia="pt-BR"/>
            <w14:ligatures w14:val="none"/>
          </w:rPr>
          <w:t>II - </w:t>
        </w:r>
      </w:hyperlink>
      <w:r w:rsidRPr="00AD2F5A">
        <w:rPr>
          <w:rFonts w:ascii="Arial" w:eastAsia="Times New Roman" w:hAnsi="Arial" w:cs="Arial"/>
          <w:color w:val="000000"/>
          <w:kern w:val="0"/>
          <w:sz w:val="20"/>
          <w:szCs w:val="20"/>
          <w:lang w:eastAsia="pt-BR"/>
          <w14:ligatures w14:val="none"/>
        </w:rPr>
        <w:t>para filho, pessoa a ele equiparada ou irmão, de ambos os sexos, ao completar 21 (vinte e um) anos de idade, salvo se for inválido ou com deficiência;</w:t>
      </w:r>
    </w:p>
    <w:p w14:paraId="2EBB04CC"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hyperlink r:id="rId20" w:anchor="art77%C2%A72iii..." w:history="1">
        <w:r w:rsidRPr="00AD2F5A">
          <w:rPr>
            <w:rFonts w:ascii="Arial" w:eastAsia="Times New Roman" w:hAnsi="Arial" w:cs="Arial"/>
            <w:color w:val="0000FF"/>
            <w:kern w:val="0"/>
            <w:sz w:val="20"/>
            <w:szCs w:val="20"/>
            <w:u w:val="single"/>
            <w:lang w:eastAsia="pt-BR"/>
            <w14:ligatures w14:val="none"/>
          </w:rPr>
          <w:t>III - </w:t>
        </w:r>
      </w:hyperlink>
      <w:r w:rsidRPr="00AD2F5A">
        <w:rPr>
          <w:rFonts w:ascii="Arial" w:eastAsia="Times New Roman" w:hAnsi="Arial" w:cs="Arial"/>
          <w:color w:val="000000"/>
          <w:kern w:val="0"/>
          <w:sz w:val="20"/>
          <w:szCs w:val="20"/>
          <w:lang w:eastAsia="pt-BR"/>
          <w14:ligatures w14:val="none"/>
        </w:rPr>
        <w:t>para filho ou irmão inválido, pela cessação da invalidez;</w:t>
      </w:r>
    </w:p>
    <w:p w14:paraId="57B3CA98"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hyperlink r:id="rId21" w:anchor="art77%C2%A72iv." w:history="1">
        <w:r w:rsidRPr="00AD2F5A">
          <w:rPr>
            <w:rFonts w:ascii="Arial" w:eastAsia="Times New Roman" w:hAnsi="Arial" w:cs="Arial"/>
            <w:color w:val="0000FF"/>
            <w:kern w:val="0"/>
            <w:sz w:val="20"/>
            <w:szCs w:val="20"/>
            <w:u w:val="single"/>
            <w:lang w:eastAsia="pt-BR"/>
            <w14:ligatures w14:val="none"/>
          </w:rPr>
          <w:t>IV - </w:t>
        </w:r>
      </w:hyperlink>
      <w:r w:rsidRPr="00AD2F5A">
        <w:rPr>
          <w:rFonts w:ascii="Arial" w:eastAsia="Times New Roman" w:hAnsi="Arial" w:cs="Arial"/>
          <w:color w:val="000000"/>
          <w:kern w:val="0"/>
          <w:sz w:val="20"/>
          <w:szCs w:val="20"/>
          <w:lang w:eastAsia="pt-BR"/>
          <w14:ligatures w14:val="none"/>
        </w:rPr>
        <w:t>para filho ou irmão que tenha deficiência intelectual ou mental ou deficiência grave, pelo afastamento da deficiência, nos termos do regulamento; </w:t>
      </w:r>
      <w:hyperlink r:id="rId22" w:anchor="art6ii" w:history="1">
        <w:r w:rsidRPr="00AD2F5A">
          <w:rPr>
            <w:rFonts w:ascii="Arial" w:eastAsia="Times New Roman" w:hAnsi="Arial" w:cs="Arial"/>
            <w:color w:val="0000FF"/>
            <w:kern w:val="0"/>
            <w:sz w:val="20"/>
            <w:szCs w:val="20"/>
            <w:u w:val="single"/>
            <w:lang w:eastAsia="pt-BR"/>
            <w14:ligatures w14:val="none"/>
          </w:rPr>
          <w:t>(Vigência)</w:t>
        </w:r>
      </w:hyperlink>
    </w:p>
    <w:p w14:paraId="277003CF"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hyperlink r:id="rId23" w:anchor="art77%C2%A72v" w:history="1">
        <w:r w:rsidRPr="00AD2F5A">
          <w:rPr>
            <w:rFonts w:ascii="Arial" w:eastAsia="Times New Roman" w:hAnsi="Arial" w:cs="Arial"/>
            <w:color w:val="0000FF"/>
            <w:kern w:val="0"/>
            <w:sz w:val="20"/>
            <w:szCs w:val="20"/>
            <w:u w:val="single"/>
            <w:lang w:eastAsia="pt-BR"/>
            <w14:ligatures w14:val="none"/>
          </w:rPr>
          <w:t>V - </w:t>
        </w:r>
      </w:hyperlink>
      <w:r w:rsidRPr="00AD2F5A">
        <w:rPr>
          <w:rFonts w:ascii="Arial" w:eastAsia="Times New Roman" w:hAnsi="Arial" w:cs="Arial"/>
          <w:color w:val="000000"/>
          <w:kern w:val="0"/>
          <w:sz w:val="20"/>
          <w:szCs w:val="20"/>
          <w:lang w:eastAsia="pt-BR"/>
          <w14:ligatures w14:val="none"/>
        </w:rPr>
        <w:t>para cônjuge ou companheiro:</w:t>
      </w:r>
    </w:p>
    <w:p w14:paraId="0F4EE6D5"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a) se inválido ou com deficiência, pela cessação da invalidez ou pelo afastamento da deficiência, respeitados os períodos mínimos decorrentes da aplicação das alíneas “b” e “c”;</w:t>
      </w:r>
    </w:p>
    <w:p w14:paraId="60FA298E"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b) em 4 (quatro) meses, se o óbito ocorrer sem que o segurado tenha vertido 18 (dezoito) contribuições mensais ou se o casamento ou a união estável tiverem sido iniciados em menos de 2 (dois) anos antes do óbito do segurado;</w:t>
      </w:r>
    </w:p>
    <w:p w14:paraId="781924EB"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c) transcorridos os seguintes períodos, estabelecidos de acordo com a idade do beneficiário na data de óbito do segurado, se o óbito ocorrer depois de vertidas 18 (dezoito) contribuições mensais e pelo menos 2 (dois) anos após o início do casamento ou da união estável:</w:t>
      </w:r>
    </w:p>
    <w:p w14:paraId="77AA40A1"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1) 3 (três) anos, com menos de 21 (vinte e um) anos de idade;</w:t>
      </w:r>
    </w:p>
    <w:p w14:paraId="597E6B08"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2) 6 (seis) anos, entre 21 (vinte e um) e 26 (vinte e seis) anos de idade;</w:t>
      </w:r>
    </w:p>
    <w:p w14:paraId="61DCE633"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3) 10 (dez) anos, entre 27 (vinte e sete) e 29 (vinte e nove) anos de idade;</w:t>
      </w:r>
    </w:p>
    <w:p w14:paraId="727819A0"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4) 15 (quinze) anos, entre 30 (trinta) e 40 (quarenta) anos de idade;</w:t>
      </w:r>
    </w:p>
    <w:p w14:paraId="047C0CEF"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5) 20 (vinte) anos, entre 41 (quarenta e um) e 43 (quarenta e três) anos de idade;</w:t>
      </w:r>
    </w:p>
    <w:p w14:paraId="2608DF67"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6) vitalícia, com 44 (quarenta e quatro) ou mais anos de idade.</w:t>
      </w:r>
    </w:p>
    <w:p w14:paraId="3D6F3D32"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hyperlink r:id="rId24" w:anchor="art77%C2%A72a" w:history="1">
        <w:r w:rsidRPr="00AD2F5A">
          <w:rPr>
            <w:rFonts w:ascii="Arial" w:eastAsia="Times New Roman" w:hAnsi="Arial" w:cs="Arial"/>
            <w:color w:val="0000FF"/>
            <w:kern w:val="0"/>
            <w:sz w:val="20"/>
            <w:szCs w:val="20"/>
            <w:u w:val="single"/>
            <w:lang w:eastAsia="pt-BR"/>
            <w14:ligatures w14:val="none"/>
          </w:rPr>
          <w:t>§ 2º -A. </w:t>
        </w:r>
      </w:hyperlink>
      <w:r w:rsidRPr="00AD2F5A">
        <w:rPr>
          <w:rFonts w:ascii="Arial" w:eastAsia="Times New Roman" w:hAnsi="Arial" w:cs="Arial"/>
          <w:color w:val="000000"/>
          <w:kern w:val="0"/>
          <w:sz w:val="20"/>
          <w:szCs w:val="20"/>
          <w:lang w:eastAsia="pt-BR"/>
          <w14:ligatures w14:val="none"/>
        </w:rPr>
        <w:t>Serão aplicados, conforme o caso, a regra contida na alínea “a” ou os prazos previstos na alínea “c”, ambas do inciso V do § 2º, se o óbito do segurado decorrer de acidente de qualquer natureza ou de doença profissional ou do trabalho, independentemente do recolhimento de 18 (dezoito) contribuições mensais ou da comprovação de 2 (dois) anos de casamento ou de união estável.</w:t>
      </w:r>
    </w:p>
    <w:p w14:paraId="6F8B8BA4"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hyperlink r:id="rId25" w:anchor="art77%C2%A72b" w:history="1">
        <w:r w:rsidRPr="00AD2F5A">
          <w:rPr>
            <w:rFonts w:ascii="Arial" w:eastAsia="Times New Roman" w:hAnsi="Arial" w:cs="Arial"/>
            <w:color w:val="0000FF"/>
            <w:kern w:val="0"/>
            <w:sz w:val="20"/>
            <w:szCs w:val="20"/>
            <w:u w:val="single"/>
            <w:lang w:eastAsia="pt-BR"/>
            <w14:ligatures w14:val="none"/>
          </w:rPr>
          <w:t>§ 2º -B. </w:t>
        </w:r>
      </w:hyperlink>
      <w:r w:rsidRPr="00AD2F5A">
        <w:rPr>
          <w:rFonts w:ascii="Arial" w:eastAsia="Times New Roman" w:hAnsi="Arial" w:cs="Arial"/>
          <w:color w:val="000000"/>
          <w:kern w:val="0"/>
          <w:sz w:val="20"/>
          <w:szCs w:val="20"/>
          <w:lang w:eastAsia="pt-BR"/>
          <w14:ligatures w14:val="none"/>
        </w:rPr>
        <w:t>Após o transcurso de pelo menos 3 (três) anos e desde que nesse período se verifique o incremento mínimo de um ano inteiro na média nacional única, para ambos os sexos, correspondente à expectativa de sobrevida da população brasileira ao nascer, poderão ser fixadas, em números inteiros, novas idades para os fins previstos na alínea “c” do inciso V do § 2º, em ato do Ministro de Estado da Previdência Social, limitado o acréscimo na comparação com as idades anteriores ao referido incremento.</w:t>
      </w:r>
    </w:p>
    <w:p w14:paraId="577902AB"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w:t>
      </w:r>
    </w:p>
    <w:p w14:paraId="58685022"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hyperlink r:id="rId26" w:anchor="art77%C2%A74." w:history="1">
        <w:r w:rsidRPr="00AD2F5A">
          <w:rPr>
            <w:rFonts w:ascii="Arial" w:eastAsia="Times New Roman" w:hAnsi="Arial" w:cs="Arial"/>
            <w:color w:val="0000FF"/>
            <w:kern w:val="0"/>
            <w:sz w:val="20"/>
            <w:szCs w:val="20"/>
            <w:u w:val="single"/>
            <w:lang w:eastAsia="pt-BR"/>
            <w14:ligatures w14:val="none"/>
          </w:rPr>
          <w:t>§ 4º </w:t>
        </w:r>
      </w:hyperlink>
      <w:r w:rsidRPr="00AD2F5A">
        <w:rPr>
          <w:rFonts w:ascii="Arial" w:eastAsia="Times New Roman" w:hAnsi="Arial" w:cs="Arial"/>
          <w:color w:val="000000"/>
          <w:kern w:val="0"/>
          <w:sz w:val="20"/>
          <w:szCs w:val="20"/>
          <w:lang w:eastAsia="pt-BR"/>
          <w14:ligatures w14:val="none"/>
        </w:rPr>
        <w:t>(Revogado).</w:t>
      </w:r>
    </w:p>
    <w:p w14:paraId="34D7056A"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hyperlink r:id="rId27" w:anchor="art77%C2%A75." w:history="1">
        <w:r w:rsidRPr="00AD2F5A">
          <w:rPr>
            <w:rFonts w:ascii="Arial" w:eastAsia="Times New Roman" w:hAnsi="Arial" w:cs="Arial"/>
            <w:color w:val="0000FF"/>
            <w:kern w:val="0"/>
            <w:sz w:val="20"/>
            <w:szCs w:val="20"/>
            <w:u w:val="single"/>
            <w:lang w:eastAsia="pt-BR"/>
            <w14:ligatures w14:val="none"/>
          </w:rPr>
          <w:t>§ 5º </w:t>
        </w:r>
      </w:hyperlink>
      <w:r w:rsidRPr="00AD2F5A">
        <w:rPr>
          <w:rFonts w:ascii="Arial" w:eastAsia="Times New Roman" w:hAnsi="Arial" w:cs="Arial"/>
          <w:color w:val="000000"/>
          <w:kern w:val="0"/>
          <w:sz w:val="20"/>
          <w:szCs w:val="20"/>
          <w:lang w:eastAsia="pt-BR"/>
          <w14:ligatures w14:val="none"/>
        </w:rPr>
        <w:t>O tempo de contribuição a Regime Próprio de Previdência Social (RPPS) será considerado na contagem das 18 (dezoito) contribuições mensais de que tratam as alíneas “b” e “c” do inciso V do § 2º .” (NR)</w:t>
      </w:r>
    </w:p>
    <w:p w14:paraId="37F77DEA"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 </w:t>
      </w:r>
      <w:hyperlink r:id="rId28" w:anchor="art151." w:history="1">
        <w:r w:rsidRPr="00AD2F5A">
          <w:rPr>
            <w:rFonts w:ascii="Arial" w:eastAsia="Times New Roman" w:hAnsi="Arial" w:cs="Arial"/>
            <w:color w:val="0000FF"/>
            <w:kern w:val="0"/>
            <w:sz w:val="20"/>
            <w:szCs w:val="20"/>
            <w:u w:val="single"/>
            <w:lang w:eastAsia="pt-BR"/>
            <w14:ligatures w14:val="none"/>
          </w:rPr>
          <w:t>Art. 151. </w:t>
        </w:r>
      </w:hyperlink>
      <w:r w:rsidRPr="00AD2F5A">
        <w:rPr>
          <w:rFonts w:ascii="Arial" w:eastAsia="Times New Roman" w:hAnsi="Arial" w:cs="Arial"/>
          <w:color w:val="000000"/>
          <w:kern w:val="0"/>
          <w:sz w:val="20"/>
          <w:szCs w:val="20"/>
          <w:lang w:eastAsia="pt-BR"/>
          <w14:ligatures w14:val="none"/>
        </w:rPr>
        <w:t xml:space="preserve">Até que seja elaborada a lista de doenças mencionada no inciso II do art. 26, independe de carência a concessão de auxílio-doença e de aposentadoria por invalidez ao </w:t>
      </w:r>
      <w:r w:rsidRPr="00AD2F5A">
        <w:rPr>
          <w:rFonts w:ascii="Arial" w:eastAsia="Times New Roman" w:hAnsi="Arial" w:cs="Arial"/>
          <w:color w:val="000000"/>
          <w:kern w:val="0"/>
          <w:sz w:val="20"/>
          <w:szCs w:val="20"/>
          <w:lang w:eastAsia="pt-BR"/>
          <w14:ligatures w14:val="none"/>
        </w:rPr>
        <w:lastRenderedPageBreak/>
        <w:t>segurado que, após filiar-se ao RGPS, for acometido das seguintes doenças: tuberculose ativa, hanseníase, alienação mental, esclerose múltipla, hepatopatia grave, neoplasia maligna, cegueira, paralisia irreversível e incapacitante, cardiopatia grave, doença de Parkinson, espondiloartrose anquilosante, nefropatia grave, estado avançado da doença de Paget (osteíte deformante), síndrome da deficiência imunológica adquirida (aids) ou contaminação por radiação, com base em conclusão da medicina especializada.” (NR)</w:t>
      </w:r>
    </w:p>
    <w:p w14:paraId="2CA63BA6" w14:textId="77777777" w:rsidR="00AD2F5A" w:rsidRPr="00AD2F5A" w:rsidRDefault="00AD2F5A" w:rsidP="00AD2F5A">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bookmarkStart w:id="3" w:name="art2"/>
      <w:bookmarkEnd w:id="3"/>
      <w:r w:rsidRPr="00AD2F5A">
        <w:rPr>
          <w:rFonts w:ascii="Arial" w:eastAsia="Times New Roman" w:hAnsi="Arial" w:cs="Arial"/>
          <w:color w:val="000000"/>
          <w:kern w:val="0"/>
          <w:sz w:val="20"/>
          <w:szCs w:val="20"/>
          <w:lang w:eastAsia="pt-BR"/>
          <w14:ligatures w14:val="none"/>
        </w:rPr>
        <w:t>Art. 2º O art. 2º da </w:t>
      </w:r>
      <w:hyperlink r:id="rId29" w:history="1">
        <w:r w:rsidRPr="00AD2F5A">
          <w:rPr>
            <w:rFonts w:ascii="Arial" w:eastAsia="Times New Roman" w:hAnsi="Arial" w:cs="Arial"/>
            <w:color w:val="0000FF"/>
            <w:kern w:val="0"/>
            <w:sz w:val="20"/>
            <w:szCs w:val="20"/>
            <w:u w:val="single"/>
            <w:lang w:eastAsia="pt-BR"/>
            <w14:ligatures w14:val="none"/>
          </w:rPr>
          <w:t>Lei nº 10.876, de 2 junho de 2004 </w:t>
        </w:r>
      </w:hyperlink>
      <w:r w:rsidRPr="00AD2F5A">
        <w:rPr>
          <w:rFonts w:ascii="Arial" w:eastAsia="Times New Roman" w:hAnsi="Arial" w:cs="Arial"/>
          <w:color w:val="000000"/>
          <w:kern w:val="0"/>
          <w:sz w:val="20"/>
          <w:szCs w:val="20"/>
          <w:lang w:eastAsia="pt-BR"/>
          <w14:ligatures w14:val="none"/>
        </w:rPr>
        <w:t>, passa a vigorar com as seguintes alterações:</w:t>
      </w:r>
    </w:p>
    <w:p w14:paraId="004B0748" w14:textId="77777777" w:rsidR="00AD2F5A" w:rsidRPr="00AD2F5A" w:rsidRDefault="00AD2F5A" w:rsidP="00AD2F5A">
      <w:pPr>
        <w:spacing w:beforeAutospacing="1" w:after="100" w:afterAutospacing="1" w:line="240" w:lineRule="auto"/>
        <w:rPr>
          <w:rFonts w:ascii="Arial" w:eastAsia="Times New Roman" w:hAnsi="Arial" w:cs="Arial"/>
          <w:color w:val="000000"/>
          <w:kern w:val="0"/>
          <w:sz w:val="20"/>
          <w:szCs w:val="20"/>
          <w:lang w:eastAsia="pt-BR"/>
          <w14:ligatures w14:val="none"/>
        </w:rPr>
      </w:pPr>
      <w:hyperlink r:id="rId30" w:anchor="art2.." w:history="1">
        <w:r w:rsidRPr="00AD2F5A">
          <w:rPr>
            <w:rFonts w:ascii="Arial" w:eastAsia="Times New Roman" w:hAnsi="Arial" w:cs="Arial"/>
            <w:color w:val="0000FF"/>
            <w:kern w:val="0"/>
            <w:sz w:val="20"/>
            <w:szCs w:val="20"/>
            <w:u w:val="single"/>
            <w:lang w:eastAsia="pt-BR"/>
            <w14:ligatures w14:val="none"/>
          </w:rPr>
          <w:t>“Art. 2º </w:t>
        </w:r>
      </w:hyperlink>
      <w:r w:rsidRPr="00AD2F5A">
        <w:rPr>
          <w:rFonts w:ascii="Arial" w:eastAsia="Times New Roman" w:hAnsi="Arial" w:cs="Arial"/>
          <w:color w:val="000000"/>
          <w:kern w:val="0"/>
          <w:sz w:val="20"/>
          <w:szCs w:val="20"/>
          <w:lang w:eastAsia="pt-BR"/>
          <w14:ligatures w14:val="none"/>
        </w:rPr>
        <w:t>Compete aos ocupantes do cargo de Perito-Médico da Previdência Social e, supletivamente, aos ocupantes do cargo de Supervisor Médico-Pericial da carreira de que trata a Lei nº 9.620, de 2 de abril de 1998, no âmbito do Instituto Nacional do Seguro Social (INSS) e do Ministério da Previdência Social, o exercício das atividades médico-periciais inerentes ao Regime Geral de Previdência Social (RGPS) de que tratam as Leis nº 8.212, de 24 de julho de 1991, nº 8.213, de 24 de julho de 1991, nº 8.742, de 7 de dezembro de 1993 (Lei Orgânica da Assistência Social), e nº 8.112, de 11 de dezembro de 1990, e, em especial:</w:t>
      </w:r>
    </w:p>
    <w:p w14:paraId="5962FC91"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w:t>
      </w:r>
    </w:p>
    <w:p w14:paraId="45803559"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hyperlink r:id="rId31" w:anchor="art2iii.." w:history="1">
        <w:r w:rsidRPr="00AD2F5A">
          <w:rPr>
            <w:rFonts w:ascii="Arial" w:eastAsia="Times New Roman" w:hAnsi="Arial" w:cs="Arial"/>
            <w:color w:val="0000FF"/>
            <w:kern w:val="0"/>
            <w:sz w:val="20"/>
            <w:szCs w:val="20"/>
            <w:u w:val="single"/>
            <w:lang w:eastAsia="pt-BR"/>
            <w14:ligatures w14:val="none"/>
          </w:rPr>
          <w:t>III - </w:t>
        </w:r>
      </w:hyperlink>
      <w:r w:rsidRPr="00AD2F5A">
        <w:rPr>
          <w:rFonts w:ascii="Arial" w:eastAsia="Times New Roman" w:hAnsi="Arial" w:cs="Arial"/>
          <w:color w:val="000000"/>
          <w:kern w:val="0"/>
          <w:sz w:val="20"/>
          <w:szCs w:val="20"/>
          <w:lang w:eastAsia="pt-BR"/>
          <w14:ligatures w14:val="none"/>
        </w:rPr>
        <w:t>caracterização de invalidez para benefícios previdenciários e assistenciais;</w:t>
      </w:r>
    </w:p>
    <w:p w14:paraId="628B640F"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hyperlink r:id="rId32" w:anchor="art2iv.." w:history="1">
        <w:r w:rsidRPr="00AD2F5A">
          <w:rPr>
            <w:rFonts w:ascii="Arial" w:eastAsia="Times New Roman" w:hAnsi="Arial" w:cs="Arial"/>
            <w:color w:val="0000FF"/>
            <w:kern w:val="0"/>
            <w:sz w:val="20"/>
            <w:szCs w:val="20"/>
            <w:u w:val="single"/>
            <w:lang w:eastAsia="pt-BR"/>
            <w14:ligatures w14:val="none"/>
          </w:rPr>
          <w:t>IV - </w:t>
        </w:r>
      </w:hyperlink>
      <w:r w:rsidRPr="00AD2F5A">
        <w:rPr>
          <w:rFonts w:ascii="Arial" w:eastAsia="Times New Roman" w:hAnsi="Arial" w:cs="Arial"/>
          <w:color w:val="000000"/>
          <w:kern w:val="0"/>
          <w:sz w:val="20"/>
          <w:szCs w:val="20"/>
          <w:lang w:eastAsia="pt-BR"/>
          <w14:ligatures w14:val="none"/>
        </w:rPr>
        <w:t>execução das demais atividades definidas em regulamento; e</w:t>
      </w:r>
    </w:p>
    <w:p w14:paraId="188A6D4A"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hyperlink r:id="rId33" w:anchor="art2v." w:history="1">
        <w:r w:rsidRPr="00AD2F5A">
          <w:rPr>
            <w:rFonts w:ascii="Arial" w:eastAsia="Times New Roman" w:hAnsi="Arial" w:cs="Arial"/>
            <w:color w:val="0000FF"/>
            <w:kern w:val="0"/>
            <w:sz w:val="20"/>
            <w:szCs w:val="20"/>
            <w:u w:val="single"/>
            <w:lang w:eastAsia="pt-BR"/>
            <w14:ligatures w14:val="none"/>
          </w:rPr>
          <w:t>V - </w:t>
        </w:r>
      </w:hyperlink>
      <w:r w:rsidRPr="00AD2F5A">
        <w:rPr>
          <w:rFonts w:ascii="Arial" w:eastAsia="Times New Roman" w:hAnsi="Arial" w:cs="Arial"/>
          <w:color w:val="000000"/>
          <w:kern w:val="0"/>
          <w:sz w:val="20"/>
          <w:szCs w:val="20"/>
          <w:lang w:eastAsia="pt-BR"/>
          <w14:ligatures w14:val="none"/>
        </w:rPr>
        <w:t>supervisão da perícia médica de que trata o § 5º do art. 60 da Lei nº 8.213, de 24 de julho de 1991, na forma estabelecida pelo Ministério da Previdência Social.</w:t>
      </w:r>
    </w:p>
    <w:p w14:paraId="118F818F"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 (NR)</w:t>
      </w:r>
    </w:p>
    <w:p w14:paraId="4969FDFA" w14:textId="77777777" w:rsidR="00AD2F5A" w:rsidRPr="00AD2F5A" w:rsidRDefault="00AD2F5A" w:rsidP="00AD2F5A">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bookmarkStart w:id="4" w:name="art3"/>
      <w:bookmarkEnd w:id="4"/>
      <w:r w:rsidRPr="00AD2F5A">
        <w:rPr>
          <w:rFonts w:ascii="Arial" w:eastAsia="Times New Roman" w:hAnsi="Arial" w:cs="Arial"/>
          <w:color w:val="000000"/>
          <w:kern w:val="0"/>
          <w:sz w:val="20"/>
          <w:szCs w:val="20"/>
          <w:lang w:eastAsia="pt-BR"/>
          <w14:ligatures w14:val="none"/>
        </w:rPr>
        <w:t>Art. 3º A </w:t>
      </w:r>
      <w:hyperlink r:id="rId34" w:history="1">
        <w:r w:rsidRPr="00AD2F5A">
          <w:rPr>
            <w:rFonts w:ascii="Arial" w:eastAsia="Times New Roman" w:hAnsi="Arial" w:cs="Arial"/>
            <w:color w:val="0000FF"/>
            <w:kern w:val="0"/>
            <w:sz w:val="20"/>
            <w:szCs w:val="20"/>
            <w:u w:val="single"/>
            <w:lang w:eastAsia="pt-BR"/>
            <w14:ligatures w14:val="none"/>
          </w:rPr>
          <w:t>Lei nº 8.112, de 11 de dezembro de 1990 </w:t>
        </w:r>
      </w:hyperlink>
      <w:r w:rsidRPr="00AD2F5A">
        <w:rPr>
          <w:rFonts w:ascii="Arial" w:eastAsia="Times New Roman" w:hAnsi="Arial" w:cs="Arial"/>
          <w:color w:val="000000"/>
          <w:kern w:val="0"/>
          <w:sz w:val="20"/>
          <w:szCs w:val="20"/>
          <w:lang w:eastAsia="pt-BR"/>
          <w14:ligatures w14:val="none"/>
        </w:rPr>
        <w:t>, passa a vigorar com as seguintes alterações:</w:t>
      </w:r>
    </w:p>
    <w:p w14:paraId="02412E0D" w14:textId="77777777" w:rsidR="00AD2F5A" w:rsidRPr="00AD2F5A" w:rsidRDefault="00AD2F5A" w:rsidP="00AD2F5A">
      <w:pPr>
        <w:spacing w:beforeAutospacing="1" w:after="100" w:afterAutospacing="1" w:line="240" w:lineRule="auto"/>
        <w:rPr>
          <w:rFonts w:ascii="Arial" w:eastAsia="Times New Roman" w:hAnsi="Arial" w:cs="Arial"/>
          <w:color w:val="000000"/>
          <w:kern w:val="0"/>
          <w:sz w:val="20"/>
          <w:szCs w:val="20"/>
          <w:lang w:eastAsia="pt-BR"/>
          <w14:ligatures w14:val="none"/>
        </w:rPr>
      </w:pPr>
      <w:hyperlink r:id="rId35" w:anchor="art215.." w:history="1">
        <w:r w:rsidRPr="00AD2F5A">
          <w:rPr>
            <w:rFonts w:ascii="Arial" w:eastAsia="Times New Roman" w:hAnsi="Arial" w:cs="Arial"/>
            <w:color w:val="0000FF"/>
            <w:kern w:val="0"/>
            <w:sz w:val="20"/>
            <w:szCs w:val="20"/>
            <w:u w:val="single"/>
            <w:lang w:eastAsia="pt-BR"/>
            <w14:ligatures w14:val="none"/>
          </w:rPr>
          <w:t>“Art. 215. </w:t>
        </w:r>
      </w:hyperlink>
      <w:r w:rsidRPr="00AD2F5A">
        <w:rPr>
          <w:rFonts w:ascii="Arial" w:eastAsia="Times New Roman" w:hAnsi="Arial" w:cs="Arial"/>
          <w:color w:val="000000"/>
          <w:kern w:val="0"/>
          <w:sz w:val="20"/>
          <w:szCs w:val="20"/>
          <w:lang w:eastAsia="pt-BR"/>
          <w14:ligatures w14:val="none"/>
        </w:rPr>
        <w:t>Por morte do servidor, os dependentes, nas hipóteses legais, fazem jus à pensão a partir da data de óbito, observado o limite estabelecido no </w:t>
      </w:r>
      <w:hyperlink r:id="rId36" w:anchor="art37xi" w:history="1">
        <w:r w:rsidRPr="00AD2F5A">
          <w:rPr>
            <w:rFonts w:ascii="Arial" w:eastAsia="Times New Roman" w:hAnsi="Arial" w:cs="Arial"/>
            <w:color w:val="0000FF"/>
            <w:kern w:val="0"/>
            <w:sz w:val="20"/>
            <w:szCs w:val="20"/>
            <w:u w:val="single"/>
            <w:lang w:eastAsia="pt-BR"/>
            <w14:ligatures w14:val="none"/>
          </w:rPr>
          <w:t>inciso XI do </w:t>
        </w:r>
        <w:r w:rsidRPr="00AD2F5A">
          <w:rPr>
            <w:rFonts w:ascii="Arial" w:eastAsia="Times New Roman" w:hAnsi="Arial" w:cs="Arial"/>
            <w:b/>
            <w:bCs/>
            <w:color w:val="0000FF"/>
            <w:kern w:val="0"/>
            <w:sz w:val="20"/>
            <w:szCs w:val="20"/>
            <w:u w:val="single"/>
            <w:lang w:eastAsia="pt-BR"/>
            <w14:ligatures w14:val="none"/>
          </w:rPr>
          <w:t>caput </w:t>
        </w:r>
        <w:r w:rsidRPr="00AD2F5A">
          <w:rPr>
            <w:rFonts w:ascii="Arial" w:eastAsia="Times New Roman" w:hAnsi="Arial" w:cs="Arial"/>
            <w:color w:val="0000FF"/>
            <w:kern w:val="0"/>
            <w:sz w:val="20"/>
            <w:szCs w:val="20"/>
            <w:u w:val="single"/>
            <w:lang w:eastAsia="pt-BR"/>
            <w14:ligatures w14:val="none"/>
          </w:rPr>
          <w:t>do art. 37 da Constituição Federal </w:t>
        </w:r>
      </w:hyperlink>
      <w:r w:rsidRPr="00AD2F5A">
        <w:rPr>
          <w:rFonts w:ascii="Arial" w:eastAsia="Times New Roman" w:hAnsi="Arial" w:cs="Arial"/>
          <w:color w:val="000000"/>
          <w:kern w:val="0"/>
          <w:sz w:val="20"/>
          <w:szCs w:val="20"/>
          <w:lang w:eastAsia="pt-BR"/>
          <w14:ligatures w14:val="none"/>
        </w:rPr>
        <w:t>e no </w:t>
      </w:r>
      <w:hyperlink r:id="rId37" w:anchor="art2" w:history="1">
        <w:r w:rsidRPr="00AD2F5A">
          <w:rPr>
            <w:rFonts w:ascii="Arial" w:eastAsia="Times New Roman" w:hAnsi="Arial" w:cs="Arial"/>
            <w:color w:val="0000FF"/>
            <w:kern w:val="0"/>
            <w:sz w:val="20"/>
            <w:szCs w:val="20"/>
            <w:u w:val="single"/>
            <w:lang w:eastAsia="pt-BR"/>
            <w14:ligatures w14:val="none"/>
          </w:rPr>
          <w:t>art. 2º da Lei nº 10.887, de 18 de junho de 2004 </w:t>
        </w:r>
      </w:hyperlink>
      <w:r w:rsidRPr="00AD2F5A">
        <w:rPr>
          <w:rFonts w:ascii="Arial" w:eastAsia="Times New Roman" w:hAnsi="Arial" w:cs="Arial"/>
          <w:color w:val="000000"/>
          <w:kern w:val="0"/>
          <w:sz w:val="20"/>
          <w:szCs w:val="20"/>
          <w:lang w:eastAsia="pt-BR"/>
          <w14:ligatures w14:val="none"/>
        </w:rPr>
        <w:t>.” (NR)</w:t>
      </w:r>
    </w:p>
    <w:p w14:paraId="19904E1D"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 </w:t>
      </w:r>
      <w:bookmarkStart w:id="5" w:name="art217"/>
      <w:bookmarkEnd w:id="5"/>
      <w:r w:rsidRPr="00AD2F5A">
        <w:rPr>
          <w:rFonts w:ascii="Arial" w:eastAsia="Times New Roman" w:hAnsi="Arial" w:cs="Arial"/>
          <w:color w:val="000000"/>
          <w:kern w:val="0"/>
          <w:sz w:val="20"/>
          <w:szCs w:val="20"/>
          <w:lang w:eastAsia="pt-BR"/>
          <w14:ligatures w14:val="none"/>
        </w:rPr>
        <w:t>Art. 217. ...................................................................</w:t>
      </w:r>
    </w:p>
    <w:p w14:paraId="50117A84"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hyperlink r:id="rId38" w:anchor="art217i.." w:history="1">
        <w:r w:rsidRPr="00AD2F5A">
          <w:rPr>
            <w:rFonts w:ascii="Arial" w:eastAsia="Times New Roman" w:hAnsi="Arial" w:cs="Arial"/>
            <w:color w:val="0000FF"/>
            <w:kern w:val="0"/>
            <w:sz w:val="20"/>
            <w:szCs w:val="20"/>
            <w:u w:val="single"/>
            <w:lang w:eastAsia="pt-BR"/>
            <w14:ligatures w14:val="none"/>
          </w:rPr>
          <w:t>I - </w:t>
        </w:r>
      </w:hyperlink>
      <w:r w:rsidRPr="00AD2F5A">
        <w:rPr>
          <w:rFonts w:ascii="Arial" w:eastAsia="Times New Roman" w:hAnsi="Arial" w:cs="Arial"/>
          <w:color w:val="000000"/>
          <w:kern w:val="0"/>
          <w:sz w:val="20"/>
          <w:szCs w:val="20"/>
          <w:lang w:eastAsia="pt-BR"/>
          <w14:ligatures w14:val="none"/>
        </w:rPr>
        <w:t>o cônjuge;</w:t>
      </w:r>
    </w:p>
    <w:p w14:paraId="4995EB7A"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a) (Revogada);</w:t>
      </w:r>
    </w:p>
    <w:p w14:paraId="177772C7"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b) (Revogada);</w:t>
      </w:r>
    </w:p>
    <w:p w14:paraId="5C7AEC65"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c) (Revogada);</w:t>
      </w:r>
    </w:p>
    <w:p w14:paraId="72CBD00E"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d) (Revogada);</w:t>
      </w:r>
    </w:p>
    <w:p w14:paraId="0FF9A279"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e) (Revogada);</w:t>
      </w:r>
    </w:p>
    <w:p w14:paraId="76DAB952"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hyperlink r:id="rId39" w:anchor="art217ii.." w:history="1">
        <w:r w:rsidRPr="00AD2F5A">
          <w:rPr>
            <w:rFonts w:ascii="Arial" w:eastAsia="Times New Roman" w:hAnsi="Arial" w:cs="Arial"/>
            <w:color w:val="0000FF"/>
            <w:kern w:val="0"/>
            <w:sz w:val="20"/>
            <w:szCs w:val="20"/>
            <w:u w:val="single"/>
            <w:lang w:eastAsia="pt-BR"/>
            <w14:ligatures w14:val="none"/>
          </w:rPr>
          <w:t>II - </w:t>
        </w:r>
      </w:hyperlink>
      <w:r w:rsidRPr="00AD2F5A">
        <w:rPr>
          <w:rFonts w:ascii="Arial" w:eastAsia="Times New Roman" w:hAnsi="Arial" w:cs="Arial"/>
          <w:color w:val="000000"/>
          <w:kern w:val="0"/>
          <w:sz w:val="20"/>
          <w:szCs w:val="20"/>
          <w:lang w:eastAsia="pt-BR"/>
          <w14:ligatures w14:val="none"/>
        </w:rPr>
        <w:t>o cônjuge divorciado ou separado judicialmente ou de fato, com percepção de pensão alimentícia estabelecida judicialmente;</w:t>
      </w:r>
    </w:p>
    <w:p w14:paraId="400475ED"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a) (Revogada);</w:t>
      </w:r>
    </w:p>
    <w:p w14:paraId="062CD7BF"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b) (Revogada);</w:t>
      </w:r>
    </w:p>
    <w:p w14:paraId="015D7B47"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lastRenderedPageBreak/>
        <w:t>c) Revogada);</w:t>
      </w:r>
    </w:p>
    <w:p w14:paraId="7A4F11CE"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d) (Revogada);</w:t>
      </w:r>
    </w:p>
    <w:p w14:paraId="466B02D3"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hyperlink r:id="rId40" w:anchor="art217iii." w:history="1">
        <w:r w:rsidRPr="00AD2F5A">
          <w:rPr>
            <w:rFonts w:ascii="Arial" w:eastAsia="Times New Roman" w:hAnsi="Arial" w:cs="Arial"/>
            <w:color w:val="0000FF"/>
            <w:kern w:val="0"/>
            <w:sz w:val="20"/>
            <w:szCs w:val="20"/>
            <w:u w:val="single"/>
            <w:lang w:eastAsia="pt-BR"/>
            <w14:ligatures w14:val="none"/>
          </w:rPr>
          <w:t>III - </w:t>
        </w:r>
      </w:hyperlink>
      <w:r w:rsidRPr="00AD2F5A">
        <w:rPr>
          <w:rFonts w:ascii="Arial" w:eastAsia="Times New Roman" w:hAnsi="Arial" w:cs="Arial"/>
          <w:color w:val="000000"/>
          <w:kern w:val="0"/>
          <w:sz w:val="20"/>
          <w:szCs w:val="20"/>
          <w:lang w:eastAsia="pt-BR"/>
          <w14:ligatures w14:val="none"/>
        </w:rPr>
        <w:t>o companheiro ou companheira que comprove união estável como entidade familiar;</w:t>
      </w:r>
    </w:p>
    <w:p w14:paraId="125828C1"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hyperlink r:id="rId41" w:anchor="art217iv." w:history="1">
        <w:r w:rsidRPr="00AD2F5A">
          <w:rPr>
            <w:rFonts w:ascii="Arial" w:eastAsia="Times New Roman" w:hAnsi="Arial" w:cs="Arial"/>
            <w:color w:val="0000FF"/>
            <w:kern w:val="0"/>
            <w:sz w:val="20"/>
            <w:szCs w:val="20"/>
            <w:u w:val="single"/>
            <w:lang w:eastAsia="pt-BR"/>
            <w14:ligatures w14:val="none"/>
          </w:rPr>
          <w:t>IV - </w:t>
        </w:r>
      </w:hyperlink>
      <w:r w:rsidRPr="00AD2F5A">
        <w:rPr>
          <w:rFonts w:ascii="Arial" w:eastAsia="Times New Roman" w:hAnsi="Arial" w:cs="Arial"/>
          <w:color w:val="000000"/>
          <w:kern w:val="0"/>
          <w:sz w:val="20"/>
          <w:szCs w:val="20"/>
          <w:lang w:eastAsia="pt-BR"/>
          <w14:ligatures w14:val="none"/>
        </w:rPr>
        <w:t>o filho de qualquer condição que atenda a um dos seguintes requisitos:</w:t>
      </w:r>
    </w:p>
    <w:p w14:paraId="5B202E42"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a) seja menor de 21 (vinte e um) anos;</w:t>
      </w:r>
    </w:p>
    <w:p w14:paraId="7C9B7204"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b) seja inválido;</w:t>
      </w:r>
    </w:p>
    <w:p w14:paraId="7271EDB3"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hyperlink r:id="rId42" w:anchor="art217ivc" w:history="1">
        <w:r w:rsidRPr="00AD2F5A">
          <w:rPr>
            <w:rFonts w:ascii="Arial" w:eastAsia="Times New Roman" w:hAnsi="Arial" w:cs="Arial"/>
            <w:color w:val="0000FF"/>
            <w:kern w:val="0"/>
            <w:sz w:val="20"/>
            <w:szCs w:val="20"/>
            <w:u w:val="single"/>
            <w:lang w:eastAsia="pt-BR"/>
            <w14:ligatures w14:val="none"/>
          </w:rPr>
          <w:t>c) </w:t>
        </w:r>
      </w:hyperlink>
      <w:r w:rsidRPr="00AD2F5A">
        <w:rPr>
          <w:rFonts w:ascii="Arial" w:eastAsia="Times New Roman" w:hAnsi="Arial" w:cs="Arial"/>
          <w:color w:val="000000"/>
          <w:kern w:val="0"/>
          <w:sz w:val="20"/>
          <w:szCs w:val="20"/>
          <w:lang w:eastAsia="pt-BR"/>
          <w14:ligatures w14:val="none"/>
        </w:rPr>
        <w:t>tenha deficiência grave; ou </w:t>
      </w:r>
      <w:hyperlink r:id="rId43" w:anchor="art6ii" w:history="1">
        <w:r w:rsidRPr="00AD2F5A">
          <w:rPr>
            <w:rFonts w:ascii="Arial" w:eastAsia="Times New Roman" w:hAnsi="Arial" w:cs="Arial"/>
            <w:color w:val="0000FF"/>
            <w:kern w:val="0"/>
            <w:sz w:val="20"/>
            <w:szCs w:val="20"/>
            <w:u w:val="single"/>
            <w:lang w:eastAsia="pt-BR"/>
            <w14:ligatures w14:val="none"/>
          </w:rPr>
          <w:t>(Vigência)</w:t>
        </w:r>
      </w:hyperlink>
    </w:p>
    <w:p w14:paraId="17B8DBC0"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d) tenha deficiência intelectual ou mental, nos termos do regulamento;</w:t>
      </w:r>
    </w:p>
    <w:p w14:paraId="29D301A2"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V - a mãe e o pai que comprovem dependência econômica do servidor; e</w:t>
      </w:r>
    </w:p>
    <w:p w14:paraId="1EF27620"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VI - o irmão de qualquer condição que comprove dependência econômica do servidor e atenda a um dos requisitos previstos no inciso IV.</w:t>
      </w:r>
    </w:p>
    <w:p w14:paraId="56AA6E09"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hyperlink r:id="rId44" w:anchor="art217%C2%A71.." w:history="1">
        <w:r w:rsidRPr="00AD2F5A">
          <w:rPr>
            <w:rFonts w:ascii="Arial" w:eastAsia="Times New Roman" w:hAnsi="Arial" w:cs="Arial"/>
            <w:color w:val="0000FF"/>
            <w:kern w:val="0"/>
            <w:sz w:val="20"/>
            <w:szCs w:val="20"/>
            <w:u w:val="single"/>
            <w:lang w:eastAsia="pt-BR"/>
            <w14:ligatures w14:val="none"/>
          </w:rPr>
          <w:t>§ 1º </w:t>
        </w:r>
      </w:hyperlink>
      <w:r w:rsidRPr="00AD2F5A">
        <w:rPr>
          <w:rFonts w:ascii="Arial" w:eastAsia="Times New Roman" w:hAnsi="Arial" w:cs="Arial"/>
          <w:color w:val="000000"/>
          <w:kern w:val="0"/>
          <w:sz w:val="20"/>
          <w:szCs w:val="20"/>
          <w:lang w:eastAsia="pt-BR"/>
          <w14:ligatures w14:val="none"/>
        </w:rPr>
        <w:t>A concessão de pensão aos beneficiários de que tratam os incisos I a IV do </w:t>
      </w:r>
      <w:r w:rsidRPr="00AD2F5A">
        <w:rPr>
          <w:rFonts w:ascii="Arial" w:eastAsia="Times New Roman" w:hAnsi="Arial" w:cs="Arial"/>
          <w:b/>
          <w:bCs/>
          <w:color w:val="000000"/>
          <w:kern w:val="0"/>
          <w:sz w:val="20"/>
          <w:szCs w:val="20"/>
          <w:lang w:eastAsia="pt-BR"/>
          <w14:ligatures w14:val="none"/>
        </w:rPr>
        <w:t>caput </w:t>
      </w:r>
      <w:r w:rsidRPr="00AD2F5A">
        <w:rPr>
          <w:rFonts w:ascii="Arial" w:eastAsia="Times New Roman" w:hAnsi="Arial" w:cs="Arial"/>
          <w:color w:val="000000"/>
          <w:kern w:val="0"/>
          <w:sz w:val="20"/>
          <w:szCs w:val="20"/>
          <w:lang w:eastAsia="pt-BR"/>
          <w14:ligatures w14:val="none"/>
        </w:rPr>
        <w:t>exclui os beneficiários referidos nos incisos V e VI.</w:t>
      </w:r>
    </w:p>
    <w:p w14:paraId="634C22E3"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 2º A concessão de pensão aos beneficiários de que trata o inciso V do </w:t>
      </w:r>
      <w:r w:rsidRPr="00AD2F5A">
        <w:rPr>
          <w:rFonts w:ascii="Arial" w:eastAsia="Times New Roman" w:hAnsi="Arial" w:cs="Arial"/>
          <w:b/>
          <w:bCs/>
          <w:color w:val="000000"/>
          <w:kern w:val="0"/>
          <w:sz w:val="20"/>
          <w:szCs w:val="20"/>
          <w:lang w:eastAsia="pt-BR"/>
          <w14:ligatures w14:val="none"/>
        </w:rPr>
        <w:t>caput </w:t>
      </w:r>
      <w:r w:rsidRPr="00AD2F5A">
        <w:rPr>
          <w:rFonts w:ascii="Arial" w:eastAsia="Times New Roman" w:hAnsi="Arial" w:cs="Arial"/>
          <w:color w:val="000000"/>
          <w:kern w:val="0"/>
          <w:sz w:val="20"/>
          <w:szCs w:val="20"/>
          <w:lang w:eastAsia="pt-BR"/>
          <w14:ligatures w14:val="none"/>
        </w:rPr>
        <w:t>exclui o beneficiário referido no inciso VI.</w:t>
      </w:r>
    </w:p>
    <w:p w14:paraId="7AE35393"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hyperlink r:id="rId45" w:anchor="art217%C2%A73." w:history="1">
        <w:r w:rsidRPr="00AD2F5A">
          <w:rPr>
            <w:rFonts w:ascii="Arial" w:eastAsia="Times New Roman" w:hAnsi="Arial" w:cs="Arial"/>
            <w:color w:val="0000FF"/>
            <w:kern w:val="0"/>
            <w:sz w:val="20"/>
            <w:szCs w:val="20"/>
            <w:u w:val="single"/>
            <w:lang w:eastAsia="pt-BR"/>
            <w14:ligatures w14:val="none"/>
          </w:rPr>
          <w:t>§ 3º </w:t>
        </w:r>
      </w:hyperlink>
      <w:r w:rsidRPr="00AD2F5A">
        <w:rPr>
          <w:rFonts w:ascii="Arial" w:eastAsia="Times New Roman" w:hAnsi="Arial" w:cs="Arial"/>
          <w:color w:val="000000"/>
          <w:kern w:val="0"/>
          <w:sz w:val="20"/>
          <w:szCs w:val="20"/>
          <w:lang w:eastAsia="pt-BR"/>
          <w14:ligatures w14:val="none"/>
        </w:rPr>
        <w:t>O enteado e o menor tutelado equiparam-se a filho mediante declaração do servidor e desde que comprovada dependência econômica, na forma estabelecida em regulamento.” (NR)</w:t>
      </w:r>
    </w:p>
    <w:p w14:paraId="7E0A2AEE"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hyperlink r:id="rId46" w:anchor="art218.." w:history="1">
        <w:r w:rsidRPr="00AD2F5A">
          <w:rPr>
            <w:rFonts w:ascii="Arial" w:eastAsia="Times New Roman" w:hAnsi="Arial" w:cs="Arial"/>
            <w:color w:val="0000FF"/>
            <w:kern w:val="0"/>
            <w:sz w:val="20"/>
            <w:szCs w:val="20"/>
            <w:u w:val="single"/>
            <w:lang w:eastAsia="pt-BR"/>
            <w14:ligatures w14:val="none"/>
          </w:rPr>
          <w:t>“Art. 218. </w:t>
        </w:r>
      </w:hyperlink>
      <w:r w:rsidRPr="00AD2F5A">
        <w:rPr>
          <w:rFonts w:ascii="Arial" w:eastAsia="Times New Roman" w:hAnsi="Arial" w:cs="Arial"/>
          <w:color w:val="000000"/>
          <w:kern w:val="0"/>
          <w:sz w:val="20"/>
          <w:szCs w:val="20"/>
          <w:lang w:eastAsia="pt-BR"/>
          <w14:ligatures w14:val="none"/>
        </w:rPr>
        <w:t>Ocorrendo habilitação de vários titulares à pensão, o seu valor será distribuído em partes iguais entre os beneficiários habilitados.</w:t>
      </w:r>
    </w:p>
    <w:p w14:paraId="671DE877"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 1º (Revogado).</w:t>
      </w:r>
    </w:p>
    <w:p w14:paraId="016C0EC0"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 2º (Revogado).</w:t>
      </w:r>
    </w:p>
    <w:p w14:paraId="297E9658"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 3º (Revogado).” (NR)</w:t>
      </w:r>
    </w:p>
    <w:p w14:paraId="785A8974"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 </w:t>
      </w:r>
      <w:hyperlink r:id="rId47" w:anchor="art220." w:history="1">
        <w:r w:rsidRPr="00AD2F5A">
          <w:rPr>
            <w:rFonts w:ascii="Arial" w:eastAsia="Times New Roman" w:hAnsi="Arial" w:cs="Arial"/>
            <w:color w:val="0000FF"/>
            <w:kern w:val="0"/>
            <w:sz w:val="20"/>
            <w:szCs w:val="20"/>
            <w:u w:val="single"/>
            <w:lang w:eastAsia="pt-BR"/>
            <w14:ligatures w14:val="none"/>
          </w:rPr>
          <w:t>Art. 220. </w:t>
        </w:r>
      </w:hyperlink>
      <w:r w:rsidRPr="00AD2F5A">
        <w:rPr>
          <w:rFonts w:ascii="Arial" w:eastAsia="Times New Roman" w:hAnsi="Arial" w:cs="Arial"/>
          <w:color w:val="000000"/>
          <w:kern w:val="0"/>
          <w:sz w:val="20"/>
          <w:szCs w:val="20"/>
          <w:lang w:eastAsia="pt-BR"/>
          <w14:ligatures w14:val="none"/>
        </w:rPr>
        <w:t>Perde o direito à pensão por morte:</w:t>
      </w:r>
    </w:p>
    <w:p w14:paraId="44582A87"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I - após o trânsito em julgado, o beneficiário condenado pela prática de crime de que tenha dolosamente resultado a morte do servidor;</w:t>
      </w:r>
    </w:p>
    <w:p w14:paraId="05645730"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II - o cônjuge, o companheiro ou a companheira se comprovada, a qualquer tempo, simulação ou fraude no casamento ou na união estável, ou a formalização desses com o fim exclusivo de constituir benefício previdenciário, apuradas em processo judicial no qual será assegurado o direito ao contraditório e à ampla defesa.” (NR)</w:t>
      </w:r>
    </w:p>
    <w:p w14:paraId="75716D41"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“Art. 222. ...................................................................</w:t>
      </w:r>
    </w:p>
    <w:p w14:paraId="1B7945E2"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w:t>
      </w:r>
    </w:p>
    <w:p w14:paraId="167ABEE7"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hyperlink r:id="rId48" w:anchor="art222iii." w:history="1">
        <w:r w:rsidRPr="00AD2F5A">
          <w:rPr>
            <w:rFonts w:ascii="Arial" w:eastAsia="Times New Roman" w:hAnsi="Arial" w:cs="Arial"/>
            <w:color w:val="0000FF"/>
            <w:kern w:val="0"/>
            <w:sz w:val="20"/>
            <w:szCs w:val="20"/>
            <w:u w:val="single"/>
            <w:lang w:eastAsia="pt-BR"/>
            <w14:ligatures w14:val="none"/>
          </w:rPr>
          <w:t>III - </w:t>
        </w:r>
      </w:hyperlink>
      <w:r w:rsidRPr="00AD2F5A">
        <w:rPr>
          <w:rFonts w:ascii="Arial" w:eastAsia="Times New Roman" w:hAnsi="Arial" w:cs="Arial"/>
          <w:color w:val="000000"/>
          <w:kern w:val="0"/>
          <w:sz w:val="20"/>
          <w:szCs w:val="20"/>
          <w:lang w:eastAsia="pt-BR"/>
          <w14:ligatures w14:val="none"/>
        </w:rPr>
        <w:t xml:space="preserve">a cessação da invalidez, em se tratando de beneficiário inválido, o afastamento da deficiência, em se tratando de beneficiário com deficiência, ou o levantamento da interdição, em se tratando de beneficiário com deficiência intelectual ou mental que o torne absoluta ou </w:t>
      </w:r>
      <w:r w:rsidRPr="00AD2F5A">
        <w:rPr>
          <w:rFonts w:ascii="Arial" w:eastAsia="Times New Roman" w:hAnsi="Arial" w:cs="Arial"/>
          <w:color w:val="000000"/>
          <w:kern w:val="0"/>
          <w:sz w:val="20"/>
          <w:szCs w:val="20"/>
          <w:lang w:eastAsia="pt-BR"/>
          <w14:ligatures w14:val="none"/>
        </w:rPr>
        <w:lastRenderedPageBreak/>
        <w:t>relativamente incapaz, respeitados os períodos mínimos decorrentes da aplicação das alíneas “a” e “b” do inciso VII;</w:t>
      </w:r>
    </w:p>
    <w:p w14:paraId="7DFA688D"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IV - o implemento da idade de 21 (vinte e um) anos, pelo filho ou irmão;</w:t>
      </w:r>
    </w:p>
    <w:p w14:paraId="0A89D1C0"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w:t>
      </w:r>
    </w:p>
    <w:p w14:paraId="64407536"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hyperlink r:id="rId49" w:anchor="art222vi." w:history="1">
        <w:r w:rsidRPr="00AD2F5A">
          <w:rPr>
            <w:rFonts w:ascii="Arial" w:eastAsia="Times New Roman" w:hAnsi="Arial" w:cs="Arial"/>
            <w:color w:val="0000FF"/>
            <w:kern w:val="0"/>
            <w:sz w:val="20"/>
            <w:szCs w:val="20"/>
            <w:u w:val="single"/>
            <w:lang w:eastAsia="pt-BR"/>
            <w14:ligatures w14:val="none"/>
          </w:rPr>
          <w:t>VI - </w:t>
        </w:r>
      </w:hyperlink>
      <w:r w:rsidRPr="00AD2F5A">
        <w:rPr>
          <w:rFonts w:ascii="Arial" w:eastAsia="Times New Roman" w:hAnsi="Arial" w:cs="Arial"/>
          <w:color w:val="000000"/>
          <w:kern w:val="0"/>
          <w:sz w:val="20"/>
          <w:szCs w:val="20"/>
          <w:lang w:eastAsia="pt-BR"/>
          <w14:ligatures w14:val="none"/>
        </w:rPr>
        <w:t>a renúncia expressa; e</w:t>
      </w:r>
    </w:p>
    <w:p w14:paraId="17DD76E1"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VII - em relação aos beneficiários de que tratam os incisos I a III do </w:t>
      </w:r>
      <w:r w:rsidRPr="00AD2F5A">
        <w:rPr>
          <w:rFonts w:ascii="Arial" w:eastAsia="Times New Roman" w:hAnsi="Arial" w:cs="Arial"/>
          <w:b/>
          <w:bCs/>
          <w:color w:val="000000"/>
          <w:kern w:val="0"/>
          <w:sz w:val="20"/>
          <w:szCs w:val="20"/>
          <w:lang w:eastAsia="pt-BR"/>
          <w14:ligatures w14:val="none"/>
        </w:rPr>
        <w:t>caput </w:t>
      </w:r>
      <w:r w:rsidRPr="00AD2F5A">
        <w:rPr>
          <w:rFonts w:ascii="Arial" w:eastAsia="Times New Roman" w:hAnsi="Arial" w:cs="Arial"/>
          <w:color w:val="000000"/>
          <w:kern w:val="0"/>
          <w:sz w:val="20"/>
          <w:szCs w:val="20"/>
          <w:lang w:eastAsia="pt-BR"/>
          <w14:ligatures w14:val="none"/>
        </w:rPr>
        <w:t>do art. 217:</w:t>
      </w:r>
    </w:p>
    <w:p w14:paraId="26265C8C"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a) o decurso de 4 (quatro) meses, se o óbito ocorrer sem que o servidor tenha vertido 18 (dezoito) contribuições mensais ou se o casamento ou a união estável tiverem sido iniciados em menos de 2 (dois) anos antes do óbito do servidor;</w:t>
      </w:r>
    </w:p>
    <w:p w14:paraId="28B9334A"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b) o decurso dos seguintes períodos, estabelecidos de acordo com a idade do pensionista na data de óbito do servidor, depois de vertidas 18 (dezoito) contribuições mensais e pelo menos 2 (dois) anos após o início do casamento ou da união estável:</w:t>
      </w:r>
    </w:p>
    <w:p w14:paraId="63F15BD9"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1) 3 (três) anos, com menos de 21 (vinte e um) anos de idade;</w:t>
      </w:r>
    </w:p>
    <w:p w14:paraId="3D5D75FD"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2) 6 (seis) anos, entre 21 (vinte e um) e 26 (vinte e seis) anos de idade;</w:t>
      </w:r>
    </w:p>
    <w:p w14:paraId="458442CD"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3) 10 (dez) anos, entre 27 (vinte e sete) e 29 (vinte e nove) anos de idade;</w:t>
      </w:r>
    </w:p>
    <w:p w14:paraId="7E038EC8"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4) 15 (quinze) anos, entre 30 (trinta) e 40 (quarenta) anos de idade;</w:t>
      </w:r>
    </w:p>
    <w:p w14:paraId="69898677"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5) 20 (vinte) anos, entre 41 (quarenta e um) e 43 (quarenta e três) anos de idade;</w:t>
      </w:r>
    </w:p>
    <w:p w14:paraId="5BF86E27"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6) vitalícia, com 44 (quarenta e quatro) ou mais anos de idade.</w:t>
      </w:r>
    </w:p>
    <w:p w14:paraId="64A6AFB9"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hyperlink r:id="rId50" w:anchor="art222%C2%A71" w:history="1">
        <w:r w:rsidRPr="00AD2F5A">
          <w:rPr>
            <w:rFonts w:ascii="Arial" w:eastAsia="Times New Roman" w:hAnsi="Arial" w:cs="Arial"/>
            <w:color w:val="0000FF"/>
            <w:kern w:val="0"/>
            <w:sz w:val="20"/>
            <w:szCs w:val="20"/>
            <w:u w:val="single"/>
            <w:lang w:eastAsia="pt-BR"/>
            <w14:ligatures w14:val="none"/>
          </w:rPr>
          <w:t>§ 1º </w:t>
        </w:r>
      </w:hyperlink>
      <w:r w:rsidRPr="00AD2F5A">
        <w:rPr>
          <w:rFonts w:ascii="Arial" w:eastAsia="Times New Roman" w:hAnsi="Arial" w:cs="Arial"/>
          <w:color w:val="000000"/>
          <w:kern w:val="0"/>
          <w:sz w:val="20"/>
          <w:szCs w:val="20"/>
          <w:lang w:eastAsia="pt-BR"/>
          <w14:ligatures w14:val="none"/>
        </w:rPr>
        <w:t>A critério da administração, o beneficiário de pensão cuja preservação seja motivada por invalidez, por incapacidade ou por deficiência poderá ser convocado a qualquer momento para avaliação das referidas condições.</w:t>
      </w:r>
    </w:p>
    <w:p w14:paraId="69B03913"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 2º Serão aplicados, conforme o caso, a regra contida no inciso III ou os prazos previstos na alínea “b” do inciso VII, ambos do </w:t>
      </w:r>
      <w:r w:rsidRPr="00AD2F5A">
        <w:rPr>
          <w:rFonts w:ascii="Arial" w:eastAsia="Times New Roman" w:hAnsi="Arial" w:cs="Arial"/>
          <w:b/>
          <w:bCs/>
          <w:color w:val="000000"/>
          <w:kern w:val="0"/>
          <w:sz w:val="20"/>
          <w:szCs w:val="20"/>
          <w:lang w:eastAsia="pt-BR"/>
          <w14:ligatures w14:val="none"/>
        </w:rPr>
        <w:t>caput </w:t>
      </w:r>
      <w:r w:rsidRPr="00AD2F5A">
        <w:rPr>
          <w:rFonts w:ascii="Arial" w:eastAsia="Times New Roman" w:hAnsi="Arial" w:cs="Arial"/>
          <w:color w:val="000000"/>
          <w:kern w:val="0"/>
          <w:sz w:val="20"/>
          <w:szCs w:val="20"/>
          <w:lang w:eastAsia="pt-BR"/>
          <w14:ligatures w14:val="none"/>
        </w:rPr>
        <w:t>, se o óbito do servidor decorrer de acidente de qualquer natureza ou de doença profissional ou do trabalho, independentemente do recolhimento de 18 (dezoito) contribuições mensais ou da comprovação de 2 (dois) anos de casamento ou de união estável.</w:t>
      </w:r>
    </w:p>
    <w:p w14:paraId="288A8B2F"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 3º Após o transcurso de pelo menos 3 (três) anos e desde que nesse período se verifique o incremento mínimo de um ano inteiro na média nacional única, para ambos os sexos, correspondente à expectativa de sobrevida da população brasileira ao nascer, poderão ser fixadas, em números inteiros, novas idades para os fins previstos na alínea “b” do inciso VII do </w:t>
      </w:r>
      <w:r w:rsidRPr="00AD2F5A">
        <w:rPr>
          <w:rFonts w:ascii="Arial" w:eastAsia="Times New Roman" w:hAnsi="Arial" w:cs="Arial"/>
          <w:b/>
          <w:bCs/>
          <w:color w:val="000000"/>
          <w:kern w:val="0"/>
          <w:sz w:val="20"/>
          <w:szCs w:val="20"/>
          <w:lang w:eastAsia="pt-BR"/>
          <w14:ligatures w14:val="none"/>
        </w:rPr>
        <w:t>caput </w:t>
      </w:r>
      <w:r w:rsidRPr="00AD2F5A">
        <w:rPr>
          <w:rFonts w:ascii="Arial" w:eastAsia="Times New Roman" w:hAnsi="Arial" w:cs="Arial"/>
          <w:color w:val="000000"/>
          <w:kern w:val="0"/>
          <w:sz w:val="20"/>
          <w:szCs w:val="20"/>
          <w:lang w:eastAsia="pt-BR"/>
          <w14:ligatures w14:val="none"/>
        </w:rPr>
        <w:t>, em ato do Ministro de Estado do Planejamento, Orçamento e Gestão, limitado o acréscimo na comparação com as idades anteriores ao referido incremento.</w:t>
      </w:r>
    </w:p>
    <w:p w14:paraId="660A5886"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 4º O tempo de contribuição a Regime Próprio de Previdência Social (RPPS) ou ao Regime Geral de Previdência Social (RGPS) será considerado na contagem das 18 (dezoito) contribuições mensais referidas nas alíneas “a” e “b” do inciso VII do </w:t>
      </w:r>
      <w:r w:rsidRPr="00AD2F5A">
        <w:rPr>
          <w:rFonts w:ascii="Arial" w:eastAsia="Times New Roman" w:hAnsi="Arial" w:cs="Arial"/>
          <w:b/>
          <w:bCs/>
          <w:color w:val="000000"/>
          <w:kern w:val="0"/>
          <w:sz w:val="20"/>
          <w:szCs w:val="20"/>
          <w:lang w:eastAsia="pt-BR"/>
          <w14:ligatures w14:val="none"/>
        </w:rPr>
        <w:t>caput </w:t>
      </w:r>
      <w:r w:rsidRPr="00AD2F5A">
        <w:rPr>
          <w:rFonts w:ascii="Arial" w:eastAsia="Times New Roman" w:hAnsi="Arial" w:cs="Arial"/>
          <w:color w:val="000000"/>
          <w:kern w:val="0"/>
          <w:sz w:val="20"/>
          <w:szCs w:val="20"/>
          <w:lang w:eastAsia="pt-BR"/>
          <w14:ligatures w14:val="none"/>
        </w:rPr>
        <w:t>.” (NR)</w:t>
      </w:r>
    </w:p>
    <w:p w14:paraId="35F2ED57"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hyperlink r:id="rId51" w:anchor="art223.." w:history="1">
        <w:r w:rsidRPr="00AD2F5A">
          <w:rPr>
            <w:rFonts w:ascii="Arial" w:eastAsia="Times New Roman" w:hAnsi="Arial" w:cs="Arial"/>
            <w:color w:val="0000FF"/>
            <w:kern w:val="0"/>
            <w:sz w:val="20"/>
            <w:szCs w:val="20"/>
            <w:u w:val="single"/>
            <w:lang w:eastAsia="pt-BR"/>
            <w14:ligatures w14:val="none"/>
          </w:rPr>
          <w:t>“Art. 223. </w:t>
        </w:r>
      </w:hyperlink>
      <w:r w:rsidRPr="00AD2F5A">
        <w:rPr>
          <w:rFonts w:ascii="Arial" w:eastAsia="Times New Roman" w:hAnsi="Arial" w:cs="Arial"/>
          <w:color w:val="000000"/>
          <w:kern w:val="0"/>
          <w:sz w:val="20"/>
          <w:szCs w:val="20"/>
          <w:lang w:eastAsia="pt-BR"/>
          <w14:ligatures w14:val="none"/>
        </w:rPr>
        <w:t>Por morte ou perda da qualidade de beneficiário, a respectiva cota reverterá para os cobeneficiários.</w:t>
      </w:r>
    </w:p>
    <w:p w14:paraId="4387E238"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I - (Revogado);</w:t>
      </w:r>
    </w:p>
    <w:p w14:paraId="4EFE6059"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lastRenderedPageBreak/>
        <w:t>II - (Revogado).” (NR)</w:t>
      </w:r>
    </w:p>
    <w:p w14:paraId="0FC326A7"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hyperlink r:id="rId52" w:anchor="art225.." w:history="1">
        <w:r w:rsidRPr="00AD2F5A">
          <w:rPr>
            <w:rFonts w:ascii="Arial" w:eastAsia="Times New Roman" w:hAnsi="Arial" w:cs="Arial"/>
            <w:color w:val="0000FF"/>
            <w:kern w:val="0"/>
            <w:sz w:val="20"/>
            <w:szCs w:val="20"/>
            <w:u w:val="single"/>
            <w:lang w:eastAsia="pt-BR"/>
            <w14:ligatures w14:val="none"/>
          </w:rPr>
          <w:t>“Art. 225. </w:t>
        </w:r>
      </w:hyperlink>
      <w:r w:rsidRPr="00AD2F5A">
        <w:rPr>
          <w:rFonts w:ascii="Arial" w:eastAsia="Times New Roman" w:hAnsi="Arial" w:cs="Arial"/>
          <w:color w:val="000000"/>
          <w:kern w:val="0"/>
          <w:sz w:val="20"/>
          <w:szCs w:val="20"/>
          <w:lang w:eastAsia="pt-BR"/>
          <w14:ligatures w14:val="none"/>
        </w:rPr>
        <w:t>Ressalvado o direito de opção, é vedada a percepção cumulativa de pensão deixada por mais de um cônjuge ou companheiro ou companheira e de mais de 2 (duas) pensões.” (NR)</w:t>
      </w:r>
    </w:p>
    <w:p w14:paraId="4CAE92DC"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“Art. 229. ....................................................................</w:t>
      </w:r>
    </w:p>
    <w:p w14:paraId="6044D29E"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w:t>
      </w:r>
    </w:p>
    <w:p w14:paraId="4B50E94A"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hyperlink r:id="rId53" w:anchor="art229%C2%A73" w:history="1">
        <w:r w:rsidRPr="00AD2F5A">
          <w:rPr>
            <w:rFonts w:ascii="Arial" w:eastAsia="Times New Roman" w:hAnsi="Arial" w:cs="Arial"/>
            <w:color w:val="0000FF"/>
            <w:kern w:val="0"/>
            <w:sz w:val="20"/>
            <w:szCs w:val="20"/>
            <w:u w:val="single"/>
            <w:lang w:eastAsia="pt-BR"/>
            <w14:ligatures w14:val="none"/>
          </w:rPr>
          <w:t>§ 3º </w:t>
        </w:r>
      </w:hyperlink>
      <w:r w:rsidRPr="00AD2F5A">
        <w:rPr>
          <w:rFonts w:ascii="Arial" w:eastAsia="Times New Roman" w:hAnsi="Arial" w:cs="Arial"/>
          <w:color w:val="000000"/>
          <w:kern w:val="0"/>
          <w:sz w:val="20"/>
          <w:szCs w:val="20"/>
          <w:lang w:eastAsia="pt-BR"/>
          <w14:ligatures w14:val="none"/>
        </w:rPr>
        <w:t>Ressalvado o disposto neste artigo, o auxílio-reclusão será devido, nas mesmas condições da pensão por morte, aos dependentes do segurado recolhido à prisão.” (NR)</w:t>
      </w:r>
    </w:p>
    <w:p w14:paraId="7A129951" w14:textId="77777777" w:rsidR="00AD2F5A" w:rsidRPr="00AD2F5A" w:rsidRDefault="00AD2F5A" w:rsidP="00AD2F5A">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bookmarkStart w:id="6" w:name="art4"/>
      <w:bookmarkEnd w:id="6"/>
      <w:r w:rsidRPr="00AD2F5A">
        <w:rPr>
          <w:rFonts w:ascii="Arial" w:eastAsia="Times New Roman" w:hAnsi="Arial" w:cs="Arial"/>
          <w:color w:val="000000"/>
          <w:kern w:val="0"/>
          <w:sz w:val="20"/>
          <w:szCs w:val="20"/>
          <w:lang w:eastAsia="pt-BR"/>
          <w14:ligatures w14:val="none"/>
        </w:rPr>
        <w:t>Art. 4º O art. 12 da </w:t>
      </w:r>
      <w:hyperlink r:id="rId54" w:history="1">
        <w:r w:rsidRPr="00AD2F5A">
          <w:rPr>
            <w:rFonts w:ascii="Arial" w:eastAsia="Times New Roman" w:hAnsi="Arial" w:cs="Arial"/>
            <w:color w:val="0000FF"/>
            <w:kern w:val="0"/>
            <w:sz w:val="20"/>
            <w:szCs w:val="20"/>
            <w:u w:val="single"/>
            <w:lang w:eastAsia="pt-BR"/>
            <w14:ligatures w14:val="none"/>
          </w:rPr>
          <w:t>Lei nº 10.666, de 8 de maio de 2003 </w:t>
        </w:r>
      </w:hyperlink>
      <w:r w:rsidRPr="00AD2F5A">
        <w:rPr>
          <w:rFonts w:ascii="Arial" w:eastAsia="Times New Roman" w:hAnsi="Arial" w:cs="Arial"/>
          <w:color w:val="000000"/>
          <w:kern w:val="0"/>
          <w:sz w:val="20"/>
          <w:szCs w:val="20"/>
          <w:lang w:eastAsia="pt-BR"/>
          <w14:ligatures w14:val="none"/>
        </w:rPr>
        <w:t>, passa a vigorar com a seguinte redação:</w:t>
      </w:r>
    </w:p>
    <w:p w14:paraId="3690A5AC" w14:textId="77777777" w:rsidR="00AD2F5A" w:rsidRPr="00AD2F5A" w:rsidRDefault="00AD2F5A" w:rsidP="00AD2F5A">
      <w:pPr>
        <w:spacing w:beforeAutospacing="1" w:after="100" w:afterAutospacing="1" w:line="240" w:lineRule="auto"/>
        <w:rPr>
          <w:rFonts w:ascii="Arial" w:eastAsia="Times New Roman" w:hAnsi="Arial" w:cs="Arial"/>
          <w:color w:val="000000"/>
          <w:kern w:val="0"/>
          <w:sz w:val="20"/>
          <w:szCs w:val="20"/>
          <w:lang w:eastAsia="pt-BR"/>
          <w14:ligatures w14:val="none"/>
        </w:rPr>
      </w:pPr>
      <w:hyperlink r:id="rId55" w:anchor="art12......." w:history="1">
        <w:r w:rsidRPr="00AD2F5A">
          <w:rPr>
            <w:rFonts w:ascii="Arial" w:eastAsia="Times New Roman" w:hAnsi="Arial" w:cs="Arial"/>
            <w:color w:val="0000FF"/>
            <w:kern w:val="0"/>
            <w:sz w:val="20"/>
            <w:szCs w:val="20"/>
            <w:u w:val="single"/>
            <w:lang w:eastAsia="pt-BR"/>
            <w14:ligatures w14:val="none"/>
          </w:rPr>
          <w:t>“Art. 12. </w:t>
        </w:r>
      </w:hyperlink>
      <w:r w:rsidRPr="00AD2F5A">
        <w:rPr>
          <w:rFonts w:ascii="Arial" w:eastAsia="Times New Roman" w:hAnsi="Arial" w:cs="Arial"/>
          <w:color w:val="000000"/>
          <w:kern w:val="0"/>
          <w:sz w:val="20"/>
          <w:szCs w:val="20"/>
          <w:lang w:eastAsia="pt-BR"/>
          <w14:ligatures w14:val="none"/>
        </w:rPr>
        <w:t>Para fins de compensação financeira entre o Regime Geral de Previdência Social (RGPS) e o Regime Próprio de Previdência Social (RPPS) da União, dos Estados, do Distrito Federal e dos Municípios, os regimes instituidores apresentarão aos regimes de origem os dados relativos aos benefícios em manutenção em 5 de maio de 1999 concedidos a partir de 5 de outubro de 1988.” (NR)</w:t>
      </w:r>
    </w:p>
    <w:p w14:paraId="66308B07" w14:textId="77777777" w:rsidR="00AD2F5A" w:rsidRPr="00AD2F5A" w:rsidRDefault="00AD2F5A" w:rsidP="00AD2F5A">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bookmarkStart w:id="7" w:name="art5"/>
      <w:bookmarkEnd w:id="7"/>
      <w:r w:rsidRPr="00AD2F5A">
        <w:rPr>
          <w:rFonts w:ascii="Arial" w:eastAsia="Times New Roman" w:hAnsi="Arial" w:cs="Arial"/>
          <w:color w:val="000000"/>
          <w:kern w:val="0"/>
          <w:sz w:val="20"/>
          <w:szCs w:val="20"/>
          <w:lang w:eastAsia="pt-BR"/>
          <w14:ligatures w14:val="none"/>
        </w:rPr>
        <w:t>Art. 5º Os atos praticados com base em dispositivos da Medida Provisória nº 664, de 30 de dezembro de 2014, serão revistos e adaptados ao disposto nesta Lei.</w:t>
      </w:r>
    </w:p>
    <w:p w14:paraId="6F5279AF" w14:textId="77777777" w:rsidR="00AD2F5A" w:rsidRPr="00AD2F5A" w:rsidRDefault="00AD2F5A" w:rsidP="00AD2F5A">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bookmarkStart w:id="8" w:name="art6"/>
      <w:bookmarkEnd w:id="8"/>
      <w:r w:rsidRPr="00AD2F5A">
        <w:rPr>
          <w:rFonts w:ascii="Arial" w:eastAsia="Times New Roman" w:hAnsi="Arial" w:cs="Arial"/>
          <w:color w:val="000000"/>
          <w:kern w:val="0"/>
          <w:sz w:val="20"/>
          <w:szCs w:val="20"/>
          <w:lang w:eastAsia="pt-BR"/>
          <w14:ligatures w14:val="none"/>
        </w:rPr>
        <w:t>Art. 6º Esta Lei entra em vigor em:</w:t>
      </w:r>
    </w:p>
    <w:p w14:paraId="4A132F3A" w14:textId="77777777" w:rsidR="00AD2F5A" w:rsidRPr="00AD2F5A" w:rsidRDefault="00AD2F5A" w:rsidP="00AD2F5A">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bookmarkStart w:id="9" w:name="art6i"/>
      <w:bookmarkEnd w:id="9"/>
      <w:r w:rsidRPr="00AD2F5A">
        <w:rPr>
          <w:rFonts w:ascii="Arial" w:eastAsia="Times New Roman" w:hAnsi="Arial" w:cs="Arial"/>
          <w:color w:val="000000"/>
          <w:kern w:val="0"/>
          <w:sz w:val="20"/>
          <w:szCs w:val="20"/>
          <w:lang w:eastAsia="pt-BR"/>
          <w14:ligatures w14:val="none"/>
        </w:rPr>
        <w:t>I - 180 (cento e oitenta) dias a partir de sua publicação, quanto à inclusão de pessoas com deficiência grave entre os dependentes dos segurados do Regime Geral de Previdência Social (RGPS) e do Regime Próprio de Previdência Social (RPPS) previstos na </w:t>
      </w:r>
      <w:hyperlink r:id="rId56" w:history="1">
        <w:r w:rsidRPr="00AD2F5A">
          <w:rPr>
            <w:rFonts w:ascii="Arial" w:eastAsia="Times New Roman" w:hAnsi="Arial" w:cs="Arial"/>
            <w:color w:val="0000FF"/>
            <w:kern w:val="0"/>
            <w:sz w:val="20"/>
            <w:szCs w:val="20"/>
            <w:u w:val="single"/>
            <w:lang w:eastAsia="pt-BR"/>
            <w14:ligatures w14:val="none"/>
          </w:rPr>
          <w:t>Lei nº 8.112, de 11 de dezembro de 1990 </w:t>
        </w:r>
      </w:hyperlink>
      <w:r w:rsidRPr="00AD2F5A">
        <w:rPr>
          <w:rFonts w:ascii="Arial" w:eastAsia="Times New Roman" w:hAnsi="Arial" w:cs="Arial"/>
          <w:color w:val="000000"/>
          <w:kern w:val="0"/>
          <w:sz w:val="20"/>
          <w:szCs w:val="20"/>
          <w:lang w:eastAsia="pt-BR"/>
          <w14:ligatures w14:val="none"/>
        </w:rPr>
        <w:t>;</w:t>
      </w:r>
    </w:p>
    <w:p w14:paraId="5D079943" w14:textId="77777777" w:rsidR="00AD2F5A" w:rsidRPr="00AD2F5A" w:rsidRDefault="00AD2F5A" w:rsidP="00AD2F5A">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bookmarkStart w:id="10" w:name="art6ii"/>
      <w:bookmarkEnd w:id="10"/>
      <w:r w:rsidRPr="00AD2F5A">
        <w:rPr>
          <w:rFonts w:ascii="Arial" w:eastAsia="Times New Roman" w:hAnsi="Arial" w:cs="Arial"/>
          <w:color w:val="000000"/>
          <w:kern w:val="0"/>
          <w:sz w:val="20"/>
          <w:szCs w:val="20"/>
          <w:lang w:eastAsia="pt-BR"/>
          <w14:ligatures w14:val="none"/>
        </w:rPr>
        <w:t>II - 2 (dois) anos para a nova redação:</w:t>
      </w:r>
    </w:p>
    <w:p w14:paraId="078F8D57" w14:textId="77777777" w:rsidR="00AD2F5A" w:rsidRPr="00AD2F5A" w:rsidRDefault="00AD2F5A" w:rsidP="00AD2F5A">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bookmarkStart w:id="11" w:name="art6iia"/>
      <w:bookmarkEnd w:id="11"/>
      <w:r w:rsidRPr="00AD2F5A">
        <w:rPr>
          <w:rFonts w:ascii="Arial" w:eastAsia="Times New Roman" w:hAnsi="Arial" w:cs="Arial"/>
          <w:color w:val="000000"/>
          <w:kern w:val="0"/>
          <w:sz w:val="20"/>
          <w:szCs w:val="20"/>
          <w:lang w:eastAsia="pt-BR"/>
          <w14:ligatures w14:val="none"/>
        </w:rPr>
        <w:t>a) do </w:t>
      </w:r>
      <w:hyperlink r:id="rId57" w:anchor="art16" w:history="1">
        <w:r w:rsidRPr="00AD2F5A">
          <w:rPr>
            <w:rFonts w:ascii="Arial" w:eastAsia="Times New Roman" w:hAnsi="Arial" w:cs="Arial"/>
            <w:color w:val="0000FF"/>
            <w:kern w:val="0"/>
            <w:sz w:val="20"/>
            <w:szCs w:val="20"/>
            <w:u w:val="single"/>
            <w:lang w:eastAsia="pt-BR"/>
            <w14:ligatures w14:val="none"/>
          </w:rPr>
          <w:t>art. 16, incisos I e III </w:t>
        </w:r>
      </w:hyperlink>
      <w:r w:rsidRPr="00AD2F5A">
        <w:rPr>
          <w:rFonts w:ascii="Arial" w:eastAsia="Times New Roman" w:hAnsi="Arial" w:cs="Arial"/>
          <w:color w:val="000000"/>
          <w:kern w:val="0"/>
          <w:sz w:val="20"/>
          <w:szCs w:val="20"/>
          <w:lang w:eastAsia="pt-BR"/>
          <w14:ligatures w14:val="none"/>
        </w:rPr>
        <w:t>, e do </w:t>
      </w:r>
      <w:hyperlink r:id="rId58" w:anchor="art77" w:history="1">
        <w:r w:rsidRPr="00AD2F5A">
          <w:rPr>
            <w:rFonts w:ascii="Arial" w:eastAsia="Times New Roman" w:hAnsi="Arial" w:cs="Arial"/>
            <w:color w:val="0000FF"/>
            <w:kern w:val="0"/>
            <w:sz w:val="20"/>
            <w:szCs w:val="20"/>
            <w:u w:val="single"/>
            <w:lang w:eastAsia="pt-BR"/>
            <w14:ligatures w14:val="none"/>
          </w:rPr>
          <w:t>art. 77, § 2º, inciso IV, da Lei nº 8.213, de 24 de julho de 1991 </w:t>
        </w:r>
      </w:hyperlink>
      <w:r w:rsidRPr="00AD2F5A">
        <w:rPr>
          <w:rFonts w:ascii="Arial" w:eastAsia="Times New Roman" w:hAnsi="Arial" w:cs="Arial"/>
          <w:color w:val="000000"/>
          <w:kern w:val="0"/>
          <w:sz w:val="20"/>
          <w:szCs w:val="20"/>
          <w:lang w:eastAsia="pt-BR"/>
          <w14:ligatures w14:val="none"/>
        </w:rPr>
        <w:t>, em relação às pessoas com deficiência intelectual ou mental;</w:t>
      </w:r>
    </w:p>
    <w:p w14:paraId="292DE899" w14:textId="77777777" w:rsidR="00AD2F5A" w:rsidRPr="00AD2F5A" w:rsidRDefault="00AD2F5A" w:rsidP="00AD2F5A">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bookmarkStart w:id="12" w:name="art6iib"/>
      <w:bookmarkEnd w:id="12"/>
      <w:r w:rsidRPr="00AD2F5A">
        <w:rPr>
          <w:rFonts w:ascii="Arial" w:eastAsia="Times New Roman" w:hAnsi="Arial" w:cs="Arial"/>
          <w:color w:val="000000"/>
          <w:kern w:val="0"/>
          <w:sz w:val="20"/>
          <w:szCs w:val="20"/>
          <w:lang w:eastAsia="pt-BR"/>
          <w14:ligatures w14:val="none"/>
        </w:rPr>
        <w:t>b) do </w:t>
      </w:r>
      <w:hyperlink r:id="rId59" w:anchor="art217" w:history="1">
        <w:r w:rsidRPr="00AD2F5A">
          <w:rPr>
            <w:rFonts w:ascii="Arial" w:eastAsia="Times New Roman" w:hAnsi="Arial" w:cs="Arial"/>
            <w:color w:val="0000FF"/>
            <w:kern w:val="0"/>
            <w:sz w:val="20"/>
            <w:szCs w:val="20"/>
            <w:u w:val="single"/>
            <w:lang w:eastAsia="pt-BR"/>
            <w14:ligatures w14:val="none"/>
          </w:rPr>
          <w:t>art. 217, inciso IV, alínea “c”, da Lei nº 8.112, de 11 de dezembro de 1990 </w:t>
        </w:r>
      </w:hyperlink>
      <w:r w:rsidRPr="00AD2F5A">
        <w:rPr>
          <w:rFonts w:ascii="Arial" w:eastAsia="Times New Roman" w:hAnsi="Arial" w:cs="Arial"/>
          <w:color w:val="000000"/>
          <w:kern w:val="0"/>
          <w:sz w:val="20"/>
          <w:szCs w:val="20"/>
          <w:lang w:eastAsia="pt-BR"/>
          <w14:ligatures w14:val="none"/>
        </w:rPr>
        <w:t>;</w:t>
      </w:r>
    </w:p>
    <w:p w14:paraId="6140EC94" w14:textId="77777777" w:rsidR="00AD2F5A" w:rsidRPr="00AD2F5A" w:rsidRDefault="00AD2F5A" w:rsidP="00AD2F5A">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bookmarkStart w:id="13" w:name="art6iii"/>
      <w:bookmarkEnd w:id="13"/>
      <w:r w:rsidRPr="00AD2F5A">
        <w:rPr>
          <w:rFonts w:ascii="Arial" w:eastAsia="Times New Roman" w:hAnsi="Arial" w:cs="Arial"/>
          <w:color w:val="000000"/>
          <w:kern w:val="0"/>
          <w:sz w:val="20"/>
          <w:szCs w:val="20"/>
          <w:lang w:eastAsia="pt-BR"/>
          <w14:ligatures w14:val="none"/>
        </w:rPr>
        <w:t>III - na data de sua publicação, para os demais dispositivos.</w:t>
      </w:r>
    </w:p>
    <w:p w14:paraId="12C0D00C" w14:textId="77777777" w:rsidR="00AD2F5A" w:rsidRPr="00AD2F5A" w:rsidRDefault="00AD2F5A" w:rsidP="00AD2F5A">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bookmarkStart w:id="14" w:name="art7"/>
      <w:bookmarkEnd w:id="14"/>
      <w:r w:rsidRPr="00AD2F5A">
        <w:rPr>
          <w:rFonts w:ascii="Arial" w:eastAsia="Times New Roman" w:hAnsi="Arial" w:cs="Arial"/>
          <w:color w:val="000000"/>
          <w:kern w:val="0"/>
          <w:sz w:val="20"/>
          <w:szCs w:val="20"/>
          <w:lang w:eastAsia="pt-BR"/>
          <w14:ligatures w14:val="none"/>
        </w:rPr>
        <w:t>Art. 7º Revogam-se:</w:t>
      </w:r>
    </w:p>
    <w:p w14:paraId="09FA0D84" w14:textId="77777777" w:rsidR="00AD2F5A" w:rsidRPr="00AD2F5A" w:rsidRDefault="00AD2F5A" w:rsidP="00AD2F5A">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bookmarkStart w:id="15" w:name="art7i"/>
      <w:bookmarkEnd w:id="15"/>
      <w:r w:rsidRPr="00AD2F5A">
        <w:rPr>
          <w:rFonts w:ascii="Arial" w:eastAsia="Times New Roman" w:hAnsi="Arial" w:cs="Arial"/>
          <w:color w:val="000000"/>
          <w:kern w:val="0"/>
          <w:sz w:val="20"/>
          <w:szCs w:val="20"/>
          <w:lang w:eastAsia="pt-BR"/>
          <w14:ligatures w14:val="none"/>
        </w:rPr>
        <w:t>I - os seguintes dispositivos da </w:t>
      </w:r>
      <w:hyperlink r:id="rId60" w:history="1">
        <w:r w:rsidRPr="00AD2F5A">
          <w:rPr>
            <w:rFonts w:ascii="Arial" w:eastAsia="Times New Roman" w:hAnsi="Arial" w:cs="Arial"/>
            <w:color w:val="0000FF"/>
            <w:kern w:val="0"/>
            <w:sz w:val="20"/>
            <w:szCs w:val="20"/>
            <w:u w:val="single"/>
            <w:lang w:eastAsia="pt-BR"/>
            <w14:ligatures w14:val="none"/>
          </w:rPr>
          <w:t>Lei nº 8.112, de 11 de dezembro de 1990 </w:t>
        </w:r>
      </w:hyperlink>
      <w:r w:rsidRPr="00AD2F5A">
        <w:rPr>
          <w:rFonts w:ascii="Arial" w:eastAsia="Times New Roman" w:hAnsi="Arial" w:cs="Arial"/>
          <w:color w:val="000000"/>
          <w:kern w:val="0"/>
          <w:sz w:val="20"/>
          <w:szCs w:val="20"/>
          <w:lang w:eastAsia="pt-BR"/>
          <w14:ligatures w14:val="none"/>
        </w:rPr>
        <w:t>:</w:t>
      </w:r>
    </w:p>
    <w:p w14:paraId="58E53A6C" w14:textId="77777777" w:rsidR="00AD2F5A" w:rsidRPr="00AD2F5A" w:rsidRDefault="00AD2F5A" w:rsidP="00AD2F5A">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bookmarkStart w:id="16" w:name="art7ia"/>
      <w:bookmarkEnd w:id="16"/>
      <w:r w:rsidRPr="00AD2F5A">
        <w:rPr>
          <w:rFonts w:ascii="Arial" w:eastAsia="Times New Roman" w:hAnsi="Arial" w:cs="Arial"/>
          <w:color w:val="000000"/>
          <w:kern w:val="0"/>
          <w:sz w:val="20"/>
          <w:szCs w:val="20"/>
          <w:lang w:eastAsia="pt-BR"/>
          <w14:ligatures w14:val="none"/>
        </w:rPr>
        <w:t>a) o </w:t>
      </w:r>
      <w:hyperlink r:id="rId61" w:anchor="art216" w:history="1">
        <w:r w:rsidRPr="00AD2F5A">
          <w:rPr>
            <w:rFonts w:ascii="Arial" w:eastAsia="Times New Roman" w:hAnsi="Arial" w:cs="Arial"/>
            <w:color w:val="0000FF"/>
            <w:kern w:val="0"/>
            <w:sz w:val="20"/>
            <w:szCs w:val="20"/>
            <w:u w:val="single"/>
            <w:lang w:eastAsia="pt-BR"/>
            <w14:ligatures w14:val="none"/>
          </w:rPr>
          <w:t>art. 216 </w:t>
        </w:r>
      </w:hyperlink>
      <w:r w:rsidRPr="00AD2F5A">
        <w:rPr>
          <w:rFonts w:ascii="Arial" w:eastAsia="Times New Roman" w:hAnsi="Arial" w:cs="Arial"/>
          <w:color w:val="000000"/>
          <w:kern w:val="0"/>
          <w:sz w:val="20"/>
          <w:szCs w:val="20"/>
          <w:lang w:eastAsia="pt-BR"/>
          <w14:ligatures w14:val="none"/>
        </w:rPr>
        <w:t>;</w:t>
      </w:r>
    </w:p>
    <w:p w14:paraId="6CFF2749" w14:textId="77777777" w:rsidR="00AD2F5A" w:rsidRPr="00AD2F5A" w:rsidRDefault="00AD2F5A" w:rsidP="00AD2F5A">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bookmarkStart w:id="17" w:name="art7ib"/>
      <w:bookmarkEnd w:id="17"/>
      <w:r w:rsidRPr="00AD2F5A">
        <w:rPr>
          <w:rFonts w:ascii="Arial" w:eastAsia="Times New Roman" w:hAnsi="Arial" w:cs="Arial"/>
          <w:color w:val="000000"/>
          <w:kern w:val="0"/>
          <w:sz w:val="20"/>
          <w:szCs w:val="20"/>
          <w:lang w:eastAsia="pt-BR"/>
          <w14:ligatures w14:val="none"/>
        </w:rPr>
        <w:t>b) os </w:t>
      </w:r>
      <w:hyperlink r:id="rId62" w:anchor="art218%C2%A71." w:history="1">
        <w:r w:rsidRPr="00AD2F5A">
          <w:rPr>
            <w:rFonts w:ascii="Arial" w:eastAsia="Times New Roman" w:hAnsi="Arial" w:cs="Arial"/>
            <w:color w:val="0000FF"/>
            <w:kern w:val="0"/>
            <w:sz w:val="20"/>
            <w:szCs w:val="20"/>
            <w:u w:val="single"/>
            <w:lang w:eastAsia="pt-BR"/>
            <w14:ligatures w14:val="none"/>
          </w:rPr>
          <w:t>§§ 1º a 3º do art. 218 </w:t>
        </w:r>
      </w:hyperlink>
      <w:r w:rsidRPr="00AD2F5A">
        <w:rPr>
          <w:rFonts w:ascii="Arial" w:eastAsia="Times New Roman" w:hAnsi="Arial" w:cs="Arial"/>
          <w:color w:val="000000"/>
          <w:kern w:val="0"/>
          <w:sz w:val="20"/>
          <w:szCs w:val="20"/>
          <w:lang w:eastAsia="pt-BR"/>
          <w14:ligatures w14:val="none"/>
        </w:rPr>
        <w:t>; e</w:t>
      </w:r>
    </w:p>
    <w:p w14:paraId="1393047F" w14:textId="77777777" w:rsidR="00AD2F5A" w:rsidRPr="00AD2F5A" w:rsidRDefault="00AD2F5A" w:rsidP="00AD2F5A">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bookmarkStart w:id="18" w:name="art7ii"/>
      <w:bookmarkEnd w:id="18"/>
      <w:r w:rsidRPr="00AD2F5A">
        <w:rPr>
          <w:rFonts w:ascii="Arial" w:eastAsia="Times New Roman" w:hAnsi="Arial" w:cs="Arial"/>
          <w:color w:val="000000"/>
          <w:kern w:val="0"/>
          <w:sz w:val="20"/>
          <w:szCs w:val="20"/>
          <w:lang w:eastAsia="pt-BR"/>
          <w14:ligatures w14:val="none"/>
        </w:rPr>
        <w:t>II - os seguintes dispositivos da </w:t>
      </w:r>
      <w:hyperlink r:id="rId63" w:history="1">
        <w:r w:rsidRPr="00AD2F5A">
          <w:rPr>
            <w:rFonts w:ascii="Arial" w:eastAsia="Times New Roman" w:hAnsi="Arial" w:cs="Arial"/>
            <w:color w:val="0000FF"/>
            <w:kern w:val="0"/>
            <w:sz w:val="20"/>
            <w:szCs w:val="20"/>
            <w:u w:val="single"/>
            <w:lang w:eastAsia="pt-BR"/>
            <w14:ligatures w14:val="none"/>
          </w:rPr>
          <w:t>Lei nº 8.213, de 24 de julho de 1991 </w:t>
        </w:r>
      </w:hyperlink>
      <w:r w:rsidRPr="00AD2F5A">
        <w:rPr>
          <w:rFonts w:ascii="Arial" w:eastAsia="Times New Roman" w:hAnsi="Arial" w:cs="Arial"/>
          <w:color w:val="000000"/>
          <w:kern w:val="0"/>
          <w:sz w:val="20"/>
          <w:szCs w:val="20"/>
          <w:lang w:eastAsia="pt-BR"/>
          <w14:ligatures w14:val="none"/>
        </w:rPr>
        <w:t>:</w:t>
      </w:r>
    </w:p>
    <w:p w14:paraId="0A20420C" w14:textId="77777777" w:rsidR="00AD2F5A" w:rsidRPr="00AD2F5A" w:rsidRDefault="00AD2F5A" w:rsidP="00AD2F5A">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bookmarkStart w:id="19" w:name="art7iia"/>
      <w:bookmarkEnd w:id="19"/>
      <w:r w:rsidRPr="00AD2F5A">
        <w:rPr>
          <w:rFonts w:ascii="Arial" w:eastAsia="Times New Roman" w:hAnsi="Arial" w:cs="Arial"/>
          <w:color w:val="000000"/>
          <w:kern w:val="0"/>
          <w:sz w:val="20"/>
          <w:szCs w:val="20"/>
          <w:lang w:eastAsia="pt-BR"/>
          <w14:ligatures w14:val="none"/>
        </w:rPr>
        <w:t>a) o </w:t>
      </w:r>
      <w:hyperlink r:id="rId64" w:anchor="art17%C2%A72" w:history="1">
        <w:r w:rsidRPr="00AD2F5A">
          <w:rPr>
            <w:rFonts w:ascii="Arial" w:eastAsia="Times New Roman" w:hAnsi="Arial" w:cs="Arial"/>
            <w:color w:val="0000FF"/>
            <w:kern w:val="0"/>
            <w:sz w:val="20"/>
            <w:szCs w:val="20"/>
            <w:u w:val="single"/>
            <w:lang w:eastAsia="pt-BR"/>
            <w14:ligatures w14:val="none"/>
          </w:rPr>
          <w:t>§ 2º do art. 17 </w:t>
        </w:r>
      </w:hyperlink>
      <w:r w:rsidRPr="00AD2F5A">
        <w:rPr>
          <w:rFonts w:ascii="Arial" w:eastAsia="Times New Roman" w:hAnsi="Arial" w:cs="Arial"/>
          <w:color w:val="000000"/>
          <w:kern w:val="0"/>
          <w:sz w:val="20"/>
          <w:szCs w:val="20"/>
          <w:lang w:eastAsia="pt-BR"/>
          <w14:ligatures w14:val="none"/>
        </w:rPr>
        <w:t>;</w:t>
      </w:r>
    </w:p>
    <w:p w14:paraId="12928BE5" w14:textId="77777777" w:rsidR="00AD2F5A" w:rsidRPr="00AD2F5A" w:rsidRDefault="00AD2F5A" w:rsidP="00AD2F5A">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bookmarkStart w:id="20" w:name="art7iib"/>
      <w:bookmarkEnd w:id="20"/>
      <w:r w:rsidRPr="00AD2F5A">
        <w:rPr>
          <w:rFonts w:ascii="Arial" w:eastAsia="Times New Roman" w:hAnsi="Arial" w:cs="Arial"/>
          <w:color w:val="000000"/>
          <w:kern w:val="0"/>
          <w:sz w:val="20"/>
          <w:szCs w:val="20"/>
          <w:lang w:eastAsia="pt-BR"/>
          <w14:ligatures w14:val="none"/>
        </w:rPr>
        <w:t>b) o </w:t>
      </w:r>
      <w:hyperlink r:id="rId65" w:anchor="art77%C2%A74." w:history="1">
        <w:r w:rsidRPr="00AD2F5A">
          <w:rPr>
            <w:rFonts w:ascii="Arial" w:eastAsia="Times New Roman" w:hAnsi="Arial" w:cs="Arial"/>
            <w:color w:val="0000FF"/>
            <w:kern w:val="0"/>
            <w:sz w:val="20"/>
            <w:szCs w:val="20"/>
            <w:u w:val="single"/>
            <w:lang w:eastAsia="pt-BR"/>
            <w14:ligatures w14:val="none"/>
          </w:rPr>
          <w:t>§ 4º do art. 77 </w:t>
        </w:r>
      </w:hyperlink>
      <w:r w:rsidRPr="00AD2F5A">
        <w:rPr>
          <w:rFonts w:ascii="Arial" w:eastAsia="Times New Roman" w:hAnsi="Arial" w:cs="Arial"/>
          <w:color w:val="000000"/>
          <w:kern w:val="0"/>
          <w:sz w:val="20"/>
          <w:szCs w:val="20"/>
          <w:lang w:eastAsia="pt-BR"/>
          <w14:ligatures w14:val="none"/>
        </w:rPr>
        <w:t>.</w:t>
      </w:r>
    </w:p>
    <w:p w14:paraId="1B0D9940" w14:textId="77777777" w:rsidR="00AD2F5A" w:rsidRPr="00AD2F5A" w:rsidRDefault="00AD2F5A" w:rsidP="00AD2F5A">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t>Brasília, 17 de junho de 2015; 194º da Independência e 127º da República.</w:t>
      </w:r>
    </w:p>
    <w:p w14:paraId="73BCE38B"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000000"/>
          <w:kern w:val="0"/>
          <w:sz w:val="20"/>
          <w:szCs w:val="20"/>
          <w:lang w:eastAsia="pt-BR"/>
          <w14:ligatures w14:val="none"/>
        </w:rPr>
        <w:lastRenderedPageBreak/>
        <w:t>DILMA ROUSSEFF</w:t>
      </w:r>
      <w:r w:rsidRPr="00AD2F5A">
        <w:rPr>
          <w:rFonts w:ascii="Arial" w:eastAsia="Times New Roman" w:hAnsi="Arial" w:cs="Arial"/>
          <w:color w:val="000000"/>
          <w:kern w:val="0"/>
          <w:sz w:val="20"/>
          <w:szCs w:val="20"/>
          <w:lang w:eastAsia="pt-BR"/>
          <w14:ligatures w14:val="none"/>
        </w:rPr>
        <w:br/>
      </w:r>
      <w:r w:rsidRPr="00AD2F5A">
        <w:rPr>
          <w:rFonts w:ascii="Arial" w:eastAsia="Times New Roman" w:hAnsi="Arial" w:cs="Arial"/>
          <w:i/>
          <w:iCs/>
          <w:color w:val="000000"/>
          <w:kern w:val="0"/>
          <w:sz w:val="20"/>
          <w:szCs w:val="20"/>
          <w:lang w:eastAsia="pt-BR"/>
          <w14:ligatures w14:val="none"/>
        </w:rPr>
        <w:t>Joaquim Vieira Ferreira Levy</w:t>
      </w:r>
      <w:r w:rsidRPr="00AD2F5A">
        <w:rPr>
          <w:rFonts w:ascii="Arial" w:eastAsia="Times New Roman" w:hAnsi="Arial" w:cs="Arial"/>
          <w:i/>
          <w:iCs/>
          <w:color w:val="000000"/>
          <w:kern w:val="0"/>
          <w:sz w:val="20"/>
          <w:szCs w:val="20"/>
          <w:lang w:eastAsia="pt-BR"/>
          <w14:ligatures w14:val="none"/>
        </w:rPr>
        <w:br/>
        <w:t>Nelson Barbosa</w:t>
      </w:r>
      <w:r w:rsidRPr="00AD2F5A">
        <w:rPr>
          <w:rFonts w:ascii="Arial" w:eastAsia="Times New Roman" w:hAnsi="Arial" w:cs="Arial"/>
          <w:i/>
          <w:iCs/>
          <w:color w:val="000000"/>
          <w:kern w:val="0"/>
          <w:sz w:val="20"/>
          <w:szCs w:val="20"/>
          <w:lang w:eastAsia="pt-BR"/>
          <w14:ligatures w14:val="none"/>
        </w:rPr>
        <w:br/>
        <w:t>Carlos Eduardo Gabas</w:t>
      </w:r>
      <w:r w:rsidRPr="00AD2F5A">
        <w:rPr>
          <w:rFonts w:ascii="Arial" w:eastAsia="Times New Roman" w:hAnsi="Arial" w:cs="Arial"/>
          <w:i/>
          <w:iCs/>
          <w:color w:val="000000"/>
          <w:kern w:val="0"/>
          <w:sz w:val="20"/>
          <w:szCs w:val="20"/>
          <w:lang w:eastAsia="pt-BR"/>
          <w14:ligatures w14:val="none"/>
        </w:rPr>
        <w:br/>
        <w:t>Miguel Rossetto</w:t>
      </w:r>
    </w:p>
    <w:p w14:paraId="30724DA6" w14:textId="77777777" w:rsidR="00AD2F5A" w:rsidRPr="00AD2F5A" w:rsidRDefault="00AD2F5A" w:rsidP="00AD2F5A">
      <w:pPr>
        <w:spacing w:before="100" w:beforeAutospacing="1" w:after="100" w:afterAutospacing="1" w:line="240" w:lineRule="auto"/>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FF0000"/>
          <w:kern w:val="0"/>
          <w:sz w:val="20"/>
          <w:szCs w:val="20"/>
          <w:lang w:eastAsia="pt-BR"/>
          <w14:ligatures w14:val="none"/>
        </w:rPr>
        <w:t>Este texto não substitui o publicado no DOU de 18.6.2015</w:t>
      </w:r>
    </w:p>
    <w:p w14:paraId="2C19A06A" w14:textId="77777777" w:rsidR="00AD2F5A" w:rsidRPr="00AD2F5A" w:rsidRDefault="00AD2F5A" w:rsidP="00AD2F5A">
      <w:pPr>
        <w:spacing w:before="300" w:after="300" w:line="240" w:lineRule="auto"/>
        <w:ind w:firstLine="570"/>
        <w:jc w:val="center"/>
        <w:rPr>
          <w:rFonts w:ascii="Arial" w:eastAsia="Times New Roman" w:hAnsi="Arial" w:cs="Arial"/>
          <w:color w:val="000000"/>
          <w:kern w:val="0"/>
          <w:sz w:val="20"/>
          <w:szCs w:val="20"/>
          <w:lang w:eastAsia="pt-BR"/>
          <w14:ligatures w14:val="none"/>
        </w:rPr>
      </w:pPr>
      <w:r w:rsidRPr="00AD2F5A">
        <w:rPr>
          <w:rFonts w:ascii="Arial" w:eastAsia="Times New Roman" w:hAnsi="Arial" w:cs="Arial"/>
          <w:color w:val="FF0000"/>
          <w:kern w:val="0"/>
          <w:sz w:val="20"/>
          <w:szCs w:val="20"/>
          <w:lang w:eastAsia="pt-BR"/>
          <w14:ligatures w14:val="none"/>
        </w:rPr>
        <w:t>*</w:t>
      </w:r>
    </w:p>
    <w:p w14:paraId="6865175A" w14:textId="77777777" w:rsidR="00D7302C" w:rsidRDefault="00D7302C"/>
    <w:sectPr w:rsidR="00D7302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3CC"/>
    <w:rsid w:val="003D23CC"/>
    <w:rsid w:val="00A94892"/>
    <w:rsid w:val="00AD2F5A"/>
    <w:rsid w:val="00D7302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5E661"/>
  <w15:chartTrackingRefBased/>
  <w15:docId w15:val="{CCE6FDA8-2DF6-4C25-9C8C-DFDA635D8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AD2F5A"/>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styleId="Forte">
    <w:name w:val="Strong"/>
    <w:basedOn w:val="Fontepargpadro"/>
    <w:uiPriority w:val="22"/>
    <w:qFormat/>
    <w:rsid w:val="00AD2F5A"/>
    <w:rPr>
      <w:b/>
      <w:bCs/>
    </w:rPr>
  </w:style>
  <w:style w:type="character" w:styleId="Hyperlink">
    <w:name w:val="Hyperlink"/>
    <w:basedOn w:val="Fontepargpadro"/>
    <w:uiPriority w:val="99"/>
    <w:semiHidden/>
    <w:unhideWhenUsed/>
    <w:rsid w:val="00AD2F5A"/>
    <w:rPr>
      <w:color w:val="0000FF"/>
      <w:u w:val="single"/>
    </w:rPr>
  </w:style>
  <w:style w:type="paragraph" w:customStyle="1" w:styleId="ementa">
    <w:name w:val="ementa"/>
    <w:basedOn w:val="Normal"/>
    <w:rsid w:val="00AD2F5A"/>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artigo">
    <w:name w:val="artigo"/>
    <w:basedOn w:val="Normal"/>
    <w:rsid w:val="00AD2F5A"/>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artart">
    <w:name w:val="artart"/>
    <w:basedOn w:val="Normal"/>
    <w:rsid w:val="00AD2F5A"/>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exto1">
    <w:name w:val="texto1"/>
    <w:basedOn w:val="Normal"/>
    <w:rsid w:val="00AD2F5A"/>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1489928">
      <w:bodyDiv w:val="1"/>
      <w:marLeft w:val="0"/>
      <w:marRight w:val="0"/>
      <w:marTop w:val="0"/>
      <w:marBottom w:val="0"/>
      <w:divBdr>
        <w:top w:val="none" w:sz="0" w:space="0" w:color="auto"/>
        <w:left w:val="none" w:sz="0" w:space="0" w:color="auto"/>
        <w:bottom w:val="none" w:sz="0" w:space="0" w:color="auto"/>
        <w:right w:val="none" w:sz="0" w:space="0" w:color="auto"/>
      </w:divBdr>
      <w:divsChild>
        <w:div w:id="17824554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12889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327347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506192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728481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77406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826604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778974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LEIS/L8213cons.htm" TargetMode="External"/><Relationship Id="rId21" Type="http://schemas.openxmlformats.org/officeDocument/2006/relationships/hyperlink" Target="http://www.planalto.gov.br/ccivil_03/LEIS/L8213cons.htm" TargetMode="External"/><Relationship Id="rId34" Type="http://schemas.openxmlformats.org/officeDocument/2006/relationships/hyperlink" Target="http://www.planalto.gov.br/ccivil_03/LEIS/L8112cons.htm" TargetMode="External"/><Relationship Id="rId42" Type="http://schemas.openxmlformats.org/officeDocument/2006/relationships/hyperlink" Target="http://www.planalto.gov.br/ccivil_03/LEIS/L8112cons.htm" TargetMode="External"/><Relationship Id="rId47" Type="http://schemas.openxmlformats.org/officeDocument/2006/relationships/hyperlink" Target="http://www.planalto.gov.br/ccivil_03/LEIS/L8112cons.htm" TargetMode="External"/><Relationship Id="rId50" Type="http://schemas.openxmlformats.org/officeDocument/2006/relationships/hyperlink" Target="http://www.planalto.gov.br/ccivil_03/LEIS/L8112cons.htm" TargetMode="External"/><Relationship Id="rId55" Type="http://schemas.openxmlformats.org/officeDocument/2006/relationships/hyperlink" Target="http://www.planalto.gov.br/ccivil_03/LEIS/2003/L10.666.htm" TargetMode="External"/><Relationship Id="rId63" Type="http://schemas.openxmlformats.org/officeDocument/2006/relationships/hyperlink" Target="http://www.planalto.gov.br/ccivil_03/LEIS/L8213cons.htm" TargetMode="External"/><Relationship Id="rId7" Type="http://schemas.openxmlformats.org/officeDocument/2006/relationships/hyperlink" Target="http://www.planalto.gov.br/ccivil_03/_Ato2011-2014/2014/Mpv/mpv664.htm" TargetMode="External"/><Relationship Id="rId2" Type="http://schemas.openxmlformats.org/officeDocument/2006/relationships/settings" Target="settings.xml"/><Relationship Id="rId16" Type="http://schemas.openxmlformats.org/officeDocument/2006/relationships/hyperlink" Target="http://www.planalto.gov.br/ccivil_03/LEIS/L8213cons.htm" TargetMode="External"/><Relationship Id="rId29" Type="http://schemas.openxmlformats.org/officeDocument/2006/relationships/hyperlink" Target="http://www.planalto.gov.br/ccivil_03/_Ato2004-2006/2004/Lei/L10.876.htm" TargetMode="External"/><Relationship Id="rId11" Type="http://schemas.openxmlformats.org/officeDocument/2006/relationships/hyperlink" Target="http://www.planalto.gov.br/ccivil_03/_ato2015-2018/2015/lei/l13135.htm" TargetMode="External"/><Relationship Id="rId24" Type="http://schemas.openxmlformats.org/officeDocument/2006/relationships/hyperlink" Target="http://www.planalto.gov.br/ccivil_03/LEIS/L8213cons.htm" TargetMode="External"/><Relationship Id="rId32" Type="http://schemas.openxmlformats.org/officeDocument/2006/relationships/hyperlink" Target="http://www.planalto.gov.br/ccivil_03/_Ato2004-2006/2004/Lei/L10.876.htm" TargetMode="External"/><Relationship Id="rId37" Type="http://schemas.openxmlformats.org/officeDocument/2006/relationships/hyperlink" Target="http://www.planalto.gov.br/ccivil_03/_Ato2004-2006/2004/Lei/L10.887.htm" TargetMode="External"/><Relationship Id="rId40" Type="http://schemas.openxmlformats.org/officeDocument/2006/relationships/hyperlink" Target="http://www.planalto.gov.br/ccivil_03/LEIS/L8112cons.htm" TargetMode="External"/><Relationship Id="rId45" Type="http://schemas.openxmlformats.org/officeDocument/2006/relationships/hyperlink" Target="http://www.planalto.gov.br/ccivil_03/LEIS/L8112cons.htm" TargetMode="External"/><Relationship Id="rId53" Type="http://schemas.openxmlformats.org/officeDocument/2006/relationships/hyperlink" Target="http://www.planalto.gov.br/ccivil_03/LEIS/L8112cons.htm" TargetMode="External"/><Relationship Id="rId58" Type="http://schemas.openxmlformats.org/officeDocument/2006/relationships/hyperlink" Target="http://www.planalto.gov.br/ccivil_03/_ato2015-2018/2015/lei/l13135.htm" TargetMode="External"/><Relationship Id="rId66" Type="http://schemas.openxmlformats.org/officeDocument/2006/relationships/fontTable" Target="fontTable.xml"/><Relationship Id="rId5" Type="http://schemas.openxmlformats.org/officeDocument/2006/relationships/hyperlink" Target="http://www.planalto.gov.br/ccivil_03/_ato2015-2018/2015/lei/l13135.htm" TargetMode="External"/><Relationship Id="rId61" Type="http://schemas.openxmlformats.org/officeDocument/2006/relationships/hyperlink" Target="http://www.planalto.gov.br/ccivil_03/LEIS/L8112cons.htm" TargetMode="External"/><Relationship Id="rId19" Type="http://schemas.openxmlformats.org/officeDocument/2006/relationships/hyperlink" Target="http://www.planalto.gov.br/ccivil_03/LEIS/L8213cons.htm" TargetMode="External"/><Relationship Id="rId14" Type="http://schemas.openxmlformats.org/officeDocument/2006/relationships/hyperlink" Target="http://www.planalto.gov.br/ccivil_03/LEIS/L8213cons.htm" TargetMode="External"/><Relationship Id="rId22" Type="http://schemas.openxmlformats.org/officeDocument/2006/relationships/hyperlink" Target="http://www.planalto.gov.br/ccivil_03/_ato2015-2018/2015/lei/l13135.htm" TargetMode="External"/><Relationship Id="rId27" Type="http://schemas.openxmlformats.org/officeDocument/2006/relationships/hyperlink" Target="http://www.planalto.gov.br/ccivil_03/LEIS/L8213cons.htm" TargetMode="External"/><Relationship Id="rId30" Type="http://schemas.openxmlformats.org/officeDocument/2006/relationships/hyperlink" Target="http://www.planalto.gov.br/ccivil_03/_Ato2004-2006/2004/Lei/L10.876.htm" TargetMode="External"/><Relationship Id="rId35" Type="http://schemas.openxmlformats.org/officeDocument/2006/relationships/hyperlink" Target="http://www.planalto.gov.br/ccivil_03/LEIS/L8112cons.htm" TargetMode="External"/><Relationship Id="rId43" Type="http://schemas.openxmlformats.org/officeDocument/2006/relationships/hyperlink" Target="http://www.planalto.gov.br/ccivil_03/_ato2015-2018/2015/lei/l13135.htm" TargetMode="External"/><Relationship Id="rId48" Type="http://schemas.openxmlformats.org/officeDocument/2006/relationships/hyperlink" Target="http://www.planalto.gov.br/ccivil_03/LEIS/L8112cons.htm" TargetMode="External"/><Relationship Id="rId56" Type="http://schemas.openxmlformats.org/officeDocument/2006/relationships/hyperlink" Target="http://www.planalto.gov.br/ccivil_03/LEIS/L8112cons.htm" TargetMode="External"/><Relationship Id="rId64" Type="http://schemas.openxmlformats.org/officeDocument/2006/relationships/hyperlink" Target="http://www.planalto.gov.br/ccivil_03/LEIS/L8213cons.htm" TargetMode="External"/><Relationship Id="rId8" Type="http://schemas.openxmlformats.org/officeDocument/2006/relationships/hyperlink" Target="http://www.planalto.gov.br/ccivil_03/LEIS/L8213cons.htm" TargetMode="External"/><Relationship Id="rId51" Type="http://schemas.openxmlformats.org/officeDocument/2006/relationships/hyperlink" Target="http://www.planalto.gov.br/ccivil_03/LEIS/L8112cons.htm" TargetMode="External"/><Relationship Id="rId3" Type="http://schemas.openxmlformats.org/officeDocument/2006/relationships/webSettings" Target="webSettings.xml"/><Relationship Id="rId12" Type="http://schemas.openxmlformats.org/officeDocument/2006/relationships/hyperlink" Target="http://www.planalto.gov.br/ccivil_03/LEIS/L8213cons.htm" TargetMode="External"/><Relationship Id="rId17" Type="http://schemas.openxmlformats.org/officeDocument/2006/relationships/hyperlink" Target="http://www.planalto.gov.br/ccivil_03/LEIS/L8213cons.htm" TargetMode="External"/><Relationship Id="rId25" Type="http://schemas.openxmlformats.org/officeDocument/2006/relationships/hyperlink" Target="http://www.planalto.gov.br/ccivil_03/LEIS/L8213cons.htm" TargetMode="External"/><Relationship Id="rId33" Type="http://schemas.openxmlformats.org/officeDocument/2006/relationships/hyperlink" Target="http://www.planalto.gov.br/ccivil_03/_Ato2004-2006/2004/Lei/L10.876.htm" TargetMode="External"/><Relationship Id="rId38" Type="http://schemas.openxmlformats.org/officeDocument/2006/relationships/hyperlink" Target="http://www.planalto.gov.br/ccivil_03/LEIS/L8112cons.htm" TargetMode="External"/><Relationship Id="rId46" Type="http://schemas.openxmlformats.org/officeDocument/2006/relationships/hyperlink" Target="http://www.planalto.gov.br/ccivil_03/LEIS/L8112cons.htm" TargetMode="External"/><Relationship Id="rId59" Type="http://schemas.openxmlformats.org/officeDocument/2006/relationships/hyperlink" Target="http://www.planalto.gov.br/ccivil_03/_ato2015-2018/2015/lei/l13135.htm" TargetMode="External"/><Relationship Id="rId67" Type="http://schemas.openxmlformats.org/officeDocument/2006/relationships/theme" Target="theme/theme1.xml"/><Relationship Id="rId20" Type="http://schemas.openxmlformats.org/officeDocument/2006/relationships/hyperlink" Target="http://www.planalto.gov.br/ccivil_03/LEIS/L8213cons.htm" TargetMode="External"/><Relationship Id="rId41" Type="http://schemas.openxmlformats.org/officeDocument/2006/relationships/hyperlink" Target="http://www.planalto.gov.br/ccivil_03/LEIS/L8112cons.htm" TargetMode="External"/><Relationship Id="rId54" Type="http://schemas.openxmlformats.org/officeDocument/2006/relationships/hyperlink" Target="http://www.planalto.gov.br/ccivil_03/LEIS/2003/L10.666.htm" TargetMode="External"/><Relationship Id="rId62" Type="http://schemas.openxmlformats.org/officeDocument/2006/relationships/hyperlink" Target="http://www.planalto.gov.br/ccivil_03/LEIS/L8112cons.htm" TargetMode="External"/><Relationship Id="rId1" Type="http://schemas.openxmlformats.org/officeDocument/2006/relationships/styles" Target="styles.xml"/><Relationship Id="rId6" Type="http://schemas.openxmlformats.org/officeDocument/2006/relationships/hyperlink" Target="http://www.planalto.gov.br/ccivil_03/_ato2015-2018/2015/Msg/VEP-213.htm" TargetMode="External"/><Relationship Id="rId15" Type="http://schemas.openxmlformats.org/officeDocument/2006/relationships/hyperlink" Target="http://www.planalto.gov.br/ccivil_03/LEIS/L8213cons.htm" TargetMode="External"/><Relationship Id="rId23" Type="http://schemas.openxmlformats.org/officeDocument/2006/relationships/hyperlink" Target="http://www.planalto.gov.br/ccivil_03/LEIS/L8213cons.htm" TargetMode="External"/><Relationship Id="rId28" Type="http://schemas.openxmlformats.org/officeDocument/2006/relationships/hyperlink" Target="http://www.planalto.gov.br/ccivil_03/LEIS/L8213cons.htm" TargetMode="External"/><Relationship Id="rId36" Type="http://schemas.openxmlformats.org/officeDocument/2006/relationships/hyperlink" Target="http://www.planalto.gov.br/ccivil_03/Constituicao/Constituicao.htm" TargetMode="External"/><Relationship Id="rId49" Type="http://schemas.openxmlformats.org/officeDocument/2006/relationships/hyperlink" Target="http://www.planalto.gov.br/ccivil_03/LEIS/L8112cons.htm" TargetMode="External"/><Relationship Id="rId57" Type="http://schemas.openxmlformats.org/officeDocument/2006/relationships/hyperlink" Target="http://www.planalto.gov.br/ccivil_03/_ato2015-2018/2015/lei/l13135.htm" TargetMode="External"/><Relationship Id="rId10" Type="http://schemas.openxmlformats.org/officeDocument/2006/relationships/hyperlink" Target="http://www.planalto.gov.br/ccivil_03/LEIS/L8213cons.htm" TargetMode="External"/><Relationship Id="rId31" Type="http://schemas.openxmlformats.org/officeDocument/2006/relationships/hyperlink" Target="http://www.planalto.gov.br/ccivil_03/_Ato2004-2006/2004/Lei/L10.876.htm" TargetMode="External"/><Relationship Id="rId44" Type="http://schemas.openxmlformats.org/officeDocument/2006/relationships/hyperlink" Target="http://www.planalto.gov.br/ccivil_03/LEIS/L8112cons.htm" TargetMode="External"/><Relationship Id="rId52" Type="http://schemas.openxmlformats.org/officeDocument/2006/relationships/hyperlink" Target="http://www.planalto.gov.br/ccivil_03/LEIS/L8112cons.htm" TargetMode="External"/><Relationship Id="rId60" Type="http://schemas.openxmlformats.org/officeDocument/2006/relationships/hyperlink" Target="http://www.planalto.gov.br/ccivil_03/LEIS/L8112cons.htm" TargetMode="External"/><Relationship Id="rId65" Type="http://schemas.openxmlformats.org/officeDocument/2006/relationships/hyperlink" Target="http://www.planalto.gov.br/ccivil_03/LEIS/L8213cons.htm" TargetMode="External"/><Relationship Id="rId4" Type="http://schemas.openxmlformats.org/officeDocument/2006/relationships/hyperlink" Target="http://legislacao.planalto.gov.br/legisla/legislacao.nsf/Viw_Identificacao/lei%2013.135-2015?OpenDocument" TargetMode="External"/><Relationship Id="rId9" Type="http://schemas.openxmlformats.org/officeDocument/2006/relationships/hyperlink" Target="http://www.planalto.gov.br/ccivil_03/_ato2015-2018/2015/lei/l13135.htm" TargetMode="External"/><Relationship Id="rId13" Type="http://schemas.openxmlformats.org/officeDocument/2006/relationships/hyperlink" Target="http://www.planalto.gov.br/ccivil_03/LEIS/L8213cons.htm" TargetMode="External"/><Relationship Id="rId18" Type="http://schemas.openxmlformats.org/officeDocument/2006/relationships/hyperlink" Target="http://www.planalto.gov.br/ccivil_03/LEIS/L8213cons.htm" TargetMode="External"/><Relationship Id="rId39" Type="http://schemas.openxmlformats.org/officeDocument/2006/relationships/hyperlink" Target="http://www.planalto.gov.br/ccivil_03/LEIS/L8112cons.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3615</Words>
  <Characters>19522</Characters>
  <Application>Microsoft Office Word</Application>
  <DocSecurity>0</DocSecurity>
  <Lines>162</Lines>
  <Paragraphs>46</Paragraphs>
  <ScaleCrop>false</ScaleCrop>
  <Company/>
  <LinksUpToDate>false</LinksUpToDate>
  <CharactersWithSpaces>23091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Dias</dc:creator>
  <cp:keywords/>
  <dc:description/>
  <cp:lastModifiedBy>Fernando Dias</cp:lastModifiedBy>
  <cp:revision>2</cp:revision>
  <dcterms:created xsi:type="dcterms:W3CDTF">2023-07-23T19:22:00Z</dcterms:created>
  <dcterms:modified xsi:type="dcterms:W3CDTF">2023-07-23T19:23:00Z</dcterms:modified>
</cp:coreProperties>
</file>