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63D85" w14:textId="77777777" w:rsidR="009F4EE4" w:rsidRPr="009F4EE4" w:rsidRDefault="009F4EE4" w:rsidP="009F4EE4">
      <w:pPr>
        <w:spacing w:after="0" w:line="240" w:lineRule="auto"/>
        <w:jc w:val="center"/>
        <w:textAlignment w:val="center"/>
        <w:outlineLvl w:val="0"/>
        <w:rPr>
          <w:rFonts w:ascii="Times New Roman" w:eastAsia="Times New Roman" w:hAnsi="Times New Roman" w:cs="Times New Roman"/>
          <w:b/>
          <w:bCs/>
          <w:kern w:val="36"/>
          <w:sz w:val="32"/>
          <w:szCs w:val="32"/>
          <w:lang w:eastAsia="pt-BR"/>
          <w14:ligatures w14:val="none"/>
        </w:rPr>
      </w:pPr>
      <w:r w:rsidRPr="009F4EE4">
        <w:rPr>
          <w:rFonts w:ascii="Times New Roman" w:eastAsia="Times New Roman" w:hAnsi="Times New Roman" w:cs="Times New Roman"/>
          <w:b/>
          <w:bCs/>
          <w:kern w:val="36"/>
          <w:sz w:val="32"/>
          <w:szCs w:val="32"/>
          <w:lang w:eastAsia="pt-BR"/>
          <w14:ligatures w14:val="none"/>
        </w:rPr>
        <w:t>Presidência da República</w:t>
      </w:r>
    </w:p>
    <w:p w14:paraId="37A2DE46" w14:textId="77777777" w:rsidR="009F4EE4" w:rsidRPr="009F4EE4" w:rsidRDefault="009F4EE4" w:rsidP="009F4EE4">
      <w:pPr>
        <w:spacing w:after="0" w:line="240" w:lineRule="auto"/>
        <w:jc w:val="center"/>
        <w:textAlignment w:val="center"/>
        <w:outlineLvl w:val="1"/>
        <w:rPr>
          <w:rFonts w:ascii="Times New Roman" w:eastAsia="Times New Roman" w:hAnsi="Times New Roman" w:cs="Times New Roman"/>
          <w:b/>
          <w:bCs/>
          <w:kern w:val="0"/>
          <w:sz w:val="28"/>
          <w:szCs w:val="28"/>
          <w:lang w:eastAsia="pt-BR"/>
          <w14:ligatures w14:val="none"/>
        </w:rPr>
      </w:pPr>
      <w:r w:rsidRPr="009F4EE4">
        <w:rPr>
          <w:rFonts w:ascii="Times New Roman" w:eastAsia="Times New Roman" w:hAnsi="Times New Roman" w:cs="Times New Roman"/>
          <w:b/>
          <w:bCs/>
          <w:kern w:val="0"/>
          <w:sz w:val="28"/>
          <w:szCs w:val="28"/>
          <w:lang w:eastAsia="pt-BR"/>
          <w14:ligatures w14:val="none"/>
        </w:rPr>
        <w:t>Casa Civil</w:t>
      </w:r>
    </w:p>
    <w:p w14:paraId="7E35FDCA" w14:textId="77777777" w:rsidR="009F4EE4" w:rsidRPr="009F4EE4" w:rsidRDefault="009F4EE4" w:rsidP="009F4EE4">
      <w:pPr>
        <w:spacing w:after="0" w:line="240" w:lineRule="auto"/>
        <w:jc w:val="center"/>
        <w:textAlignment w:val="center"/>
        <w:outlineLvl w:val="2"/>
        <w:rPr>
          <w:rFonts w:ascii="Times New Roman" w:eastAsia="Times New Roman" w:hAnsi="Times New Roman" w:cs="Times New Roman"/>
          <w:b/>
          <w:bCs/>
          <w:kern w:val="0"/>
          <w:sz w:val="24"/>
          <w:szCs w:val="24"/>
          <w:lang w:eastAsia="pt-BR"/>
          <w14:ligatures w14:val="none"/>
        </w:rPr>
      </w:pPr>
      <w:r w:rsidRPr="009F4EE4">
        <w:rPr>
          <w:rFonts w:ascii="Times New Roman" w:eastAsia="Times New Roman" w:hAnsi="Times New Roman" w:cs="Times New Roman"/>
          <w:b/>
          <w:bCs/>
          <w:kern w:val="0"/>
          <w:sz w:val="24"/>
          <w:szCs w:val="24"/>
          <w:lang w:eastAsia="pt-BR"/>
          <w14:ligatures w14:val="none"/>
        </w:rPr>
        <w:t>Subchefia para Assuntos Jurídicos</w:t>
      </w:r>
    </w:p>
    <w:p w14:paraId="785630D4" w14:textId="77777777" w:rsidR="009F4EE4" w:rsidRPr="009F4EE4" w:rsidRDefault="009F4EE4" w:rsidP="009F4EE4">
      <w:pPr>
        <w:spacing w:before="300" w:after="300" w:line="240" w:lineRule="auto"/>
        <w:ind w:firstLine="432"/>
        <w:jc w:val="center"/>
        <w:rPr>
          <w:rFonts w:ascii="Times New Roman" w:eastAsia="Times New Roman" w:hAnsi="Times New Roman" w:cs="Times New Roman"/>
          <w:color w:val="000000"/>
          <w:kern w:val="0"/>
          <w:sz w:val="20"/>
          <w:szCs w:val="20"/>
          <w:lang w:eastAsia="pt-BR"/>
          <w14:ligatures w14:val="none"/>
        </w:rPr>
      </w:pPr>
      <w:hyperlink r:id="rId4" w:history="1">
        <w:r w:rsidRPr="009F4EE4">
          <w:rPr>
            <w:rFonts w:ascii="Arial" w:eastAsia="Times New Roman" w:hAnsi="Arial" w:cs="Arial"/>
            <w:b/>
            <w:bCs/>
            <w:color w:val="000080"/>
            <w:kern w:val="0"/>
            <w:sz w:val="20"/>
            <w:szCs w:val="20"/>
            <w:u w:val="single"/>
            <w:lang w:eastAsia="pt-BR"/>
            <w14:ligatures w14:val="none"/>
          </w:rPr>
          <w:t>LEI Nº 13.015, DE 21 DE JULHO DE 2014.</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9F4EE4" w:rsidRPr="009F4EE4" w14:paraId="431E0460" w14:textId="77777777" w:rsidTr="009F4EE4">
        <w:trPr>
          <w:tblCellSpacing w:w="0" w:type="dxa"/>
        </w:trPr>
        <w:tc>
          <w:tcPr>
            <w:tcW w:w="2500" w:type="pct"/>
            <w:vAlign w:val="center"/>
            <w:hideMark/>
          </w:tcPr>
          <w:p w14:paraId="1D9C3E5D" w14:textId="77777777" w:rsidR="009F4EE4" w:rsidRPr="009F4EE4" w:rsidRDefault="009F4EE4" w:rsidP="009F4EE4">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hyperlink r:id="rId5" w:anchor="art3" w:history="1">
              <w:r w:rsidRPr="009F4EE4">
                <w:rPr>
                  <w:rFonts w:ascii="Arial" w:eastAsia="Times New Roman" w:hAnsi="Arial" w:cs="Arial"/>
                  <w:color w:val="0000FF"/>
                  <w:kern w:val="0"/>
                  <w:sz w:val="20"/>
                  <w:szCs w:val="20"/>
                  <w:u w:val="single"/>
                  <w:lang w:eastAsia="pt-BR"/>
                  <w14:ligatures w14:val="none"/>
                </w:rPr>
                <w:t>Vigência</w:t>
              </w:r>
            </w:hyperlink>
          </w:p>
        </w:tc>
        <w:tc>
          <w:tcPr>
            <w:tcW w:w="2500" w:type="pct"/>
            <w:vAlign w:val="center"/>
            <w:hideMark/>
          </w:tcPr>
          <w:p w14:paraId="0E112751" w14:textId="77777777" w:rsidR="009F4EE4" w:rsidRPr="009F4EE4" w:rsidRDefault="009F4EE4" w:rsidP="009F4EE4">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9F4EE4">
              <w:rPr>
                <w:rFonts w:ascii="Arial" w:eastAsia="Times New Roman" w:hAnsi="Arial" w:cs="Arial"/>
                <w:color w:val="800000"/>
                <w:kern w:val="0"/>
                <w:sz w:val="20"/>
                <w:szCs w:val="20"/>
                <w:lang w:eastAsia="pt-BR"/>
                <w14:ligatures w14:val="none"/>
              </w:rPr>
              <w:t>Altera a Consolidação das Leis do Trabalho (CLT), aprovada pelo Decreto-Lei nº 5.452, de 1º de maio de 1943, para dispor sobre o processamento de recursos no âmbito da Justiça do Trabalho.</w:t>
            </w:r>
          </w:p>
        </w:tc>
      </w:tr>
    </w:tbl>
    <w:p w14:paraId="719AA852" w14:textId="77777777" w:rsidR="009F4EE4" w:rsidRPr="009F4EE4" w:rsidRDefault="009F4EE4" w:rsidP="009F4EE4">
      <w:pPr>
        <w:spacing w:before="210" w:after="210" w:line="240" w:lineRule="auto"/>
        <w:ind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b/>
          <w:bCs/>
          <w:color w:val="000000"/>
          <w:kern w:val="0"/>
          <w:sz w:val="20"/>
          <w:szCs w:val="20"/>
          <w:lang w:eastAsia="pt-BR"/>
          <w14:ligatures w14:val="none"/>
        </w:rPr>
        <w:t>A PRESIDENTA DA REPÚBLICA </w:t>
      </w:r>
      <w:r w:rsidRPr="009F4EE4">
        <w:rPr>
          <w:rFonts w:ascii="Arial" w:eastAsia="Times New Roman" w:hAnsi="Arial" w:cs="Arial"/>
          <w:color w:val="000000"/>
          <w:kern w:val="0"/>
          <w:sz w:val="20"/>
          <w:szCs w:val="20"/>
          <w:lang w:eastAsia="pt-BR"/>
          <w14:ligatures w14:val="none"/>
        </w:rPr>
        <w:t>Faço saber que o Congresso Nacional decreta e eu sanciono a seguinte Lei:</w:t>
      </w:r>
    </w:p>
    <w:p w14:paraId="55383CA3" w14:textId="77777777" w:rsidR="009F4EE4" w:rsidRPr="009F4EE4" w:rsidRDefault="009F4EE4" w:rsidP="009F4EE4">
      <w:pPr>
        <w:spacing w:before="210" w:after="210" w:line="240" w:lineRule="auto"/>
        <w:ind w:firstLine="567"/>
        <w:rPr>
          <w:rFonts w:ascii="Arial" w:eastAsia="Times New Roman" w:hAnsi="Arial" w:cs="Arial"/>
          <w:color w:val="000000"/>
          <w:kern w:val="0"/>
          <w:sz w:val="20"/>
          <w:szCs w:val="20"/>
          <w:lang w:eastAsia="pt-BR"/>
          <w14:ligatures w14:val="none"/>
        </w:rPr>
      </w:pPr>
      <w:bookmarkStart w:id="0" w:name="art1"/>
      <w:bookmarkEnd w:id="0"/>
      <w:r w:rsidRPr="009F4EE4">
        <w:rPr>
          <w:rFonts w:ascii="Arial" w:eastAsia="Times New Roman" w:hAnsi="Arial" w:cs="Arial"/>
          <w:color w:val="000000"/>
          <w:kern w:val="0"/>
          <w:sz w:val="20"/>
          <w:szCs w:val="20"/>
          <w:lang w:eastAsia="pt-BR"/>
          <w14:ligatures w14:val="none"/>
        </w:rPr>
        <w:t xml:space="preserve">Art. 1º Os </w:t>
      </w:r>
      <w:proofErr w:type="spellStart"/>
      <w:r w:rsidRPr="009F4EE4">
        <w:rPr>
          <w:rFonts w:ascii="Arial" w:eastAsia="Times New Roman" w:hAnsi="Arial" w:cs="Arial"/>
          <w:color w:val="000000"/>
          <w:kern w:val="0"/>
          <w:sz w:val="20"/>
          <w:szCs w:val="20"/>
          <w:lang w:eastAsia="pt-BR"/>
          <w14:ligatures w14:val="none"/>
        </w:rPr>
        <w:t>arts</w:t>
      </w:r>
      <w:proofErr w:type="spellEnd"/>
      <w:r w:rsidRPr="009F4EE4">
        <w:rPr>
          <w:rFonts w:ascii="Arial" w:eastAsia="Times New Roman" w:hAnsi="Arial" w:cs="Arial"/>
          <w:color w:val="000000"/>
          <w:kern w:val="0"/>
          <w:sz w:val="20"/>
          <w:szCs w:val="20"/>
          <w:lang w:eastAsia="pt-BR"/>
          <w14:ligatures w14:val="none"/>
        </w:rPr>
        <w:t>. 894, 896, 897-A e 899 da Consolidação das Leis do Trabalho (CLT), aprovada pelo </w:t>
      </w:r>
      <w:hyperlink r:id="rId6" w:history="1">
        <w:r w:rsidRPr="009F4EE4">
          <w:rPr>
            <w:rFonts w:ascii="Arial" w:eastAsia="Times New Roman" w:hAnsi="Arial" w:cs="Arial"/>
            <w:color w:val="0000FF"/>
            <w:kern w:val="0"/>
            <w:sz w:val="20"/>
            <w:szCs w:val="20"/>
            <w:u w:val="single"/>
            <w:lang w:eastAsia="pt-BR"/>
            <w14:ligatures w14:val="none"/>
          </w:rPr>
          <w:t>Decreto-Lei nº 5.452, de 1º de maio de 1943, </w:t>
        </w:r>
      </w:hyperlink>
      <w:r w:rsidRPr="009F4EE4">
        <w:rPr>
          <w:rFonts w:ascii="Arial" w:eastAsia="Times New Roman" w:hAnsi="Arial" w:cs="Arial"/>
          <w:color w:val="000000"/>
          <w:kern w:val="0"/>
          <w:sz w:val="20"/>
          <w:szCs w:val="20"/>
          <w:lang w:eastAsia="pt-BR"/>
          <w14:ligatures w14:val="none"/>
        </w:rPr>
        <w:t>passam a vigorar com as seguintes alterações:</w:t>
      </w:r>
    </w:p>
    <w:p w14:paraId="697B13F3"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“Art. 894. .....................................................................</w:t>
      </w:r>
    </w:p>
    <w:p w14:paraId="31B95035"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w:t>
      </w:r>
    </w:p>
    <w:p w14:paraId="2D46CF8E"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7" w:anchor="art894ii." w:history="1">
        <w:r w:rsidRPr="009F4EE4">
          <w:rPr>
            <w:rFonts w:ascii="Arial" w:eastAsia="Times New Roman" w:hAnsi="Arial" w:cs="Arial"/>
            <w:color w:val="0000FF"/>
            <w:kern w:val="0"/>
            <w:sz w:val="20"/>
            <w:szCs w:val="20"/>
            <w:u w:val="single"/>
            <w:lang w:eastAsia="pt-BR"/>
            <w14:ligatures w14:val="none"/>
          </w:rPr>
          <w:t>II - </w:t>
        </w:r>
      </w:hyperlink>
      <w:r w:rsidRPr="009F4EE4">
        <w:rPr>
          <w:rFonts w:ascii="Arial" w:eastAsia="Times New Roman" w:hAnsi="Arial" w:cs="Arial"/>
          <w:color w:val="000000"/>
          <w:kern w:val="0"/>
          <w:sz w:val="20"/>
          <w:szCs w:val="20"/>
          <w:lang w:eastAsia="pt-BR"/>
          <w14:ligatures w14:val="none"/>
        </w:rPr>
        <w:t>das decisões das Turmas que divergirem entre si ou das decisões proferidas pela Seção de Dissídios Individuais, ou contrárias a súmula ou orientação jurisprudencial do Tribunal Superior do Trabalho ou súmula vinculante do Supremo Tribunal Federal.</w:t>
      </w:r>
    </w:p>
    <w:p w14:paraId="10954D4F"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Parágrafo único. (Revogado).</w:t>
      </w:r>
    </w:p>
    <w:p w14:paraId="4AC3978E"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 2º A divergência apta a ensejar os embargos deve ser atual, não se considerando </w:t>
      </w:r>
      <w:proofErr w:type="spellStart"/>
      <w:r w:rsidRPr="009F4EE4">
        <w:rPr>
          <w:rFonts w:ascii="Arial" w:eastAsia="Times New Roman" w:hAnsi="Arial" w:cs="Arial"/>
          <w:color w:val="000000"/>
          <w:kern w:val="0"/>
          <w:sz w:val="20"/>
          <w:szCs w:val="20"/>
          <w:lang w:eastAsia="pt-BR"/>
          <w14:ligatures w14:val="none"/>
        </w:rPr>
        <w:t>tal</w:t>
      </w:r>
      <w:proofErr w:type="spellEnd"/>
      <w:r w:rsidRPr="009F4EE4">
        <w:rPr>
          <w:rFonts w:ascii="Arial" w:eastAsia="Times New Roman" w:hAnsi="Arial" w:cs="Arial"/>
          <w:color w:val="000000"/>
          <w:kern w:val="0"/>
          <w:sz w:val="20"/>
          <w:szCs w:val="20"/>
          <w:lang w:eastAsia="pt-BR"/>
          <w14:ligatures w14:val="none"/>
        </w:rPr>
        <w:t xml:space="preserve"> a ultrapassada por súmula do Tribunal Superior do Trabalho ou do Supremo Tribunal Federal, ou superada por iterativa e notória jurisprudência do Tribunal Superior do Trabalho.</w:t>
      </w:r>
    </w:p>
    <w:p w14:paraId="4C9A03D8"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3º O Ministro Relator denegará seguimento aos embargos:</w:t>
      </w:r>
    </w:p>
    <w:p w14:paraId="4B924677"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I - </w:t>
      </w:r>
      <w:proofErr w:type="gramStart"/>
      <w:r w:rsidRPr="009F4EE4">
        <w:rPr>
          <w:rFonts w:ascii="Arial" w:eastAsia="Times New Roman" w:hAnsi="Arial" w:cs="Arial"/>
          <w:color w:val="000000"/>
          <w:kern w:val="0"/>
          <w:sz w:val="20"/>
          <w:szCs w:val="20"/>
          <w:lang w:eastAsia="pt-BR"/>
          <w14:ligatures w14:val="none"/>
        </w:rPr>
        <w:t>se</w:t>
      </w:r>
      <w:proofErr w:type="gramEnd"/>
      <w:r w:rsidRPr="009F4EE4">
        <w:rPr>
          <w:rFonts w:ascii="Arial" w:eastAsia="Times New Roman" w:hAnsi="Arial" w:cs="Arial"/>
          <w:color w:val="000000"/>
          <w:kern w:val="0"/>
          <w:sz w:val="20"/>
          <w:szCs w:val="20"/>
          <w:lang w:eastAsia="pt-BR"/>
          <w14:ligatures w14:val="none"/>
        </w:rPr>
        <w:t xml:space="preserve"> a decisão recorrida estiver em consonância com súmula da jurisprudência do Tribunal Superior do Trabalho ou do Supremo Tribunal Federal, ou com iterativa, notória e atual jurisprudência do Tribunal Superior do Trabalho, cumprindo-lhe indicá-la;</w:t>
      </w:r>
    </w:p>
    <w:p w14:paraId="45A62AA2"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II - </w:t>
      </w:r>
      <w:proofErr w:type="gramStart"/>
      <w:r w:rsidRPr="009F4EE4">
        <w:rPr>
          <w:rFonts w:ascii="Arial" w:eastAsia="Times New Roman" w:hAnsi="Arial" w:cs="Arial"/>
          <w:color w:val="000000"/>
          <w:kern w:val="0"/>
          <w:sz w:val="20"/>
          <w:szCs w:val="20"/>
          <w:lang w:eastAsia="pt-BR"/>
          <w14:ligatures w14:val="none"/>
        </w:rPr>
        <w:t>nas</w:t>
      </w:r>
      <w:proofErr w:type="gramEnd"/>
      <w:r w:rsidRPr="009F4EE4">
        <w:rPr>
          <w:rFonts w:ascii="Arial" w:eastAsia="Times New Roman" w:hAnsi="Arial" w:cs="Arial"/>
          <w:color w:val="000000"/>
          <w:kern w:val="0"/>
          <w:sz w:val="20"/>
          <w:szCs w:val="20"/>
          <w:lang w:eastAsia="pt-BR"/>
          <w14:ligatures w14:val="none"/>
        </w:rPr>
        <w:t xml:space="preserve"> hipóteses de intempestividade, deserção, irregularidade de representação ou de ausência de qualquer outro pressuposto extrínseco de admissibilidade.</w:t>
      </w:r>
    </w:p>
    <w:p w14:paraId="12BE55CE"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4º Da decisão denegatória dos embargos caberá agravo, no prazo de 8 (oito) dias.” (NR)</w:t>
      </w:r>
    </w:p>
    <w:p w14:paraId="2AEE8838"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“Art. 896. ......................................................................</w:t>
      </w:r>
    </w:p>
    <w:p w14:paraId="1BEC91A8"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8" w:anchor="art896a,," w:history="1">
        <w:r w:rsidRPr="009F4EE4">
          <w:rPr>
            <w:rFonts w:ascii="Arial" w:eastAsia="Times New Roman" w:hAnsi="Arial" w:cs="Arial"/>
            <w:color w:val="0000FF"/>
            <w:kern w:val="0"/>
            <w:sz w:val="20"/>
            <w:szCs w:val="20"/>
            <w:u w:val="single"/>
            <w:lang w:eastAsia="pt-BR"/>
            <w14:ligatures w14:val="none"/>
          </w:rPr>
          <w:t>a) </w:t>
        </w:r>
      </w:hyperlink>
      <w:r w:rsidRPr="009F4EE4">
        <w:rPr>
          <w:rFonts w:ascii="Arial" w:eastAsia="Times New Roman" w:hAnsi="Arial" w:cs="Arial"/>
          <w:color w:val="000000"/>
          <w:kern w:val="0"/>
          <w:sz w:val="20"/>
          <w:szCs w:val="20"/>
          <w:lang w:eastAsia="pt-BR"/>
          <w14:ligatures w14:val="none"/>
        </w:rPr>
        <w:t>derem ao mesmo dispositivo de lei federal interpretação diversa da que lhe houver dado outro Tribunal Regional do Trabalho, no seu Pleno ou Turma, ou a Seção de Dissídios Individuais do Tribunal Superior do Trabalho, ou contrariarem súmula de jurisprudência uniforme dessa Corte ou súmula vinculante do Supremo Tribunal Federal;</w:t>
      </w:r>
    </w:p>
    <w:p w14:paraId="5D9C8E2E"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w:t>
      </w:r>
    </w:p>
    <w:p w14:paraId="5A0764BC"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9" w:anchor="art896%C2%A7....." w:history="1">
        <w:r w:rsidRPr="009F4EE4">
          <w:rPr>
            <w:rFonts w:ascii="Arial" w:eastAsia="Times New Roman" w:hAnsi="Arial" w:cs="Arial"/>
            <w:color w:val="0000FF"/>
            <w:kern w:val="0"/>
            <w:sz w:val="20"/>
            <w:szCs w:val="20"/>
            <w:u w:val="single"/>
            <w:lang w:eastAsia="pt-BR"/>
            <w14:ligatures w14:val="none"/>
          </w:rPr>
          <w:t>§ 1º </w:t>
        </w:r>
      </w:hyperlink>
      <w:r w:rsidRPr="009F4EE4">
        <w:rPr>
          <w:rFonts w:ascii="Arial" w:eastAsia="Times New Roman" w:hAnsi="Arial" w:cs="Arial"/>
          <w:color w:val="000000"/>
          <w:kern w:val="0"/>
          <w:sz w:val="20"/>
          <w:szCs w:val="20"/>
          <w:lang w:eastAsia="pt-BR"/>
          <w14:ligatures w14:val="none"/>
        </w:rPr>
        <w:t>O recurso de revista, dotado de efeito apenas devolutivo, será interposto perante o Presidente do Tribunal Regional do Trabalho, que, por decisão fundamentada, poderá recebê-lo ou denegá-lo.</w:t>
      </w:r>
    </w:p>
    <w:p w14:paraId="68B05AF5"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1º-A. Sob pena de não conhecimento, é ônus da parte:</w:t>
      </w:r>
    </w:p>
    <w:p w14:paraId="509E60F7"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I - </w:t>
      </w:r>
      <w:proofErr w:type="gramStart"/>
      <w:r w:rsidRPr="009F4EE4">
        <w:rPr>
          <w:rFonts w:ascii="Arial" w:eastAsia="Times New Roman" w:hAnsi="Arial" w:cs="Arial"/>
          <w:color w:val="000000"/>
          <w:kern w:val="0"/>
          <w:sz w:val="20"/>
          <w:szCs w:val="20"/>
          <w:lang w:eastAsia="pt-BR"/>
          <w14:ligatures w14:val="none"/>
        </w:rPr>
        <w:t>indicar</w:t>
      </w:r>
      <w:proofErr w:type="gramEnd"/>
      <w:r w:rsidRPr="009F4EE4">
        <w:rPr>
          <w:rFonts w:ascii="Arial" w:eastAsia="Times New Roman" w:hAnsi="Arial" w:cs="Arial"/>
          <w:color w:val="000000"/>
          <w:kern w:val="0"/>
          <w:sz w:val="20"/>
          <w:szCs w:val="20"/>
          <w:lang w:eastAsia="pt-BR"/>
          <w14:ligatures w14:val="none"/>
        </w:rPr>
        <w:t xml:space="preserve"> o trecho da decisão recorrida que consubstancia o prequestionamento da controvérsia objeto do recurso de revista;</w:t>
      </w:r>
    </w:p>
    <w:p w14:paraId="66FAB626"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II - </w:t>
      </w:r>
      <w:proofErr w:type="gramStart"/>
      <w:r w:rsidRPr="009F4EE4">
        <w:rPr>
          <w:rFonts w:ascii="Arial" w:eastAsia="Times New Roman" w:hAnsi="Arial" w:cs="Arial"/>
          <w:color w:val="000000"/>
          <w:kern w:val="0"/>
          <w:sz w:val="20"/>
          <w:szCs w:val="20"/>
          <w:lang w:eastAsia="pt-BR"/>
          <w14:ligatures w14:val="none"/>
        </w:rPr>
        <w:t>indicar</w:t>
      </w:r>
      <w:proofErr w:type="gramEnd"/>
      <w:r w:rsidRPr="009F4EE4">
        <w:rPr>
          <w:rFonts w:ascii="Arial" w:eastAsia="Times New Roman" w:hAnsi="Arial" w:cs="Arial"/>
          <w:color w:val="000000"/>
          <w:kern w:val="0"/>
          <w:sz w:val="20"/>
          <w:szCs w:val="20"/>
          <w:lang w:eastAsia="pt-BR"/>
          <w14:ligatures w14:val="none"/>
        </w:rPr>
        <w:t>, de forma explícita e fundamentada, contrariedade a dispositivo de lei, súmula ou orientação jurisprudencial do Tribunal Superior do Trabalho que conflite com a decisão regional;</w:t>
      </w:r>
    </w:p>
    <w:p w14:paraId="3B2AC884"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III - expor as razões do pedido de reforma, impugnando todos os fundamentos jurídicos da decisão recorrida, inclusive mediante demonstração analítica de cada dispositivo de lei, da Constituição Federal, de súmula ou orientação jurisprudencial cuja contrariedade aponte.</w:t>
      </w:r>
    </w:p>
    <w:p w14:paraId="735B3B54"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w:t>
      </w:r>
    </w:p>
    <w:p w14:paraId="0DFFFB62"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10" w:anchor="art896%C2%A73...." w:history="1">
        <w:r w:rsidRPr="009F4EE4">
          <w:rPr>
            <w:rFonts w:ascii="Arial" w:eastAsia="Times New Roman" w:hAnsi="Arial" w:cs="Arial"/>
            <w:color w:val="0000FF"/>
            <w:kern w:val="0"/>
            <w:sz w:val="20"/>
            <w:szCs w:val="20"/>
            <w:u w:val="single"/>
            <w:lang w:eastAsia="pt-BR"/>
            <w14:ligatures w14:val="none"/>
          </w:rPr>
          <w:t>§ 3º </w:t>
        </w:r>
      </w:hyperlink>
      <w:r w:rsidRPr="009F4EE4">
        <w:rPr>
          <w:rFonts w:ascii="Arial" w:eastAsia="Times New Roman" w:hAnsi="Arial" w:cs="Arial"/>
          <w:color w:val="000000"/>
          <w:kern w:val="0"/>
          <w:sz w:val="20"/>
          <w:szCs w:val="20"/>
          <w:lang w:eastAsia="pt-BR"/>
          <w14:ligatures w14:val="none"/>
        </w:rPr>
        <w:t>Os Tribunais Regionais do Trabalho procederão, obrigatoriamente, à uniformização de sua jurisprudência e aplicarão, nas causas da competência da Justiça do Trabalho, no que couber, o incidente de uniformização de jurisprudência previsto nos termos do </w:t>
      </w:r>
      <w:hyperlink r:id="rId11" w:anchor="livroitituloixcapituloi" w:history="1">
        <w:r w:rsidRPr="009F4EE4">
          <w:rPr>
            <w:rFonts w:ascii="Arial" w:eastAsia="Times New Roman" w:hAnsi="Arial" w:cs="Arial"/>
            <w:color w:val="0000FF"/>
            <w:kern w:val="0"/>
            <w:sz w:val="20"/>
            <w:szCs w:val="20"/>
            <w:u w:val="single"/>
            <w:lang w:eastAsia="pt-BR"/>
            <w14:ligatures w14:val="none"/>
          </w:rPr>
          <w:t>Capítulo I do Título IX do Livro I da Lei nº 5.869, de 11 de janeiro de 1973 (Código de Processo Civil).</w:t>
        </w:r>
      </w:hyperlink>
    </w:p>
    <w:p w14:paraId="305B877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12" w:anchor="art896%C2%A74....." w:history="1">
        <w:r w:rsidRPr="009F4EE4">
          <w:rPr>
            <w:rFonts w:ascii="Arial" w:eastAsia="Times New Roman" w:hAnsi="Arial" w:cs="Arial"/>
            <w:color w:val="0000FF"/>
            <w:kern w:val="0"/>
            <w:sz w:val="20"/>
            <w:szCs w:val="20"/>
            <w:u w:val="single"/>
            <w:lang w:eastAsia="pt-BR"/>
            <w14:ligatures w14:val="none"/>
          </w:rPr>
          <w:t>§ 4º </w:t>
        </w:r>
      </w:hyperlink>
      <w:r w:rsidRPr="009F4EE4">
        <w:rPr>
          <w:rFonts w:ascii="Arial" w:eastAsia="Times New Roman" w:hAnsi="Arial" w:cs="Arial"/>
          <w:color w:val="000000"/>
          <w:kern w:val="0"/>
          <w:sz w:val="20"/>
          <w:szCs w:val="20"/>
          <w:lang w:eastAsia="pt-BR"/>
          <w14:ligatures w14:val="none"/>
        </w:rPr>
        <w:t>Ao constatar, de ofício ou mediante provocação de qualquer das partes ou do Ministério Público do Trabalho, a existência de decisões atuais e conflitantes no âmbito do mesmo Tribunal Regional do Trabalho sobre o tema objeto de recurso de revista, o Tribunal Superior do Trabalho determinará o retorno dos autos à Corte de origem, a fim de que proceda à uniformização da jurisprudência.</w:t>
      </w:r>
    </w:p>
    <w:p w14:paraId="4267AD4D"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13" w:anchor="art896%C2%A75..." w:history="1">
        <w:r w:rsidRPr="009F4EE4">
          <w:rPr>
            <w:rFonts w:ascii="Arial" w:eastAsia="Times New Roman" w:hAnsi="Arial" w:cs="Arial"/>
            <w:color w:val="0000FF"/>
            <w:kern w:val="0"/>
            <w:sz w:val="20"/>
            <w:szCs w:val="20"/>
            <w:u w:val="single"/>
            <w:lang w:eastAsia="pt-BR"/>
            <w14:ligatures w14:val="none"/>
          </w:rPr>
          <w:t>§ 5º </w:t>
        </w:r>
      </w:hyperlink>
      <w:r w:rsidRPr="009F4EE4">
        <w:rPr>
          <w:rFonts w:ascii="Arial" w:eastAsia="Times New Roman" w:hAnsi="Arial" w:cs="Arial"/>
          <w:color w:val="000000"/>
          <w:kern w:val="0"/>
          <w:sz w:val="20"/>
          <w:szCs w:val="20"/>
          <w:lang w:eastAsia="pt-BR"/>
          <w14:ligatures w14:val="none"/>
        </w:rPr>
        <w:t>A providência a que se refere o § 4º deverá ser determinada pelo Presidente do Tribunal Regional do Trabalho, ao emitir juízo de admissibilidade sobre o recurso de revista, ou pelo Ministro Relator, mediante decisões irrecorríveis.</w:t>
      </w:r>
    </w:p>
    <w:p w14:paraId="1E70461B"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14" w:anchor="art896%C2%A76." w:history="1">
        <w:r w:rsidRPr="009F4EE4">
          <w:rPr>
            <w:rFonts w:ascii="Arial" w:eastAsia="Times New Roman" w:hAnsi="Arial" w:cs="Arial"/>
            <w:color w:val="0000FF"/>
            <w:kern w:val="0"/>
            <w:sz w:val="20"/>
            <w:szCs w:val="20"/>
            <w:u w:val="single"/>
            <w:lang w:eastAsia="pt-BR"/>
            <w14:ligatures w14:val="none"/>
          </w:rPr>
          <w:t>§ 6º </w:t>
        </w:r>
      </w:hyperlink>
      <w:r w:rsidRPr="009F4EE4">
        <w:rPr>
          <w:rFonts w:ascii="Arial" w:eastAsia="Times New Roman" w:hAnsi="Arial" w:cs="Arial"/>
          <w:color w:val="000000"/>
          <w:kern w:val="0"/>
          <w:sz w:val="20"/>
          <w:szCs w:val="20"/>
          <w:lang w:eastAsia="pt-BR"/>
          <w14:ligatures w14:val="none"/>
        </w:rPr>
        <w:t>Após o julgamento do incidente a que se refere o § 3</w:t>
      </w:r>
      <w:proofErr w:type="gramStart"/>
      <w:r w:rsidRPr="009F4EE4">
        <w:rPr>
          <w:rFonts w:ascii="Arial" w:eastAsia="Times New Roman" w:hAnsi="Arial" w:cs="Arial"/>
          <w:color w:val="000000"/>
          <w:kern w:val="0"/>
          <w:sz w:val="20"/>
          <w:szCs w:val="20"/>
          <w:lang w:eastAsia="pt-BR"/>
          <w14:ligatures w14:val="none"/>
        </w:rPr>
        <w:t>º ,</w:t>
      </w:r>
      <w:proofErr w:type="gramEnd"/>
      <w:r w:rsidRPr="009F4EE4">
        <w:rPr>
          <w:rFonts w:ascii="Arial" w:eastAsia="Times New Roman" w:hAnsi="Arial" w:cs="Arial"/>
          <w:color w:val="000000"/>
          <w:kern w:val="0"/>
          <w:sz w:val="20"/>
          <w:szCs w:val="20"/>
          <w:lang w:eastAsia="pt-BR"/>
          <w14:ligatures w14:val="none"/>
        </w:rPr>
        <w:t xml:space="preserve"> unicamente a súmula regional ou a tese jurídica prevalecente no Tribunal Regional do Trabalho e não conflitante com súmula ou orientação jurisprudencial do Tribunal Superior do Trabalho servirá como paradigma para viabilizar o conhecimento do recurso de revista, por divergência.</w:t>
      </w:r>
    </w:p>
    <w:p w14:paraId="543E3932"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7º A divergência apta a ensejar o recurso de revista deve ser atual, não se considerando como tal a ultrapassada por súmula do Tribunal Superior do Trabalho ou do Supremo Tribunal Federal, ou superada por iterativa e notória jurisprudência do Tribunal Superior do Trabalho.</w:t>
      </w:r>
    </w:p>
    <w:p w14:paraId="722526A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8º Quando o recurso fundar-se em dissenso de julgados, incumbe ao recorrente o ônus de produzir prova da divergência jurisprudencial, mediante certidão, cópia ou citação do repositório de jurisprudência, oficial ou credenciado, inclusive em mídia eletrônica, em que houver sido publicada a decisão divergente, ou ainda pela reprodução de julgado disponível na internet, com indicação da respectiva fonte, mencionando, em qualquer caso, as circunstâncias que identifiquem ou assemelhem os casos confrontados.</w:t>
      </w:r>
    </w:p>
    <w:p w14:paraId="1647C4CF"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9º Nas causas sujeitas ao procedimento sumaríssimo, somente será admitido recurso de revista por contrariedade a súmula de jurisprudência uniforme do Tribunal Superior do Trabalho ou a súmula vinculante do Supremo Tribunal Federal e por violação direta da Constituição Federal.</w:t>
      </w:r>
    </w:p>
    <w:p w14:paraId="5A55F644"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 10. Cabe recurso de revista por violação </w:t>
      </w:r>
      <w:proofErr w:type="spellStart"/>
      <w:r w:rsidRPr="009F4EE4">
        <w:rPr>
          <w:rFonts w:ascii="Arial" w:eastAsia="Times New Roman" w:hAnsi="Arial" w:cs="Arial"/>
          <w:color w:val="000000"/>
          <w:kern w:val="0"/>
          <w:sz w:val="20"/>
          <w:szCs w:val="20"/>
          <w:lang w:eastAsia="pt-BR"/>
          <w14:ligatures w14:val="none"/>
        </w:rPr>
        <w:t>a</w:t>
      </w:r>
      <w:proofErr w:type="spellEnd"/>
      <w:r w:rsidRPr="009F4EE4">
        <w:rPr>
          <w:rFonts w:ascii="Arial" w:eastAsia="Times New Roman" w:hAnsi="Arial" w:cs="Arial"/>
          <w:color w:val="000000"/>
          <w:kern w:val="0"/>
          <w:sz w:val="20"/>
          <w:szCs w:val="20"/>
          <w:lang w:eastAsia="pt-BR"/>
          <w14:ligatures w14:val="none"/>
        </w:rPr>
        <w:t xml:space="preserve"> lei federal, por divergência jurisprudencial e por ofensa à Constituição Federal nas execuções fiscais e nas </w:t>
      </w:r>
      <w:r w:rsidRPr="009F4EE4">
        <w:rPr>
          <w:rFonts w:ascii="Arial" w:eastAsia="Times New Roman" w:hAnsi="Arial" w:cs="Arial"/>
          <w:color w:val="000000"/>
          <w:kern w:val="0"/>
          <w:sz w:val="20"/>
          <w:szCs w:val="20"/>
          <w:lang w:eastAsia="pt-BR"/>
          <w14:ligatures w14:val="none"/>
        </w:rPr>
        <w:lastRenderedPageBreak/>
        <w:t>controvérsias da fase de execução que envolvam a Certidão Negativa de Débitos Trabalhistas (CNDT), criada pela </w:t>
      </w:r>
      <w:hyperlink r:id="rId15" w:history="1">
        <w:r w:rsidRPr="009F4EE4">
          <w:rPr>
            <w:rFonts w:ascii="Arial" w:eastAsia="Times New Roman" w:hAnsi="Arial" w:cs="Arial"/>
            <w:color w:val="0000FF"/>
            <w:kern w:val="0"/>
            <w:sz w:val="20"/>
            <w:szCs w:val="20"/>
            <w:u w:val="single"/>
            <w:lang w:eastAsia="pt-BR"/>
            <w14:ligatures w14:val="none"/>
          </w:rPr>
          <w:t>Lei nº 12.440, de 7 de julho de 2011.</w:t>
        </w:r>
      </w:hyperlink>
    </w:p>
    <w:p w14:paraId="2ED569F8"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11. Quando o recurso tempestivo contiver defeito formal que não se repute grave, o Tribunal Superior do Trabalho poderá desconsiderar o vício ou mandar saná-lo, julgando o mérito.</w:t>
      </w:r>
    </w:p>
    <w:p w14:paraId="4C4F0BB6"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12. Da decisão denegatória caberá agravo, no prazo de 8 (oito) dias.</w:t>
      </w:r>
    </w:p>
    <w:p w14:paraId="0F811CF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13. Dada a relevância da matéria, por iniciativa de um dos membros da Seção Especializada em Dissídios Individuais do Tribunal Superior do Trabalho, aprovada pela maioria dos integrantes da Seção, o julgamento a que se refere o § 3º poderá ser afeto ao Tribunal Pleno.” (NR)</w:t>
      </w:r>
    </w:p>
    <w:p w14:paraId="673FD22A"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“Art. 897-A. ..................................................................</w:t>
      </w:r>
    </w:p>
    <w:p w14:paraId="166E9131"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16" w:anchor="art897a%C2%A71" w:history="1">
        <w:r w:rsidRPr="009F4EE4">
          <w:rPr>
            <w:rFonts w:ascii="Arial" w:eastAsia="Times New Roman" w:hAnsi="Arial" w:cs="Arial"/>
            <w:color w:val="0000FF"/>
            <w:kern w:val="0"/>
            <w:sz w:val="20"/>
            <w:szCs w:val="20"/>
            <w:u w:val="single"/>
            <w:lang w:eastAsia="pt-BR"/>
            <w14:ligatures w14:val="none"/>
          </w:rPr>
          <w:t>§ 1º </w:t>
        </w:r>
      </w:hyperlink>
      <w:r w:rsidRPr="009F4EE4">
        <w:rPr>
          <w:rFonts w:ascii="Arial" w:eastAsia="Times New Roman" w:hAnsi="Arial" w:cs="Arial"/>
          <w:color w:val="000000"/>
          <w:kern w:val="0"/>
          <w:sz w:val="20"/>
          <w:szCs w:val="20"/>
          <w:lang w:eastAsia="pt-BR"/>
          <w14:ligatures w14:val="none"/>
        </w:rPr>
        <w:t>Os erros materiais poderão ser corrigidos de ofício ou a requerimento de qualquer das partes.</w:t>
      </w:r>
    </w:p>
    <w:p w14:paraId="2AC4C8EA"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2º Eventual efeito modificativo dos embargos de declaração somente poderá ocorrer em virtude da correção de vício na decisão embargada e desde que ouvida a parte contrária, no prazo de 5 (cinco) dias.</w:t>
      </w:r>
    </w:p>
    <w:p w14:paraId="5A5C70C1"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3º Os embargos de declaração interrompem o prazo para interposição de outros recursos, por qualquer das partes, salvo quando intempestivos, irregular a representação da parte ou ausente a sua assinatura.” (NR)</w:t>
      </w:r>
    </w:p>
    <w:p w14:paraId="275E7B59"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“Art. 899. ......................................................................</w:t>
      </w:r>
    </w:p>
    <w:p w14:paraId="6EAEDA0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w:t>
      </w:r>
    </w:p>
    <w:p w14:paraId="44EE1594"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hyperlink r:id="rId17" w:anchor="art899%C2%A78" w:history="1">
        <w:r w:rsidRPr="009F4EE4">
          <w:rPr>
            <w:rFonts w:ascii="Arial" w:eastAsia="Times New Roman" w:hAnsi="Arial" w:cs="Arial"/>
            <w:color w:val="0000FF"/>
            <w:kern w:val="0"/>
            <w:sz w:val="20"/>
            <w:szCs w:val="20"/>
            <w:u w:val="single"/>
            <w:lang w:eastAsia="pt-BR"/>
            <w14:ligatures w14:val="none"/>
          </w:rPr>
          <w:t>§ 8º </w:t>
        </w:r>
      </w:hyperlink>
      <w:r w:rsidRPr="009F4EE4">
        <w:rPr>
          <w:rFonts w:ascii="Arial" w:eastAsia="Times New Roman" w:hAnsi="Arial" w:cs="Arial"/>
          <w:color w:val="000000"/>
          <w:kern w:val="0"/>
          <w:sz w:val="20"/>
          <w:szCs w:val="20"/>
          <w:lang w:eastAsia="pt-BR"/>
          <w14:ligatures w14:val="none"/>
        </w:rPr>
        <w:t>Quando o agravo de instrumento tem a finalidade de destrancar recurso de revista que se insurge contra decisão que contraria a jurisprudência uniforme do Tribunal Superior do Trabalho, consubstanciada nas suas súmulas ou em orientação jurisprudencial, não haverá obrigatoriedade de se efetuar o depósito referido no § 7º deste artigo.” (NR)</w:t>
      </w:r>
    </w:p>
    <w:p w14:paraId="7CBEB809" w14:textId="77777777" w:rsidR="009F4EE4" w:rsidRPr="009F4EE4" w:rsidRDefault="009F4EE4" w:rsidP="009F4EE4">
      <w:pPr>
        <w:spacing w:before="210" w:after="210" w:line="240" w:lineRule="auto"/>
        <w:ind w:firstLine="567"/>
        <w:rPr>
          <w:rFonts w:ascii="Arial" w:eastAsia="Times New Roman" w:hAnsi="Arial" w:cs="Arial"/>
          <w:color w:val="000000"/>
          <w:kern w:val="0"/>
          <w:sz w:val="20"/>
          <w:szCs w:val="20"/>
          <w:lang w:eastAsia="pt-BR"/>
          <w14:ligatures w14:val="none"/>
        </w:rPr>
      </w:pPr>
      <w:bookmarkStart w:id="1" w:name="art2"/>
      <w:bookmarkEnd w:id="1"/>
      <w:r w:rsidRPr="009F4EE4">
        <w:rPr>
          <w:rFonts w:ascii="Arial" w:eastAsia="Times New Roman" w:hAnsi="Arial" w:cs="Arial"/>
          <w:color w:val="000000"/>
          <w:kern w:val="0"/>
          <w:sz w:val="20"/>
          <w:szCs w:val="20"/>
          <w:lang w:eastAsia="pt-BR"/>
          <w14:ligatures w14:val="none"/>
        </w:rPr>
        <w:t>Art. 2º A Consolidação das Leis do Trabalho (CLT), aprovada pelo </w:t>
      </w:r>
      <w:hyperlink r:id="rId18" w:history="1">
        <w:r w:rsidRPr="009F4EE4">
          <w:rPr>
            <w:rFonts w:ascii="Arial" w:eastAsia="Times New Roman" w:hAnsi="Arial" w:cs="Arial"/>
            <w:color w:val="0000FF"/>
            <w:kern w:val="0"/>
            <w:sz w:val="20"/>
            <w:szCs w:val="20"/>
            <w:u w:val="single"/>
            <w:lang w:eastAsia="pt-BR"/>
            <w14:ligatures w14:val="none"/>
          </w:rPr>
          <w:t>Decreto-Lei nº 5.452, de 1º de maio de 1943, </w:t>
        </w:r>
      </w:hyperlink>
      <w:r w:rsidRPr="009F4EE4">
        <w:rPr>
          <w:rFonts w:ascii="Arial" w:eastAsia="Times New Roman" w:hAnsi="Arial" w:cs="Arial"/>
          <w:color w:val="000000"/>
          <w:kern w:val="0"/>
          <w:sz w:val="20"/>
          <w:szCs w:val="20"/>
          <w:lang w:eastAsia="pt-BR"/>
          <w14:ligatures w14:val="none"/>
        </w:rPr>
        <w:t xml:space="preserve">passa a vigorar acrescida dos seguintes </w:t>
      </w:r>
      <w:proofErr w:type="spellStart"/>
      <w:r w:rsidRPr="009F4EE4">
        <w:rPr>
          <w:rFonts w:ascii="Arial" w:eastAsia="Times New Roman" w:hAnsi="Arial" w:cs="Arial"/>
          <w:color w:val="000000"/>
          <w:kern w:val="0"/>
          <w:sz w:val="20"/>
          <w:szCs w:val="20"/>
          <w:lang w:eastAsia="pt-BR"/>
          <w14:ligatures w14:val="none"/>
        </w:rPr>
        <w:t>arts</w:t>
      </w:r>
      <w:proofErr w:type="spellEnd"/>
      <w:r w:rsidRPr="009F4EE4">
        <w:rPr>
          <w:rFonts w:ascii="Arial" w:eastAsia="Times New Roman" w:hAnsi="Arial" w:cs="Arial"/>
          <w:color w:val="000000"/>
          <w:kern w:val="0"/>
          <w:sz w:val="20"/>
          <w:szCs w:val="20"/>
          <w:lang w:eastAsia="pt-BR"/>
          <w14:ligatures w14:val="none"/>
        </w:rPr>
        <w:t>. 896-B e 896-C:</w:t>
      </w:r>
    </w:p>
    <w:p w14:paraId="3BA73957"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w:t>
      </w:r>
      <w:hyperlink r:id="rId19" w:anchor="art896.b" w:history="1">
        <w:r w:rsidRPr="009F4EE4">
          <w:rPr>
            <w:rFonts w:ascii="Arial" w:eastAsia="Times New Roman" w:hAnsi="Arial" w:cs="Arial"/>
            <w:color w:val="0000FF"/>
            <w:kern w:val="0"/>
            <w:sz w:val="20"/>
            <w:szCs w:val="20"/>
            <w:u w:val="single"/>
            <w:lang w:eastAsia="pt-BR"/>
            <w14:ligatures w14:val="none"/>
          </w:rPr>
          <w:t>Art. 896-B. </w:t>
        </w:r>
      </w:hyperlink>
      <w:r w:rsidRPr="009F4EE4">
        <w:rPr>
          <w:rFonts w:ascii="Arial" w:eastAsia="Times New Roman" w:hAnsi="Arial" w:cs="Arial"/>
          <w:color w:val="000000"/>
          <w:kern w:val="0"/>
          <w:sz w:val="20"/>
          <w:szCs w:val="20"/>
          <w:lang w:eastAsia="pt-BR"/>
          <w14:ligatures w14:val="none"/>
        </w:rPr>
        <w:t>Aplicam-se ao recurso de revista, no que couber, as normas da </w:t>
      </w:r>
      <w:hyperlink r:id="rId20" w:history="1">
        <w:r w:rsidRPr="009F4EE4">
          <w:rPr>
            <w:rFonts w:ascii="Arial" w:eastAsia="Times New Roman" w:hAnsi="Arial" w:cs="Arial"/>
            <w:color w:val="0000FF"/>
            <w:kern w:val="0"/>
            <w:sz w:val="20"/>
            <w:szCs w:val="20"/>
            <w:u w:val="single"/>
            <w:lang w:eastAsia="pt-BR"/>
            <w14:ligatures w14:val="none"/>
          </w:rPr>
          <w:t>Lei no 5.869, de 11 de janeiro de 1973 (Código de Processo Civil), </w:t>
        </w:r>
      </w:hyperlink>
      <w:r w:rsidRPr="009F4EE4">
        <w:rPr>
          <w:rFonts w:ascii="Arial" w:eastAsia="Times New Roman" w:hAnsi="Arial" w:cs="Arial"/>
          <w:color w:val="000000"/>
          <w:kern w:val="0"/>
          <w:sz w:val="20"/>
          <w:szCs w:val="20"/>
          <w:lang w:eastAsia="pt-BR"/>
          <w14:ligatures w14:val="none"/>
        </w:rPr>
        <w:t>relativas ao julgamento dos recursos extraordinário e especial repetitivos.”</w:t>
      </w:r>
    </w:p>
    <w:p w14:paraId="194F930D"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w:t>
      </w:r>
      <w:hyperlink r:id="rId21" w:anchor="art896.c" w:history="1">
        <w:r w:rsidRPr="009F4EE4">
          <w:rPr>
            <w:rFonts w:ascii="Arial" w:eastAsia="Times New Roman" w:hAnsi="Arial" w:cs="Arial"/>
            <w:color w:val="0000FF"/>
            <w:kern w:val="0"/>
            <w:sz w:val="20"/>
            <w:szCs w:val="20"/>
            <w:u w:val="single"/>
            <w:lang w:eastAsia="pt-BR"/>
            <w14:ligatures w14:val="none"/>
          </w:rPr>
          <w:t>Art. 896-C. </w:t>
        </w:r>
      </w:hyperlink>
      <w:r w:rsidRPr="009F4EE4">
        <w:rPr>
          <w:rFonts w:ascii="Arial" w:eastAsia="Times New Roman" w:hAnsi="Arial" w:cs="Arial"/>
          <w:color w:val="000000"/>
          <w:kern w:val="0"/>
          <w:sz w:val="20"/>
          <w:szCs w:val="20"/>
          <w:lang w:eastAsia="pt-BR"/>
          <w14:ligatures w14:val="none"/>
        </w:rPr>
        <w:t xml:space="preserve">Quando houver multiplicidade de recursos de revista </w:t>
      </w:r>
      <w:proofErr w:type="spellStart"/>
      <w:r w:rsidRPr="009F4EE4">
        <w:rPr>
          <w:rFonts w:ascii="Arial" w:eastAsia="Times New Roman" w:hAnsi="Arial" w:cs="Arial"/>
          <w:color w:val="000000"/>
          <w:kern w:val="0"/>
          <w:sz w:val="20"/>
          <w:szCs w:val="20"/>
          <w:lang w:eastAsia="pt-BR"/>
          <w14:ligatures w14:val="none"/>
        </w:rPr>
        <w:t>fundados</w:t>
      </w:r>
      <w:proofErr w:type="spellEnd"/>
      <w:r w:rsidRPr="009F4EE4">
        <w:rPr>
          <w:rFonts w:ascii="Arial" w:eastAsia="Times New Roman" w:hAnsi="Arial" w:cs="Arial"/>
          <w:color w:val="000000"/>
          <w:kern w:val="0"/>
          <w:sz w:val="20"/>
          <w:szCs w:val="20"/>
          <w:lang w:eastAsia="pt-BR"/>
          <w14:ligatures w14:val="none"/>
        </w:rPr>
        <w:t xml:space="preserve"> em idêntica questão de direito, a questão poderá ser afetada à Seção Especializada em Dissídios Individuais ou ao Tribunal Pleno, por decisão da maioria simples de seus membros, mediante requerimento de um dos Ministros que compõem a Seção Especializada, considerando a relevância da matéria ou a existência de entendimentos divergentes entre os Ministros dessa Seção ou das Turmas do Tribunal.</w:t>
      </w:r>
    </w:p>
    <w:p w14:paraId="1CC92866"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1º O Presidente da Turma ou da Seção Especializada, por indicação dos relatores, afetará um ou mais recursos representativos da controvérsia para julgamento pela Seção Especializada em Dissídios Individuais ou pelo Tribunal Pleno, sob o rito dos recursos repetitivos.</w:t>
      </w:r>
    </w:p>
    <w:p w14:paraId="6C1FA04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2º O Presidente da Turma ou da Seção Especializada que afetar processo para julgamento sob o rito dos recursos repetitivos deverá expedir comunicação aos demais Presidentes de Turma ou de Seção Especializada, que poderão afetar outros processos sobre a questão para julgamento conjunto, a fim de conferir ao órgão julgador visão global da questão.</w:t>
      </w:r>
    </w:p>
    <w:p w14:paraId="1453B73B"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lastRenderedPageBreak/>
        <w:t>§ 3º O Presidente do Tribunal Superior do Trabalho oficiará os Presidentes dos Tribunais Regionais do Trabalho para que suspendam os recursos interpostos em casos idênticos aos afetados como recursos repetitivos, até o pronunciamento definitivo do Tribunal Superior do Trabalho.</w:t>
      </w:r>
    </w:p>
    <w:p w14:paraId="6AA90F33"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4º Caberá ao Presidente do Tribunal de origem admitir um ou mais recursos representativos da controvérsia, os quais serão encaminhados ao Tribunal Superior do Trabalho, ficando suspensos os demais recursos de revista até o pronunciamento definitivo do Tribunal Superior do Trabalho.</w:t>
      </w:r>
    </w:p>
    <w:p w14:paraId="72B8FD47"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5º O relator no Tribunal Superior do Trabalho poderá determinar a suspensão dos recursos de revista ou de embargos que tenham como objeto controvérsia idêntica à do recurso afetado como repetitivo.</w:t>
      </w:r>
    </w:p>
    <w:p w14:paraId="3DD98042"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6º O recurso repetitivo será distribuído a um dos Ministros membros da Seção Especializada ou do Tribunal Pleno e a um Ministro revisor.</w:t>
      </w:r>
    </w:p>
    <w:p w14:paraId="5C1A3A5E"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7º O relator poderá solicitar, aos Tribunais Regionais do Trabalho, informações a respeito da controvérsia, a serem prestadas no prazo de 15 (quinze) dias.</w:t>
      </w:r>
    </w:p>
    <w:p w14:paraId="753E128B"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8º O relator poderá admitir manifestação de pessoa, órgão ou entidade com interesse na controvérsia, inclusive como assistente simples, na forma da </w:t>
      </w:r>
      <w:hyperlink r:id="rId22" w:history="1">
        <w:r w:rsidRPr="009F4EE4">
          <w:rPr>
            <w:rFonts w:ascii="Arial" w:eastAsia="Times New Roman" w:hAnsi="Arial" w:cs="Arial"/>
            <w:color w:val="0000FF"/>
            <w:kern w:val="0"/>
            <w:sz w:val="20"/>
            <w:szCs w:val="20"/>
            <w:u w:val="single"/>
            <w:lang w:eastAsia="pt-BR"/>
            <w14:ligatures w14:val="none"/>
          </w:rPr>
          <w:t>Lei nº 5.869, de 11 de janeiro de 1973 (Código de Processo Civil).</w:t>
        </w:r>
      </w:hyperlink>
    </w:p>
    <w:p w14:paraId="695A5C0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9º Recebidas as informações e, se for o caso, após cumprido o disposto no § 7º deste artigo, terá vista o Ministério Público pelo prazo de 15 (quinze) dias.</w:t>
      </w:r>
    </w:p>
    <w:p w14:paraId="4A884F6E"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10. Transcorrido o prazo para o Ministério Público e remetida cópia do relatório aos demais Ministros, o processo será incluído em pauta na Seção Especializada ou no Tribunal Pleno, devendo ser julgado com preferência sobre os demais feitos.</w:t>
      </w:r>
    </w:p>
    <w:p w14:paraId="6A5C0A39"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11. Publicado o acórdão do Tribunal Superior do Trabalho, os recursos de revista sobrestados na origem:</w:t>
      </w:r>
    </w:p>
    <w:p w14:paraId="68010FAF"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I - </w:t>
      </w:r>
      <w:proofErr w:type="gramStart"/>
      <w:r w:rsidRPr="009F4EE4">
        <w:rPr>
          <w:rFonts w:ascii="Arial" w:eastAsia="Times New Roman" w:hAnsi="Arial" w:cs="Arial"/>
          <w:color w:val="000000"/>
          <w:kern w:val="0"/>
          <w:sz w:val="20"/>
          <w:szCs w:val="20"/>
          <w:lang w:eastAsia="pt-BR"/>
          <w14:ligatures w14:val="none"/>
        </w:rPr>
        <w:t>terão</w:t>
      </w:r>
      <w:proofErr w:type="gramEnd"/>
      <w:r w:rsidRPr="009F4EE4">
        <w:rPr>
          <w:rFonts w:ascii="Arial" w:eastAsia="Times New Roman" w:hAnsi="Arial" w:cs="Arial"/>
          <w:color w:val="000000"/>
          <w:kern w:val="0"/>
          <w:sz w:val="20"/>
          <w:szCs w:val="20"/>
          <w:lang w:eastAsia="pt-BR"/>
          <w14:ligatures w14:val="none"/>
        </w:rPr>
        <w:t xml:space="preserve"> seguimento denegado na hipótese de o acórdão recorrido coincidir com a orientação a respeito da matéria no Tribunal Superior do Trabalho; ou</w:t>
      </w:r>
    </w:p>
    <w:p w14:paraId="0BC3AAC2"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II - </w:t>
      </w:r>
      <w:proofErr w:type="gramStart"/>
      <w:r w:rsidRPr="009F4EE4">
        <w:rPr>
          <w:rFonts w:ascii="Arial" w:eastAsia="Times New Roman" w:hAnsi="Arial" w:cs="Arial"/>
          <w:color w:val="000000"/>
          <w:kern w:val="0"/>
          <w:sz w:val="20"/>
          <w:szCs w:val="20"/>
          <w:lang w:eastAsia="pt-BR"/>
          <w14:ligatures w14:val="none"/>
        </w:rPr>
        <w:t>serão</w:t>
      </w:r>
      <w:proofErr w:type="gramEnd"/>
      <w:r w:rsidRPr="009F4EE4">
        <w:rPr>
          <w:rFonts w:ascii="Arial" w:eastAsia="Times New Roman" w:hAnsi="Arial" w:cs="Arial"/>
          <w:color w:val="000000"/>
          <w:kern w:val="0"/>
          <w:sz w:val="20"/>
          <w:szCs w:val="20"/>
          <w:lang w:eastAsia="pt-BR"/>
          <w14:ligatures w14:val="none"/>
        </w:rPr>
        <w:t xml:space="preserve"> novamente examinados pelo Tribunal de origem na hipótese de o acórdão recorrido divergir da orientação do Tribunal Superior do Trabalho a respeito da matéria.</w:t>
      </w:r>
    </w:p>
    <w:p w14:paraId="6C7A8374"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12. Na hipótese prevista no inciso II do § 11 deste artigo, mantida a decisão divergente pelo Tribunal de origem, far-se-á o exame de admissibilidade do recurso de revista.</w:t>
      </w:r>
    </w:p>
    <w:p w14:paraId="3311F513"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13. Caso a questão afetada e julgada sob o rito dos recursos repetitivos também contenha questão constitucional, a decisão proferida pelo Tribunal Pleno não obstará o conhecimento de eventuais recursos extraordinários sobre a questão constitucional.</w:t>
      </w:r>
    </w:p>
    <w:p w14:paraId="52F39E29"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14. Aos recursos extraordinários interpostos perante o Tribunal Superior do Trabalho será aplicado o procedimento previsto no </w:t>
      </w:r>
      <w:hyperlink r:id="rId23" w:anchor="art543b" w:history="1">
        <w:r w:rsidRPr="009F4EE4">
          <w:rPr>
            <w:rFonts w:ascii="Arial" w:eastAsia="Times New Roman" w:hAnsi="Arial" w:cs="Arial"/>
            <w:color w:val="0000FF"/>
            <w:kern w:val="0"/>
            <w:sz w:val="20"/>
            <w:szCs w:val="20"/>
            <w:u w:val="single"/>
            <w:lang w:eastAsia="pt-BR"/>
            <w14:ligatures w14:val="none"/>
          </w:rPr>
          <w:t>art. 543-B da Lei nº 5.869, de 11 de janeiro de 1973 (Código de Processo Civil), </w:t>
        </w:r>
      </w:hyperlink>
      <w:r w:rsidRPr="009F4EE4">
        <w:rPr>
          <w:rFonts w:ascii="Arial" w:eastAsia="Times New Roman" w:hAnsi="Arial" w:cs="Arial"/>
          <w:color w:val="000000"/>
          <w:kern w:val="0"/>
          <w:sz w:val="20"/>
          <w:szCs w:val="20"/>
          <w:lang w:eastAsia="pt-BR"/>
          <w14:ligatures w14:val="none"/>
        </w:rPr>
        <w:t>cabendo ao Presidente do Tribunal Superior do Trabalho selecionar um ou mais recursos representativos da controvérsia e encaminhá-los ao Supremo Tribunal Federal, sobrestando os demais até o pronunciamento definitivo da Corte, na forma do </w:t>
      </w:r>
      <w:hyperlink r:id="rId24" w:anchor="art543b%C2%A71" w:history="1">
        <w:r w:rsidRPr="009F4EE4">
          <w:rPr>
            <w:rFonts w:ascii="Arial" w:eastAsia="Times New Roman" w:hAnsi="Arial" w:cs="Arial"/>
            <w:color w:val="0000FF"/>
            <w:kern w:val="0"/>
            <w:sz w:val="20"/>
            <w:szCs w:val="20"/>
            <w:u w:val="single"/>
            <w:lang w:eastAsia="pt-BR"/>
            <w14:ligatures w14:val="none"/>
          </w:rPr>
          <w:t>§ 1º do art. 543-B da Lei nº 5.869, de 11 de janeiro de 1973 (Código de Processo Civil).</w:t>
        </w:r>
      </w:hyperlink>
    </w:p>
    <w:p w14:paraId="670776F0"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 15. O Presidente do Tribunal Superior do Trabalho poderá oficiar os Tribunais Regionais do Trabalho e os Presidentes das Turmas e da Seção </w:t>
      </w:r>
      <w:r w:rsidRPr="009F4EE4">
        <w:rPr>
          <w:rFonts w:ascii="Arial" w:eastAsia="Times New Roman" w:hAnsi="Arial" w:cs="Arial"/>
          <w:color w:val="000000"/>
          <w:kern w:val="0"/>
          <w:sz w:val="20"/>
          <w:szCs w:val="20"/>
          <w:lang w:eastAsia="pt-BR"/>
          <w14:ligatures w14:val="none"/>
        </w:rPr>
        <w:lastRenderedPageBreak/>
        <w:t>Especializada do Tribunal para que suspendam os processos idênticos aos selecionados como recursos representativos da controvérsia e encaminhados ao Supremo Tribunal Federal, até o seu pronunciamento definitivo.</w:t>
      </w:r>
    </w:p>
    <w:p w14:paraId="246AD28B"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xml:space="preserve">§ 16. A decisão firmada em recurso repetitivo não será aplicada aos casos em que se demonstrar que a situação de fato ou de direito é distinta </w:t>
      </w:r>
      <w:proofErr w:type="gramStart"/>
      <w:r w:rsidRPr="009F4EE4">
        <w:rPr>
          <w:rFonts w:ascii="Arial" w:eastAsia="Times New Roman" w:hAnsi="Arial" w:cs="Arial"/>
          <w:color w:val="000000"/>
          <w:kern w:val="0"/>
          <w:sz w:val="20"/>
          <w:szCs w:val="20"/>
          <w:lang w:eastAsia="pt-BR"/>
          <w14:ligatures w14:val="none"/>
        </w:rPr>
        <w:t>das presentes</w:t>
      </w:r>
      <w:proofErr w:type="gramEnd"/>
      <w:r w:rsidRPr="009F4EE4">
        <w:rPr>
          <w:rFonts w:ascii="Arial" w:eastAsia="Times New Roman" w:hAnsi="Arial" w:cs="Arial"/>
          <w:color w:val="000000"/>
          <w:kern w:val="0"/>
          <w:sz w:val="20"/>
          <w:szCs w:val="20"/>
          <w:lang w:eastAsia="pt-BR"/>
          <w14:ligatures w14:val="none"/>
        </w:rPr>
        <w:t xml:space="preserve"> no processo julgado sob o rito dos recursos repetitivos.</w:t>
      </w:r>
    </w:p>
    <w:p w14:paraId="311BF3EA" w14:textId="77777777" w:rsidR="009F4EE4" w:rsidRPr="009F4EE4" w:rsidRDefault="009F4EE4" w:rsidP="009F4EE4">
      <w:pPr>
        <w:spacing w:before="210" w:after="210" w:line="240" w:lineRule="auto"/>
        <w:ind w:left="1004"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 17. Caberá revisão da decisão firmada em julgamento de recursos repetitivos quando se alterar a situação econômica, social ou jurídica, caso em que será respeitada a segurança jurídica das relações firmadas sob a égide da decisão anterior, podendo o Tribunal Superior do Trabalho modular os efeitos da decisão que a tenha alterado.”</w:t>
      </w:r>
    </w:p>
    <w:p w14:paraId="1869348C" w14:textId="77777777" w:rsidR="009F4EE4" w:rsidRPr="009F4EE4" w:rsidRDefault="009F4EE4" w:rsidP="009F4EE4">
      <w:pPr>
        <w:spacing w:before="210" w:after="210" w:line="240" w:lineRule="auto"/>
        <w:ind w:firstLine="567"/>
        <w:rPr>
          <w:rFonts w:ascii="Arial" w:eastAsia="Times New Roman" w:hAnsi="Arial" w:cs="Arial"/>
          <w:color w:val="000000"/>
          <w:kern w:val="0"/>
          <w:sz w:val="20"/>
          <w:szCs w:val="20"/>
          <w:lang w:eastAsia="pt-BR"/>
          <w14:ligatures w14:val="none"/>
        </w:rPr>
      </w:pPr>
      <w:bookmarkStart w:id="2" w:name="art3"/>
      <w:bookmarkEnd w:id="2"/>
      <w:r w:rsidRPr="009F4EE4">
        <w:rPr>
          <w:rFonts w:ascii="Arial" w:eastAsia="Times New Roman" w:hAnsi="Arial" w:cs="Arial"/>
          <w:color w:val="000000"/>
          <w:kern w:val="0"/>
          <w:sz w:val="20"/>
          <w:szCs w:val="20"/>
          <w:lang w:eastAsia="pt-BR"/>
          <w14:ligatures w14:val="none"/>
        </w:rPr>
        <w:t>Art. 3º Esta Lei entra em vigor após decorridos 60 (sessenta) dias de sua publicação oficial.</w:t>
      </w:r>
    </w:p>
    <w:p w14:paraId="17119EDA" w14:textId="77777777" w:rsidR="009F4EE4" w:rsidRPr="009F4EE4" w:rsidRDefault="009F4EE4" w:rsidP="009F4EE4">
      <w:pPr>
        <w:spacing w:before="210" w:after="210" w:line="240" w:lineRule="auto"/>
        <w:ind w:firstLine="567"/>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Brasília, 21 de julho de 2014; 193º da Independência e 126º da República.</w:t>
      </w:r>
    </w:p>
    <w:p w14:paraId="1A07C952" w14:textId="77777777" w:rsidR="009F4EE4" w:rsidRPr="009F4EE4" w:rsidRDefault="009F4EE4" w:rsidP="009F4EE4">
      <w:pPr>
        <w:spacing w:after="0" w:line="240" w:lineRule="auto"/>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000000"/>
          <w:kern w:val="0"/>
          <w:sz w:val="20"/>
          <w:szCs w:val="20"/>
          <w:lang w:eastAsia="pt-BR"/>
          <w14:ligatures w14:val="none"/>
        </w:rPr>
        <w:t>DILMA ROUSSEFF</w:t>
      </w:r>
    </w:p>
    <w:p w14:paraId="37C30424" w14:textId="77777777" w:rsidR="009F4EE4" w:rsidRPr="009F4EE4" w:rsidRDefault="009F4EE4" w:rsidP="009F4EE4">
      <w:pPr>
        <w:spacing w:after="0" w:line="240" w:lineRule="auto"/>
        <w:rPr>
          <w:rFonts w:ascii="Arial" w:eastAsia="Times New Roman" w:hAnsi="Arial" w:cs="Arial"/>
          <w:color w:val="000000"/>
          <w:kern w:val="0"/>
          <w:sz w:val="20"/>
          <w:szCs w:val="20"/>
          <w:lang w:eastAsia="pt-BR"/>
          <w14:ligatures w14:val="none"/>
        </w:rPr>
      </w:pPr>
      <w:r w:rsidRPr="009F4EE4">
        <w:rPr>
          <w:rFonts w:ascii="Arial" w:eastAsia="Times New Roman" w:hAnsi="Arial" w:cs="Arial"/>
          <w:i/>
          <w:iCs/>
          <w:color w:val="000000"/>
          <w:kern w:val="0"/>
          <w:sz w:val="20"/>
          <w:szCs w:val="20"/>
          <w:lang w:eastAsia="pt-BR"/>
          <w14:ligatures w14:val="none"/>
        </w:rPr>
        <w:t>José Eduardo Cardozo</w:t>
      </w:r>
    </w:p>
    <w:p w14:paraId="4F829924" w14:textId="77777777" w:rsidR="009F4EE4" w:rsidRPr="009F4EE4" w:rsidRDefault="009F4EE4" w:rsidP="009F4EE4">
      <w:pPr>
        <w:spacing w:after="0" w:line="240" w:lineRule="auto"/>
        <w:rPr>
          <w:rFonts w:ascii="Arial" w:eastAsia="Times New Roman" w:hAnsi="Arial" w:cs="Arial"/>
          <w:color w:val="000000"/>
          <w:kern w:val="0"/>
          <w:sz w:val="20"/>
          <w:szCs w:val="20"/>
          <w:lang w:eastAsia="pt-BR"/>
          <w14:ligatures w14:val="none"/>
        </w:rPr>
      </w:pPr>
      <w:r w:rsidRPr="009F4EE4">
        <w:rPr>
          <w:rFonts w:ascii="Arial" w:eastAsia="Times New Roman" w:hAnsi="Arial" w:cs="Arial"/>
          <w:i/>
          <w:iCs/>
          <w:color w:val="000000"/>
          <w:kern w:val="0"/>
          <w:sz w:val="20"/>
          <w:szCs w:val="20"/>
          <w:lang w:eastAsia="pt-BR"/>
          <w14:ligatures w14:val="none"/>
        </w:rPr>
        <w:t>Manoel Dias</w:t>
      </w:r>
    </w:p>
    <w:p w14:paraId="6039DF88" w14:textId="77777777" w:rsidR="009F4EE4" w:rsidRPr="009F4EE4" w:rsidRDefault="009F4EE4" w:rsidP="009F4EE4">
      <w:pPr>
        <w:spacing w:after="0" w:line="240" w:lineRule="auto"/>
        <w:rPr>
          <w:rFonts w:ascii="Arial" w:eastAsia="Times New Roman" w:hAnsi="Arial" w:cs="Arial"/>
          <w:color w:val="000000"/>
          <w:kern w:val="0"/>
          <w:sz w:val="20"/>
          <w:szCs w:val="20"/>
          <w:lang w:eastAsia="pt-BR"/>
          <w14:ligatures w14:val="none"/>
        </w:rPr>
      </w:pPr>
      <w:r w:rsidRPr="009F4EE4">
        <w:rPr>
          <w:rFonts w:ascii="Arial" w:eastAsia="Times New Roman" w:hAnsi="Arial" w:cs="Arial"/>
          <w:i/>
          <w:iCs/>
          <w:color w:val="000000"/>
          <w:kern w:val="0"/>
          <w:sz w:val="20"/>
          <w:szCs w:val="20"/>
          <w:lang w:eastAsia="pt-BR"/>
          <w14:ligatures w14:val="none"/>
        </w:rPr>
        <w:t>Luís Inácio Lucena Adams</w:t>
      </w:r>
    </w:p>
    <w:p w14:paraId="27413C00" w14:textId="77777777" w:rsidR="009F4EE4" w:rsidRPr="009F4EE4" w:rsidRDefault="009F4EE4" w:rsidP="009F4EE4">
      <w:pPr>
        <w:spacing w:before="300" w:after="300" w:line="240" w:lineRule="auto"/>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FF0000"/>
          <w:kern w:val="0"/>
          <w:sz w:val="20"/>
          <w:szCs w:val="20"/>
          <w:lang w:eastAsia="pt-BR"/>
          <w14:ligatures w14:val="none"/>
        </w:rPr>
        <w:t>Este texto não substitui o publicado no DOU de 22.7.2014</w:t>
      </w:r>
    </w:p>
    <w:p w14:paraId="0CA78C71" w14:textId="77777777" w:rsidR="009F4EE4" w:rsidRPr="009F4EE4" w:rsidRDefault="009F4EE4" w:rsidP="009F4EE4">
      <w:pPr>
        <w:spacing w:before="300" w:after="300" w:line="240" w:lineRule="auto"/>
        <w:ind w:firstLine="432"/>
        <w:jc w:val="center"/>
        <w:rPr>
          <w:rFonts w:ascii="Arial" w:eastAsia="Times New Roman" w:hAnsi="Arial" w:cs="Arial"/>
          <w:color w:val="000000"/>
          <w:kern w:val="0"/>
          <w:sz w:val="20"/>
          <w:szCs w:val="20"/>
          <w:lang w:eastAsia="pt-BR"/>
          <w14:ligatures w14:val="none"/>
        </w:rPr>
      </w:pPr>
      <w:r w:rsidRPr="009F4EE4">
        <w:rPr>
          <w:rFonts w:ascii="Arial" w:eastAsia="Times New Roman" w:hAnsi="Arial" w:cs="Arial"/>
          <w:color w:val="FF0000"/>
          <w:kern w:val="0"/>
          <w:sz w:val="20"/>
          <w:szCs w:val="20"/>
          <w:lang w:eastAsia="pt-BR"/>
          <w14:ligatures w14:val="none"/>
        </w:rPr>
        <w:t>*</w:t>
      </w:r>
    </w:p>
    <w:p w14:paraId="1B9373C3" w14:textId="77777777" w:rsidR="00D7302C" w:rsidRDefault="00D7302C"/>
    <w:sectPr w:rsidR="00D7302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2D1"/>
    <w:rsid w:val="009F4EE4"/>
    <w:rsid w:val="00A94892"/>
    <w:rsid w:val="00CC02D1"/>
    <w:rsid w:val="00D730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578F3"/>
  <w15:chartTrackingRefBased/>
  <w15:docId w15:val="{0A5F873D-0F39-4F6D-96D3-EB313D81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9F4E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link w:val="Ttulo2Char"/>
    <w:uiPriority w:val="9"/>
    <w:qFormat/>
    <w:rsid w:val="009F4EE4"/>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pt-BR"/>
      <w14:ligatures w14:val="none"/>
    </w:rPr>
  </w:style>
  <w:style w:type="paragraph" w:styleId="Ttulo3">
    <w:name w:val="heading 3"/>
    <w:basedOn w:val="Normal"/>
    <w:link w:val="Ttulo3Char"/>
    <w:uiPriority w:val="9"/>
    <w:qFormat/>
    <w:rsid w:val="009F4EE4"/>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F4EE4"/>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uiPriority w:val="9"/>
    <w:rsid w:val="009F4EE4"/>
    <w:rPr>
      <w:rFonts w:ascii="Times New Roman" w:eastAsia="Times New Roman" w:hAnsi="Times New Roman" w:cs="Times New Roman"/>
      <w:b/>
      <w:bCs/>
      <w:kern w:val="0"/>
      <w:sz w:val="36"/>
      <w:szCs w:val="36"/>
      <w:lang w:eastAsia="pt-BR"/>
      <w14:ligatures w14:val="none"/>
    </w:rPr>
  </w:style>
  <w:style w:type="character" w:customStyle="1" w:styleId="Ttulo3Char">
    <w:name w:val="Título 3 Char"/>
    <w:basedOn w:val="Fontepargpadro"/>
    <w:link w:val="Ttulo3"/>
    <w:uiPriority w:val="9"/>
    <w:rsid w:val="009F4EE4"/>
    <w:rPr>
      <w:rFonts w:ascii="Times New Roman" w:eastAsia="Times New Roman" w:hAnsi="Times New Roman" w:cs="Times New Roman"/>
      <w:b/>
      <w:bCs/>
      <w:kern w:val="0"/>
      <w:sz w:val="27"/>
      <w:szCs w:val="27"/>
      <w:lang w:eastAsia="pt-BR"/>
      <w14:ligatures w14:val="none"/>
    </w:rPr>
  </w:style>
  <w:style w:type="paragraph" w:styleId="NormalWeb">
    <w:name w:val="Normal (Web)"/>
    <w:basedOn w:val="Normal"/>
    <w:uiPriority w:val="99"/>
    <w:semiHidden/>
    <w:unhideWhenUsed/>
    <w:rsid w:val="009F4EE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9F4EE4"/>
    <w:rPr>
      <w:b/>
      <w:bCs/>
    </w:rPr>
  </w:style>
  <w:style w:type="character" w:styleId="Hyperlink">
    <w:name w:val="Hyperlink"/>
    <w:basedOn w:val="Fontepargpadro"/>
    <w:uiPriority w:val="99"/>
    <w:semiHidden/>
    <w:unhideWhenUsed/>
    <w:rsid w:val="009F4EE4"/>
    <w:rPr>
      <w:color w:val="0000FF"/>
      <w:u w:val="single"/>
    </w:rPr>
  </w:style>
  <w:style w:type="paragraph" w:customStyle="1" w:styleId="texto1">
    <w:name w:val="texto1"/>
    <w:basedOn w:val="Normal"/>
    <w:rsid w:val="009F4EE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rtigo">
    <w:name w:val="artigo"/>
    <w:basedOn w:val="Normal"/>
    <w:rsid w:val="009F4EE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938807">
      <w:bodyDiv w:val="1"/>
      <w:marLeft w:val="0"/>
      <w:marRight w:val="0"/>
      <w:marTop w:val="0"/>
      <w:marBottom w:val="0"/>
      <w:divBdr>
        <w:top w:val="none" w:sz="0" w:space="0" w:color="auto"/>
        <w:left w:val="none" w:sz="0" w:space="0" w:color="auto"/>
        <w:bottom w:val="none" w:sz="0" w:space="0" w:color="auto"/>
        <w:right w:val="none" w:sz="0" w:space="0" w:color="auto"/>
      </w:divBdr>
      <w:divsChild>
        <w:div w:id="1285039564">
          <w:blockQuote w:val="1"/>
          <w:marLeft w:val="720"/>
          <w:marRight w:val="720"/>
          <w:marTop w:val="100"/>
          <w:marBottom w:val="100"/>
          <w:divBdr>
            <w:top w:val="none" w:sz="0" w:space="0" w:color="auto"/>
            <w:left w:val="none" w:sz="0" w:space="0" w:color="auto"/>
            <w:bottom w:val="none" w:sz="0" w:space="0" w:color="auto"/>
            <w:right w:val="none" w:sz="0" w:space="0" w:color="auto"/>
          </w:divBdr>
        </w:div>
        <w:div w:id="342434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Decreto-Lei/Del5452.htm" TargetMode="External"/><Relationship Id="rId13" Type="http://schemas.openxmlformats.org/officeDocument/2006/relationships/hyperlink" Target="https://www.planalto.gov.br/ccivil_03/Decreto-Lei/Del5452.htm" TargetMode="External"/><Relationship Id="rId18" Type="http://schemas.openxmlformats.org/officeDocument/2006/relationships/hyperlink" Target="https://www.planalto.gov.br/ccivil_03/Decreto-Lei/Del5452.ht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planalto.gov.br/ccivil_03/Decreto-Lei/Del5452.htm" TargetMode="External"/><Relationship Id="rId7" Type="http://schemas.openxmlformats.org/officeDocument/2006/relationships/hyperlink" Target="https://www.planalto.gov.br/ccivil_03/Decreto-Lei/Del5452.htm" TargetMode="External"/><Relationship Id="rId12" Type="http://schemas.openxmlformats.org/officeDocument/2006/relationships/hyperlink" Target="https://www.planalto.gov.br/ccivil_03/Decreto-Lei/Del5452.htm" TargetMode="External"/><Relationship Id="rId17" Type="http://schemas.openxmlformats.org/officeDocument/2006/relationships/hyperlink" Target="https://www.planalto.gov.br/ccivil_03/Decreto-Lei/Del5452.ht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planalto.gov.br/ccivil_03/Decreto-Lei/Del5452.htm" TargetMode="External"/><Relationship Id="rId20" Type="http://schemas.openxmlformats.org/officeDocument/2006/relationships/hyperlink" Target="https://www.planalto.gov.br/ccivil_03/LEIS/L5869.htm" TargetMode="External"/><Relationship Id="rId1" Type="http://schemas.openxmlformats.org/officeDocument/2006/relationships/styles" Target="styles.xml"/><Relationship Id="rId6" Type="http://schemas.openxmlformats.org/officeDocument/2006/relationships/hyperlink" Target="https://www.planalto.gov.br/ccivil_03/Decreto-Lei/Del5452.htm" TargetMode="External"/><Relationship Id="rId11" Type="http://schemas.openxmlformats.org/officeDocument/2006/relationships/hyperlink" Target="https://www.planalto.gov.br/ccivil_03/LEIS/L5869.htm" TargetMode="External"/><Relationship Id="rId24" Type="http://schemas.openxmlformats.org/officeDocument/2006/relationships/hyperlink" Target="https://www.planalto.gov.br/ccivil_03/LEIS/L5869.htm" TargetMode="External"/><Relationship Id="rId5" Type="http://schemas.openxmlformats.org/officeDocument/2006/relationships/hyperlink" Target="https://www.planalto.gov.br/ccivil_03/_ato2011-2014/2014/lei/l13015.htm" TargetMode="External"/><Relationship Id="rId15" Type="http://schemas.openxmlformats.org/officeDocument/2006/relationships/hyperlink" Target="https://www.planalto.gov.br/ccivil_03/_ato2011-2014/2011/Lei/L12440.htm" TargetMode="External"/><Relationship Id="rId23" Type="http://schemas.openxmlformats.org/officeDocument/2006/relationships/hyperlink" Target="https://www.planalto.gov.br/ccivil_03/LEIS/L5869.htm" TargetMode="External"/><Relationship Id="rId10" Type="http://schemas.openxmlformats.org/officeDocument/2006/relationships/hyperlink" Target="https://www.planalto.gov.br/ccivil_03/Decreto-Lei/Del5452.htm" TargetMode="External"/><Relationship Id="rId19" Type="http://schemas.openxmlformats.org/officeDocument/2006/relationships/hyperlink" Target="https://www.planalto.gov.br/ccivil_03/Decreto-Lei/Del5452.htm" TargetMode="External"/><Relationship Id="rId4" Type="http://schemas.openxmlformats.org/officeDocument/2006/relationships/hyperlink" Target="http://legislacao.planalto.gov.br/legisla/legislacao.nsf/Viw_Identificacao/lei%2013.015-2014?OpenDocument" TargetMode="External"/><Relationship Id="rId9" Type="http://schemas.openxmlformats.org/officeDocument/2006/relationships/hyperlink" Target="https://www.planalto.gov.br/ccivil_03/Decreto-Lei/Del5452.htm" TargetMode="External"/><Relationship Id="rId14" Type="http://schemas.openxmlformats.org/officeDocument/2006/relationships/hyperlink" Target="https://www.planalto.gov.br/ccivil_03/Decreto-Lei/Del5452.htm" TargetMode="External"/><Relationship Id="rId22" Type="http://schemas.openxmlformats.org/officeDocument/2006/relationships/hyperlink" Target="https://www.planalto.gov.br/ccivil_03/LEIS/L586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2395</Words>
  <Characters>12936</Characters>
  <Application>Microsoft Office Word</Application>
  <DocSecurity>0</DocSecurity>
  <Lines>107</Lines>
  <Paragraphs>30</Paragraphs>
  <ScaleCrop>false</ScaleCrop>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Dias</dc:creator>
  <cp:keywords/>
  <dc:description/>
  <cp:lastModifiedBy>Fernando Dias</cp:lastModifiedBy>
  <cp:revision>2</cp:revision>
  <dcterms:created xsi:type="dcterms:W3CDTF">2023-07-23T19:21:00Z</dcterms:created>
  <dcterms:modified xsi:type="dcterms:W3CDTF">2023-07-23T19:21:00Z</dcterms:modified>
</cp:coreProperties>
</file>