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C7B" w:rsidRPr="00664C7B" w:rsidRDefault="00664C7B" w:rsidP="00664C7B">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664C7B">
        <w:rPr>
          <w:rFonts w:ascii="Times New Roman" w:eastAsia="Times New Roman" w:hAnsi="Times New Roman" w:cs="Times New Roman"/>
          <w:b/>
          <w:bCs/>
          <w:kern w:val="36"/>
          <w:sz w:val="32"/>
          <w:szCs w:val="32"/>
          <w:lang w:eastAsia="pt-BR"/>
        </w:rPr>
        <w:t>Presidência da República</w:t>
      </w:r>
    </w:p>
    <w:p w:rsidR="00664C7B" w:rsidRPr="00664C7B" w:rsidRDefault="00664C7B" w:rsidP="00664C7B">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664C7B">
        <w:rPr>
          <w:rFonts w:ascii="Times New Roman" w:eastAsia="Times New Roman" w:hAnsi="Times New Roman" w:cs="Times New Roman"/>
          <w:b/>
          <w:bCs/>
          <w:sz w:val="28"/>
          <w:szCs w:val="28"/>
          <w:lang w:eastAsia="pt-BR"/>
        </w:rPr>
        <w:t>Casa Civil</w:t>
      </w:r>
    </w:p>
    <w:p w:rsidR="00664C7B" w:rsidRPr="00664C7B" w:rsidRDefault="00664C7B" w:rsidP="00664C7B">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664C7B">
        <w:rPr>
          <w:rFonts w:ascii="Times New Roman" w:eastAsia="Times New Roman" w:hAnsi="Times New Roman" w:cs="Times New Roman"/>
          <w:b/>
          <w:bCs/>
          <w:sz w:val="24"/>
          <w:szCs w:val="24"/>
          <w:lang w:eastAsia="pt-BR"/>
        </w:rPr>
        <w:t>Subchefia para Assuntos Jurídicos</w:t>
      </w:r>
    </w:p>
    <w:p w:rsidR="00664C7B" w:rsidRPr="00664C7B" w:rsidRDefault="00664C7B" w:rsidP="00664C7B">
      <w:pPr>
        <w:spacing w:before="300" w:after="300" w:line="240" w:lineRule="auto"/>
        <w:ind w:firstLine="432"/>
        <w:jc w:val="center"/>
        <w:rPr>
          <w:rFonts w:ascii="Times New Roman" w:eastAsia="Times New Roman" w:hAnsi="Times New Roman" w:cs="Times New Roman"/>
          <w:color w:val="000000"/>
          <w:sz w:val="20"/>
          <w:szCs w:val="20"/>
          <w:lang w:eastAsia="pt-BR"/>
        </w:rPr>
      </w:pPr>
      <w:hyperlink r:id="rId5" w:history="1">
        <w:r w:rsidRPr="00664C7B">
          <w:rPr>
            <w:rFonts w:ascii="Arial" w:eastAsia="Times New Roman" w:hAnsi="Arial" w:cs="Arial"/>
            <w:b/>
            <w:bCs/>
            <w:color w:val="000080"/>
            <w:sz w:val="20"/>
            <w:szCs w:val="20"/>
            <w:u w:val="single"/>
            <w:lang w:eastAsia="pt-BR"/>
          </w:rPr>
          <w:t xml:space="preserve">LEI Nº 13.000, DE 18 DE JUNHO DE </w:t>
        </w:r>
        <w:proofErr w:type="gramStart"/>
        <w:r w:rsidRPr="00664C7B">
          <w:rPr>
            <w:rFonts w:ascii="Arial" w:eastAsia="Times New Roman" w:hAnsi="Arial" w:cs="Arial"/>
            <w:b/>
            <w:bCs/>
            <w:color w:val="000080"/>
            <w:sz w:val="20"/>
            <w:szCs w:val="20"/>
            <w:u w:val="single"/>
            <w:lang w:eastAsia="pt-BR"/>
          </w:rPr>
          <w:t>2014.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664C7B" w:rsidRPr="00664C7B" w:rsidTr="00664C7B">
        <w:trPr>
          <w:tblCellSpacing w:w="0" w:type="dxa"/>
        </w:trPr>
        <w:tc>
          <w:tcPr>
            <w:tcW w:w="2500" w:type="pct"/>
            <w:vAlign w:val="center"/>
            <w:hideMark/>
          </w:tcPr>
          <w:p w:rsidR="00664C7B" w:rsidRPr="00664C7B" w:rsidRDefault="00664C7B" w:rsidP="00664C7B">
            <w:pPr>
              <w:spacing w:after="0" w:line="240" w:lineRule="auto"/>
              <w:rPr>
                <w:rFonts w:ascii="Times New Roman" w:eastAsia="Times New Roman" w:hAnsi="Times New Roman" w:cs="Times New Roman"/>
                <w:sz w:val="20"/>
                <w:szCs w:val="20"/>
                <w:lang w:eastAsia="pt-BR"/>
              </w:rPr>
            </w:pPr>
            <w:hyperlink r:id="rId6" w:history="1">
              <w:r w:rsidRPr="00664C7B">
                <w:rPr>
                  <w:rFonts w:ascii="Arial" w:eastAsia="Times New Roman" w:hAnsi="Arial" w:cs="Arial"/>
                  <w:color w:val="0000FF"/>
                  <w:sz w:val="20"/>
                  <w:szCs w:val="20"/>
                  <w:u w:val="single"/>
                  <w:lang w:eastAsia="pt-BR"/>
                </w:rPr>
                <w:t>Mensagem de veto</w:t>
              </w:r>
            </w:hyperlink>
          </w:p>
          <w:p w:rsidR="00664C7B" w:rsidRPr="00664C7B" w:rsidRDefault="00664C7B" w:rsidP="00664C7B">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7" w:history="1">
              <w:r w:rsidRPr="00664C7B">
                <w:rPr>
                  <w:rFonts w:ascii="Arial" w:eastAsia="Times New Roman" w:hAnsi="Arial" w:cs="Arial"/>
                  <w:color w:val="0000FF"/>
                  <w:sz w:val="20"/>
                  <w:szCs w:val="20"/>
                  <w:u w:val="single"/>
                  <w:lang w:eastAsia="pt-BR"/>
                </w:rPr>
                <w:t>Conversão da Medida Provisória nº 633, de 2013</w:t>
              </w:r>
              <w:proofErr w:type="gramStart"/>
            </w:hyperlink>
            <w:proofErr w:type="gramEnd"/>
          </w:p>
        </w:tc>
        <w:tc>
          <w:tcPr>
            <w:tcW w:w="2500" w:type="pct"/>
            <w:vAlign w:val="center"/>
            <w:hideMark/>
          </w:tcPr>
          <w:p w:rsidR="00664C7B" w:rsidRPr="00664C7B" w:rsidRDefault="00664C7B" w:rsidP="00664C7B">
            <w:pPr>
              <w:spacing w:before="100" w:beforeAutospacing="1" w:after="100" w:afterAutospacing="1" w:line="240" w:lineRule="auto"/>
              <w:ind w:firstLine="432"/>
              <w:rPr>
                <w:rFonts w:ascii="Times New Roman" w:eastAsia="Times New Roman" w:hAnsi="Times New Roman" w:cs="Times New Roman"/>
                <w:sz w:val="20"/>
                <w:szCs w:val="20"/>
                <w:lang w:eastAsia="pt-BR"/>
              </w:rPr>
            </w:pPr>
            <w:proofErr w:type="gramStart"/>
            <w:r w:rsidRPr="00664C7B">
              <w:rPr>
                <w:rFonts w:ascii="Arial" w:eastAsia="Times New Roman" w:hAnsi="Arial" w:cs="Arial"/>
                <w:color w:val="800000"/>
                <w:sz w:val="20"/>
                <w:szCs w:val="20"/>
                <w:lang w:eastAsia="pt-BR"/>
              </w:rPr>
              <w:t>Altera</w:t>
            </w:r>
            <w:proofErr w:type="gramEnd"/>
            <w:r w:rsidRPr="00664C7B">
              <w:rPr>
                <w:rFonts w:ascii="Arial" w:eastAsia="Times New Roman" w:hAnsi="Arial" w:cs="Arial"/>
                <w:color w:val="800000"/>
                <w:sz w:val="20"/>
                <w:szCs w:val="20"/>
                <w:lang w:eastAsia="pt-BR"/>
              </w:rPr>
              <w:t xml:space="preserve"> as Leis </w:t>
            </w:r>
            <w:proofErr w:type="spellStart"/>
            <w:r w:rsidRPr="00664C7B">
              <w:rPr>
                <w:rFonts w:ascii="Arial" w:eastAsia="Times New Roman" w:hAnsi="Arial" w:cs="Arial"/>
                <w:color w:val="800000"/>
                <w:sz w:val="20"/>
                <w:szCs w:val="20"/>
                <w:lang w:eastAsia="pt-BR"/>
              </w:rPr>
              <w:t>nºs</w:t>
            </w:r>
            <w:proofErr w:type="spellEnd"/>
            <w:r w:rsidRPr="00664C7B">
              <w:rPr>
                <w:rFonts w:ascii="Arial" w:eastAsia="Times New Roman" w:hAnsi="Arial" w:cs="Arial"/>
                <w:color w:val="800000"/>
                <w:sz w:val="20"/>
                <w:szCs w:val="20"/>
                <w:lang w:eastAsia="pt-BR"/>
              </w:rPr>
              <w:t xml:space="preserve"> 12.096, de 24 de novembro de 2009, que autoriza a concessão de subvenção econômica sob a modalidade de equalização de taxas de juros pela União, e 12.409, de 25 de maio de 2011, que autoriza o Fundo de Compensação de Variações Salariais - FCVS a assumir direitos e obrigações do Seguro Habitacional do Sistema Financeiro da Habitação - SH/SFH; autoriza a União a conceder empréstimo ao Banco Nacional de Desenvolvimento Econômico e Social - BNDES; autoriza a União a conceder subvenção econômica às unidades produtoras de etanol na região Nordeste; e dá outras providências.</w:t>
            </w:r>
          </w:p>
        </w:tc>
      </w:tr>
    </w:tbl>
    <w:p w:rsidR="00664C7B" w:rsidRPr="00664C7B" w:rsidRDefault="00664C7B" w:rsidP="00664C7B">
      <w:pPr>
        <w:spacing w:before="300" w:after="300" w:line="240" w:lineRule="auto"/>
        <w:ind w:firstLine="570"/>
        <w:rPr>
          <w:rFonts w:ascii="Times New Roman" w:eastAsia="Times New Roman" w:hAnsi="Times New Roman" w:cs="Times New Roman"/>
          <w:color w:val="000000"/>
          <w:sz w:val="20"/>
          <w:szCs w:val="20"/>
          <w:lang w:eastAsia="pt-BR"/>
        </w:rPr>
      </w:pPr>
      <w:proofErr w:type="gramStart"/>
      <w:r w:rsidRPr="00664C7B">
        <w:rPr>
          <w:rFonts w:ascii="Times New Roman" w:eastAsia="Times New Roman" w:hAnsi="Times New Roman" w:cs="Times New Roman"/>
          <w:b/>
          <w:bCs/>
          <w:color w:val="000000"/>
          <w:sz w:val="20"/>
          <w:szCs w:val="20"/>
          <w:lang w:eastAsia="pt-BR"/>
        </w:rPr>
        <w:t>A PRESIDENTA DA REPÚBLICA </w:t>
      </w:r>
      <w:r w:rsidRPr="00664C7B">
        <w:rPr>
          <w:rFonts w:ascii="Times New Roman" w:eastAsia="Times New Roman" w:hAnsi="Times New Roman" w:cs="Times New Roman"/>
          <w:color w:val="000000"/>
          <w:sz w:val="20"/>
          <w:szCs w:val="20"/>
          <w:lang w:eastAsia="pt-BR"/>
        </w:rPr>
        <w:t>Faço</w:t>
      </w:r>
      <w:proofErr w:type="gramEnd"/>
      <w:r w:rsidRPr="00664C7B">
        <w:rPr>
          <w:rFonts w:ascii="Times New Roman" w:eastAsia="Times New Roman" w:hAnsi="Times New Roman" w:cs="Times New Roman"/>
          <w:color w:val="000000"/>
          <w:sz w:val="20"/>
          <w:szCs w:val="20"/>
          <w:lang w:eastAsia="pt-BR"/>
        </w:rPr>
        <w:t xml:space="preserve"> saber que o Congresso Nacional decreta e eu sanciono a seguinte Lei:</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0" w:name="art1"/>
      <w:bookmarkEnd w:id="0"/>
      <w:r w:rsidRPr="00664C7B">
        <w:rPr>
          <w:rFonts w:ascii="Arial" w:eastAsia="Times New Roman" w:hAnsi="Arial" w:cs="Arial"/>
          <w:color w:val="000000"/>
          <w:sz w:val="20"/>
          <w:szCs w:val="20"/>
          <w:lang w:eastAsia="pt-BR"/>
        </w:rPr>
        <w:t>Art. 1º A Lei nº 12.096, de 24 de novembro de 2009, passa a vigorar com as seguintes alterações: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hyperlink r:id="rId8" w:anchor="art1........" w:history="1">
        <w:proofErr w:type="gramStart"/>
        <w:r w:rsidRPr="00664C7B">
          <w:rPr>
            <w:rFonts w:ascii="Arial" w:eastAsia="Times New Roman" w:hAnsi="Arial" w:cs="Arial"/>
            <w:color w:val="0000FF"/>
            <w:sz w:val="20"/>
            <w:szCs w:val="20"/>
            <w:u w:val="single"/>
            <w:lang w:eastAsia="pt-BR"/>
          </w:rPr>
          <w:t>“Art. 1º </w:t>
        </w:r>
      </w:hyperlink>
      <w:r w:rsidRPr="00664C7B">
        <w:rPr>
          <w:rFonts w:ascii="Arial" w:eastAsia="Times New Roman" w:hAnsi="Arial" w:cs="Arial"/>
          <w:color w:val="000000"/>
          <w:sz w:val="20"/>
          <w:szCs w:val="20"/>
          <w:lang w:eastAsia="pt-BR"/>
        </w:rPr>
        <w:t>Fica a União autorizada a conceder subvenção econômica, sob a modalidade de equalização de taxas de juros, nas operações de financiamento contratadas até 31 de dezembro de 2014:</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w:t>
      </w:r>
      <w:proofErr w:type="gramEnd"/>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hyperlink r:id="rId9" w:anchor="art1%C2%A71........." w:history="1">
        <w:r w:rsidRPr="00664C7B">
          <w:rPr>
            <w:rFonts w:ascii="Arial" w:eastAsia="Times New Roman" w:hAnsi="Arial" w:cs="Arial"/>
            <w:color w:val="0000FF"/>
            <w:sz w:val="20"/>
            <w:szCs w:val="20"/>
            <w:u w:val="single"/>
            <w:lang w:eastAsia="pt-BR"/>
          </w:rPr>
          <w:t>§ 1º </w:t>
        </w:r>
      </w:hyperlink>
      <w:r w:rsidRPr="00664C7B">
        <w:rPr>
          <w:rFonts w:ascii="Arial" w:eastAsia="Times New Roman" w:hAnsi="Arial" w:cs="Arial"/>
          <w:color w:val="000000"/>
          <w:sz w:val="20"/>
          <w:szCs w:val="20"/>
          <w:lang w:eastAsia="pt-BR"/>
        </w:rPr>
        <w:t>O valor total dos financiamentos subvencionados pela União é limitado ao montante de até R$ 402.000.000.000,00 (quatrocentos e dois bilhões de reais).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proofErr w:type="gramStart"/>
      <w:r w:rsidRPr="00664C7B">
        <w:rPr>
          <w:rFonts w:ascii="Arial" w:eastAsia="Times New Roman" w:hAnsi="Arial" w:cs="Arial"/>
          <w:color w:val="000000"/>
          <w:sz w:val="20"/>
          <w:szCs w:val="20"/>
          <w:lang w:eastAsia="pt-BR"/>
        </w:rPr>
        <w:t>...........................................................................................</w:t>
      </w:r>
      <w:proofErr w:type="gramEnd"/>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hyperlink r:id="rId10" w:anchor="art1%C2%A715" w:history="1">
        <w:r w:rsidRPr="00664C7B">
          <w:rPr>
            <w:rFonts w:ascii="Arial" w:eastAsia="Times New Roman" w:hAnsi="Arial" w:cs="Arial"/>
            <w:color w:val="0000FF"/>
            <w:sz w:val="20"/>
            <w:szCs w:val="20"/>
            <w:u w:val="single"/>
            <w:lang w:eastAsia="pt-BR"/>
          </w:rPr>
          <w:t>§ 15. </w:t>
        </w:r>
      </w:hyperlink>
      <w:r w:rsidRPr="00664C7B">
        <w:rPr>
          <w:rFonts w:ascii="Arial" w:eastAsia="Times New Roman" w:hAnsi="Arial" w:cs="Arial"/>
          <w:color w:val="000000"/>
          <w:sz w:val="20"/>
          <w:szCs w:val="20"/>
          <w:lang w:eastAsia="pt-BR"/>
        </w:rPr>
        <w:t>A subvenção econômica, sob a modalidade de equalização de taxas de juros, tratada nesta Lei, beneficiará, exclusivamente, pessoas físicas e jurídicas brasileiras visando à aquisição, produção, arrendamento de bens de capital e execução de projetos realizados em território nacional, assim como o apoio à exportação de bens e serviços brasileiros de interesse nacional.</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16. (</w:t>
      </w:r>
      <w:proofErr w:type="gramStart"/>
      <w:r w:rsidRPr="00664C7B">
        <w:rPr>
          <w:rFonts w:ascii="Arial" w:eastAsia="Times New Roman" w:hAnsi="Arial" w:cs="Arial"/>
          <w:color w:val="000000"/>
          <w:sz w:val="20"/>
          <w:szCs w:val="20"/>
          <w:lang w:eastAsia="pt-BR"/>
        </w:rPr>
        <w:t>VETADO).”</w:t>
      </w:r>
      <w:proofErr w:type="gramEnd"/>
      <w:r w:rsidRPr="00664C7B">
        <w:rPr>
          <w:rFonts w:ascii="Arial" w:eastAsia="Times New Roman" w:hAnsi="Arial" w:cs="Arial"/>
          <w:color w:val="000000"/>
          <w:sz w:val="20"/>
          <w:szCs w:val="20"/>
          <w:lang w:eastAsia="pt-BR"/>
        </w:rPr>
        <w:t xml:space="preserve"> (NR)</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1" w:name="art2"/>
      <w:bookmarkEnd w:id="1"/>
      <w:r w:rsidRPr="00664C7B">
        <w:rPr>
          <w:rFonts w:ascii="Arial" w:eastAsia="Times New Roman" w:hAnsi="Arial" w:cs="Arial"/>
          <w:color w:val="000000"/>
          <w:sz w:val="20"/>
          <w:szCs w:val="20"/>
          <w:lang w:eastAsia="pt-BR"/>
        </w:rPr>
        <w:t>Art. 2º Fica a União autorizada a conceder crédito ao Banco Nacional de Desenvolvimento Econômico e Social - BNDES, no montante de até R$ 30.000.000.000,00 (trinta bilhões de reais), em condições financeiras e contratuais a serem definidas pelo Ministro de Estado da Fazenda.</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2" w:name="art2§1"/>
      <w:bookmarkEnd w:id="2"/>
      <w:r w:rsidRPr="00664C7B">
        <w:rPr>
          <w:rFonts w:ascii="Arial" w:eastAsia="Times New Roman" w:hAnsi="Arial" w:cs="Arial"/>
          <w:color w:val="000000"/>
          <w:sz w:val="20"/>
          <w:szCs w:val="20"/>
          <w:lang w:eastAsia="pt-BR"/>
        </w:rPr>
        <w:t>§ 1º Para a cobertura do crédito de que trata o </w:t>
      </w:r>
      <w:proofErr w:type="gramStart"/>
      <w:r w:rsidRPr="00664C7B">
        <w:rPr>
          <w:rFonts w:ascii="Arial" w:eastAsia="Times New Roman" w:hAnsi="Arial" w:cs="Arial"/>
          <w:color w:val="000000"/>
          <w:sz w:val="20"/>
          <w:szCs w:val="20"/>
          <w:lang w:eastAsia="pt-BR"/>
        </w:rPr>
        <w:t>caput ,</w:t>
      </w:r>
      <w:proofErr w:type="gramEnd"/>
      <w:r w:rsidRPr="00664C7B">
        <w:rPr>
          <w:rFonts w:ascii="Arial" w:eastAsia="Times New Roman" w:hAnsi="Arial" w:cs="Arial"/>
          <w:color w:val="000000"/>
          <w:sz w:val="20"/>
          <w:szCs w:val="20"/>
          <w:lang w:eastAsia="pt-BR"/>
        </w:rPr>
        <w:t xml:space="preserve"> a União poderá emitir, sob a forma de colocação direta, em favor do BNDES, títulos da Dívida Pública Mobiliária Federal, cujas características serão definidas pelo Ministro de Estado da Fazenda, respeitada a equivalência econômica com o valor previsto no caput .</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3" w:name="art2§2"/>
      <w:bookmarkEnd w:id="3"/>
      <w:r w:rsidRPr="00664C7B">
        <w:rPr>
          <w:rFonts w:ascii="Arial" w:eastAsia="Times New Roman" w:hAnsi="Arial" w:cs="Arial"/>
          <w:color w:val="000000"/>
          <w:sz w:val="20"/>
          <w:szCs w:val="20"/>
          <w:lang w:eastAsia="pt-BR"/>
        </w:rPr>
        <w:lastRenderedPageBreak/>
        <w:t>§ 2º Em contrapartida ao crédito concedido nos termos do </w:t>
      </w:r>
      <w:proofErr w:type="gramStart"/>
      <w:r w:rsidRPr="00664C7B">
        <w:rPr>
          <w:rFonts w:ascii="Arial" w:eastAsia="Times New Roman" w:hAnsi="Arial" w:cs="Arial"/>
          <w:color w:val="000000"/>
          <w:sz w:val="20"/>
          <w:szCs w:val="20"/>
          <w:lang w:eastAsia="pt-BR"/>
        </w:rPr>
        <w:t>caput ,</w:t>
      </w:r>
      <w:proofErr w:type="gramEnd"/>
      <w:r w:rsidRPr="00664C7B">
        <w:rPr>
          <w:rFonts w:ascii="Arial" w:eastAsia="Times New Roman" w:hAnsi="Arial" w:cs="Arial"/>
          <w:color w:val="000000"/>
          <w:sz w:val="20"/>
          <w:szCs w:val="20"/>
          <w:lang w:eastAsia="pt-BR"/>
        </w:rPr>
        <w:t xml:space="preserve"> o BNDES poderá utilizar, a critério do Ministério da Fazenda, créditos detidos contra a BNDES Participações S.A. - BNDESPAR.</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4" w:name="art2§3"/>
      <w:bookmarkEnd w:id="4"/>
      <w:r w:rsidRPr="00664C7B">
        <w:rPr>
          <w:rFonts w:ascii="Arial" w:eastAsia="Times New Roman" w:hAnsi="Arial" w:cs="Arial"/>
          <w:color w:val="000000"/>
          <w:sz w:val="20"/>
          <w:szCs w:val="20"/>
          <w:lang w:eastAsia="pt-BR"/>
        </w:rPr>
        <w:t>§ 3º O crédito concedido pelo Tesouro Nacional será remunerado pela Taxa de Juros de Longo Prazo - TJLP.</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5" w:name="art3"/>
      <w:bookmarkEnd w:id="5"/>
      <w:r w:rsidRPr="00664C7B">
        <w:rPr>
          <w:rFonts w:ascii="Arial" w:eastAsia="Times New Roman" w:hAnsi="Arial" w:cs="Arial"/>
          <w:color w:val="000000"/>
          <w:sz w:val="20"/>
          <w:szCs w:val="20"/>
          <w:lang w:eastAsia="pt-BR"/>
        </w:rPr>
        <w:t>Art. 3º A Lei nº 12.409, de 25 de maio de 2011, passa a vigorar com as seguintes alterações: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hyperlink r:id="rId11" w:anchor="art1a." w:history="1">
        <w:proofErr w:type="gramStart"/>
        <w:r w:rsidRPr="00664C7B">
          <w:rPr>
            <w:rFonts w:ascii="Arial" w:eastAsia="Times New Roman" w:hAnsi="Arial" w:cs="Arial"/>
            <w:color w:val="0000FF"/>
            <w:sz w:val="20"/>
            <w:szCs w:val="20"/>
            <w:u w:val="single"/>
            <w:lang w:eastAsia="pt-BR"/>
          </w:rPr>
          <w:t>“Art. 1º-A.</w:t>
        </w:r>
        <w:proofErr w:type="gramEnd"/>
        <w:r w:rsidRPr="00664C7B">
          <w:rPr>
            <w:rFonts w:ascii="Arial" w:eastAsia="Times New Roman" w:hAnsi="Arial" w:cs="Arial"/>
            <w:color w:val="0000FF"/>
            <w:sz w:val="20"/>
            <w:szCs w:val="20"/>
            <w:u w:val="single"/>
            <w:lang w:eastAsia="pt-BR"/>
          </w:rPr>
          <w:t> </w:t>
        </w:r>
      </w:hyperlink>
      <w:r w:rsidRPr="00664C7B">
        <w:rPr>
          <w:rFonts w:ascii="Arial" w:eastAsia="Times New Roman" w:hAnsi="Arial" w:cs="Arial"/>
          <w:color w:val="000000"/>
          <w:sz w:val="20"/>
          <w:szCs w:val="20"/>
          <w:lang w:eastAsia="pt-BR"/>
        </w:rPr>
        <w:t>Compete à Caixa Econômica Federal - CEF representar judicial e extrajudicialmente os interesses do FCVS.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1º A. CEF intervirá, em face do interesse jurídico, nas ações judiciais que representem risco ou impacto jurídico ou econômico ao FCVS ou às suas subcontas, na forma definida pelo Conselho Curador do FCVS.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xml:space="preserve">§ 2º Para fins do disposto no § </w:t>
      </w:r>
      <w:proofErr w:type="gramStart"/>
      <w:r w:rsidRPr="00664C7B">
        <w:rPr>
          <w:rFonts w:ascii="Arial" w:eastAsia="Times New Roman" w:hAnsi="Arial" w:cs="Arial"/>
          <w:color w:val="000000"/>
          <w:sz w:val="20"/>
          <w:szCs w:val="20"/>
          <w:lang w:eastAsia="pt-BR"/>
        </w:rPr>
        <w:t>1º ,</w:t>
      </w:r>
      <w:proofErr w:type="gramEnd"/>
      <w:r w:rsidRPr="00664C7B">
        <w:rPr>
          <w:rFonts w:ascii="Arial" w:eastAsia="Times New Roman" w:hAnsi="Arial" w:cs="Arial"/>
          <w:color w:val="000000"/>
          <w:sz w:val="20"/>
          <w:szCs w:val="20"/>
          <w:lang w:eastAsia="pt-BR"/>
        </w:rPr>
        <w:t xml:space="preserve"> deve ser considerada a totalidade das ações com fundamento em idêntica questão de direito que possam repercutir no FCVS ou em suas subcontas.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3º Fica a CEF autorizada a realizar acordos nas ações judiciais, conforme parâmetros aprovados pelo CCFCVS e pela Advocacia-Geral da União.</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4º Todos os atos processuais realizados na Justiça Estadual ou na do Distrito Federal devem ser aproveitados na Justiça Federal, na forma da lei.</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xml:space="preserve">§ 5º As ações em que a CEF intervir terão </w:t>
      </w:r>
      <w:proofErr w:type="gramStart"/>
      <w:r w:rsidRPr="00664C7B">
        <w:rPr>
          <w:rFonts w:ascii="Arial" w:eastAsia="Times New Roman" w:hAnsi="Arial" w:cs="Arial"/>
          <w:color w:val="000000"/>
          <w:sz w:val="20"/>
          <w:szCs w:val="20"/>
          <w:lang w:eastAsia="pt-BR"/>
        </w:rPr>
        <w:t>prioridade de tramitação na Justiça Federal nos casos em que figure como parte ou interessado</w:t>
      </w:r>
      <w:proofErr w:type="gramEnd"/>
      <w:r w:rsidRPr="00664C7B">
        <w:rPr>
          <w:rFonts w:ascii="Arial" w:eastAsia="Times New Roman" w:hAnsi="Arial" w:cs="Arial"/>
          <w:color w:val="000000"/>
          <w:sz w:val="20"/>
          <w:szCs w:val="20"/>
          <w:lang w:eastAsia="pt-BR"/>
        </w:rPr>
        <w:t xml:space="preserve"> pessoa com idade igual ou superior a 60 (sessenta) anos, pessoa portadora de deficiência física ou mental ou pessoa portadora de doença grave, nos termos da Lei nº 12.008, de 29 de julho de 2009.</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6º A CEF deverá ser intimada nos processos que tramitam na Justiça Comum Estadual que tenham por objeto a extinta apólice pública do Seguro Habitacional do Sistema Financeiro de Habitação - SH/SFH, para que manifeste o seu interesse em intervir no feito.</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7º Nos processos em que a apólice de seguro não é coberta pelo FCVS, a causa deverá ser processada na Justiça Comum Estadual.</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8º Caso o processo trate de apólices públicas e privadas, deverá ocorrer o desmembramento do processo, com a remessa à Justiça Federal apenas dos pleitos fundados em apólices do ramo público, mantendo-se na Justiça Comum Estadual as demandas referentes às demais apólices.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9º (VETADO).</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r w:rsidRPr="00664C7B">
        <w:rPr>
          <w:rFonts w:ascii="Arial" w:eastAsia="Times New Roman" w:hAnsi="Arial" w:cs="Arial"/>
          <w:color w:val="000000"/>
          <w:sz w:val="20"/>
          <w:szCs w:val="20"/>
          <w:lang w:eastAsia="pt-BR"/>
        </w:rPr>
        <w:t xml:space="preserve">§ 10. </w:t>
      </w:r>
      <w:proofErr w:type="gramStart"/>
      <w:r w:rsidRPr="00664C7B">
        <w:rPr>
          <w:rFonts w:ascii="Arial" w:eastAsia="Times New Roman" w:hAnsi="Arial" w:cs="Arial"/>
          <w:color w:val="000000"/>
          <w:sz w:val="20"/>
          <w:szCs w:val="20"/>
          <w:lang w:eastAsia="pt-BR"/>
        </w:rPr>
        <w:t>Os depósitos judiciais já realizados por determinação da Justiça Estadual permanecerão no âmbito estadual até sua liberação ou a decisão final do processo.”</w:t>
      </w:r>
      <w:proofErr w:type="gramEnd"/>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6" w:name="art4"/>
      <w:bookmarkEnd w:id="6"/>
      <w:r w:rsidRPr="00664C7B">
        <w:rPr>
          <w:rFonts w:ascii="Arial" w:eastAsia="Times New Roman" w:hAnsi="Arial" w:cs="Arial"/>
          <w:color w:val="000000"/>
          <w:sz w:val="20"/>
          <w:szCs w:val="20"/>
          <w:lang w:eastAsia="pt-BR"/>
        </w:rPr>
        <w:t>Art. 4º A União, por intermédio da Advocacia-Geral da União, poderá intervir nas ações de que trata o </w:t>
      </w:r>
      <w:hyperlink r:id="rId12" w:anchor="art1a." w:history="1">
        <w:r w:rsidRPr="00664C7B">
          <w:rPr>
            <w:rFonts w:ascii="Arial" w:eastAsia="Times New Roman" w:hAnsi="Arial" w:cs="Arial"/>
            <w:color w:val="0000FF"/>
            <w:sz w:val="20"/>
            <w:szCs w:val="20"/>
            <w:u w:val="single"/>
            <w:lang w:eastAsia="pt-BR"/>
          </w:rPr>
          <w:t>art. 1º-A da Lei nº 12.409, de 25 de maio de 2011, </w:t>
        </w:r>
      </w:hyperlink>
      <w:r w:rsidRPr="00664C7B">
        <w:rPr>
          <w:rFonts w:ascii="Arial" w:eastAsia="Times New Roman" w:hAnsi="Arial" w:cs="Arial"/>
          <w:color w:val="000000"/>
          <w:sz w:val="20"/>
          <w:szCs w:val="20"/>
          <w:lang w:eastAsia="pt-BR"/>
        </w:rPr>
        <w:t>na forma do </w:t>
      </w:r>
      <w:hyperlink r:id="rId13" w:anchor="art5" w:history="1">
        <w:r w:rsidRPr="00664C7B">
          <w:rPr>
            <w:rFonts w:ascii="Arial" w:eastAsia="Times New Roman" w:hAnsi="Arial" w:cs="Arial"/>
            <w:color w:val="0000FF"/>
            <w:sz w:val="20"/>
            <w:szCs w:val="20"/>
            <w:u w:val="single"/>
            <w:lang w:eastAsia="pt-BR"/>
          </w:rPr>
          <w:t>art. 5º da Lei nº 9.469, de 10 de julho de 1997, </w:t>
        </w:r>
      </w:hyperlink>
      <w:r w:rsidRPr="00664C7B">
        <w:rPr>
          <w:rFonts w:ascii="Arial" w:eastAsia="Times New Roman" w:hAnsi="Arial" w:cs="Arial"/>
          <w:color w:val="000000"/>
          <w:sz w:val="20"/>
          <w:szCs w:val="20"/>
          <w:lang w:eastAsia="pt-BR"/>
        </w:rPr>
        <w:t>ou avocá-las, na forma do </w:t>
      </w:r>
      <w:hyperlink r:id="rId14" w:anchor="art8c" w:history="1">
        <w:r w:rsidRPr="00664C7B">
          <w:rPr>
            <w:rFonts w:ascii="Arial" w:eastAsia="Times New Roman" w:hAnsi="Arial" w:cs="Arial"/>
            <w:color w:val="0000FF"/>
            <w:sz w:val="20"/>
            <w:szCs w:val="20"/>
            <w:u w:val="single"/>
            <w:lang w:eastAsia="pt-BR"/>
          </w:rPr>
          <w:t xml:space="preserve">art. 8º-C da Lei nº 9.028, de 12 de abril de </w:t>
        </w:r>
        <w:proofErr w:type="gramStart"/>
        <w:r w:rsidRPr="00664C7B">
          <w:rPr>
            <w:rFonts w:ascii="Arial" w:eastAsia="Times New Roman" w:hAnsi="Arial" w:cs="Arial"/>
            <w:color w:val="0000FF"/>
            <w:sz w:val="20"/>
            <w:szCs w:val="20"/>
            <w:u w:val="single"/>
            <w:lang w:eastAsia="pt-BR"/>
          </w:rPr>
          <w:t>1995.</w:t>
        </w:r>
        <w:proofErr w:type="gramEnd"/>
      </w:hyperlink>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7" w:name="art5"/>
      <w:bookmarkEnd w:id="7"/>
      <w:r w:rsidRPr="00664C7B">
        <w:rPr>
          <w:rFonts w:ascii="Arial" w:eastAsia="Times New Roman" w:hAnsi="Arial" w:cs="Arial"/>
          <w:color w:val="000000"/>
          <w:sz w:val="20"/>
          <w:szCs w:val="20"/>
          <w:lang w:eastAsia="pt-BR"/>
        </w:rPr>
        <w:t>Art. 5º Em relação aos feitos em andamento, a Caixa Econômica Federal - CEF providenciará o seu ingresso imediato como representante do FCVS.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8" w:name="art6"/>
      <w:bookmarkEnd w:id="8"/>
      <w:r w:rsidRPr="00664C7B">
        <w:rPr>
          <w:rFonts w:ascii="Arial" w:eastAsia="Times New Roman" w:hAnsi="Arial" w:cs="Arial"/>
          <w:color w:val="000000"/>
          <w:sz w:val="20"/>
          <w:szCs w:val="20"/>
          <w:lang w:eastAsia="pt-BR"/>
        </w:rPr>
        <w:t>Art. 6º Fica a União autorizada a conceder subvenção econômica às unidades industriais produtoras de etanol que desenvolvam suas atividades na região Nordeste, referente à produção da safra 2012/2013.</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9" w:name="art6§1"/>
      <w:bookmarkEnd w:id="9"/>
      <w:r w:rsidRPr="00664C7B">
        <w:rPr>
          <w:rFonts w:ascii="Arial" w:eastAsia="Times New Roman" w:hAnsi="Arial" w:cs="Arial"/>
          <w:color w:val="000000"/>
          <w:sz w:val="20"/>
          <w:szCs w:val="20"/>
          <w:lang w:eastAsia="pt-BR"/>
        </w:rPr>
        <w:t>§ 1º A subvenção de que trata o caput deste artigo será concedida diretamente às unidades industriais ou às suas cooperativas ou ao respectivo sindicato de produtores regularmente constituído, no valor de R$ 0,25 (vinte e cinco centavos de real) por litro de etanol efetivamente produzido e comercializado na safra por usinas e destilarias produtoras.</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10" w:name="art6§2"/>
      <w:bookmarkEnd w:id="10"/>
      <w:r w:rsidRPr="00664C7B">
        <w:rPr>
          <w:rFonts w:ascii="Arial" w:eastAsia="Times New Roman" w:hAnsi="Arial" w:cs="Arial"/>
          <w:color w:val="000000"/>
          <w:sz w:val="20"/>
          <w:szCs w:val="20"/>
          <w:lang w:eastAsia="pt-BR"/>
        </w:rPr>
        <w:t>§ 2º (VETADO).</w:t>
      </w:r>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11" w:name="art7"/>
      <w:bookmarkEnd w:id="11"/>
      <w:r w:rsidRPr="00664C7B">
        <w:rPr>
          <w:rFonts w:ascii="Arial" w:eastAsia="Times New Roman" w:hAnsi="Arial" w:cs="Arial"/>
          <w:color w:val="000000"/>
          <w:sz w:val="20"/>
          <w:szCs w:val="20"/>
          <w:lang w:eastAsia="pt-BR"/>
        </w:rPr>
        <w:t>Art. 7º Observado o disposto no </w:t>
      </w:r>
      <w:hyperlink r:id="rId15" w:anchor="art165%C2%A73" w:history="1">
        <w:r w:rsidRPr="00664C7B">
          <w:rPr>
            <w:rFonts w:ascii="Arial" w:eastAsia="Times New Roman" w:hAnsi="Arial" w:cs="Arial"/>
            <w:color w:val="0000FF"/>
            <w:sz w:val="20"/>
            <w:szCs w:val="20"/>
            <w:u w:val="single"/>
            <w:lang w:eastAsia="pt-BR"/>
          </w:rPr>
          <w:t>§ 3º do art. 195 da Constituição Federal, </w:t>
        </w:r>
      </w:hyperlink>
      <w:r w:rsidRPr="00664C7B">
        <w:rPr>
          <w:rFonts w:ascii="Arial" w:eastAsia="Times New Roman" w:hAnsi="Arial" w:cs="Arial"/>
          <w:color w:val="000000"/>
          <w:sz w:val="20"/>
          <w:szCs w:val="20"/>
          <w:lang w:eastAsia="pt-BR"/>
        </w:rPr>
        <w:t xml:space="preserve">ficam os beneficiários, as cooperativas e o sindicato de produtores regularmente constituído dispensados da comprovação de regularidade fiscal, para efeito do recebimento da subvenção de que trata o art. </w:t>
      </w:r>
      <w:proofErr w:type="gramStart"/>
      <w:r w:rsidRPr="00664C7B">
        <w:rPr>
          <w:rFonts w:ascii="Arial" w:eastAsia="Times New Roman" w:hAnsi="Arial" w:cs="Arial"/>
          <w:color w:val="000000"/>
          <w:sz w:val="20"/>
          <w:szCs w:val="20"/>
          <w:lang w:eastAsia="pt-BR"/>
        </w:rPr>
        <w:t>6º .</w:t>
      </w:r>
      <w:proofErr w:type="gramEnd"/>
    </w:p>
    <w:p w:rsidR="00664C7B" w:rsidRPr="00664C7B" w:rsidRDefault="00664C7B" w:rsidP="00664C7B">
      <w:pPr>
        <w:spacing w:before="300" w:after="300" w:line="240" w:lineRule="auto"/>
        <w:ind w:firstLine="570"/>
        <w:rPr>
          <w:rFonts w:ascii="Arial" w:eastAsia="Times New Roman" w:hAnsi="Arial" w:cs="Arial"/>
          <w:color w:val="000000"/>
          <w:sz w:val="20"/>
          <w:szCs w:val="20"/>
          <w:lang w:eastAsia="pt-BR"/>
        </w:rPr>
      </w:pPr>
      <w:bookmarkStart w:id="12" w:name="art8"/>
      <w:bookmarkEnd w:id="12"/>
      <w:r w:rsidRPr="00664C7B">
        <w:rPr>
          <w:rFonts w:ascii="Arial" w:eastAsia="Times New Roman" w:hAnsi="Arial" w:cs="Arial"/>
          <w:color w:val="000000"/>
          <w:sz w:val="20"/>
          <w:szCs w:val="20"/>
          <w:lang w:eastAsia="pt-BR"/>
        </w:rPr>
        <w:t>Art. 8º Esta Lei entra em vigor na data de sua publicação.</w:t>
      </w:r>
    </w:p>
    <w:p w:rsidR="00664C7B" w:rsidRPr="00664C7B" w:rsidRDefault="00664C7B" w:rsidP="00664C7B">
      <w:pPr>
        <w:spacing w:before="300" w:after="300" w:line="240" w:lineRule="auto"/>
        <w:ind w:firstLine="570"/>
        <w:rPr>
          <w:rFonts w:ascii="Times New Roman" w:eastAsia="Times New Roman" w:hAnsi="Times New Roman" w:cs="Times New Roman"/>
          <w:color w:val="000000"/>
          <w:sz w:val="20"/>
          <w:szCs w:val="20"/>
          <w:lang w:eastAsia="pt-BR"/>
        </w:rPr>
      </w:pPr>
      <w:r w:rsidRPr="00664C7B">
        <w:rPr>
          <w:rFonts w:ascii="Times New Roman" w:eastAsia="Times New Roman" w:hAnsi="Times New Roman" w:cs="Times New Roman"/>
          <w:color w:val="000000"/>
          <w:sz w:val="20"/>
          <w:szCs w:val="20"/>
          <w:lang w:eastAsia="pt-BR"/>
        </w:rPr>
        <w:t>Brasília, 18 de junho de 2014; 193º da Independência e 126º da República.</w:t>
      </w:r>
    </w:p>
    <w:p w:rsidR="00664C7B" w:rsidRPr="00664C7B" w:rsidRDefault="00664C7B" w:rsidP="00664C7B">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664C7B">
        <w:rPr>
          <w:rFonts w:ascii="Times New Roman" w:eastAsia="Times New Roman" w:hAnsi="Times New Roman" w:cs="Times New Roman"/>
          <w:color w:val="000000"/>
          <w:sz w:val="20"/>
          <w:szCs w:val="20"/>
          <w:lang w:eastAsia="pt-BR"/>
        </w:rPr>
        <w:t>DILMA ROUSSEFF</w:t>
      </w:r>
      <w:r w:rsidRPr="00664C7B">
        <w:rPr>
          <w:rFonts w:ascii="Times New Roman" w:eastAsia="Times New Roman" w:hAnsi="Times New Roman" w:cs="Times New Roman"/>
          <w:color w:val="000000"/>
          <w:sz w:val="20"/>
          <w:szCs w:val="20"/>
          <w:lang w:eastAsia="pt-BR"/>
        </w:rPr>
        <w:br/>
      </w:r>
      <w:r w:rsidRPr="00664C7B">
        <w:rPr>
          <w:rFonts w:ascii="Times New Roman" w:eastAsia="Times New Roman" w:hAnsi="Times New Roman" w:cs="Times New Roman"/>
          <w:i/>
          <w:iCs/>
          <w:color w:val="000000"/>
          <w:sz w:val="20"/>
          <w:szCs w:val="20"/>
          <w:lang w:eastAsia="pt-BR"/>
        </w:rPr>
        <w:t>José Eduardo Cardozo</w:t>
      </w:r>
      <w:r w:rsidRPr="00664C7B">
        <w:rPr>
          <w:rFonts w:ascii="Times New Roman" w:eastAsia="Times New Roman" w:hAnsi="Times New Roman" w:cs="Times New Roman"/>
          <w:i/>
          <w:iCs/>
          <w:color w:val="000000"/>
          <w:sz w:val="20"/>
          <w:szCs w:val="20"/>
          <w:lang w:eastAsia="pt-BR"/>
        </w:rPr>
        <w:br/>
        <w:t>Guido Mantega</w:t>
      </w:r>
      <w:r w:rsidRPr="00664C7B">
        <w:rPr>
          <w:rFonts w:ascii="Times New Roman" w:eastAsia="Times New Roman" w:hAnsi="Times New Roman" w:cs="Times New Roman"/>
          <w:i/>
          <w:iCs/>
          <w:color w:val="000000"/>
          <w:sz w:val="20"/>
          <w:szCs w:val="20"/>
          <w:lang w:eastAsia="pt-BR"/>
        </w:rPr>
        <w:br/>
        <w:t>Mauro Borges Lemos</w:t>
      </w:r>
      <w:r w:rsidRPr="00664C7B">
        <w:rPr>
          <w:rFonts w:ascii="Times New Roman" w:eastAsia="Times New Roman" w:hAnsi="Times New Roman" w:cs="Times New Roman"/>
          <w:i/>
          <w:iCs/>
          <w:color w:val="000000"/>
          <w:sz w:val="20"/>
          <w:szCs w:val="20"/>
          <w:lang w:eastAsia="pt-BR"/>
        </w:rPr>
        <w:br/>
        <w:t>Luís Inácio Lucena Adams</w:t>
      </w:r>
    </w:p>
    <w:p w:rsidR="00664C7B" w:rsidRPr="00664C7B" w:rsidRDefault="00664C7B" w:rsidP="00664C7B">
      <w:pPr>
        <w:spacing w:before="300" w:after="300" w:line="240" w:lineRule="auto"/>
        <w:rPr>
          <w:rFonts w:ascii="Times New Roman" w:eastAsia="Times New Roman" w:hAnsi="Times New Roman" w:cs="Times New Roman"/>
          <w:color w:val="000000"/>
          <w:sz w:val="20"/>
          <w:szCs w:val="20"/>
          <w:lang w:eastAsia="pt-BR"/>
        </w:rPr>
      </w:pPr>
      <w:r w:rsidRPr="00664C7B">
        <w:rPr>
          <w:rFonts w:ascii="Times New Roman" w:eastAsia="Times New Roman" w:hAnsi="Times New Roman" w:cs="Times New Roman"/>
          <w:color w:val="FF0000"/>
          <w:sz w:val="20"/>
          <w:szCs w:val="20"/>
          <w:lang w:eastAsia="pt-BR"/>
        </w:rPr>
        <w:t>Este texto não substitui o publicado no DOU de 20.6.2014</w:t>
      </w:r>
    </w:p>
    <w:p w:rsidR="00664C7B" w:rsidRPr="00664C7B" w:rsidRDefault="00664C7B" w:rsidP="00664C7B">
      <w:pPr>
        <w:spacing w:before="300" w:after="300" w:line="240" w:lineRule="auto"/>
        <w:ind w:firstLine="432"/>
        <w:jc w:val="center"/>
        <w:rPr>
          <w:rFonts w:ascii="Times New Roman" w:eastAsia="Times New Roman" w:hAnsi="Times New Roman" w:cs="Times New Roman"/>
          <w:color w:val="000000"/>
          <w:sz w:val="20"/>
          <w:szCs w:val="20"/>
          <w:lang w:eastAsia="pt-BR"/>
        </w:rPr>
      </w:pPr>
      <w:r w:rsidRPr="00664C7B">
        <w:rPr>
          <w:rFonts w:ascii="Times New Roman" w:eastAsia="Times New Roman" w:hAnsi="Times New Roman" w:cs="Times New Roman"/>
          <w:color w:val="FF0000"/>
          <w:sz w:val="20"/>
          <w:szCs w:val="20"/>
          <w:lang w:eastAsia="pt-BR"/>
        </w:rPr>
        <w:t>*</w:t>
      </w:r>
    </w:p>
    <w:p w:rsidR="002423C4" w:rsidRDefault="00664C7B">
      <w:bookmarkStart w:id="13" w:name="_GoBack"/>
      <w:bookmarkEnd w:id="13"/>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UxtTAxM7G0MDA2tzBR0lEKTi0uzszPAykwrAUAKnPS/SwAAAA="/>
  </w:docVars>
  <w:rsids>
    <w:rsidRoot w:val="00664C7B"/>
    <w:rsid w:val="00100206"/>
    <w:rsid w:val="002938DC"/>
    <w:rsid w:val="00664C7B"/>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664C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664C7B"/>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664C7B"/>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4C7B"/>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664C7B"/>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664C7B"/>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664C7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64C7B"/>
    <w:rPr>
      <w:b/>
      <w:bCs/>
    </w:rPr>
  </w:style>
  <w:style w:type="character" w:styleId="Hyperlink">
    <w:name w:val="Hyperlink"/>
    <w:basedOn w:val="Fontepargpadro"/>
    <w:uiPriority w:val="99"/>
    <w:semiHidden/>
    <w:unhideWhenUsed/>
    <w:rsid w:val="00664C7B"/>
    <w:rPr>
      <w:color w:val="0000FF"/>
      <w:u w:val="single"/>
    </w:rPr>
  </w:style>
  <w:style w:type="paragraph" w:customStyle="1" w:styleId="texto1">
    <w:name w:val="texto1"/>
    <w:basedOn w:val="Normal"/>
    <w:rsid w:val="00664C7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664C7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664C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664C7B"/>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664C7B"/>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4C7B"/>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664C7B"/>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664C7B"/>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664C7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64C7B"/>
    <w:rPr>
      <w:b/>
      <w:bCs/>
    </w:rPr>
  </w:style>
  <w:style w:type="character" w:styleId="Hyperlink">
    <w:name w:val="Hyperlink"/>
    <w:basedOn w:val="Fontepargpadro"/>
    <w:uiPriority w:val="99"/>
    <w:semiHidden/>
    <w:unhideWhenUsed/>
    <w:rsid w:val="00664C7B"/>
    <w:rPr>
      <w:color w:val="0000FF"/>
      <w:u w:val="single"/>
    </w:rPr>
  </w:style>
  <w:style w:type="paragraph" w:customStyle="1" w:styleId="texto1">
    <w:name w:val="texto1"/>
    <w:basedOn w:val="Normal"/>
    <w:rsid w:val="00664C7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664C7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75816">
      <w:bodyDiv w:val="1"/>
      <w:marLeft w:val="0"/>
      <w:marRight w:val="0"/>
      <w:marTop w:val="0"/>
      <w:marBottom w:val="0"/>
      <w:divBdr>
        <w:top w:val="none" w:sz="0" w:space="0" w:color="auto"/>
        <w:left w:val="none" w:sz="0" w:space="0" w:color="auto"/>
        <w:bottom w:val="none" w:sz="0" w:space="0" w:color="auto"/>
        <w:right w:val="none" w:sz="0" w:space="0" w:color="auto"/>
      </w:divBdr>
      <w:divsChild>
        <w:div w:id="1492211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1645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6223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39926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7-2010/2009/Lei/L12096.htm" TargetMode="External"/><Relationship Id="rId13" Type="http://schemas.openxmlformats.org/officeDocument/2006/relationships/hyperlink" Target="http://www.planalto.gov.br/CCIVIL_03/LEIS/L9469.htm" TargetMode="External"/><Relationship Id="rId3" Type="http://schemas.openxmlformats.org/officeDocument/2006/relationships/settings" Target="settings.xml"/><Relationship Id="rId7" Type="http://schemas.openxmlformats.org/officeDocument/2006/relationships/hyperlink" Target="http://www.planalto.gov.br/CCIVIL_03/_Ato2011-2014/2013/Mpv/mpv633.htm" TargetMode="External"/><Relationship Id="rId12" Type="http://schemas.openxmlformats.org/officeDocument/2006/relationships/hyperlink" Target="http://www.planalto.gov.br/CCIVIL_03/_Ato2011-2014/2011/Lei/L12409.ht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_Ato2011-2014/2014/Msg/VEP-169.htm" TargetMode="External"/><Relationship Id="rId11" Type="http://schemas.openxmlformats.org/officeDocument/2006/relationships/hyperlink" Target="http://www.planalto.gov.br/CCIVIL_03/_Ato2011-2014/2011/Lei/L12409.htm" TargetMode="External"/><Relationship Id="rId5" Type="http://schemas.openxmlformats.org/officeDocument/2006/relationships/hyperlink" Target="http://legislacao.planalto.gov.br/legisla/legislacao.nsf/Viw_Identificacao/lei%2013.000-2014?OpenDocument" TargetMode="External"/><Relationship Id="rId15" Type="http://schemas.openxmlformats.org/officeDocument/2006/relationships/hyperlink" Target="http://www.planalto.gov.br/CCIVIL_03/Constituicao/Constituicao.htm" TargetMode="External"/><Relationship Id="rId10" Type="http://schemas.openxmlformats.org/officeDocument/2006/relationships/hyperlink" Target="http://www.planalto.gov.br/CCIVIL_03/_Ato2007-2010/2009/Lei/L12096.htm" TargetMode="External"/><Relationship Id="rId4" Type="http://schemas.openxmlformats.org/officeDocument/2006/relationships/webSettings" Target="webSettings.xml"/><Relationship Id="rId9" Type="http://schemas.openxmlformats.org/officeDocument/2006/relationships/hyperlink" Target="http://www.planalto.gov.br/CCIVIL_03/_Ato2007-2010/2009/Lei/L12096.htm" TargetMode="External"/><Relationship Id="rId14" Type="http://schemas.openxmlformats.org/officeDocument/2006/relationships/hyperlink" Target="http://www.planalto.gov.br/CCIVIL_03/LEIS/L9028.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1169</Words>
  <Characters>6316</Characters>
  <Application>Microsoft Office Word</Application>
  <DocSecurity>0</DocSecurity>
  <Lines>52</Lines>
  <Paragraphs>14</Paragraphs>
  <ScaleCrop>false</ScaleCrop>
  <Company>Hewlett-Packard</Company>
  <LinksUpToDate>false</LinksUpToDate>
  <CharactersWithSpaces>7471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2023-08-02T14:00:00Z</dcterms:created>
  <dcterms:modified xsi:type="dcterms:W3CDTF">2023-08-02T14:10:00Z</dcterms:modified>
</cp:coreProperties>
</file>