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40"/>
        <w:gridCol w:w="4813"/>
      </w:tblGrid>
      <w:tr w:rsidR="00C22FC1" w:rsidRPr="00C22FC1" w14:paraId="7F9E3D1C" w14:textId="77777777" w:rsidTr="00C22FC1">
        <w:trPr>
          <w:trHeight w:val="1230"/>
          <w:tblCellSpacing w:w="0" w:type="dxa"/>
          <w:jc w:val="center"/>
        </w:trPr>
        <w:tc>
          <w:tcPr>
            <w:tcW w:w="700" w:type="pct"/>
            <w:vAlign w:val="center"/>
            <w:hideMark/>
          </w:tcPr>
          <w:p w14:paraId="516148FF" w14:textId="65437BCD"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noProof/>
                <w:kern w:val="0"/>
                <w:sz w:val="20"/>
                <w:szCs w:val="20"/>
                <w14:ligatures w14:val="none"/>
              </w:rPr>
              <mc:AlternateContent>
                <mc:Choice Requires="wps">
                  <w:drawing>
                    <wp:inline distT="0" distB="0" distL="0" distR="0" wp14:anchorId="35B08EC1" wp14:editId="51B9F046">
                      <wp:extent cx="723900" cy="781050"/>
                      <wp:effectExtent l="0" t="0" r="0" b="0"/>
                      <wp:docPr id="850658084"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390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0B90A54" id="Retângulo 1" o:spid="_x0000_s1026" style="width:57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" filled="f" stroked="f">
                      <o:lock v:ext="edit" aspectratio="t"/>
                      <w10:anchorlock/>
                    </v:rect>
                  </w:pict>
                </mc:Fallback>
              </mc:AlternateContent>
            </w:r>
          </w:p>
        </w:tc>
        <w:tc>
          <w:tcPr>
            <w:tcW w:w="4300" w:type="pct"/>
            <w:vAlign w:val="center"/>
            <w:hideMark/>
          </w:tcPr>
          <w:p w14:paraId="1C3A3209"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C22FC1">
              <w:rPr>
                <w:rFonts w:ascii="Arial" w:eastAsia="Times New Roman" w:hAnsi="Arial" w:cs="Arial"/>
                <w:b/>
                <w:bCs/>
                <w:color w:val="808000"/>
                <w:kern w:val="0"/>
                <w:sz w:val="36"/>
                <w:szCs w:val="36"/>
                <w14:ligatures w14:val="none"/>
              </w:rPr>
              <w:t>Presidência da República</w:t>
            </w:r>
            <w:r w:rsidRPr="00C22FC1">
              <w:rPr>
                <w:rFonts w:ascii="Arial" w:eastAsia="Times New Roman" w:hAnsi="Arial" w:cs="Arial"/>
                <w:b/>
                <w:bCs/>
                <w:color w:val="808000"/>
                <w:kern w:val="0"/>
                <w:sz w:val="24"/>
                <w:szCs w:val="24"/>
                <w14:ligatures w14:val="none"/>
              </w:rPr>
              <w:br/>
            </w:r>
            <w:r w:rsidRPr="00C22FC1">
              <w:rPr>
                <w:rFonts w:ascii="Arial" w:eastAsia="Times New Roman" w:hAnsi="Arial" w:cs="Arial"/>
                <w:b/>
                <w:bCs/>
                <w:color w:val="808000"/>
                <w:kern w:val="0"/>
                <w:sz w:val="27"/>
                <w:szCs w:val="27"/>
                <w14:ligatures w14:val="none"/>
              </w:rPr>
              <w:t>Casa Civil</w:t>
            </w:r>
            <w:r w:rsidRPr="00C22FC1">
              <w:rPr>
                <w:rFonts w:ascii="Arial" w:eastAsia="Times New Roman" w:hAnsi="Arial" w:cs="Arial"/>
                <w:b/>
                <w:bCs/>
                <w:color w:val="808000"/>
                <w:kern w:val="0"/>
                <w:sz w:val="27"/>
                <w:szCs w:val="27"/>
                <w14:ligatures w14:val="none"/>
              </w:rPr>
              <w:br/>
            </w:r>
            <w:r w:rsidRPr="00C22FC1">
              <w:rPr>
                <w:rFonts w:ascii="Arial" w:eastAsia="Times New Roman" w:hAnsi="Arial" w:cs="Arial"/>
                <w:b/>
                <w:bCs/>
                <w:color w:val="808000"/>
                <w:kern w:val="0"/>
                <w:sz w:val="24"/>
                <w:szCs w:val="24"/>
                <w14:ligatures w14:val="none"/>
              </w:rPr>
              <w:t>Subchefia para Assuntos Jurídicos</w:t>
            </w:r>
          </w:p>
        </w:tc>
      </w:tr>
    </w:tbl>
    <w:p w14:paraId="749B6410"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4" w:history="1">
        <w:r w:rsidRPr="00C22FC1">
          <w:rPr>
            <w:rFonts w:ascii="Arial" w:eastAsia="Times New Roman" w:hAnsi="Arial" w:cs="Arial"/>
            <w:b/>
            <w:bCs/>
            <w:color w:val="000080"/>
            <w:kern w:val="0"/>
            <w:sz w:val="24"/>
            <w:szCs w:val="24"/>
            <w:u w:val="single"/>
            <w14:ligatures w14:val="none"/>
          </w:rPr>
          <w:t>LEI Nº 12.249, DE 11 DE JUNHO DE 2010.</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C22FC1" w:rsidRPr="00C22FC1" w14:paraId="568B20D0" w14:textId="77777777" w:rsidTr="00C22FC1">
        <w:trPr>
          <w:trHeight w:val="480"/>
          <w:tblCellSpacing w:w="0" w:type="dxa"/>
        </w:trPr>
        <w:tc>
          <w:tcPr>
            <w:tcW w:w="2600" w:type="pct"/>
            <w:vAlign w:val="center"/>
            <w:hideMark/>
          </w:tcPr>
          <w:p w14:paraId="085AB4A0"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hyperlink r:id="rId5" w:history="1">
              <w:r w:rsidRPr="00C22FC1">
                <w:rPr>
                  <w:rFonts w:ascii="Arial" w:eastAsia="Times New Roman" w:hAnsi="Arial" w:cs="Arial"/>
                  <w:color w:val="0000FF"/>
                  <w:kern w:val="0"/>
                  <w:sz w:val="20"/>
                  <w:szCs w:val="20"/>
                  <w:u w:val="single"/>
                  <w14:ligatures w14:val="none"/>
                </w:rPr>
                <w:t>Mensagem de veto.</w:t>
              </w:r>
            </w:hyperlink>
          </w:p>
          <w:p w14:paraId="1AD00684" w14:textId="77777777" w:rsidR="00C22FC1" w:rsidRPr="00C22FC1" w:rsidRDefault="00C22FC1" w:rsidP="00C22FC1">
            <w:pPr>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6" w:anchor="472-09" w:history="1">
              <w:r w:rsidRPr="00C22FC1">
                <w:rPr>
                  <w:rFonts w:ascii="Times New Roman" w:eastAsia="Times New Roman" w:hAnsi="Times New Roman" w:cs="Times New Roman"/>
                  <w:color w:val="0000FF"/>
                  <w:kern w:val="0"/>
                  <w:sz w:val="20"/>
                  <w:szCs w:val="20"/>
                  <w:u w:val="single"/>
                  <w14:ligatures w14:val="none"/>
                </w:rPr>
                <w:t>Conversão da Medida Provisória nº 472, de 2009</w:t>
              </w:r>
            </w:hyperlink>
          </w:p>
          <w:p w14:paraId="3996A5C2" w14:textId="77777777" w:rsidR="00C22FC1" w:rsidRPr="00C22FC1" w:rsidRDefault="00C22FC1" w:rsidP="00C22FC1">
            <w:pPr>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7" w:history="1">
              <w:r w:rsidRPr="00C22FC1">
                <w:rPr>
                  <w:rFonts w:ascii="Arial" w:eastAsia="Times New Roman" w:hAnsi="Arial" w:cs="Arial"/>
                  <w:color w:val="0000FF"/>
                  <w:kern w:val="0"/>
                  <w:sz w:val="20"/>
                  <w:szCs w:val="20"/>
                  <w:u w:val="single"/>
                  <w14:ligatures w14:val="none"/>
                </w:rPr>
                <w:t>(Vide ADIN Nº 4.717)</w:t>
              </w:r>
            </w:hyperlink>
          </w:p>
          <w:p w14:paraId="6361D8F8" w14:textId="77777777" w:rsidR="00C22FC1" w:rsidRPr="00C22FC1" w:rsidRDefault="00C22FC1" w:rsidP="00C22FC1">
            <w:pPr>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8" w:anchor="art43" w:history="1">
              <w:r w:rsidRPr="00C22FC1">
                <w:rPr>
                  <w:rFonts w:ascii="Arial" w:eastAsia="Times New Roman" w:hAnsi="Arial" w:cs="Arial"/>
                  <w:color w:val="0000FF"/>
                  <w:kern w:val="0"/>
                  <w:sz w:val="20"/>
                  <w:szCs w:val="20"/>
                  <w:u w:val="single"/>
                  <w14:ligatures w14:val="none"/>
                </w:rPr>
                <w:t>(Vide Medida Provisória nº 1.152, de 2022)</w:t>
              </w:r>
            </w:hyperlink>
            <w:r w:rsidRPr="00C22FC1">
              <w:rPr>
                <w:rFonts w:ascii="Arial" w:eastAsia="Times New Roman" w:hAnsi="Arial" w:cs="Arial"/>
                <w:color w:val="000000"/>
                <w:kern w:val="0"/>
                <w:sz w:val="20"/>
                <w:szCs w:val="20"/>
                <w14:ligatures w14:val="none"/>
              </w:rPr>
              <w:t>    </w:t>
            </w:r>
            <w:hyperlink r:id="rId9" w:anchor="art48" w:history="1">
              <w:r w:rsidRPr="00C22FC1">
                <w:rPr>
                  <w:rFonts w:ascii="Arial" w:eastAsia="Times New Roman" w:hAnsi="Arial" w:cs="Arial"/>
                  <w:color w:val="0000FF"/>
                  <w:kern w:val="0"/>
                  <w:sz w:val="20"/>
                  <w:szCs w:val="20"/>
                  <w:u w:val="single"/>
                  <w14:ligatures w14:val="none"/>
                </w:rPr>
                <w:t>Vigência</w:t>
              </w:r>
            </w:hyperlink>
          </w:p>
        </w:tc>
        <w:tc>
          <w:tcPr>
            <w:tcW w:w="2400" w:type="pct"/>
            <w:vAlign w:val="center"/>
            <w:hideMark/>
          </w:tcPr>
          <w:p w14:paraId="3BCD8599" w14:textId="77777777" w:rsidR="00C22FC1" w:rsidRPr="00C22FC1" w:rsidRDefault="00C22FC1" w:rsidP="00C22FC1">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22FC1">
              <w:rPr>
                <w:rFonts w:ascii="Arial" w:eastAsia="Times New Roman" w:hAnsi="Arial" w:cs="Arial"/>
                <w:color w:val="800000"/>
                <w:kern w:val="0"/>
                <w:sz w:val="20"/>
                <w:szCs w:val="20"/>
                <w14:ligatures w14:val="none"/>
              </w:rPr>
              <w:t>Institui o Regime Especial de Incentivos para o Desenvolvimento de Infraestrutura da Indústria Petrolífera nas Regiões Norte, Nordeste e Centro-Oeste - REPENEC; cria o Programa Um Computador por Aluno - PROUCA e institui o Regime Especial de Aquisição de Computadores para Uso Educacional - RECOMPE; prorroga benefícios fiscais; constitui fonte de recursos adicional aos agentes financeiros do Fundo da Marinha Mercante - FMM para financiamentos de projetos aprovados pelo Conselho Diretor do Fundo da Marinha Mercante - CDFMM; institui o Regime Especial para a Indústria Aeronáutica Brasileira</w:t>
            </w:r>
            <w:r w:rsidRPr="00C22FC1">
              <w:rPr>
                <w:rFonts w:ascii="Arial" w:eastAsia="Times New Roman" w:hAnsi="Arial" w:cs="Arial"/>
                <w:b/>
                <w:bCs/>
                <w:color w:val="800000"/>
                <w:kern w:val="0"/>
                <w:sz w:val="20"/>
                <w:szCs w:val="20"/>
                <w14:ligatures w14:val="none"/>
              </w:rPr>
              <w:t> </w:t>
            </w:r>
            <w:r w:rsidRPr="00C22FC1">
              <w:rPr>
                <w:rFonts w:ascii="Arial" w:eastAsia="Times New Roman" w:hAnsi="Arial" w:cs="Arial"/>
                <w:color w:val="800000"/>
                <w:kern w:val="0"/>
                <w:sz w:val="20"/>
                <w:szCs w:val="20"/>
                <w14:ligatures w14:val="none"/>
              </w:rPr>
              <w:t>-</w:t>
            </w:r>
            <w:r w:rsidRPr="00C22FC1">
              <w:rPr>
                <w:rFonts w:ascii="Arial" w:eastAsia="Times New Roman" w:hAnsi="Arial" w:cs="Arial"/>
                <w:b/>
                <w:bCs/>
                <w:color w:val="800000"/>
                <w:kern w:val="0"/>
                <w:sz w:val="20"/>
                <w:szCs w:val="20"/>
                <w14:ligatures w14:val="none"/>
              </w:rPr>
              <w:t> </w:t>
            </w:r>
            <w:r w:rsidRPr="00C22FC1">
              <w:rPr>
                <w:rFonts w:ascii="Arial" w:eastAsia="Times New Roman" w:hAnsi="Arial" w:cs="Arial"/>
                <w:color w:val="800000"/>
                <w:kern w:val="0"/>
                <w:sz w:val="20"/>
                <w:szCs w:val="20"/>
                <w14:ligatures w14:val="none"/>
              </w:rPr>
              <w:t>RETAERO; dispõe sobre a Letra Financeira e o Certificado de Operações Estruturadas; ajusta o Programa Minha Casa Minha Vida - PMCMV; altera as Leis n</w:t>
            </w:r>
            <w:r w:rsidRPr="00C22FC1">
              <w:rPr>
                <w:rFonts w:ascii="Arial" w:eastAsia="Times New Roman" w:hAnsi="Arial" w:cs="Arial"/>
                <w:color w:val="800000"/>
                <w:kern w:val="0"/>
                <w:sz w:val="20"/>
                <w:szCs w:val="20"/>
                <w:u w:val="single"/>
                <w:vertAlign w:val="superscript"/>
                <w14:ligatures w14:val="none"/>
              </w:rPr>
              <w:t>os</w:t>
            </w:r>
            <w:r w:rsidRPr="00C22FC1">
              <w:rPr>
                <w:rFonts w:ascii="Arial" w:eastAsia="Times New Roman" w:hAnsi="Arial" w:cs="Arial"/>
                <w:color w:val="800000"/>
                <w:kern w:val="0"/>
                <w:sz w:val="20"/>
                <w:szCs w:val="20"/>
                <w14:ligatures w14:val="none"/>
              </w:rPr>
              <w:t> 8.248, de 23 de outubro de 1991, 8.387, de 30 de dezembro de 1991, 11.196, de 21 de novembro de 2005, 10.865, de 30 de abril de 2004, 11.484, de 31 de maio de 2007, 11.488, de 15 de junho de 2007, 9.718, de 27 de novembro de 1998, 9.430, de 27 de dezembro de 1996, 11.948, de 16 de junho de 2009, 11.977, de 7 de julho de 2009, 11.326, de 24 de julho de 2006, 11.941, de 27 de maio de 2009, 5.615, de 13 de outubro de 1970, 9.126, de 10 de novembro de 1995, 11.110, de 25 de abril de 2005, 7.940, de 20 de dezembro de 1989, 9.469, de 10 de julho de 1997, 12.029, de 15 de setembro de 2009, 12.189, de 12 de janeiro de 2010, 11.442, de 5 de janeiro de 2007, 11.775, de 17 de setembro de 2008, os Decretos-Leis n</w:t>
            </w:r>
            <w:r w:rsidRPr="00C22FC1">
              <w:rPr>
                <w:rFonts w:ascii="Arial" w:eastAsia="Times New Roman" w:hAnsi="Arial" w:cs="Arial"/>
                <w:color w:val="800000"/>
                <w:kern w:val="0"/>
                <w:sz w:val="20"/>
                <w:szCs w:val="20"/>
                <w:u w:val="single"/>
                <w:vertAlign w:val="superscript"/>
                <w14:ligatures w14:val="none"/>
              </w:rPr>
              <w:t>os</w:t>
            </w:r>
            <w:r w:rsidRPr="00C22FC1">
              <w:rPr>
                <w:rFonts w:ascii="Arial" w:eastAsia="Times New Roman" w:hAnsi="Arial" w:cs="Arial"/>
                <w:color w:val="800000"/>
                <w:kern w:val="0"/>
                <w:sz w:val="20"/>
                <w:szCs w:val="20"/>
                <w14:ligatures w14:val="none"/>
              </w:rPr>
              <w:t> 9.295, de 27 de maio de 1946, 1.040, de 21 de outubro de 1969, e a Medida Provisória n</w:t>
            </w:r>
            <w:r w:rsidRPr="00C22FC1">
              <w:rPr>
                <w:rFonts w:ascii="Arial" w:eastAsia="Times New Roman" w:hAnsi="Arial" w:cs="Arial"/>
                <w:color w:val="800000"/>
                <w:kern w:val="0"/>
                <w:sz w:val="20"/>
                <w:szCs w:val="20"/>
                <w:u w:val="single"/>
                <w:vertAlign w:val="superscript"/>
                <w14:ligatures w14:val="none"/>
              </w:rPr>
              <w:t>o</w:t>
            </w:r>
            <w:r w:rsidRPr="00C22FC1">
              <w:rPr>
                <w:rFonts w:ascii="Arial" w:eastAsia="Times New Roman" w:hAnsi="Arial" w:cs="Arial"/>
                <w:color w:val="800000"/>
                <w:kern w:val="0"/>
                <w:sz w:val="20"/>
                <w:szCs w:val="20"/>
                <w14:ligatures w14:val="none"/>
              </w:rPr>
              <w:t> 2.158-35, de 24 de agosto de 2001; revoga as Leis n</w:t>
            </w:r>
            <w:r w:rsidRPr="00C22FC1">
              <w:rPr>
                <w:rFonts w:ascii="Arial" w:eastAsia="Times New Roman" w:hAnsi="Arial" w:cs="Arial"/>
                <w:color w:val="800000"/>
                <w:kern w:val="0"/>
                <w:sz w:val="20"/>
                <w:szCs w:val="20"/>
                <w:u w:val="single"/>
                <w:vertAlign w:val="superscript"/>
                <w14:ligatures w14:val="none"/>
              </w:rPr>
              <w:t>os</w:t>
            </w:r>
            <w:r w:rsidRPr="00C22FC1">
              <w:rPr>
                <w:rFonts w:ascii="Arial" w:eastAsia="Times New Roman" w:hAnsi="Arial" w:cs="Arial"/>
                <w:color w:val="800000"/>
                <w:kern w:val="0"/>
                <w:sz w:val="20"/>
                <w:szCs w:val="20"/>
                <w14:ligatures w14:val="none"/>
              </w:rPr>
              <w:t> 7.944, de 20 de dezembro de 1989, 10.829, de 23 de dezembro de 2003, o Decreto-Lei n</w:t>
            </w:r>
            <w:r w:rsidRPr="00C22FC1">
              <w:rPr>
                <w:rFonts w:ascii="Arial" w:eastAsia="Times New Roman" w:hAnsi="Arial" w:cs="Arial"/>
                <w:color w:val="800000"/>
                <w:kern w:val="0"/>
                <w:sz w:val="20"/>
                <w:szCs w:val="20"/>
                <w:u w:val="single"/>
                <w:vertAlign w:val="superscript"/>
                <w14:ligatures w14:val="none"/>
              </w:rPr>
              <w:t>o</w:t>
            </w:r>
            <w:r w:rsidRPr="00C22FC1">
              <w:rPr>
                <w:rFonts w:ascii="Arial" w:eastAsia="Times New Roman" w:hAnsi="Arial" w:cs="Arial"/>
                <w:color w:val="800000"/>
                <w:kern w:val="0"/>
                <w:sz w:val="20"/>
                <w:szCs w:val="20"/>
                <w14:ligatures w14:val="none"/>
              </w:rPr>
              <w:t> 423, de 21 de janeiro de 1969; revoga dispositivos das Leis n</w:t>
            </w:r>
            <w:r w:rsidRPr="00C22FC1">
              <w:rPr>
                <w:rFonts w:ascii="Arial" w:eastAsia="Times New Roman" w:hAnsi="Arial" w:cs="Arial"/>
                <w:color w:val="800000"/>
                <w:kern w:val="0"/>
                <w:sz w:val="20"/>
                <w:szCs w:val="20"/>
                <w:u w:val="single"/>
                <w:vertAlign w:val="superscript"/>
                <w14:ligatures w14:val="none"/>
              </w:rPr>
              <w:t>os</w:t>
            </w:r>
            <w:r w:rsidRPr="00C22FC1">
              <w:rPr>
                <w:rFonts w:ascii="Arial" w:eastAsia="Times New Roman" w:hAnsi="Arial" w:cs="Arial"/>
                <w:color w:val="800000"/>
                <w:kern w:val="0"/>
                <w:sz w:val="20"/>
                <w:szCs w:val="20"/>
                <w14:ligatures w14:val="none"/>
              </w:rPr>
              <w:t> 8.003, de 14 de março de 1990, 8.981, de 20 de janeiro de 1995, 5.025, de 10 de junho de 1966, 6.704, de 26 de outubro de 1979, 9.503, de 23 de setembro de 1997; e dá outras providências.</w:t>
            </w:r>
          </w:p>
        </w:tc>
      </w:tr>
    </w:tbl>
    <w:p w14:paraId="3276AA6C" w14:textId="77777777" w:rsidR="00C22FC1" w:rsidRPr="00C22FC1" w:rsidRDefault="00C22FC1" w:rsidP="00C22FC1">
      <w:pPr>
        <w:spacing w:before="100" w:beforeAutospacing="1" w:after="100" w:afterAutospacing="1" w:line="240" w:lineRule="auto"/>
        <w:ind w:firstLine="525"/>
        <w:jc w:val="both"/>
        <w:rPr>
          <w:rFonts w:ascii="Arial" w:eastAsia="Times New Roman" w:hAnsi="Arial" w:cs="Arial"/>
          <w:color w:val="000000"/>
          <w:kern w:val="0"/>
          <w:sz w:val="20"/>
          <w:szCs w:val="20"/>
          <w14:ligatures w14:val="none"/>
        </w:rPr>
      </w:pPr>
      <w:r w:rsidRPr="00C22FC1">
        <w:rPr>
          <w:rFonts w:ascii="Arial" w:eastAsia="Times New Roman" w:hAnsi="Arial" w:cs="Arial"/>
          <w:b/>
          <w:bCs/>
          <w:color w:val="000000"/>
          <w:kern w:val="0"/>
          <w:sz w:val="20"/>
          <w:szCs w:val="20"/>
          <w14:ligatures w14:val="none"/>
        </w:rPr>
        <w:t>O PRESIDENTE DA REPÚBLICA  </w:t>
      </w:r>
      <w:r w:rsidRPr="00C22FC1">
        <w:rPr>
          <w:rFonts w:ascii="Arial" w:eastAsia="Times New Roman" w:hAnsi="Arial" w:cs="Arial"/>
          <w:color w:val="000000"/>
          <w:kern w:val="0"/>
          <w:sz w:val="20"/>
          <w:szCs w:val="20"/>
          <w14:ligatures w14:val="none"/>
        </w:rPr>
        <w:t>Faço saber que o Congresso Nacional decreta e eu sanciono a seguinte  Lei:</w:t>
      </w:r>
    </w:p>
    <w:p w14:paraId="0D74C96E"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CAPÍTULO I</w:t>
      </w:r>
    </w:p>
    <w:p w14:paraId="54602C6B"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DO REGIME ESPECIAL DE INCENTIVOS PARA O DESENVOLVIMENTO DE INFRAESTRUTURA DA INDÚSTRIA PETROLÍFERA</w:t>
      </w:r>
      <w:r w:rsidRPr="00C22FC1">
        <w:rPr>
          <w:rFonts w:ascii="Arial" w:eastAsia="Times New Roman" w:hAnsi="Arial" w:cs="Arial"/>
          <w:color w:val="000000"/>
          <w:kern w:val="0"/>
          <w:sz w:val="20"/>
          <w:szCs w:val="20"/>
          <w14:ligatures w14:val="none"/>
        </w:rPr>
        <w:br/>
        <w:t>NAS REGIÕES NORTE, NORDESTE E CENTRO-OESTE - REPENEC</w:t>
      </w:r>
    </w:p>
    <w:p w14:paraId="0894EC3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0" w:name="art1"/>
      <w:bookmarkEnd w:id="0"/>
      <w:r w:rsidRPr="00C22FC1">
        <w:rPr>
          <w:rFonts w:ascii="Arial" w:eastAsia="Times New Roman" w:hAnsi="Arial" w:cs="Arial"/>
          <w:color w:val="000000"/>
          <w:kern w:val="0"/>
          <w:sz w:val="20"/>
          <w:szCs w:val="20"/>
          <w14:ligatures w14:val="none"/>
        </w:rPr>
        <w:t>Art.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Fica instituído o Regime Especial de Incentivos para o Desenvolvimento de Infraestrutura da Indústria Petrolífera nas Regiões Norte, Nordeste e Centro-Oeste - REPENEC</w:t>
      </w:r>
      <w:r w:rsidRPr="00C22FC1">
        <w:rPr>
          <w:rFonts w:ascii="Arial" w:eastAsia="Times New Roman" w:hAnsi="Arial" w:cs="Arial"/>
          <w:color w:val="000000"/>
          <w:spacing w:val="-20"/>
          <w:kern w:val="0"/>
          <w:sz w:val="20"/>
          <w:szCs w:val="20"/>
          <w14:ligatures w14:val="none"/>
        </w:rPr>
        <w:t>, </w:t>
      </w:r>
      <w:r w:rsidRPr="00C22FC1">
        <w:rPr>
          <w:rFonts w:ascii="Arial" w:eastAsia="Times New Roman" w:hAnsi="Arial" w:cs="Arial"/>
          <w:color w:val="000000"/>
          <w:kern w:val="0"/>
          <w:sz w:val="20"/>
          <w:szCs w:val="20"/>
          <w14:ligatures w14:val="none"/>
        </w:rPr>
        <w:t>nos termos e condições estabelecidos nos arts.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desta Lei.        </w:t>
      </w:r>
      <w:hyperlink r:id="rId10" w:history="1">
        <w:r w:rsidRPr="00C22FC1">
          <w:rPr>
            <w:rFonts w:ascii="Arial" w:eastAsia="Times New Roman" w:hAnsi="Arial" w:cs="Arial"/>
            <w:color w:val="0000FF"/>
            <w:kern w:val="0"/>
            <w:sz w:val="20"/>
            <w:szCs w:val="20"/>
            <w:u w:val="single"/>
            <w14:ligatures w14:val="none"/>
          </w:rPr>
          <w:t>(Vide Decreto nº 7.320, de 2010)</w:t>
        </w:r>
      </w:hyperlink>
    </w:p>
    <w:p w14:paraId="5436268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O Poder Executivo regulamentará a forma de habilitação e co-habilitação ao regime de que trata o caput.</w:t>
      </w:r>
    </w:p>
    <w:p w14:paraId="3C703C1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 w:name="art2"/>
      <w:bookmarkEnd w:id="1"/>
      <w:r w:rsidRPr="00C22FC1">
        <w:rPr>
          <w:rFonts w:ascii="Arial" w:eastAsia="Times New Roman" w:hAnsi="Arial" w:cs="Arial"/>
          <w:color w:val="000000"/>
          <w:kern w:val="0"/>
          <w:sz w:val="20"/>
          <w:szCs w:val="20"/>
          <w14:ligatures w14:val="none"/>
        </w:rPr>
        <w:t>Art.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É beneficiária do Repenec a pessoa jurídica que tenha projeto aprovado para implantação de obras de infraestrutura nas Regiões Norte, Nordeste e Centro-Oeste, nos setores petroquímico, de refino de petróleo e de produção de amônia e uréia a partir do gás natural, para incorporação ao seu ativo imobilizado.         </w:t>
      </w:r>
      <w:hyperlink r:id="rId11" w:history="1">
        <w:r w:rsidRPr="00C22FC1">
          <w:rPr>
            <w:rFonts w:ascii="Arial" w:eastAsia="Times New Roman" w:hAnsi="Arial" w:cs="Arial"/>
            <w:color w:val="0000FF"/>
            <w:kern w:val="0"/>
            <w:sz w:val="20"/>
            <w:szCs w:val="20"/>
            <w:u w:val="single"/>
            <w14:ligatures w14:val="none"/>
          </w:rPr>
          <w:t>(Vide Decreto nº 7.320, de 2010)</w:t>
        </w:r>
      </w:hyperlink>
    </w:p>
    <w:p w14:paraId="38BE29A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Compete ao Ministério de Minas e Energia a aprovação de projeto e a definição, em portaria, dos projetos que se enquadram nas disposições do caput.</w:t>
      </w:r>
    </w:p>
    <w:p w14:paraId="7250C9B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As pessoas jurídicas optantes pelo Regime Especial Unificado de Arrecadação de Tributos e Contribuições devidos pelas Microempresas e Empresas de Pequeno Porte - Simples Nacional, de que trata a </w:t>
      </w:r>
      <w:hyperlink r:id="rId12" w:history="1">
        <w:r w:rsidRPr="00C22FC1">
          <w:rPr>
            <w:rFonts w:ascii="Arial" w:eastAsia="Times New Roman" w:hAnsi="Arial" w:cs="Arial"/>
            <w:color w:val="0000FF"/>
            <w:kern w:val="0"/>
            <w:sz w:val="20"/>
            <w:szCs w:val="20"/>
            <w:u w:val="single"/>
            <w14:ligatures w14:val="none"/>
          </w:rPr>
          <w:t>Lei Complementar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123, de 14 de dezembro de 2006</w:t>
        </w:r>
      </w:hyperlink>
      <w:r w:rsidRPr="00C22FC1">
        <w:rPr>
          <w:rFonts w:ascii="Arial" w:eastAsia="Times New Roman" w:hAnsi="Arial" w:cs="Arial"/>
          <w:color w:val="000000"/>
          <w:kern w:val="0"/>
          <w:sz w:val="20"/>
          <w:szCs w:val="20"/>
          <w14:ligatures w14:val="none"/>
        </w:rPr>
        <w:t>, e as pessoas jurídicas de que tratam o</w:t>
      </w:r>
      <w:hyperlink r:id="rId13" w:anchor="art8ii" w:history="1">
        <w:r w:rsidRPr="00C22FC1">
          <w:rPr>
            <w:rFonts w:ascii="Arial" w:eastAsia="Times New Roman" w:hAnsi="Arial" w:cs="Arial"/>
            <w:color w:val="0000FF"/>
            <w:kern w:val="0"/>
            <w:sz w:val="20"/>
            <w:szCs w:val="20"/>
            <w:u w:val="single"/>
            <w14:ligatures w14:val="none"/>
          </w:rPr>
          <w:t> inciso II do art. 8</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10.637, de 30 de dezembro de 2002,</w:t>
        </w:r>
      </w:hyperlink>
      <w:r w:rsidRPr="00C22FC1">
        <w:rPr>
          <w:rFonts w:ascii="Arial" w:eastAsia="Times New Roman" w:hAnsi="Arial" w:cs="Arial"/>
          <w:color w:val="000000"/>
          <w:kern w:val="0"/>
          <w:sz w:val="20"/>
          <w:szCs w:val="20"/>
          <w14:ligatures w14:val="none"/>
        </w:rPr>
        <w:t> e o </w:t>
      </w:r>
      <w:hyperlink r:id="rId14" w:anchor="art10ii" w:history="1">
        <w:r w:rsidRPr="00C22FC1">
          <w:rPr>
            <w:rFonts w:ascii="Arial" w:eastAsia="Times New Roman" w:hAnsi="Arial" w:cs="Arial"/>
            <w:color w:val="0000FF"/>
            <w:kern w:val="0"/>
            <w:sz w:val="20"/>
            <w:szCs w:val="20"/>
            <w:u w:val="single"/>
            <w14:ligatures w14:val="none"/>
          </w:rPr>
          <w:t>inciso II do art. 10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10.833, de 29 de dezembro de 2003,</w:t>
        </w:r>
      </w:hyperlink>
      <w:r w:rsidRPr="00C22FC1">
        <w:rPr>
          <w:rFonts w:ascii="Arial" w:eastAsia="Times New Roman" w:hAnsi="Arial" w:cs="Arial"/>
          <w:color w:val="000000"/>
          <w:kern w:val="0"/>
          <w:sz w:val="20"/>
          <w:szCs w:val="20"/>
          <w14:ligatures w14:val="none"/>
        </w:rPr>
        <w:t> não podem aderir ao Repenec.</w:t>
      </w:r>
    </w:p>
    <w:p w14:paraId="2056D6A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fruição dos benefícios do Repenec fica condicionada à regularidade fiscal da pessoa jurídica em relação aos impostos e as contribuições administradas pela Secretaria da Receita Federal do Brasil do Ministério da Fazenda.</w:t>
      </w:r>
    </w:p>
    <w:p w14:paraId="3E75C3F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Aplica-se o disposto neste artigo aos projetos protocolados até 31 de dezembro de 2010 e aprovados até 30 de junho de 2011.</w:t>
      </w:r>
    </w:p>
    <w:p w14:paraId="46EBF23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(VETADO).</w:t>
      </w:r>
    </w:p>
    <w:p w14:paraId="64B8CC4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 w:name="art3"/>
      <w:bookmarkEnd w:id="2"/>
      <w:r w:rsidRPr="00C22FC1">
        <w:rPr>
          <w:rFonts w:ascii="Arial" w:eastAsia="Times New Roman" w:hAnsi="Arial" w:cs="Arial"/>
          <w:color w:val="000000"/>
          <w:kern w:val="0"/>
          <w:sz w:val="20"/>
          <w:szCs w:val="20"/>
          <w14:ligatures w14:val="none"/>
        </w:rPr>
        <w:t>Art.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No caso de venda no mercado interno ou de importação de máquinas, aparelhos, instrumentos e equipamentos, novos, e de materiais de construção para utilização ou incorporação nas obras referidas no caput do art.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ficam suspensos:        </w:t>
      </w:r>
      <w:hyperlink r:id="rId15" w:history="1">
        <w:r w:rsidRPr="00C22FC1">
          <w:rPr>
            <w:rFonts w:ascii="Arial" w:eastAsia="Times New Roman" w:hAnsi="Arial" w:cs="Arial"/>
            <w:color w:val="0000FF"/>
            <w:kern w:val="0"/>
            <w:sz w:val="20"/>
            <w:szCs w:val="20"/>
            <w:u w:val="single"/>
            <w14:ligatures w14:val="none"/>
          </w:rPr>
          <w:t>(Vide Decreto nº 7.320, de 2010)</w:t>
        </w:r>
      </w:hyperlink>
    </w:p>
    <w:p w14:paraId="2081898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a exigência da Contribuição para o PIS/Pasep e da Contribuição para o Financiamento da Seguridade Social - COFINS incidentes sobre a receita da pessoa jurídica vendedora, quando a aquisição for efetuada por pessoa jurídica beneficiária do Repenec;</w:t>
      </w:r>
    </w:p>
    <w:p w14:paraId="2485A95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a exigência da Contribuição para o PIS/Pasep-Importação e da Cofins-Importação, quando a importação for efetuada por pessoa jurídica beneficiária do Repenec;</w:t>
      </w:r>
    </w:p>
    <w:p w14:paraId="36BDD89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o Imposto sobre Produtos Industrializados - IPI incidente na saída do estabelecimento industrial ou equiparado, quando a aquisição no mercado interno for efetuada por estabelecimento industrial de pessoa jurídica beneficiária do Repenec;</w:t>
      </w:r>
    </w:p>
    <w:p w14:paraId="2C2A702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IV - o IPI incidente na importação, quando a importação for efetuada por estabelecimento industrial de pessoa jurídica beneficiária do Repenec;</w:t>
      </w:r>
    </w:p>
    <w:p w14:paraId="731E099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V - o Imposto de Importação, quando os bens ou materiais de construção forem importados por pessoa jurídica beneficiária do Repenec.</w:t>
      </w:r>
    </w:p>
    <w:p w14:paraId="6263F71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Nas notas fiscais relativas:</w:t>
      </w:r>
    </w:p>
    <w:p w14:paraId="300B47E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às vendas de que trata o inciso I do caput, deverá constar a expressão “Venda efetuada com suspensão da exigibilidade da Contribuição para o PIS/Pasep e da COFINS”, com a especificação do dispositivo legal correspondente;</w:t>
      </w:r>
    </w:p>
    <w:p w14:paraId="3BD36B1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às saídas de que trata o inciso III do caput, deverá constar a expressão “Saída com suspensão do IPI”, com a especificação do dispositivo legal correspondente, vedado o registro do imposto nas referidas notas.</w:t>
      </w:r>
    </w:p>
    <w:p w14:paraId="38C07EA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As suspensões de que trata este artigo convertem-se em alíquota zero após a utilização ou incorporação do bem ou material de construção na obra de infraestrutura.</w:t>
      </w:r>
    </w:p>
    <w:p w14:paraId="4BC81EC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pessoa jurídica que não utilizar ou incorporar o bem ou material de construção na obra de infraestrutura fica obrigada a recolher as contribuições e o imposto não pagos em decorrência da suspensão de que trata este artigo, acrescidos de juros e multa de mora, na forma da lei, contados a partir da data da aquisição ou do registro da Declaração de Importação - DI, na condição:</w:t>
      </w:r>
    </w:p>
    <w:p w14:paraId="57512B5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de contribuinte, em relação à Contribuição para o PIS/Pasep-Importação, à Cofins-Importação, ao IPI vinculado à importação e ao Imposto de Importação;</w:t>
      </w:r>
    </w:p>
    <w:p w14:paraId="5FF8257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de responsável, em relação à Contribuição para o PIS/Pasep, à Cofins e ao IPI.</w:t>
      </w:r>
    </w:p>
    <w:p w14:paraId="4DC1E19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efeitos deste artigo, equipara-se ao importador a pessoa jurídica adquirente de bens estrangeiros, no caso de importação realizada por sua conta e ordem, por intermédio de pessoa jurídica importadora.</w:t>
      </w:r>
    </w:p>
    <w:p w14:paraId="21F7D01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(VETADO).</w:t>
      </w:r>
    </w:p>
    <w:p w14:paraId="3AF60C3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No caso do imposto de importação, o disposto neste artigo aplica-se somente a bens e materiais de construção sem similar nacional.</w:t>
      </w:r>
    </w:p>
    <w:p w14:paraId="0C3EA2D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 w:name="art4"/>
      <w:bookmarkEnd w:id="3"/>
      <w:r w:rsidRPr="00C22FC1">
        <w:rPr>
          <w:rFonts w:ascii="Arial" w:eastAsia="Times New Roman" w:hAnsi="Arial" w:cs="Arial"/>
          <w:color w:val="000000"/>
          <w:kern w:val="0"/>
          <w:sz w:val="20"/>
          <w:szCs w:val="20"/>
          <w14:ligatures w14:val="none"/>
        </w:rPr>
        <w:t>Art.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No caso de venda ou importação de serviços destinados às obras referidas no caput do art.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ficam suspensas:        </w:t>
      </w:r>
      <w:hyperlink r:id="rId16" w:history="1">
        <w:r w:rsidRPr="00C22FC1">
          <w:rPr>
            <w:rFonts w:ascii="Arial" w:eastAsia="Times New Roman" w:hAnsi="Arial" w:cs="Arial"/>
            <w:color w:val="0000FF"/>
            <w:kern w:val="0"/>
            <w:sz w:val="20"/>
            <w:szCs w:val="20"/>
            <w:u w:val="single"/>
            <w14:ligatures w14:val="none"/>
          </w:rPr>
          <w:t>(Vide Decreto nº 7.320, de 2010)</w:t>
        </w:r>
      </w:hyperlink>
    </w:p>
    <w:p w14:paraId="59FA19A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a exigência da Contribuição para o PIS/Pasep e da Cofins incidentes sobre a prestação de serviços efetuada por pessoa jurídica estabelecida no País quando prestados a pessoa jurídica beneficiária do Repenec;</w:t>
      </w:r>
    </w:p>
    <w:p w14:paraId="6AB6E5B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a exigência da Contribuição para o PIS/Pasep-Importação e da Cofins-Importação incidentes sobre serviços quando importados diretamente por pessoa jurídica beneficiária do Repenec.</w:t>
      </w:r>
    </w:p>
    <w:p w14:paraId="0596C93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Nas vendas ou importação de serviços de que trata o caput</w:t>
      </w:r>
      <w:r w:rsidRPr="00C22FC1">
        <w:rPr>
          <w:rFonts w:ascii="Arial" w:eastAsia="Times New Roman" w:hAnsi="Arial" w:cs="Arial"/>
          <w:i/>
          <w:iCs/>
          <w:color w:val="000000"/>
          <w:kern w:val="0"/>
          <w:sz w:val="20"/>
          <w:szCs w:val="20"/>
          <w14:ligatures w14:val="none"/>
        </w:rPr>
        <w:t>,</w:t>
      </w:r>
      <w:r w:rsidRPr="00C22FC1">
        <w:rPr>
          <w:rFonts w:ascii="Arial" w:eastAsia="Times New Roman" w:hAnsi="Arial" w:cs="Arial"/>
          <w:color w:val="000000"/>
          <w:kern w:val="0"/>
          <w:sz w:val="20"/>
          <w:szCs w:val="20"/>
          <w14:ligatures w14:val="none"/>
        </w:rPr>
        <w:t> aplica-se, no que couber, o disposto nos §§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do art.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desta Lei.</w:t>
      </w:r>
    </w:p>
    <w:p w14:paraId="04B1030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disposto no inciso I do caput aplica-se também na hipótese de receita de aluguel de máquinas, aparelhos, instrumentos e equipamentos para utilização em obras de infraestrutura quando contratados por pessoa jurídica beneficiária do Repenec.</w:t>
      </w:r>
    </w:p>
    <w:p w14:paraId="15CD7C5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 w:name="art5"/>
      <w:bookmarkEnd w:id="4"/>
      <w:r w:rsidRPr="00C22FC1">
        <w:rPr>
          <w:rFonts w:ascii="Arial" w:eastAsia="Times New Roman" w:hAnsi="Arial" w:cs="Arial"/>
          <w:color w:val="000000"/>
          <w:kern w:val="0"/>
          <w:sz w:val="20"/>
          <w:szCs w:val="20"/>
          <w14:ligatures w14:val="none"/>
        </w:rPr>
        <w:t>Art.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Os benefícios de que tratam os arts.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xml:space="preserve"> desta Lei podem ser usufruídos nas aquisições e importações realizadas no período de 5 (cinco) anos, contado da data de </w:t>
      </w:r>
      <w:r w:rsidRPr="00C22FC1">
        <w:rPr>
          <w:rFonts w:ascii="Arial" w:eastAsia="Times New Roman" w:hAnsi="Arial" w:cs="Arial"/>
          <w:color w:val="000000"/>
          <w:kern w:val="0"/>
          <w:sz w:val="20"/>
          <w:szCs w:val="20"/>
          <w14:ligatures w14:val="none"/>
        </w:rPr>
        <w:lastRenderedPageBreak/>
        <w:t>habilitação ou co-habilitação da pessoa jurídica titular do projeto de infraestrutura.        </w:t>
      </w:r>
      <w:hyperlink r:id="rId17" w:history="1">
        <w:r w:rsidRPr="00C22FC1">
          <w:rPr>
            <w:rFonts w:ascii="Arial" w:eastAsia="Times New Roman" w:hAnsi="Arial" w:cs="Arial"/>
            <w:color w:val="0000FF"/>
            <w:kern w:val="0"/>
            <w:sz w:val="20"/>
            <w:szCs w:val="20"/>
            <w:u w:val="single"/>
            <w14:ligatures w14:val="none"/>
          </w:rPr>
          <w:t>(Vide Decreto nº 7.320, de 2010)</w:t>
        </w:r>
      </w:hyperlink>
    </w:p>
    <w:p w14:paraId="072888F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Na hipótese de transferência de titularidade de projeto de infraestratura aprovado no Repenec durante o período de fruição do benefício, a habilitação do novo titular do projeto fica condicionada a:</w:t>
      </w:r>
    </w:p>
    <w:p w14:paraId="391B911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manutenção das características originais do projeto, conforme manifestação do Ministério de Minas e Energia;</w:t>
      </w:r>
    </w:p>
    <w:p w14:paraId="719A415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observância do limite de prazo estipulado no caput</w:t>
      </w:r>
      <w:r w:rsidRPr="00C22FC1">
        <w:rPr>
          <w:rFonts w:ascii="Arial" w:eastAsia="Times New Roman" w:hAnsi="Arial" w:cs="Arial"/>
          <w:i/>
          <w:iCs/>
          <w:color w:val="000000"/>
          <w:kern w:val="0"/>
          <w:sz w:val="20"/>
          <w:szCs w:val="20"/>
          <w14:ligatures w14:val="none"/>
        </w:rPr>
        <w:t> </w:t>
      </w:r>
      <w:r w:rsidRPr="00C22FC1">
        <w:rPr>
          <w:rFonts w:ascii="Arial" w:eastAsia="Times New Roman" w:hAnsi="Arial" w:cs="Arial"/>
          <w:color w:val="000000"/>
          <w:kern w:val="0"/>
          <w:sz w:val="20"/>
          <w:szCs w:val="20"/>
          <w14:ligatures w14:val="none"/>
        </w:rPr>
        <w:t>deste artigo, contado desde a habilitação do primeiro titular do projeto;</w:t>
      </w:r>
    </w:p>
    <w:p w14:paraId="45C9E84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revogação da habilitação do antigo titular do projeto.</w:t>
      </w:r>
    </w:p>
    <w:p w14:paraId="6DE173E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Na hipótese de transferência de titularidade de que trata o §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são responsáveis solidários pelos tributos suspensos os antigos titulares e o novo titular do projeto.</w:t>
      </w:r>
    </w:p>
    <w:p w14:paraId="7D28BCB5"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CAPÍTULO II</w:t>
      </w:r>
    </w:p>
    <w:p w14:paraId="1EDC70C1"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DO PROGRAMA UM COMPUTADOR POR ALUNO - PROUCA</w:t>
      </w:r>
    </w:p>
    <w:p w14:paraId="09DE5F7A"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E DO REGIME ESPECIAL DE AQUISIÇÃO</w:t>
      </w:r>
    </w:p>
    <w:p w14:paraId="33018A1D"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DE COMPUTADORES PARA USO EDUCACIONAL - RECOMPE</w:t>
      </w:r>
    </w:p>
    <w:p w14:paraId="5D1C364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5" w:name="art6"/>
      <w:bookmarkEnd w:id="5"/>
      <w:r w:rsidRPr="00C22FC1">
        <w:rPr>
          <w:rFonts w:ascii="Arial" w:eastAsia="Times New Roman" w:hAnsi="Arial" w:cs="Arial"/>
          <w:color w:val="000000"/>
          <w:kern w:val="0"/>
          <w:sz w:val="20"/>
          <w:szCs w:val="20"/>
          <w14:ligatures w14:val="none"/>
        </w:rPr>
        <w:t>Art.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Fica criado o Programa Um Computador por Aluno - PROUCA e instituído o Regime Especial para Aquisição de Computadores para Uso Educacional - RECOMPE, nos termos e condições estabelecidos nos arts.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14 desta Lei.       </w:t>
      </w:r>
      <w:hyperlink r:id="rId18" w:anchor="art139" w:history="1">
        <w:r w:rsidRPr="00C22FC1">
          <w:rPr>
            <w:rFonts w:ascii="Arial" w:eastAsia="Times New Roman" w:hAnsi="Arial" w:cs="Arial"/>
            <w:color w:val="0000FF"/>
            <w:kern w:val="0"/>
            <w:sz w:val="20"/>
            <w:szCs w:val="20"/>
            <w:u w:val="single"/>
            <w14:ligatures w14:val="none"/>
          </w:rPr>
          <w:t>(Produção de efeito)</w:t>
        </w:r>
      </w:hyperlink>
      <w:r w:rsidRPr="00C22FC1">
        <w:rPr>
          <w:rFonts w:ascii="Arial" w:eastAsia="Times New Roman" w:hAnsi="Arial" w:cs="Arial"/>
          <w:color w:val="000000"/>
          <w:kern w:val="0"/>
          <w:sz w:val="20"/>
          <w:szCs w:val="20"/>
          <w14:ligatures w14:val="none"/>
        </w:rPr>
        <w:t>        </w:t>
      </w:r>
      <w:hyperlink r:id="rId19" w:history="1">
        <w:r w:rsidRPr="00C22FC1">
          <w:rPr>
            <w:rFonts w:ascii="Arial" w:eastAsia="Times New Roman" w:hAnsi="Arial" w:cs="Arial"/>
            <w:color w:val="0000FF"/>
            <w:kern w:val="0"/>
            <w:sz w:val="20"/>
            <w:szCs w:val="20"/>
            <w:u w:val="single"/>
            <w14:ligatures w14:val="none"/>
          </w:rPr>
          <w:t>(Vide Decreto nº 7.243, de 2010)</w:t>
        </w:r>
      </w:hyperlink>
    </w:p>
    <w:p w14:paraId="1E5A2C8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 w:name="art7"/>
      <w:bookmarkEnd w:id="6"/>
      <w:r w:rsidRPr="00C22FC1">
        <w:rPr>
          <w:rFonts w:ascii="Arial" w:eastAsia="Times New Roman" w:hAnsi="Arial" w:cs="Arial"/>
          <w:color w:val="000000"/>
          <w:kern w:val="0"/>
          <w:sz w:val="20"/>
          <w:szCs w:val="20"/>
          <w14:ligatures w14:val="none"/>
        </w:rPr>
        <w:t>Art.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Prouca tem o objetivo de promover a inclusão digital nas escolas das redes públicas de ensino federal, estadual, distrital, municipal ou nas escolas sem fins lucrativos de atendimento a pessoas com deficiência, mediante a aquisição e a utilização de soluções de informática, constituídas de equipamentos de informática, de programas de computador (software) neles instalados e de suporte e assistência técnica necessários ao seu funcionamento.      </w:t>
      </w:r>
      <w:hyperlink r:id="rId20" w:anchor="art139" w:history="1">
        <w:r w:rsidRPr="00C22FC1">
          <w:rPr>
            <w:rFonts w:ascii="Arial" w:eastAsia="Times New Roman" w:hAnsi="Arial" w:cs="Arial"/>
            <w:color w:val="0000FF"/>
            <w:kern w:val="0"/>
            <w:sz w:val="20"/>
            <w:szCs w:val="20"/>
            <w:u w:val="single"/>
            <w14:ligatures w14:val="none"/>
          </w:rPr>
          <w:t>(Produção de efeito)</w:t>
        </w:r>
      </w:hyperlink>
    </w:p>
    <w:p w14:paraId="046B643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Ato conjunto dos Ministros de Estado da Educação e da Fazenda estabelecerá definições, especificações e características técnicas mínimas dos equipamentos referidos no caput, podendo inclusive determinar os valores mínimos e máximos alcançados pelo Prouca.</w:t>
      </w:r>
    </w:p>
    <w:p w14:paraId="26EFEFF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Incumbe ao Poder Executivo:</w:t>
      </w:r>
    </w:p>
    <w:p w14:paraId="5DD59EB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relacionar os equipamentos de informática de que trata o caput; e</w:t>
      </w:r>
    </w:p>
    <w:p w14:paraId="6737817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estabelecer processo produtivo básico específico, definindo etapas mínimas e condicionantes de fabricação dos equipamentos de que trata o caput.</w:t>
      </w:r>
    </w:p>
    <w:p w14:paraId="576F878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Os equipamentos mencionados no caput deste artigo destinam-se ao uso educacional por alunos e professores das escolas das redes públicas de ensino federal, estadual, distrital, municipal ou das escolas sem fins lucrativos de atendimento a pessoas com deficiência, exclusivamente como instrumento de aprendizagem.</w:t>
      </w:r>
    </w:p>
    <w:p w14:paraId="6CAF2E3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aquisição a que se refere o caput será realizada por meio de licitação pública, observados termos e legislação vigentes.</w:t>
      </w:r>
    </w:p>
    <w:p w14:paraId="178BFA1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 w:name="art8"/>
      <w:bookmarkEnd w:id="7"/>
      <w:r w:rsidRPr="00C22FC1">
        <w:rPr>
          <w:rFonts w:ascii="Arial" w:eastAsia="Times New Roman" w:hAnsi="Arial" w:cs="Arial"/>
          <w:color w:val="000000"/>
          <w:kern w:val="0"/>
          <w:sz w:val="20"/>
          <w:szCs w:val="20"/>
          <w14:ligatures w14:val="none"/>
        </w:rPr>
        <w:lastRenderedPageBreak/>
        <w:t>Art. 8</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É beneficiária do Recompe a pessoa jurídica habilitada que exerça atividade de fabricação dos equipamentos mencionados no art.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 que seja vencedora do processo de licitação de que trata o §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daquele artigo. </w:t>
      </w:r>
      <w:hyperlink r:id="rId21" w:anchor="art139" w:history="1">
        <w:r w:rsidRPr="00C22FC1">
          <w:rPr>
            <w:rFonts w:ascii="Arial" w:eastAsia="Times New Roman" w:hAnsi="Arial" w:cs="Arial"/>
            <w:color w:val="0000FF"/>
            <w:kern w:val="0"/>
            <w:sz w:val="20"/>
            <w:szCs w:val="20"/>
            <w:u w:val="single"/>
            <w14:ligatures w14:val="none"/>
          </w:rPr>
          <w:t>(Produção de efeito)</w:t>
        </w:r>
      </w:hyperlink>
    </w:p>
    <w:p w14:paraId="7005708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Também será considerada beneficiária do Recompe a pessoa jurídica que exerça a atividade de manufatura terceirizada para a vencedora do processo de licitação referido no §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do art.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w:t>
      </w:r>
    </w:p>
    <w:p w14:paraId="1BBA219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As pessoas jurídicas optantes pelo Regime Especial Unificado de Arrecadação de Tributos e Contribuições devidos pelas Microempresas e Empresas de Pequeno Porte - Simples Nacional, de que trata a </w:t>
      </w:r>
      <w:hyperlink r:id="rId22" w:history="1">
        <w:r w:rsidRPr="00C22FC1">
          <w:rPr>
            <w:rFonts w:ascii="Arial" w:eastAsia="Times New Roman" w:hAnsi="Arial" w:cs="Arial"/>
            <w:color w:val="0000FF"/>
            <w:kern w:val="0"/>
            <w:sz w:val="20"/>
            <w:szCs w:val="20"/>
            <w:u w:val="single"/>
            <w14:ligatures w14:val="none"/>
          </w:rPr>
          <w:t>Lei Complementar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123, de 14 de dezembro de 2006</w:t>
        </w:r>
      </w:hyperlink>
      <w:r w:rsidRPr="00C22FC1">
        <w:rPr>
          <w:rFonts w:ascii="Arial" w:eastAsia="Times New Roman" w:hAnsi="Arial" w:cs="Arial"/>
          <w:color w:val="000000"/>
          <w:kern w:val="0"/>
          <w:sz w:val="20"/>
          <w:szCs w:val="20"/>
          <w14:ligatures w14:val="none"/>
        </w:rPr>
        <w:t>, e as pessoas jurídicas de que tratam o </w:t>
      </w:r>
      <w:hyperlink r:id="rId23" w:anchor="art8ii" w:history="1">
        <w:r w:rsidRPr="00C22FC1">
          <w:rPr>
            <w:rFonts w:ascii="Arial" w:eastAsia="Times New Roman" w:hAnsi="Arial" w:cs="Arial"/>
            <w:color w:val="0000FF"/>
            <w:kern w:val="0"/>
            <w:sz w:val="20"/>
            <w:szCs w:val="20"/>
            <w:u w:val="single"/>
            <w14:ligatures w14:val="none"/>
          </w:rPr>
          <w:t>inciso II do art. 8</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10.637, de 30 de dezembro de 2002</w:t>
        </w:r>
      </w:hyperlink>
      <w:r w:rsidRPr="00C22FC1">
        <w:rPr>
          <w:rFonts w:ascii="Arial" w:eastAsia="Times New Roman" w:hAnsi="Arial" w:cs="Arial"/>
          <w:color w:val="000000"/>
          <w:kern w:val="0"/>
          <w:sz w:val="20"/>
          <w:szCs w:val="20"/>
          <w14:ligatures w14:val="none"/>
        </w:rPr>
        <w:t>, e o </w:t>
      </w:r>
      <w:hyperlink r:id="rId24" w:anchor="art10ii" w:history="1">
        <w:r w:rsidRPr="00C22FC1">
          <w:rPr>
            <w:rFonts w:ascii="Arial" w:eastAsia="Times New Roman" w:hAnsi="Arial" w:cs="Arial"/>
            <w:color w:val="0000FF"/>
            <w:kern w:val="0"/>
            <w:sz w:val="20"/>
            <w:szCs w:val="20"/>
            <w:u w:val="single"/>
            <w14:ligatures w14:val="none"/>
          </w:rPr>
          <w:t>inciso II do art. 10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10.833, de 29 de dezembro de 2003</w:t>
        </w:r>
      </w:hyperlink>
      <w:r w:rsidRPr="00C22FC1">
        <w:rPr>
          <w:rFonts w:ascii="Arial" w:eastAsia="Times New Roman" w:hAnsi="Arial" w:cs="Arial"/>
          <w:color w:val="000000"/>
          <w:kern w:val="0"/>
          <w:sz w:val="20"/>
          <w:szCs w:val="20"/>
          <w14:ligatures w14:val="none"/>
        </w:rPr>
        <w:t>, não podem aderir ao Recompe.</w:t>
      </w:r>
    </w:p>
    <w:p w14:paraId="4EA85D9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Poder Executivo regulamentará o regime de que trata o caput.</w:t>
      </w:r>
    </w:p>
    <w:p w14:paraId="2C1AAC9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8" w:name="art9"/>
      <w:bookmarkEnd w:id="8"/>
      <w:r w:rsidRPr="00C22FC1">
        <w:rPr>
          <w:rFonts w:ascii="Arial" w:eastAsia="Times New Roman" w:hAnsi="Arial" w:cs="Arial"/>
          <w:color w:val="000000"/>
          <w:kern w:val="0"/>
          <w:sz w:val="20"/>
          <w:szCs w:val="20"/>
          <w14:ligatures w14:val="none"/>
        </w:rPr>
        <w:t>Art. 9</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Recompe suspende, conforme o caso, a exigência:      </w:t>
      </w:r>
      <w:hyperlink r:id="rId25" w:anchor="art139" w:history="1">
        <w:r w:rsidRPr="00C22FC1">
          <w:rPr>
            <w:rFonts w:ascii="Arial" w:eastAsia="Times New Roman" w:hAnsi="Arial" w:cs="Arial"/>
            <w:color w:val="0000FF"/>
            <w:kern w:val="0"/>
            <w:sz w:val="20"/>
            <w:szCs w:val="20"/>
            <w:u w:val="single"/>
            <w14:ligatures w14:val="none"/>
          </w:rPr>
          <w:t>(Produção de efeito)</w:t>
        </w:r>
      </w:hyperlink>
    </w:p>
    <w:p w14:paraId="165AFA3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do Imposto sobre Produtos Industrializados - IPI incidente sobre a saída do estabelecimento industrial de matérias-primas e produtos intermediários destinados à industrialização dos equipamentos mencionados no art.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quando adquiridos por pessoa jurídica habilitada ao regime;</w:t>
      </w:r>
    </w:p>
    <w:p w14:paraId="3B3CD02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da Contribuição para o PIS/Pasep e da Contribuição para o Financiamento da Seguridade Social - COFINS incidentes sobre a receita decorrente da:</w:t>
      </w:r>
    </w:p>
    <w:p w14:paraId="270AB51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a) venda de matérias-primas e produtos intermediários destinados à industrialização dos equipamentos mencionados no art.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quando adquiridos por pessoa jurídica habilitada ao regime;</w:t>
      </w:r>
    </w:p>
    <w:p w14:paraId="60D251C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b) prestação de serviços por pessoa jurídica estabelecida no País a pessoa jurídica habilitada ao regime quando destinados aos equipamentos mencionados no art.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w:t>
      </w:r>
    </w:p>
    <w:p w14:paraId="7F97328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do IPI, da Contribuição para o PIS/Pasep-Importação, da Cofins-Importação, do Imposto de Importação e da Contribuição de Intervenção no Domínio Econômico destinada a financiar o Programa de Estímulo à Interação Universidade-Empresa para o Apoio à Inovação incidentes sobre:</w:t>
      </w:r>
    </w:p>
    <w:p w14:paraId="66794D1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a) matérias-primas e produtos intermediários destinados à industrialização dos equipamentos mencionados no art.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quando importados diretamente por pessoa jurídica habilitada ao regime;</w:t>
      </w:r>
    </w:p>
    <w:p w14:paraId="568F371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b) o pagamento de serviços importados diretamente por pessoa jurídica habilitada ao regime quando destinados aos equipamentos mencionados no art.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w:t>
      </w:r>
    </w:p>
    <w:p w14:paraId="4F41F92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9" w:name="art10"/>
      <w:bookmarkEnd w:id="9"/>
      <w:r w:rsidRPr="00C22FC1">
        <w:rPr>
          <w:rFonts w:ascii="Arial" w:eastAsia="Times New Roman" w:hAnsi="Arial" w:cs="Arial"/>
          <w:color w:val="000000"/>
          <w:kern w:val="0"/>
          <w:sz w:val="20"/>
          <w:szCs w:val="20"/>
          <w14:ligatures w14:val="none"/>
        </w:rPr>
        <w:t>Art. 10.  Ficam isentos de IPI os equipamentos de informática saídos da pessoa jurídica beneficiária do Recompe diretamente para as escolas referidas no art.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w:t>
      </w:r>
      <w:hyperlink r:id="rId26" w:anchor="art139" w:history="1">
        <w:r w:rsidRPr="00C22FC1">
          <w:rPr>
            <w:rFonts w:ascii="Arial" w:eastAsia="Times New Roman" w:hAnsi="Arial" w:cs="Arial"/>
            <w:color w:val="0000FF"/>
            <w:kern w:val="0"/>
            <w:sz w:val="20"/>
            <w:szCs w:val="20"/>
            <w:u w:val="single"/>
            <w14:ligatures w14:val="none"/>
          </w:rPr>
          <w:t>(Produção de efeito)</w:t>
        </w:r>
      </w:hyperlink>
    </w:p>
    <w:p w14:paraId="310007B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 w:name="art11"/>
      <w:bookmarkEnd w:id="10"/>
      <w:r w:rsidRPr="00C22FC1">
        <w:rPr>
          <w:rFonts w:ascii="Arial" w:eastAsia="Times New Roman" w:hAnsi="Arial" w:cs="Arial"/>
          <w:color w:val="000000"/>
          <w:kern w:val="0"/>
          <w:sz w:val="20"/>
          <w:szCs w:val="20"/>
          <w14:ligatures w14:val="none"/>
        </w:rPr>
        <w:t>Art. 11.  As operações de importação efetuadas com os benefícios previstos no Recompe dependem de anuência prévia do Ministério da Ciência e Tecnologia.      </w:t>
      </w:r>
      <w:hyperlink r:id="rId27" w:anchor="art139" w:history="1">
        <w:r w:rsidRPr="00C22FC1">
          <w:rPr>
            <w:rFonts w:ascii="Arial" w:eastAsia="Times New Roman" w:hAnsi="Arial" w:cs="Arial"/>
            <w:color w:val="0000FF"/>
            <w:kern w:val="0"/>
            <w:sz w:val="20"/>
            <w:szCs w:val="20"/>
            <w:u w:val="single"/>
            <w14:ligatures w14:val="none"/>
          </w:rPr>
          <w:t>(Produção de efeito)</w:t>
        </w:r>
      </w:hyperlink>
    </w:p>
    <w:p w14:paraId="6933BF7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As notas fiscais relativas às operações de venda no mercado interno de bens e serviços adquiridos com os benefícios previstos no Recompe devem:</w:t>
      </w:r>
    </w:p>
    <w:p w14:paraId="0144C12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I - estar acompanhadas de documento emitido pelo Ministério da Ciência e Tecnologia, atestando que a operação é destinada ao Prouca;</w:t>
      </w:r>
    </w:p>
    <w:p w14:paraId="45B299E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conter a expressão “Venda efetuada com suspensão da exigência do IPI, da Contribuição para o PIS/Pasep e da Cofins”, com a especificação do dispositivo legal correspondente e do número do atestado emitido pelo Ministério da Ciência e Tecnologia.</w:t>
      </w:r>
    </w:p>
    <w:p w14:paraId="6FC64D1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1" w:name="art12"/>
      <w:bookmarkEnd w:id="11"/>
      <w:r w:rsidRPr="00C22FC1">
        <w:rPr>
          <w:rFonts w:ascii="Arial" w:eastAsia="Times New Roman" w:hAnsi="Arial" w:cs="Arial"/>
          <w:color w:val="000000"/>
          <w:kern w:val="0"/>
          <w:sz w:val="20"/>
          <w:szCs w:val="20"/>
          <w14:ligatures w14:val="none"/>
        </w:rPr>
        <w:t>Art. 12.  A fruição dos benefícios do Recompe fica condicionada à regularidade fiscal da pessoa jurídica em relação aos tributos e contribuições administrados pela Secretaria da Receita Federal do Brasil.      </w:t>
      </w:r>
      <w:hyperlink r:id="rId28" w:anchor="art139" w:history="1">
        <w:r w:rsidRPr="00C22FC1">
          <w:rPr>
            <w:rFonts w:ascii="Arial" w:eastAsia="Times New Roman" w:hAnsi="Arial" w:cs="Arial"/>
            <w:color w:val="0000FF"/>
            <w:kern w:val="0"/>
            <w:sz w:val="20"/>
            <w:szCs w:val="20"/>
            <w:u w:val="single"/>
            <w14:ligatures w14:val="none"/>
          </w:rPr>
          <w:t>(Produção de efeito)</w:t>
        </w:r>
      </w:hyperlink>
    </w:p>
    <w:p w14:paraId="2588566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2" w:name="art13"/>
      <w:bookmarkEnd w:id="12"/>
      <w:r w:rsidRPr="00C22FC1">
        <w:rPr>
          <w:rFonts w:ascii="Arial" w:eastAsia="Times New Roman" w:hAnsi="Arial" w:cs="Arial"/>
          <w:color w:val="000000"/>
          <w:kern w:val="0"/>
          <w:sz w:val="20"/>
          <w:szCs w:val="20"/>
          <w14:ligatures w14:val="none"/>
        </w:rPr>
        <w:t>Art. 13.  A pessoa jurídica beneficiária do Recompe terá a habilitação cancelada:     </w:t>
      </w:r>
      <w:hyperlink r:id="rId29" w:anchor="art139" w:history="1">
        <w:r w:rsidRPr="00C22FC1">
          <w:rPr>
            <w:rFonts w:ascii="Arial" w:eastAsia="Times New Roman" w:hAnsi="Arial" w:cs="Arial"/>
            <w:color w:val="0000FF"/>
            <w:kern w:val="0"/>
            <w:sz w:val="20"/>
            <w:szCs w:val="20"/>
            <w:u w:val="single"/>
            <w14:ligatures w14:val="none"/>
          </w:rPr>
          <w:t>(Produção de efeito)</w:t>
        </w:r>
      </w:hyperlink>
    </w:p>
    <w:p w14:paraId="7A68832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na hipótese de não atender ou deixar de atender ao processo produtivo básico específico referido no inciso II do §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do art.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desta Lei;</w:t>
      </w:r>
    </w:p>
    <w:p w14:paraId="167CCDD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sempre que se apure que não satisfazia ou deixou de satisfazer, não cumpria ou deixou de cumprir os requisitos para habilitação ao regime; ou</w:t>
      </w:r>
    </w:p>
    <w:p w14:paraId="4CF21E1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a pedido.</w:t>
      </w:r>
    </w:p>
    <w:p w14:paraId="7F79B99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3" w:name="art14"/>
      <w:bookmarkEnd w:id="13"/>
      <w:r w:rsidRPr="00C22FC1">
        <w:rPr>
          <w:rFonts w:ascii="Arial" w:eastAsia="Times New Roman" w:hAnsi="Arial" w:cs="Arial"/>
          <w:color w:val="000000"/>
          <w:kern w:val="0"/>
          <w:sz w:val="20"/>
          <w:szCs w:val="20"/>
          <w14:ligatures w14:val="none"/>
        </w:rPr>
        <w:t>Art. 14.  Após a incorporação ou utilização dos bens ou dos serviços adquiridos ou importados com os benefícios do Recompe nos equipamentos mencionados no art.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suspensão de que trata o art. 9</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converte-se em alíquota zero.     </w:t>
      </w:r>
      <w:hyperlink r:id="rId30" w:anchor="art139" w:history="1">
        <w:r w:rsidRPr="00C22FC1">
          <w:rPr>
            <w:rFonts w:ascii="Arial" w:eastAsia="Times New Roman" w:hAnsi="Arial" w:cs="Arial"/>
            <w:color w:val="0000FF"/>
            <w:kern w:val="0"/>
            <w:sz w:val="20"/>
            <w:szCs w:val="20"/>
            <w:u w:val="single"/>
            <w14:ligatures w14:val="none"/>
          </w:rPr>
          <w:t>(Produção de efeito)</w:t>
        </w:r>
      </w:hyperlink>
    </w:p>
    <w:p w14:paraId="7BD1B02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Na hipótese de não se efetuar a incorporação ou utilização de que trata o caput, a pessoa jurídica beneficiária do Recompe fica obrigada a recolher os tributos não pagos em função da suspensão de que trata o art. 9</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acrescidos de juros e multa, de mora ou de ofício, na forma da lei, contados a partir da data de aquisição ou do registro da Declaração de Importação - DI, na condição de:</w:t>
      </w:r>
    </w:p>
    <w:p w14:paraId="365F50A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contribuinte, em relação ao IPI vinculado à importação, à Contribuição para o PIS/Pasep-Importação e à Cofins-Importação;</w:t>
      </w:r>
    </w:p>
    <w:p w14:paraId="01A544E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responsável, em relação ao IPI, à Contribuição para o PIS/Pasep, à Cofins e à Contribuição de Intervenção no Domínio Econômico destinada a financiar o Programa de Estímulo à Interação Universidade-Empresa para o Apoio à Inovação.</w:t>
      </w:r>
    </w:p>
    <w:p w14:paraId="3C51E50E"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CAPÍTULO III</w:t>
      </w:r>
    </w:p>
    <w:p w14:paraId="2CCD2354"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DA CRIAÇÃO E PRORROGAÇÃO DE BENEFÍCIOS FISCAIS</w:t>
      </w:r>
    </w:p>
    <w:p w14:paraId="54D1194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4" w:name="art15"/>
      <w:bookmarkEnd w:id="14"/>
      <w:r w:rsidRPr="00C22FC1">
        <w:rPr>
          <w:rFonts w:ascii="Arial" w:eastAsia="Times New Roman" w:hAnsi="Arial" w:cs="Arial"/>
          <w:color w:val="000000"/>
          <w:kern w:val="0"/>
          <w:sz w:val="20"/>
          <w:szCs w:val="20"/>
          <w14:ligatures w14:val="none"/>
        </w:rPr>
        <w:t>Art. 15.  O art. 11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8.248, de 23 de outubro de 1991, passa a vigorar com a seguinte redação:      </w:t>
      </w:r>
      <w:hyperlink r:id="rId31" w:anchor="art139" w:history="1">
        <w:r w:rsidRPr="00C22FC1">
          <w:rPr>
            <w:rFonts w:ascii="Arial" w:eastAsia="Times New Roman" w:hAnsi="Arial" w:cs="Arial"/>
            <w:color w:val="0000FF"/>
            <w:kern w:val="0"/>
            <w:sz w:val="20"/>
            <w:szCs w:val="20"/>
            <w:u w:val="single"/>
            <w14:ligatures w14:val="none"/>
          </w:rPr>
          <w:t>(Produção de efeito)</w:t>
        </w:r>
      </w:hyperlink>
    </w:p>
    <w:p w14:paraId="74C3380A"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32" w:anchor="art11...." w:history="1">
        <w:r w:rsidRPr="00C22FC1">
          <w:rPr>
            <w:rFonts w:ascii="Arial" w:eastAsia="Times New Roman" w:hAnsi="Arial" w:cs="Arial"/>
            <w:color w:val="0000FF"/>
            <w:kern w:val="0"/>
            <w:sz w:val="20"/>
            <w:szCs w:val="20"/>
            <w:u w:val="single"/>
            <w14:ligatures w14:val="none"/>
          </w:rPr>
          <w:t>“Art. 11.</w:t>
        </w:r>
      </w:hyperlink>
      <w:r w:rsidRPr="00C22FC1">
        <w:rPr>
          <w:rFonts w:ascii="Arial" w:eastAsia="Times New Roman" w:hAnsi="Arial" w:cs="Arial"/>
          <w:color w:val="000000"/>
          <w:kern w:val="0"/>
          <w:sz w:val="20"/>
          <w:szCs w:val="20"/>
          <w14:ligatures w14:val="none"/>
        </w:rPr>
        <w:t>  Para fazer jus aos benefícios previstos no art.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desta Lei, as empresas de desenvolvimento ou produção de bens e serviços de informática e automação deverão investir, anualmente, em atividades de pesquisa e desenvolvimento em tecnologia da informação a serem realizadas no País, no mínimo, 5% (cinco por cento) do seu faturamento bruto no mercado interno, decorrente da comercialização de bens e serviços de informática, incentivados na forma desta Lei, deduzidos os tributos correspondentes a tais comercializações, bem como o valor das aquisições de produtos incentivados na forma desta Lei ou do art.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8.387, de 30 de dezembro de 1991, ou do art.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11.484, de 31 de maio de 2007, conforme projeto elaborado pelas próprias empresas, a partir da apresentação da proposta de projeto de que trata o §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-C do art.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desta Lei.</w:t>
      </w:r>
    </w:p>
    <w:p w14:paraId="0049DEE2"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w:t>
      </w:r>
    </w:p>
    <w:p w14:paraId="2CF83255"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33" w:anchor="art11%C2%A713...." w:history="1">
        <w:r w:rsidRPr="00C22FC1">
          <w:rPr>
            <w:rFonts w:ascii="Arial" w:eastAsia="Times New Roman" w:hAnsi="Arial" w:cs="Arial"/>
            <w:color w:val="0000FF"/>
            <w:kern w:val="0"/>
            <w:sz w:val="20"/>
            <w:szCs w:val="20"/>
            <w:u w:val="single"/>
            <w14:ligatures w14:val="none"/>
          </w:rPr>
          <w:t>§ 13.</w:t>
        </w:r>
      </w:hyperlink>
      <w:r w:rsidRPr="00C22FC1">
        <w:rPr>
          <w:rFonts w:ascii="Arial" w:eastAsia="Times New Roman" w:hAnsi="Arial" w:cs="Arial"/>
          <w:color w:val="000000"/>
          <w:kern w:val="0"/>
          <w:sz w:val="20"/>
          <w:szCs w:val="20"/>
          <w14:ligatures w14:val="none"/>
        </w:rPr>
        <w:t>  Para as empresas beneficiárias, na forma do §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do art.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desta Lei, fabricantes de microcomputadores portáteis e de unidades de processamento digitais de pequena capacidade baseadas em microprocessadores, de valor até R$ 11.000,00 (onze mil reais), bem como de unidades de discos magnéticos e ópticos, circuitos impressos com componentes elétricos e eletrônicos montados, gabinetes e fontes de alimentação, reconhecíveis como exclusiva ou principalmente destinados a tais equipamentos, e exclusivamente sobre o faturamento bruto decorrente da comercialização desses produtos no mercado interno, os percentuais para investimentos estabelecidos neste artigo serão reduzidos em 25% (vinte e cinco por cento) até 31 de dezembro de 2014.</w:t>
      </w:r>
    </w:p>
    <w:p w14:paraId="48AFC37E" w14:textId="77777777" w:rsidR="00C22FC1" w:rsidRPr="00C22FC1" w:rsidRDefault="00C22FC1" w:rsidP="00C22FC1">
      <w:pPr>
        <w:spacing w:before="100" w:beforeAutospacing="1" w:after="100" w:afterAutospacing="1" w:line="240" w:lineRule="auto"/>
        <w:ind w:firstLine="16"/>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(NR)</w:t>
      </w:r>
    </w:p>
    <w:p w14:paraId="19EB8E1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5" w:name="art16"/>
      <w:bookmarkEnd w:id="15"/>
      <w:r w:rsidRPr="00C22FC1">
        <w:rPr>
          <w:rFonts w:ascii="Arial" w:eastAsia="Times New Roman" w:hAnsi="Arial" w:cs="Arial"/>
          <w:color w:val="000000"/>
          <w:kern w:val="0"/>
          <w:sz w:val="20"/>
          <w:szCs w:val="20"/>
          <w14:ligatures w14:val="none"/>
        </w:rPr>
        <w:t>Art. 16.  O art.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8.387, de 30 de dezembro de 1991, passa a vigorar com a seguinte redação:      </w:t>
      </w:r>
      <w:hyperlink r:id="rId34" w:anchor="art139" w:history="1">
        <w:r w:rsidRPr="00C22FC1">
          <w:rPr>
            <w:rFonts w:ascii="Arial" w:eastAsia="Times New Roman" w:hAnsi="Arial" w:cs="Arial"/>
            <w:color w:val="0000FF"/>
            <w:kern w:val="0"/>
            <w:sz w:val="20"/>
            <w:szCs w:val="20"/>
            <w:u w:val="single"/>
            <w14:ligatures w14:val="none"/>
          </w:rPr>
          <w:t>(Produção de efeito)</w:t>
        </w:r>
      </w:hyperlink>
    </w:p>
    <w:p w14:paraId="7CB7EA77"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35" w:anchor="art2%C2%A73...." w:history="1">
        <w:r w:rsidRPr="00C22FC1">
          <w:rPr>
            <w:rFonts w:ascii="Arial" w:eastAsia="Times New Roman" w:hAnsi="Arial" w:cs="Arial"/>
            <w:color w:val="0000FF"/>
            <w:kern w:val="0"/>
            <w:sz w:val="20"/>
            <w:szCs w:val="20"/>
            <w:u w:val="single"/>
            <w14:ligatures w14:val="none"/>
          </w:rPr>
          <w:t>“Art. 2</w:t>
        </w:r>
        <w:r w:rsidRPr="00C22FC1">
          <w:rPr>
            <w:rFonts w:ascii="Arial" w:eastAsia="Times New Roman" w:hAnsi="Arial" w:cs="Arial"/>
            <w:color w:val="0000FF"/>
            <w:kern w:val="0"/>
            <w:sz w:val="20"/>
            <w:szCs w:val="20"/>
            <w:u w:val="single"/>
            <w:vertAlign w:val="superscript"/>
            <w14:ligatures w14:val="none"/>
          </w:rPr>
          <w:t>o</w:t>
        </w:r>
      </w:hyperlink>
      <w:r w:rsidRPr="00C22FC1">
        <w:rPr>
          <w:rFonts w:ascii="Arial" w:eastAsia="Times New Roman" w:hAnsi="Arial" w:cs="Arial"/>
          <w:color w:val="000000"/>
          <w:kern w:val="0"/>
          <w:sz w:val="20"/>
          <w:szCs w:val="20"/>
          <w14:ligatures w14:val="none"/>
        </w:rPr>
        <w:t>  .........................................................................</w:t>
      </w:r>
    </w:p>
    <w:p w14:paraId="36AAC1B4"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4FD5F493"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fazer jus aos benefícios previstos neste artigo, as empresas que tenham como finalidade a produção de bens e serviços de informática deverão aplicar, anualmente, no mínimo 5% (cinco por cento) do seu faturamento bruto no mercado interno, decorrente da comercialização de bens e serviços de informática incentivados na forma desta Lei, deduzidos os tributos correspondentes a tais comercializações, bem como o valor das aquisições de produtos incentivados na forma do §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 ou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8.248, de 23 de outubro de 1991, ou do art.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11.484, de 31 de maio de 2007, em atividades de pesquisa e desenvolvimento a serem realizadas na Amazônia, conforme projeto elaborado pelas próprias empresas, com base em proposta de projeto a ser apresentada à Superintendência da Zona Franca de Manaus - SUFRAMA e ao Ministério da Ciência e Tecnologia.</w:t>
      </w:r>
    </w:p>
    <w:p w14:paraId="5E14919A"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5622B7DB"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36" w:anchor="art2%C2%A713....." w:history="1">
        <w:r w:rsidRPr="00C22FC1">
          <w:rPr>
            <w:rFonts w:ascii="Arial" w:eastAsia="Times New Roman" w:hAnsi="Arial" w:cs="Arial"/>
            <w:color w:val="0000FF"/>
            <w:kern w:val="0"/>
            <w:sz w:val="20"/>
            <w:szCs w:val="20"/>
            <w:u w:val="single"/>
            <w14:ligatures w14:val="none"/>
          </w:rPr>
          <w:t>§ 13.</w:t>
        </w:r>
      </w:hyperlink>
      <w:r w:rsidRPr="00C22FC1">
        <w:rPr>
          <w:rFonts w:ascii="Arial" w:eastAsia="Times New Roman" w:hAnsi="Arial" w:cs="Arial"/>
          <w:color w:val="000000"/>
          <w:kern w:val="0"/>
          <w:sz w:val="20"/>
          <w:szCs w:val="20"/>
          <w14:ligatures w14:val="none"/>
        </w:rPr>
        <w:t>  Para as empresas beneficiárias, fabricantes de microcomputadores portáteis e de unidades de processamento digitais de pequena capacidade baseadas em microprocessadores, de valor até R$ 11.000,00 (onze mil reais), bem como de unidades de discos magnéticos e ópticos, circuitos impressos com componentes elétricos e eletrônicos montados, gabinetes e fontes de alimentação, reconhecíveis como exclusiva ou principalmente destinados a tais equipamentos, e exclusivamente sobre o faturamento bruto decorrente da comercialização desses produtos no mercado interno, os percentuais para investimentos estabelecidos neste artigo serão reduzidos em 25% (vinte e cinco por cento) até 31 de dezembro de 2014.</w:t>
      </w:r>
    </w:p>
    <w:p w14:paraId="0CF43084"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(NR)</w:t>
      </w:r>
    </w:p>
    <w:p w14:paraId="0EF5F74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6" w:name="art17"/>
      <w:bookmarkEnd w:id="16"/>
      <w:r w:rsidRPr="00C22FC1">
        <w:rPr>
          <w:rFonts w:ascii="Arial" w:eastAsia="Times New Roman" w:hAnsi="Arial" w:cs="Arial"/>
          <w:color w:val="000000"/>
          <w:kern w:val="0"/>
          <w:sz w:val="20"/>
          <w:szCs w:val="20"/>
          <w14:ligatures w14:val="none"/>
        </w:rPr>
        <w:t>Art. 17.  O art. 30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11.196, de 21 de novembro de 2005, passa a vigorar com a seguinte redação:     </w:t>
      </w:r>
      <w:hyperlink r:id="rId37" w:anchor="art139" w:history="1">
        <w:r w:rsidRPr="00C22FC1">
          <w:rPr>
            <w:rFonts w:ascii="Arial" w:eastAsia="Times New Roman" w:hAnsi="Arial" w:cs="Arial"/>
            <w:color w:val="0000FF"/>
            <w:kern w:val="0"/>
            <w:sz w:val="20"/>
            <w:szCs w:val="20"/>
            <w:u w:val="single"/>
            <w14:ligatures w14:val="none"/>
          </w:rPr>
          <w:t>(Produção de efeito)</w:t>
        </w:r>
      </w:hyperlink>
    </w:p>
    <w:p w14:paraId="0D1BD834"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38" w:anchor="art30ii." w:history="1">
        <w:r w:rsidRPr="00C22FC1">
          <w:rPr>
            <w:rFonts w:ascii="Arial" w:eastAsia="Times New Roman" w:hAnsi="Arial" w:cs="Arial"/>
            <w:color w:val="0000FF"/>
            <w:kern w:val="0"/>
            <w:sz w:val="20"/>
            <w:szCs w:val="20"/>
            <w:u w:val="single"/>
            <w14:ligatures w14:val="none"/>
          </w:rPr>
          <w:t>“Art. 30.</w:t>
        </w:r>
      </w:hyperlink>
      <w:r w:rsidRPr="00C22FC1">
        <w:rPr>
          <w:rFonts w:ascii="Arial" w:eastAsia="Times New Roman" w:hAnsi="Arial" w:cs="Arial"/>
          <w:color w:val="000000"/>
          <w:kern w:val="0"/>
          <w:sz w:val="20"/>
          <w:szCs w:val="20"/>
          <w14:ligatures w14:val="none"/>
        </w:rPr>
        <w:t>..........................................................................</w:t>
      </w:r>
    </w:p>
    <w:p w14:paraId="0041F6F8"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7DAC44C8"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aplicam-se às vendas efetuadas até 31 de dezembro de 2014.” (NR)</w:t>
      </w:r>
    </w:p>
    <w:p w14:paraId="54D7B1C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7" w:name="art18"/>
      <w:bookmarkEnd w:id="17"/>
      <w:r w:rsidRPr="00C22FC1">
        <w:rPr>
          <w:rFonts w:ascii="Arial" w:eastAsia="Times New Roman" w:hAnsi="Arial" w:cs="Arial"/>
          <w:color w:val="000000"/>
          <w:kern w:val="0"/>
          <w:sz w:val="20"/>
          <w:szCs w:val="20"/>
          <w14:ligatures w14:val="none"/>
        </w:rPr>
        <w:t xml:space="preserve">Art. 18.  Fica reduzida a zero a alíquota do Imposto de Renda incidente na fonte sobre as importâncias pagas, creditadas, entregues, empregadas ou remetidas ao exterior a título de </w:t>
      </w:r>
      <w:r w:rsidRPr="00C22FC1">
        <w:rPr>
          <w:rFonts w:ascii="Arial" w:eastAsia="Times New Roman" w:hAnsi="Arial" w:cs="Arial"/>
          <w:color w:val="000000"/>
          <w:kern w:val="0"/>
          <w:sz w:val="20"/>
          <w:szCs w:val="20"/>
          <w14:ligatures w14:val="none"/>
        </w:rPr>
        <w:lastRenderedPageBreak/>
        <w:t>remuneração de serviços vinculados aos processos de avaliação da conformidade, metrologia, normalização, inspeção sanitária e fitossanitária, homologação, registros e outros procedimentos exigidos pelo país importador sob o resguardo dos acordos sobre medidas sanitárias e fitossanitárias (SPS) e sobre barreiras técnicas ao comércio (TBT), ambos do âmbito da Organização Mundial do Comércio - OMC.</w:t>
      </w:r>
    </w:p>
    <w:p w14:paraId="71CD0B8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disposto neste artigo aplica-se à Contribuição de Intervenção no Domínio Econômico destinada a financiar o Programa de Estímulo à Interação Universidade-Empresa para o Apoio à Inovação, de que trata a </w:t>
      </w:r>
      <w:hyperlink r:id="rId39" w:history="1">
        <w:r w:rsidRPr="00C22FC1">
          <w:rPr>
            <w:rFonts w:ascii="Arial" w:eastAsia="Times New Roman" w:hAnsi="Arial" w:cs="Arial"/>
            <w:color w:val="0000FF"/>
            <w:kern w:val="0"/>
            <w:sz w:val="20"/>
            <w:szCs w:val="20"/>
            <w:u w:val="single"/>
            <w14:ligatures w14:val="none"/>
          </w:rPr>
          <w:t>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10.168, de 29 de dezembro de 2000.</w:t>
        </w:r>
      </w:hyperlink>
    </w:p>
    <w:p w14:paraId="623FC56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disposto no caput</w:t>
      </w:r>
      <w:r w:rsidRPr="00C22FC1">
        <w:rPr>
          <w:rFonts w:ascii="Arial" w:eastAsia="Times New Roman" w:hAnsi="Arial" w:cs="Arial"/>
          <w:i/>
          <w:iCs/>
          <w:color w:val="000000"/>
          <w:kern w:val="0"/>
          <w:sz w:val="20"/>
          <w:szCs w:val="20"/>
          <w14:ligatures w14:val="none"/>
        </w:rPr>
        <w:t> </w:t>
      </w:r>
      <w:r w:rsidRPr="00C22FC1">
        <w:rPr>
          <w:rFonts w:ascii="Arial" w:eastAsia="Times New Roman" w:hAnsi="Arial" w:cs="Arial"/>
          <w:color w:val="000000"/>
          <w:kern w:val="0"/>
          <w:sz w:val="20"/>
          <w:szCs w:val="20"/>
          <w14:ligatures w14:val="none"/>
        </w:rPr>
        <w:t>e no §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não se aplica à remuneração de serviços prestados por pessoa física ou jurídica residente ou domiciliada em país ou dependência com tributação favorecida ou beneficiada por regime fiscal privilegiado, de que tratam os </w:t>
      </w:r>
      <w:hyperlink r:id="rId40" w:anchor="art24" w:history="1">
        <w:r w:rsidRPr="00C22FC1">
          <w:rPr>
            <w:rFonts w:ascii="Arial" w:eastAsia="Times New Roman" w:hAnsi="Arial" w:cs="Arial"/>
            <w:color w:val="0000FF"/>
            <w:kern w:val="0"/>
            <w:sz w:val="20"/>
            <w:szCs w:val="20"/>
            <w:u w:val="single"/>
            <w14:ligatures w14:val="none"/>
          </w:rPr>
          <w:t>arts. 24</w:t>
        </w:r>
      </w:hyperlink>
      <w:r w:rsidRPr="00C22FC1">
        <w:rPr>
          <w:rFonts w:ascii="Arial" w:eastAsia="Times New Roman" w:hAnsi="Arial" w:cs="Arial"/>
          <w:color w:val="000000"/>
          <w:kern w:val="0"/>
          <w:sz w:val="20"/>
          <w:szCs w:val="20"/>
          <w14:ligatures w14:val="none"/>
        </w:rPr>
        <w:t> e </w:t>
      </w:r>
      <w:hyperlink r:id="rId41" w:anchor="art24a" w:history="1">
        <w:r w:rsidRPr="00C22FC1">
          <w:rPr>
            <w:rFonts w:ascii="Arial" w:eastAsia="Times New Roman" w:hAnsi="Arial" w:cs="Arial"/>
            <w:color w:val="0000FF"/>
            <w:kern w:val="0"/>
            <w:sz w:val="20"/>
            <w:szCs w:val="20"/>
            <w:u w:val="single"/>
            <w14:ligatures w14:val="none"/>
          </w:rPr>
          <w:t>24-A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9.430, de 27 de dezembro de 1996.</w:t>
        </w:r>
      </w:hyperlink>
    </w:p>
    <w:p w14:paraId="4385FE2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8" w:name="art19"/>
      <w:bookmarkEnd w:id="18"/>
      <w:r w:rsidRPr="00C22FC1">
        <w:rPr>
          <w:rFonts w:ascii="Arial" w:eastAsia="Times New Roman" w:hAnsi="Arial" w:cs="Arial"/>
          <w:color w:val="000000"/>
          <w:kern w:val="0"/>
          <w:sz w:val="20"/>
          <w:szCs w:val="20"/>
          <w14:ligatures w14:val="none"/>
        </w:rPr>
        <w:t>Art. 19.  O art.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10.865, de 30 de abril de 2004, passa a vigorar com a seguinte redação:</w:t>
      </w:r>
    </w:p>
    <w:p w14:paraId="0674EFCC"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42" w:anchor="art2xi." w:history="1">
        <w:r w:rsidRPr="00C22FC1">
          <w:rPr>
            <w:rFonts w:ascii="Arial" w:eastAsia="Times New Roman" w:hAnsi="Arial" w:cs="Arial"/>
            <w:color w:val="0000FF"/>
            <w:kern w:val="0"/>
            <w:sz w:val="20"/>
            <w:szCs w:val="20"/>
            <w:u w:val="single"/>
            <w14:ligatures w14:val="none"/>
          </w:rPr>
          <w:t>“Art. 2</w:t>
        </w:r>
        <w:r w:rsidRPr="00C22FC1">
          <w:rPr>
            <w:rFonts w:ascii="Arial" w:eastAsia="Times New Roman" w:hAnsi="Arial" w:cs="Arial"/>
            <w:color w:val="0000FF"/>
            <w:kern w:val="0"/>
            <w:sz w:val="20"/>
            <w:szCs w:val="20"/>
            <w:u w:val="single"/>
            <w:vertAlign w:val="superscript"/>
            <w14:ligatures w14:val="none"/>
          </w:rPr>
          <w:t>o</w:t>
        </w:r>
      </w:hyperlink>
      <w:r w:rsidRPr="00C22FC1">
        <w:rPr>
          <w:rFonts w:ascii="Arial" w:eastAsia="Times New Roman" w:hAnsi="Arial" w:cs="Arial"/>
          <w:color w:val="000000"/>
          <w:kern w:val="0"/>
          <w:sz w:val="20"/>
          <w:szCs w:val="20"/>
          <w14:ligatures w14:val="none"/>
        </w:rPr>
        <w:t>  .........................................................................</w:t>
      </w:r>
    </w:p>
    <w:p w14:paraId="4F202AB8"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2013A4DF"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XI - valor pago, creditado, entregue, empregado ou remetido à pessoa física ou jurídica a título de remuneração de serviços vinculados aos processos de avaliação da conformidade, metrologia, normalização, inspeção sanitária e fitossanitária, homologação, registros e outros procedimentos exigidos pelo país importador sob o resguardo dos acordos sobre medidas sanitárias e fitossanitárias (SPS) e sobre barreiras técnicas ao comércio (TBT), ambos do âmbito da Organização Mundial do Comércio - OMC.</w:t>
      </w:r>
    </w:p>
    <w:p w14:paraId="2CA8B230"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O disposto no inciso XI não se aplica à remuneração de serviços prestados por pessoa física ou jurídica residente ou domiciliada em país ou dependência com tributação favorecida ou beneficiada por regime fiscal privilegiado, de que tratam os arts. 24 e 24-A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9.430, de 27 de dezembro de 1996.” </w:t>
      </w:r>
      <w:r w:rsidRPr="00C22FC1">
        <w:rPr>
          <w:rFonts w:ascii="Arial" w:eastAsia="Times New Roman" w:hAnsi="Arial" w:cs="Arial"/>
          <w:color w:val="000000"/>
          <w:kern w:val="0"/>
          <w:sz w:val="20"/>
          <w:szCs w:val="20"/>
          <w:lang w:val="en-US"/>
          <w14:ligatures w14:val="none"/>
        </w:rPr>
        <w:t>(NR)</w:t>
      </w:r>
    </w:p>
    <w:p w14:paraId="5EC8B79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9" w:name="art20"/>
      <w:bookmarkEnd w:id="19"/>
      <w:r w:rsidRPr="00C22FC1">
        <w:rPr>
          <w:rFonts w:ascii="Arial" w:eastAsia="Times New Roman" w:hAnsi="Arial" w:cs="Arial"/>
          <w:color w:val="000000"/>
          <w:kern w:val="0"/>
          <w:sz w:val="20"/>
          <w:szCs w:val="20"/>
          <w:lang w:val="en-US"/>
          <w14:ligatures w14:val="none"/>
        </w:rPr>
        <w:t>Art. 20.  Os arts. </w:t>
      </w:r>
      <w:r w:rsidRPr="00C22FC1">
        <w:rPr>
          <w:rFonts w:ascii="Arial" w:eastAsia="Times New Roman" w:hAnsi="Arial" w:cs="Arial"/>
          <w:color w:val="000000"/>
          <w:kern w:val="0"/>
          <w:sz w:val="20"/>
          <w:szCs w:val="20"/>
          <w14:ligatures w14:val="none"/>
        </w:rPr>
        <w:t>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11.484, de 31 de maio de 2007, passam a vigorar com a seguinte redação:</w:t>
      </w:r>
    </w:p>
    <w:p w14:paraId="55385274"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43" w:anchor="art2%C2%A75." w:history="1">
        <w:r w:rsidRPr="00C22FC1">
          <w:rPr>
            <w:rFonts w:ascii="Arial" w:eastAsia="Times New Roman" w:hAnsi="Arial" w:cs="Arial"/>
            <w:color w:val="0000FF"/>
            <w:kern w:val="0"/>
            <w:sz w:val="20"/>
            <w:szCs w:val="20"/>
            <w:u w:val="single"/>
            <w14:ligatures w14:val="none"/>
          </w:rPr>
          <w:t>“Art. 2</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w:t>
        </w:r>
      </w:hyperlink>
      <w:r w:rsidRPr="00C22FC1">
        <w:rPr>
          <w:rFonts w:ascii="Arial" w:eastAsia="Times New Roman" w:hAnsi="Arial" w:cs="Arial"/>
          <w:color w:val="000000"/>
          <w:kern w:val="0"/>
          <w:sz w:val="20"/>
          <w:szCs w:val="20"/>
          <w14:ligatures w14:val="none"/>
        </w:rPr>
        <w:t> .........................................................................</w:t>
      </w:r>
    </w:p>
    <w:p w14:paraId="6CC01F3A"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217AF446"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(VETADO).</w:t>
      </w:r>
    </w:p>
    <w:p w14:paraId="04F9F32E"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03F2E5B6"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disposto no inciso I do caput alcança os dispositivos eletrônicos semicondutores, montados e encapsulados diretamente sob placa de circuito impresso (chip on board), classificada nos códigos 8534.00.00 ou 8523.51 da Tabela de Incidência dos Impostos sobre Produtos Industrializados - TIPI.” (NR)</w:t>
      </w:r>
    </w:p>
    <w:p w14:paraId="18631ADC"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44" w:anchor="art3..." w:history="1">
        <w:r w:rsidRPr="00C22FC1">
          <w:rPr>
            <w:rFonts w:ascii="Arial" w:eastAsia="Times New Roman" w:hAnsi="Arial" w:cs="Arial"/>
            <w:color w:val="0000FF"/>
            <w:kern w:val="0"/>
            <w:sz w:val="20"/>
            <w:szCs w:val="20"/>
            <w:u w:val="single"/>
            <w14:ligatures w14:val="none"/>
          </w:rPr>
          <w:t>“Art. 3</w:t>
        </w:r>
        <w:r w:rsidRPr="00C22FC1">
          <w:rPr>
            <w:rFonts w:ascii="Arial" w:eastAsia="Times New Roman" w:hAnsi="Arial" w:cs="Arial"/>
            <w:color w:val="0000FF"/>
            <w:kern w:val="0"/>
            <w:sz w:val="20"/>
            <w:szCs w:val="20"/>
            <w:u w:val="single"/>
            <w:vertAlign w:val="superscript"/>
            <w14:ligatures w14:val="none"/>
          </w:rPr>
          <w:t>o</w:t>
        </w:r>
      </w:hyperlink>
      <w:r w:rsidRPr="00C22FC1">
        <w:rPr>
          <w:rFonts w:ascii="Arial" w:eastAsia="Times New Roman" w:hAnsi="Arial" w:cs="Arial"/>
          <w:color w:val="000000"/>
          <w:kern w:val="0"/>
          <w:sz w:val="20"/>
          <w:szCs w:val="20"/>
          <w14:ligatures w14:val="none"/>
        </w:rPr>
        <w:t>  No caso de venda no mercado interno ou de importação de máquinas, aparelhos, instrumentos e equipamentos, para incorporação ao ativo imobilizado da pessoa jurídica adquirente no mercado interno ou importadora, destinados às atividades de que tratam os incisos I a III do caput do art.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desta Lei, ficam reduzidas a zero as alíquotas:</w:t>
      </w:r>
    </w:p>
    <w:p w14:paraId="2D0A360D"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7BC8592D"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45" w:anchor="art3%C2%A75." w:history="1">
        <w:r w:rsidRPr="00C22FC1">
          <w:rPr>
            <w:rFonts w:ascii="Arial" w:eastAsia="Times New Roman" w:hAnsi="Arial" w:cs="Arial"/>
            <w:color w:val="0000FF"/>
            <w:kern w:val="0"/>
            <w:sz w:val="20"/>
            <w:szCs w:val="20"/>
            <w:u w:val="single"/>
            <w14:ligatures w14:val="none"/>
          </w:rPr>
          <w:t>§ 5</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w:t>
        </w:r>
      </w:hyperlink>
      <w:r w:rsidRPr="00C22FC1">
        <w:rPr>
          <w:rFonts w:ascii="Arial" w:eastAsia="Times New Roman" w:hAnsi="Arial" w:cs="Arial"/>
          <w:color w:val="000000"/>
          <w:kern w:val="0"/>
          <w:sz w:val="20"/>
          <w:szCs w:val="20"/>
          <w14:ligatures w14:val="none"/>
        </w:rPr>
        <w:t> Conforme ato do Poder Executivo, nas condições e pelo prazo nele fixados e desde que destinados às atividades de que tratam os incisos I a III do caput do art.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desta Lei, poderá também ser reduzida a zero a alíquota do Imposto de Importação - II incidente sobre máquinas, aparelhos, instrumentos, equipamentos, ferramentas computacionais (software), para incorporação ao seu ativo imobilizado, e insumos importados por pessoa jurídica beneficiária do Padis.” (NR)</w:t>
      </w:r>
    </w:p>
    <w:p w14:paraId="501205FD"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46" w:anchor="art4" w:history="1">
        <w:r w:rsidRPr="00C22FC1">
          <w:rPr>
            <w:rFonts w:ascii="Arial" w:eastAsia="Times New Roman" w:hAnsi="Arial" w:cs="Arial"/>
            <w:color w:val="0000FF"/>
            <w:kern w:val="0"/>
            <w:sz w:val="20"/>
            <w:szCs w:val="20"/>
            <w:u w:val="single"/>
            <w14:ligatures w14:val="none"/>
          </w:rPr>
          <w:t>“Art. 4</w:t>
        </w:r>
        <w:r w:rsidRPr="00C22FC1">
          <w:rPr>
            <w:rFonts w:ascii="Arial" w:eastAsia="Times New Roman" w:hAnsi="Arial" w:cs="Arial"/>
            <w:color w:val="0000FF"/>
            <w:kern w:val="0"/>
            <w:sz w:val="20"/>
            <w:szCs w:val="20"/>
            <w:u w:val="single"/>
            <w:vertAlign w:val="superscript"/>
            <w14:ligatures w14:val="none"/>
          </w:rPr>
          <w:t>o</w:t>
        </w:r>
      </w:hyperlink>
      <w:r w:rsidRPr="00C22FC1">
        <w:rPr>
          <w:rFonts w:ascii="Arial" w:eastAsia="Times New Roman" w:hAnsi="Arial" w:cs="Arial"/>
          <w:color w:val="000000"/>
          <w:kern w:val="0"/>
          <w:sz w:val="20"/>
          <w:szCs w:val="20"/>
          <w14:ligatures w14:val="none"/>
        </w:rPr>
        <w:t>  Nas vendas dos dispositivos referidos nos incisos I a III do caput do art.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desta Lei, efetuadas por pessoa jurídica beneficiária do Padis, ficam reduzidas:</w:t>
      </w:r>
    </w:p>
    <w:p w14:paraId="5E7C9173"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6BE4E11C"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47" w:anchor="art4%C2%A72" w:history="1">
        <w:r w:rsidRPr="00C22FC1">
          <w:rPr>
            <w:rFonts w:ascii="Arial" w:eastAsia="Times New Roman" w:hAnsi="Arial" w:cs="Arial"/>
            <w:color w:val="0000FF"/>
            <w:kern w:val="0"/>
            <w:sz w:val="20"/>
            <w:szCs w:val="20"/>
            <w:u w:val="single"/>
            <w14:ligatures w14:val="none"/>
          </w:rPr>
          <w:t>§ 2</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w:t>
        </w:r>
      </w:hyperlink>
      <w:r w:rsidRPr="00C22FC1">
        <w:rPr>
          <w:rFonts w:ascii="Arial" w:eastAsia="Times New Roman" w:hAnsi="Arial" w:cs="Arial"/>
          <w:color w:val="000000"/>
          <w:kern w:val="0"/>
          <w:sz w:val="20"/>
          <w:szCs w:val="20"/>
          <w14:ligatures w14:val="none"/>
        </w:rPr>
        <w:t> As reduções de alíquotas previstas nos incisos I e II do caput deste artigo relativamente às vendas dos dispositivos referidos nos incisos II e III do caput do art.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desta Lei aplicam-se somente quando as atividades referidas nas alíneas </w:t>
      </w:r>
      <w:r w:rsidRPr="00C22FC1">
        <w:rPr>
          <w:rFonts w:ascii="Arial" w:eastAsia="Times New Roman" w:hAnsi="Arial" w:cs="Arial"/>
          <w:i/>
          <w:iCs/>
          <w:color w:val="000000"/>
          <w:kern w:val="0"/>
          <w:sz w:val="20"/>
          <w:szCs w:val="20"/>
          <w14:ligatures w14:val="none"/>
        </w:rPr>
        <w:t>a</w:t>
      </w:r>
      <w:r w:rsidRPr="00C22FC1">
        <w:rPr>
          <w:rFonts w:ascii="Arial" w:eastAsia="Times New Roman" w:hAnsi="Arial" w:cs="Arial"/>
          <w:color w:val="000000"/>
          <w:kern w:val="0"/>
          <w:sz w:val="20"/>
          <w:szCs w:val="20"/>
          <w14:ligatures w14:val="none"/>
        </w:rPr>
        <w:t> ou </w:t>
      </w:r>
      <w:r w:rsidRPr="00C22FC1">
        <w:rPr>
          <w:rFonts w:ascii="Arial" w:eastAsia="Times New Roman" w:hAnsi="Arial" w:cs="Arial"/>
          <w:i/>
          <w:iCs/>
          <w:color w:val="000000"/>
          <w:kern w:val="0"/>
          <w:sz w:val="20"/>
          <w:szCs w:val="20"/>
          <w14:ligatures w14:val="none"/>
        </w:rPr>
        <w:t>b</w:t>
      </w:r>
      <w:r w:rsidRPr="00C22FC1">
        <w:rPr>
          <w:rFonts w:ascii="Arial" w:eastAsia="Times New Roman" w:hAnsi="Arial" w:cs="Arial"/>
          <w:color w:val="000000"/>
          <w:kern w:val="0"/>
          <w:sz w:val="20"/>
          <w:szCs w:val="20"/>
          <w14:ligatures w14:val="none"/>
        </w:rPr>
        <w:t> do inciso II e no inciso III do caput</w:t>
      </w:r>
      <w:r w:rsidRPr="00C22FC1">
        <w:rPr>
          <w:rFonts w:ascii="Arial" w:eastAsia="Times New Roman" w:hAnsi="Arial" w:cs="Arial"/>
          <w:i/>
          <w:iCs/>
          <w:color w:val="000000"/>
          <w:kern w:val="0"/>
          <w:sz w:val="20"/>
          <w:szCs w:val="20"/>
          <w14:ligatures w14:val="none"/>
        </w:rPr>
        <w:t> </w:t>
      </w:r>
      <w:r w:rsidRPr="00C22FC1">
        <w:rPr>
          <w:rFonts w:ascii="Arial" w:eastAsia="Times New Roman" w:hAnsi="Arial" w:cs="Arial"/>
          <w:color w:val="000000"/>
          <w:kern w:val="0"/>
          <w:sz w:val="20"/>
          <w:szCs w:val="20"/>
          <w14:ligatures w14:val="none"/>
        </w:rPr>
        <w:t>do art.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desta Lei tenham sido realizadas no País.</w:t>
      </w:r>
    </w:p>
    <w:p w14:paraId="469CE46F" w14:textId="77777777" w:rsidR="00C22FC1" w:rsidRPr="00C22FC1" w:rsidRDefault="00C22FC1" w:rsidP="00C22FC1">
      <w:pPr>
        <w:spacing w:before="100" w:beforeAutospacing="1" w:after="100" w:afterAutospacing="1" w:line="240" w:lineRule="auto"/>
        <w:ind w:firstLine="16"/>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(NR)</w:t>
      </w:r>
    </w:p>
    <w:p w14:paraId="0BF45A8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0" w:name="art21"/>
      <w:bookmarkEnd w:id="20"/>
      <w:r w:rsidRPr="00C22FC1">
        <w:rPr>
          <w:rFonts w:ascii="Arial" w:eastAsia="Times New Roman" w:hAnsi="Arial" w:cs="Arial"/>
          <w:color w:val="000000"/>
          <w:kern w:val="0"/>
          <w:sz w:val="20"/>
          <w:szCs w:val="20"/>
          <w14:ligatures w14:val="none"/>
        </w:rPr>
        <w:t>Art. 21.  O art.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11.488, de 15 de junho de 2007, passa a vigorar com a seguinte redação:</w:t>
      </w:r>
    </w:p>
    <w:p w14:paraId="3840DB15"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48" w:anchor="art5.." w:history="1">
        <w:r w:rsidRPr="00C22FC1">
          <w:rPr>
            <w:rFonts w:ascii="Arial" w:eastAsia="Times New Roman" w:hAnsi="Arial" w:cs="Arial"/>
            <w:color w:val="0000FF"/>
            <w:kern w:val="0"/>
            <w:sz w:val="20"/>
            <w:szCs w:val="20"/>
            <w:u w:val="single"/>
            <w14:ligatures w14:val="none"/>
          </w:rPr>
          <w:t>“Art. 5</w:t>
        </w:r>
        <w:r w:rsidRPr="00C22FC1">
          <w:rPr>
            <w:rFonts w:ascii="Arial" w:eastAsia="Times New Roman" w:hAnsi="Arial" w:cs="Arial"/>
            <w:color w:val="0000FF"/>
            <w:kern w:val="0"/>
            <w:sz w:val="20"/>
            <w:szCs w:val="20"/>
            <w:u w:val="single"/>
            <w:vertAlign w:val="superscript"/>
            <w14:ligatures w14:val="none"/>
          </w:rPr>
          <w:t>o</w:t>
        </w:r>
      </w:hyperlink>
      <w:r w:rsidRPr="00C22FC1">
        <w:rPr>
          <w:rFonts w:ascii="Arial" w:eastAsia="Times New Roman" w:hAnsi="Arial" w:cs="Arial"/>
          <w:color w:val="000000"/>
          <w:kern w:val="0"/>
          <w:sz w:val="20"/>
          <w:szCs w:val="20"/>
          <w14:ligatures w14:val="none"/>
        </w:rPr>
        <w:t>  O benefício de que tratam os arts.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desta Lei poderá ser usufruído nas aquisições e importações realizadas no período de 5 (cinco) anos, contado da data da habilitação da pessoa jurídica, titular do projeto de infraestrutura.</w:t>
      </w:r>
    </w:p>
    <w:p w14:paraId="2B2194C3"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O prazo para fruição do regime, para pessoa jurídica já habilitada na data de publicação da Medida Provisória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472, de 15 de dezembro de 2009, fica acrescido do período transcorrido entre a data da aprovação do projeto e a data da habilitação da pessoa jurídica.” (NR)</w:t>
      </w:r>
    </w:p>
    <w:p w14:paraId="4254D867"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CAPÍTULO IV</w:t>
      </w:r>
    </w:p>
    <w:p w14:paraId="4BFEBFE8"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DAS ALTERAÇÕES NA LEGISLAÇÃO TRIBUTÁRIA</w:t>
      </w:r>
    </w:p>
    <w:p w14:paraId="071514F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1" w:name="art22"/>
      <w:bookmarkEnd w:id="21"/>
      <w:r w:rsidRPr="00C22FC1">
        <w:rPr>
          <w:rFonts w:ascii="Arial" w:eastAsia="Times New Roman" w:hAnsi="Arial" w:cs="Arial"/>
          <w:color w:val="000000"/>
          <w:kern w:val="0"/>
          <w:sz w:val="20"/>
          <w:szCs w:val="20"/>
          <w14:ligatures w14:val="none"/>
        </w:rPr>
        <w:t>Art. 22.  O art. 14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9.718, de 27 de novembro de 1998, passa a vigorar acrescido do seguinte inciso VII:</w:t>
      </w:r>
    </w:p>
    <w:p w14:paraId="4ED291A9"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49" w:anchor="art14vii." w:history="1">
        <w:r w:rsidRPr="00C22FC1">
          <w:rPr>
            <w:rFonts w:ascii="Arial" w:eastAsia="Times New Roman" w:hAnsi="Arial" w:cs="Arial"/>
            <w:color w:val="0000FF"/>
            <w:kern w:val="0"/>
            <w:sz w:val="20"/>
            <w:szCs w:val="20"/>
            <w:u w:val="single"/>
            <w14:ligatures w14:val="none"/>
          </w:rPr>
          <w:t>“Art. 14. </w:t>
        </w:r>
      </w:hyperlink>
      <w:r w:rsidRPr="00C22FC1">
        <w:rPr>
          <w:rFonts w:ascii="Arial" w:eastAsia="Times New Roman" w:hAnsi="Arial" w:cs="Arial"/>
          <w:color w:val="000000"/>
          <w:kern w:val="0"/>
          <w:sz w:val="20"/>
          <w:szCs w:val="20"/>
          <w14:ligatures w14:val="none"/>
        </w:rPr>
        <w:t> ........................................................................</w:t>
      </w:r>
    </w:p>
    <w:p w14:paraId="7F2AEE3C"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2D027EF1"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VII - que explorem as atividades de securitização de créditos imobiliários, financeiros e do agronegócio.” (NR)</w:t>
      </w:r>
    </w:p>
    <w:p w14:paraId="53CCA2D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2" w:name="art23"/>
      <w:bookmarkEnd w:id="22"/>
      <w:r w:rsidRPr="00C22FC1">
        <w:rPr>
          <w:rFonts w:ascii="Arial" w:eastAsia="Times New Roman" w:hAnsi="Arial" w:cs="Arial"/>
          <w:color w:val="000000"/>
          <w:kern w:val="0"/>
          <w:sz w:val="20"/>
          <w:szCs w:val="20"/>
          <w14:ligatures w14:val="none"/>
        </w:rPr>
        <w:t>Art. 23.  O art. 44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9.430, de 27 de dezembro de 1996, passa a vigorar acrescido do seguinte §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w:t>
      </w:r>
    </w:p>
    <w:p w14:paraId="6C90E4C7"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50" w:anchor="art44%C2%A75." w:history="1">
        <w:r w:rsidRPr="00C22FC1">
          <w:rPr>
            <w:rFonts w:ascii="Arial" w:eastAsia="Times New Roman" w:hAnsi="Arial" w:cs="Arial"/>
            <w:color w:val="0000FF"/>
            <w:kern w:val="0"/>
            <w:sz w:val="20"/>
            <w:szCs w:val="20"/>
            <w:u w:val="single"/>
            <w14:ligatures w14:val="none"/>
          </w:rPr>
          <w:t>“Art. 44.</w:t>
        </w:r>
      </w:hyperlink>
      <w:r w:rsidRPr="00C22FC1">
        <w:rPr>
          <w:rFonts w:ascii="Arial" w:eastAsia="Times New Roman" w:hAnsi="Arial" w:cs="Arial"/>
          <w:color w:val="000000"/>
          <w:kern w:val="0"/>
          <w:sz w:val="20"/>
          <w:szCs w:val="20"/>
          <w14:ligatures w14:val="none"/>
        </w:rPr>
        <w:t>  ........................................................................</w:t>
      </w:r>
    </w:p>
    <w:p w14:paraId="0DA5A719"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270826DA"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Aplica-se também, no caso de que seja comprovadamente constatado dolo ou má-fé do contribuinte, a multa de que trata o inciso I do caput sobre:</w:t>
      </w:r>
    </w:p>
    <w:p w14:paraId="7EC73895"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I - a parcela do imposto a restituir informado pelo contribuinte pessoa física, na Declaração de Ajuste Anual, que deixar de ser restituída por infração à legislação tributária; e</w:t>
      </w:r>
    </w:p>
    <w:p w14:paraId="3BD29F98"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(VETADO).” (NR)</w:t>
      </w:r>
    </w:p>
    <w:p w14:paraId="1A41609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3" w:name="art24"/>
      <w:bookmarkEnd w:id="23"/>
      <w:r w:rsidRPr="00C22FC1">
        <w:rPr>
          <w:rFonts w:ascii="Arial" w:eastAsia="Times New Roman" w:hAnsi="Arial" w:cs="Arial"/>
          <w:color w:val="000000"/>
          <w:kern w:val="0"/>
          <w:sz w:val="20"/>
          <w:szCs w:val="20"/>
          <w14:ligatures w14:val="none"/>
        </w:rPr>
        <w:t>Art. 24.  Sem prejuízo do disposto no </w:t>
      </w:r>
      <w:hyperlink r:id="rId51" w:anchor="art22" w:history="1">
        <w:r w:rsidRPr="00C22FC1">
          <w:rPr>
            <w:rFonts w:ascii="Arial" w:eastAsia="Times New Roman" w:hAnsi="Arial" w:cs="Arial"/>
            <w:color w:val="0000FF"/>
            <w:kern w:val="0"/>
            <w:sz w:val="20"/>
            <w:szCs w:val="20"/>
            <w:u w:val="single"/>
            <w14:ligatures w14:val="none"/>
          </w:rPr>
          <w:t>art. 22 da Lei nº 9.430, de 27 de dezembro de 1996,</w:t>
        </w:r>
      </w:hyperlink>
      <w:r w:rsidRPr="00C22FC1">
        <w:rPr>
          <w:rFonts w:ascii="Arial" w:eastAsia="Times New Roman" w:hAnsi="Arial" w:cs="Arial"/>
          <w:color w:val="000000"/>
          <w:kern w:val="0"/>
          <w:sz w:val="20"/>
          <w:szCs w:val="20"/>
          <w14:ligatures w14:val="none"/>
        </w:rPr>
        <w:t> os juros pagos ou creditados por fonte situada no Brasil à pessoa física ou jurídica, vinculada nos termos do </w:t>
      </w:r>
      <w:hyperlink r:id="rId52" w:anchor="art23" w:history="1">
        <w:r w:rsidRPr="00C22FC1">
          <w:rPr>
            <w:rFonts w:ascii="Arial" w:eastAsia="Times New Roman" w:hAnsi="Arial" w:cs="Arial"/>
            <w:color w:val="0000FF"/>
            <w:kern w:val="0"/>
            <w:sz w:val="20"/>
            <w:szCs w:val="20"/>
            <w:u w:val="single"/>
            <w14:ligatures w14:val="none"/>
          </w:rPr>
          <w:t>art. 23 da Lei nº 9.430, de 27 de dezembro de 1996,</w:t>
        </w:r>
      </w:hyperlink>
      <w:r w:rsidRPr="00C22FC1">
        <w:rPr>
          <w:rFonts w:ascii="Arial" w:eastAsia="Times New Roman" w:hAnsi="Arial" w:cs="Arial"/>
          <w:color w:val="000000"/>
          <w:kern w:val="0"/>
          <w:sz w:val="20"/>
          <w:szCs w:val="20"/>
          <w14:ligatures w14:val="none"/>
        </w:rPr>
        <w:t> residente ou domiciliada no exterior, não constituída em país ou dependência com tributação favorecida ou sob regime fiscal privilegiado, somente serão dedutíveis, para fins de determinação do lucro real e da base de cálculo da Contribuição Social sobre o Lucro Líquido, quando se verifique constituírem despesa necessária à atividade, conforme definido pelo </w:t>
      </w:r>
      <w:hyperlink r:id="rId53" w:anchor="art47" w:history="1">
        <w:r w:rsidRPr="00C22FC1">
          <w:rPr>
            <w:rFonts w:ascii="Arial" w:eastAsia="Times New Roman" w:hAnsi="Arial" w:cs="Arial"/>
            <w:color w:val="0000FF"/>
            <w:kern w:val="0"/>
            <w:sz w:val="20"/>
            <w:szCs w:val="20"/>
            <w:u w:val="single"/>
            <w14:ligatures w14:val="none"/>
          </w:rPr>
          <w:t>art. 47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4.506, de 30 de novembro de 1964</w:t>
        </w:r>
      </w:hyperlink>
      <w:r w:rsidRPr="00C22FC1">
        <w:rPr>
          <w:rFonts w:ascii="Arial" w:eastAsia="Times New Roman" w:hAnsi="Arial" w:cs="Arial"/>
          <w:color w:val="000000"/>
          <w:kern w:val="0"/>
          <w:sz w:val="20"/>
          <w:szCs w:val="20"/>
          <w14:ligatures w14:val="none"/>
        </w:rPr>
        <w:t>, no período de apuração, atendendo aos seguintes requisitos:</w:t>
      </w:r>
    </w:p>
    <w:p w14:paraId="59242B1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no caso de endividamento com pessoa jurídica vinculada no exterior que tenha participação societária na pessoa jurídica residente no Brasil, o valor do endividamento com a pessoa vinculada no exterior, verificado por ocasião da apropriação dos juros, não seja superior a 2 (duas) vezes o valor da participação da vinculada no patrimônio líquido da pessoa jurídica residente no Brasil;</w:t>
      </w:r>
    </w:p>
    <w:p w14:paraId="5B9528A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no caso de endividamento com pessoa jurídica vinculada no exterior que não tenha participação societária na pessoa jurídica residente no Brasil, o valor do endividamento com a pessoa vinculada no exterior, verificado por ocasião da apropriação dos juros, não seja superior a 2 (duas) vezes o valor do patrimônio líquido da pessoa jurídica residente no Brasil;</w:t>
      </w:r>
    </w:p>
    <w:p w14:paraId="04467E9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em qualquer dos casos previstos nos incisos I e II, o valor do somatório dos endividamentos com pessoas vinculadas no exterior, verificado por ocasião da apropriação dos juros, não seja superior a 2 (duas) vezes o valor do somatório das participações de todas as vinculadas no patrimônio líquido da pessoa jurídica residente no Brasil.</w:t>
      </w:r>
    </w:p>
    <w:p w14:paraId="1F7254F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efeito do cálculo do total de endividamento a que se refere o caput</w:t>
      </w:r>
      <w:r w:rsidRPr="00C22FC1">
        <w:rPr>
          <w:rFonts w:ascii="Arial" w:eastAsia="Times New Roman" w:hAnsi="Arial" w:cs="Arial"/>
          <w:i/>
          <w:iCs/>
          <w:color w:val="000000"/>
          <w:kern w:val="0"/>
          <w:sz w:val="20"/>
          <w:szCs w:val="20"/>
          <w14:ligatures w14:val="none"/>
        </w:rPr>
        <w:t> </w:t>
      </w:r>
      <w:r w:rsidRPr="00C22FC1">
        <w:rPr>
          <w:rFonts w:ascii="Arial" w:eastAsia="Times New Roman" w:hAnsi="Arial" w:cs="Arial"/>
          <w:color w:val="000000"/>
          <w:kern w:val="0"/>
          <w:sz w:val="20"/>
          <w:szCs w:val="20"/>
          <w14:ligatures w14:val="none"/>
        </w:rPr>
        <w:t>deste artigo, serão consideradas todas as formas e prazos de financiamento, independentemente de registro do contrato no Banco Central do Brasil.</w:t>
      </w:r>
    </w:p>
    <w:p w14:paraId="0032953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Aplica-se o disposto neste artigo às operações de endividamento de pessoa jurídica residente ou domiciliada no Brasil em que o avalista, fiador, procurador ou qualquer interveniente for pessoa vinculada.</w:t>
      </w:r>
    </w:p>
    <w:p w14:paraId="2F92769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Verificando-se excesso em relação aos limites fixados nos incisos I a III do caput deste artigo, o valor dos juros relativos ao excedente será considerado despesa não necessária à atividade da empresa, conforme definido pelo </w:t>
      </w:r>
      <w:hyperlink r:id="rId54" w:anchor="art47" w:history="1">
        <w:r w:rsidRPr="00C22FC1">
          <w:rPr>
            <w:rFonts w:ascii="Arial" w:eastAsia="Times New Roman" w:hAnsi="Arial" w:cs="Arial"/>
            <w:color w:val="0000FF"/>
            <w:kern w:val="0"/>
            <w:sz w:val="20"/>
            <w:szCs w:val="20"/>
            <w:u w:val="single"/>
            <w14:ligatures w14:val="none"/>
          </w:rPr>
          <w:t>art. 47 da Lei nº 4.506, de 30 de novembro de 1964,</w:t>
        </w:r>
      </w:hyperlink>
      <w:r w:rsidRPr="00C22FC1">
        <w:rPr>
          <w:rFonts w:ascii="Arial" w:eastAsia="Times New Roman" w:hAnsi="Arial" w:cs="Arial"/>
          <w:color w:val="000000"/>
          <w:kern w:val="0"/>
          <w:sz w:val="20"/>
          <w:szCs w:val="20"/>
          <w14:ligatures w14:val="none"/>
        </w:rPr>
        <w:t> e não dedutível para fins do Imposto de Renda e da Contribuição Social sobre o Lucro Líquido.</w:t>
      </w:r>
    </w:p>
    <w:p w14:paraId="20DCF12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Os valores do endividamento e da participação da vinculada no patrimônio líquido, a que se refere este artigo, serão apurados pela média ponderada mensal.</w:t>
      </w:r>
    </w:p>
    <w:p w14:paraId="571D1D8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disposto no inciso III do caput deste artigo não se aplica no caso de endividamento exclusivamente com pessoas vinculadas no exterior que não tenham participação societária na pessoa jurídica residente no Brasil.</w:t>
      </w:r>
    </w:p>
    <w:p w14:paraId="1303414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Na hipótese a que se refere o §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 o somatório dos valores de endividamento com todas as vinculadas sem participação no capital da entidade no Brasil, verificado por ocasião da apropriação dos juros, não poderá ser superior a 2 (duas) vezes o valor do patrimônio líquido da pessoa jurídica residente no Brasil.</w:t>
      </w:r>
    </w:p>
    <w:p w14:paraId="7EECFEB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disposto neste artigo não se aplica às operações de captação feitas no exterior por instituições de que trata o </w:t>
      </w:r>
      <w:hyperlink r:id="rId55" w:history="1">
        <w:r w:rsidRPr="00C22FC1">
          <w:rPr>
            <w:rFonts w:ascii="Arial" w:eastAsia="Times New Roman" w:hAnsi="Arial" w:cs="Arial"/>
            <w:color w:val="0000FF"/>
            <w:kern w:val="0"/>
            <w:sz w:val="20"/>
            <w:szCs w:val="20"/>
            <w:u w:val="single"/>
            <w14:ligatures w14:val="none"/>
          </w:rPr>
          <w:t>§ 1</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do art. 22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8.212, de 24 de julho de 1991</w:t>
        </w:r>
      </w:hyperlink>
      <w:r w:rsidRPr="00C22FC1">
        <w:rPr>
          <w:rFonts w:ascii="Arial" w:eastAsia="Times New Roman" w:hAnsi="Arial" w:cs="Arial"/>
          <w:color w:val="000000"/>
          <w:kern w:val="0"/>
          <w:sz w:val="20"/>
          <w:szCs w:val="20"/>
          <w14:ligatures w14:val="none"/>
        </w:rPr>
        <w:t xml:space="preserve">, para </w:t>
      </w:r>
      <w:r w:rsidRPr="00C22FC1">
        <w:rPr>
          <w:rFonts w:ascii="Arial" w:eastAsia="Times New Roman" w:hAnsi="Arial" w:cs="Arial"/>
          <w:color w:val="000000"/>
          <w:kern w:val="0"/>
          <w:sz w:val="20"/>
          <w:szCs w:val="20"/>
          <w14:ligatures w14:val="none"/>
        </w:rPr>
        <w:lastRenderedPageBreak/>
        <w:t>recursos captados no exterior e utilizados em operações de repasse, nos termos definidos pela Secretaria da Receita Federal do Brasil.</w:t>
      </w:r>
    </w:p>
    <w:p w14:paraId="64F480D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4" w:name="art25"/>
      <w:bookmarkEnd w:id="24"/>
      <w:r w:rsidRPr="00C22FC1">
        <w:rPr>
          <w:rFonts w:ascii="Arial" w:eastAsia="Times New Roman" w:hAnsi="Arial" w:cs="Arial"/>
          <w:color w:val="000000"/>
          <w:kern w:val="0"/>
          <w:sz w:val="20"/>
          <w:szCs w:val="20"/>
          <w14:ligatures w14:val="none"/>
        </w:rPr>
        <w:t>Art. 25.  Sem prejuízo do disposto no </w:t>
      </w:r>
      <w:hyperlink r:id="rId56" w:anchor="art22" w:history="1">
        <w:r w:rsidRPr="00C22FC1">
          <w:rPr>
            <w:rFonts w:ascii="Arial" w:eastAsia="Times New Roman" w:hAnsi="Arial" w:cs="Arial"/>
            <w:color w:val="0000FF"/>
            <w:kern w:val="0"/>
            <w:sz w:val="20"/>
            <w:szCs w:val="20"/>
            <w:u w:val="single"/>
            <w14:ligatures w14:val="none"/>
          </w:rPr>
          <w:t>art. 22 da Lei nº 9.430, de 27 de dezembro de 1996,</w:t>
        </w:r>
      </w:hyperlink>
      <w:r w:rsidRPr="00C22FC1">
        <w:rPr>
          <w:rFonts w:ascii="Arial" w:eastAsia="Times New Roman" w:hAnsi="Arial" w:cs="Arial"/>
          <w:color w:val="000000"/>
          <w:kern w:val="0"/>
          <w:sz w:val="20"/>
          <w:szCs w:val="20"/>
          <w14:ligatures w14:val="none"/>
        </w:rPr>
        <w:t> os juros pagos ou creditados por fonte situada no Brasil à pessoa física ou jurídica residente, domiciliada ou constituída no exterior, em país ou dependência com tributação favorecida ou sob regime fiscal privilegiado, nos termos dos </w:t>
      </w:r>
      <w:hyperlink r:id="rId57" w:anchor="art24" w:history="1">
        <w:r w:rsidRPr="00C22FC1">
          <w:rPr>
            <w:rFonts w:ascii="Arial" w:eastAsia="Times New Roman" w:hAnsi="Arial" w:cs="Arial"/>
            <w:color w:val="0000FF"/>
            <w:kern w:val="0"/>
            <w:sz w:val="20"/>
            <w:szCs w:val="20"/>
            <w:u w:val="single"/>
            <w14:ligatures w14:val="none"/>
          </w:rPr>
          <w:t>arts. 24</w:t>
        </w:r>
      </w:hyperlink>
      <w:r w:rsidRPr="00C22FC1">
        <w:rPr>
          <w:rFonts w:ascii="Arial" w:eastAsia="Times New Roman" w:hAnsi="Arial" w:cs="Arial"/>
          <w:color w:val="000000"/>
          <w:kern w:val="0"/>
          <w:sz w:val="20"/>
          <w:szCs w:val="20"/>
          <w14:ligatures w14:val="none"/>
        </w:rPr>
        <w:t> e </w:t>
      </w:r>
      <w:hyperlink r:id="rId58" w:anchor="art24a" w:history="1">
        <w:r w:rsidRPr="00C22FC1">
          <w:rPr>
            <w:rFonts w:ascii="Arial" w:eastAsia="Times New Roman" w:hAnsi="Arial" w:cs="Arial"/>
            <w:color w:val="0000FF"/>
            <w:kern w:val="0"/>
            <w:sz w:val="20"/>
            <w:szCs w:val="20"/>
            <w:u w:val="single"/>
            <w14:ligatures w14:val="none"/>
          </w:rPr>
          <w:t>24-A da Lei nº 9.430, de 27 de dezembro de 1996</w:t>
        </w:r>
      </w:hyperlink>
      <w:r w:rsidRPr="00C22FC1">
        <w:rPr>
          <w:rFonts w:ascii="Arial" w:eastAsia="Times New Roman" w:hAnsi="Arial" w:cs="Arial"/>
          <w:color w:val="000000"/>
          <w:kern w:val="0"/>
          <w:sz w:val="20"/>
          <w:szCs w:val="20"/>
          <w14:ligatures w14:val="none"/>
        </w:rPr>
        <w:t>, somente serão dedutíveis, para fins de determinação do lucro real e da base de cálculo da Contribuição Social sobre o Lucro Líquido, quando se verifique constituírem despesa necessária à atividade, conforme definido pelo </w:t>
      </w:r>
      <w:hyperlink r:id="rId59" w:anchor="art47" w:history="1">
        <w:r w:rsidRPr="00C22FC1">
          <w:rPr>
            <w:rFonts w:ascii="Arial" w:eastAsia="Times New Roman" w:hAnsi="Arial" w:cs="Arial"/>
            <w:color w:val="0000FF"/>
            <w:kern w:val="0"/>
            <w:sz w:val="20"/>
            <w:szCs w:val="20"/>
            <w:u w:val="single"/>
            <w14:ligatures w14:val="none"/>
          </w:rPr>
          <w:t>art. 47 da Lei nº 4.506, de 30 de novembro de 1964,</w:t>
        </w:r>
      </w:hyperlink>
      <w:r w:rsidRPr="00C22FC1">
        <w:rPr>
          <w:rFonts w:ascii="Arial" w:eastAsia="Times New Roman" w:hAnsi="Arial" w:cs="Arial"/>
          <w:color w:val="000000"/>
          <w:kern w:val="0"/>
          <w:sz w:val="20"/>
          <w:szCs w:val="20"/>
          <w14:ligatures w14:val="none"/>
        </w:rPr>
        <w:t> no período de apuração, atendendo cumulativamente ao requisito de que o valor total do somatório dos endividamentos com todas as entidades situadas em país ou dependência com tributação favorecida ou sob regime fiscal privilegiado não seja superior a 30% (trinta por cento) do valor do patrimônio líquido da pessoa jurídica residente no Brasil.</w:t>
      </w:r>
    </w:p>
    <w:p w14:paraId="13002B6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efeito do cálculo do total do endividamento a que se refere o caput</w:t>
      </w:r>
      <w:r w:rsidRPr="00C22FC1">
        <w:rPr>
          <w:rFonts w:ascii="Arial" w:eastAsia="Times New Roman" w:hAnsi="Arial" w:cs="Arial"/>
          <w:i/>
          <w:iCs/>
          <w:color w:val="000000"/>
          <w:kern w:val="0"/>
          <w:sz w:val="20"/>
          <w:szCs w:val="20"/>
          <w14:ligatures w14:val="none"/>
        </w:rPr>
        <w:t> </w:t>
      </w:r>
      <w:r w:rsidRPr="00C22FC1">
        <w:rPr>
          <w:rFonts w:ascii="Arial" w:eastAsia="Times New Roman" w:hAnsi="Arial" w:cs="Arial"/>
          <w:color w:val="000000"/>
          <w:kern w:val="0"/>
          <w:sz w:val="20"/>
          <w:szCs w:val="20"/>
          <w14:ligatures w14:val="none"/>
        </w:rPr>
        <w:t>deste artigo, serão consideradas todas as formas e prazos de financiamento, independentemente de registro do contrato no Banco Central do Brasil.</w:t>
      </w:r>
    </w:p>
    <w:p w14:paraId="088DB9B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Aplica-se o disposto neste artigo às operações de endividamento de pessoa jurídica residente ou domiciliada no Brasil em que o avalista, fiador, procurador ou qualquer interveniente for residente ou constituído em país ou dependência com tributação favorecida ou sob regime fiscal privilegiado.</w:t>
      </w:r>
    </w:p>
    <w:p w14:paraId="401AEDF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Verificando-se excesso em relação ao limite fixado no caput deste artigo, o valor dos juros relativos ao excedente será considerado despesa não necessária à atividade da empresa, conforme definido pelo </w:t>
      </w:r>
      <w:hyperlink r:id="rId60" w:anchor="art47" w:history="1">
        <w:r w:rsidRPr="00C22FC1">
          <w:rPr>
            <w:rFonts w:ascii="Arial" w:eastAsia="Times New Roman" w:hAnsi="Arial" w:cs="Arial"/>
            <w:color w:val="0000FF"/>
            <w:kern w:val="0"/>
            <w:sz w:val="20"/>
            <w:szCs w:val="20"/>
            <w:u w:val="single"/>
            <w14:ligatures w14:val="none"/>
          </w:rPr>
          <w:t>art. 47 da Lei nº 4.506, de 30 de novembro de 1964</w:t>
        </w:r>
      </w:hyperlink>
      <w:r w:rsidRPr="00C22FC1">
        <w:rPr>
          <w:rFonts w:ascii="Arial" w:eastAsia="Times New Roman" w:hAnsi="Arial" w:cs="Arial"/>
          <w:color w:val="000000"/>
          <w:kern w:val="0"/>
          <w:sz w:val="20"/>
          <w:szCs w:val="20"/>
          <w14:ligatures w14:val="none"/>
        </w:rPr>
        <w:t>, e não dedutível para fins do Imposto de Renda e da Contribuição Social sobre o Lucro Líquido.</w:t>
      </w:r>
    </w:p>
    <w:p w14:paraId="6427C49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Os valores do endividamento e do patrimônio líquido a que se refere este artigo serão apurados pela média ponderada mensal.</w:t>
      </w:r>
    </w:p>
    <w:p w14:paraId="64ADC6F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disposto neste artigo não se aplica às operações de captação feitas no exterior por instituições de que trata o </w:t>
      </w:r>
      <w:hyperlink r:id="rId61" w:anchor="art22%C2%A71" w:history="1">
        <w:r w:rsidRPr="00C22FC1">
          <w:rPr>
            <w:rFonts w:ascii="Arial" w:eastAsia="Times New Roman" w:hAnsi="Arial" w:cs="Arial"/>
            <w:color w:val="0000FF"/>
            <w:kern w:val="0"/>
            <w:sz w:val="20"/>
            <w:szCs w:val="20"/>
            <w:u w:val="single"/>
            <w14:ligatures w14:val="none"/>
          </w:rPr>
          <w:t>§ 1</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do art. 22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8.212, de 24 de julho de 1991</w:t>
        </w:r>
      </w:hyperlink>
      <w:r w:rsidRPr="00C22FC1">
        <w:rPr>
          <w:rFonts w:ascii="Arial" w:eastAsia="Times New Roman" w:hAnsi="Arial" w:cs="Arial"/>
          <w:color w:val="000000"/>
          <w:kern w:val="0"/>
          <w:sz w:val="20"/>
          <w:szCs w:val="20"/>
          <w14:ligatures w14:val="none"/>
        </w:rPr>
        <w:t>, para recursos captados no exterior e utilizados em operações de repasse, nos termos definidos pela Secretaria da Receita Federal do Brasil.</w:t>
      </w:r>
    </w:p>
    <w:p w14:paraId="79B70A6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5" w:name="art26"/>
      <w:bookmarkEnd w:id="25"/>
      <w:r w:rsidRPr="00C22FC1">
        <w:rPr>
          <w:rFonts w:ascii="Arial" w:eastAsia="Times New Roman" w:hAnsi="Arial" w:cs="Arial"/>
          <w:color w:val="000000"/>
          <w:kern w:val="0"/>
          <w:sz w:val="20"/>
          <w:szCs w:val="20"/>
          <w14:ligatures w14:val="none"/>
        </w:rPr>
        <w:t>Art. 26.  Sem prejuízo das normas do Imposto sobre a Renda da Pessoa Jurídica - IRPJ, não são dedutíveis, na determinação do lucro real e da base de cálculo da Contribuição Social sobre o Lucro Líquido, as importâncias pagas, creditadas, entregues, empregadas ou remetidas a qualquer título, direta ou indiretamente, a pessoas físicas ou jurídicas residentes ou constituídas no exterior e submetidas a um tratamento de país ou dependência com tributação favorecida ou sob regime fiscal privilegiado, na forma dos </w:t>
      </w:r>
      <w:hyperlink r:id="rId62" w:anchor="art24" w:history="1">
        <w:r w:rsidRPr="00C22FC1">
          <w:rPr>
            <w:rFonts w:ascii="Arial" w:eastAsia="Times New Roman" w:hAnsi="Arial" w:cs="Arial"/>
            <w:color w:val="0000FF"/>
            <w:kern w:val="0"/>
            <w:sz w:val="20"/>
            <w:szCs w:val="20"/>
            <w:u w:val="single"/>
            <w14:ligatures w14:val="none"/>
          </w:rPr>
          <w:t>arts. 24</w:t>
        </w:r>
      </w:hyperlink>
      <w:r w:rsidRPr="00C22FC1">
        <w:rPr>
          <w:rFonts w:ascii="Arial" w:eastAsia="Times New Roman" w:hAnsi="Arial" w:cs="Arial"/>
          <w:color w:val="000000"/>
          <w:kern w:val="0"/>
          <w:sz w:val="20"/>
          <w:szCs w:val="20"/>
          <w14:ligatures w14:val="none"/>
        </w:rPr>
        <w:t> e </w:t>
      </w:r>
      <w:hyperlink r:id="rId63" w:anchor="art24a" w:history="1">
        <w:r w:rsidRPr="00C22FC1">
          <w:rPr>
            <w:rFonts w:ascii="Arial" w:eastAsia="Times New Roman" w:hAnsi="Arial" w:cs="Arial"/>
            <w:color w:val="0000FF"/>
            <w:kern w:val="0"/>
            <w:sz w:val="20"/>
            <w:szCs w:val="20"/>
            <w:u w:val="single"/>
            <w14:ligatures w14:val="none"/>
          </w:rPr>
          <w:t>24-A da Lei nº 9.430, de 27 de dezembro de 1996</w:t>
        </w:r>
      </w:hyperlink>
      <w:r w:rsidRPr="00C22FC1">
        <w:rPr>
          <w:rFonts w:ascii="Arial" w:eastAsia="Times New Roman" w:hAnsi="Arial" w:cs="Arial"/>
          <w:color w:val="000000"/>
          <w:kern w:val="0"/>
          <w:sz w:val="20"/>
          <w:szCs w:val="20"/>
          <w14:ligatures w14:val="none"/>
        </w:rPr>
        <w:t>, salvo se houver, cumulativamente:</w:t>
      </w:r>
    </w:p>
    <w:p w14:paraId="7E18253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a identificação do efetivo beneficiário da entidade no exterior, destinatário dessas importâncias;</w:t>
      </w:r>
    </w:p>
    <w:p w14:paraId="7F5836D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a comprovação da capacidade operacional da pessoa física ou entidade no exterior de realizar a operação; e</w:t>
      </w:r>
    </w:p>
    <w:p w14:paraId="763CFF8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a comprovação documental do pagamento do preço respectivo e do recebimento dos bens e direitos ou da utilização de serviço.</w:t>
      </w:r>
    </w:p>
    <w:p w14:paraId="1D235F5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efeito do disposto no inciso I do caput</w:t>
      </w:r>
      <w:r w:rsidRPr="00C22FC1">
        <w:rPr>
          <w:rFonts w:ascii="Arial" w:eastAsia="Times New Roman" w:hAnsi="Arial" w:cs="Arial"/>
          <w:i/>
          <w:iCs/>
          <w:color w:val="000000"/>
          <w:kern w:val="0"/>
          <w:sz w:val="20"/>
          <w:szCs w:val="20"/>
          <w14:ligatures w14:val="none"/>
        </w:rPr>
        <w:t> </w:t>
      </w:r>
      <w:r w:rsidRPr="00C22FC1">
        <w:rPr>
          <w:rFonts w:ascii="Arial" w:eastAsia="Times New Roman" w:hAnsi="Arial" w:cs="Arial"/>
          <w:color w:val="000000"/>
          <w:kern w:val="0"/>
          <w:sz w:val="20"/>
          <w:szCs w:val="20"/>
          <w14:ligatures w14:val="none"/>
        </w:rPr>
        <w:t>deste artigo, considerar-se-á como efetivo beneficiário a pessoa física ou jurídica não constituída com o único ou principal objetivo de economia tributária que auferir esses valores por sua própria conta e não como agente, administrador fiduciário ou mandatário por conta de terceiro.</w:t>
      </w:r>
    </w:p>
    <w:p w14:paraId="710C83B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disposto neste artigo não se aplica ao pagamento de juros sobre o capital próprio de que trata o </w:t>
      </w:r>
      <w:hyperlink r:id="rId64" w:anchor="art9" w:history="1">
        <w:r w:rsidRPr="00C22FC1">
          <w:rPr>
            <w:rFonts w:ascii="Arial" w:eastAsia="Times New Roman" w:hAnsi="Arial" w:cs="Arial"/>
            <w:color w:val="0000FF"/>
            <w:kern w:val="0"/>
            <w:sz w:val="20"/>
            <w:szCs w:val="20"/>
            <w:u w:val="single"/>
            <w14:ligatures w14:val="none"/>
          </w:rPr>
          <w:t>art. 9</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9.249, de 26 de dezembro de 1995.</w:t>
        </w:r>
      </w:hyperlink>
    </w:p>
    <w:p w14:paraId="0825BC6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comprovação do disposto no inciso II do caput</w:t>
      </w:r>
      <w:r w:rsidRPr="00C22FC1">
        <w:rPr>
          <w:rFonts w:ascii="Arial" w:eastAsia="Times New Roman" w:hAnsi="Arial" w:cs="Arial"/>
          <w:i/>
          <w:iCs/>
          <w:color w:val="000000"/>
          <w:kern w:val="0"/>
          <w:sz w:val="20"/>
          <w:szCs w:val="20"/>
          <w14:ligatures w14:val="none"/>
        </w:rPr>
        <w:t> </w:t>
      </w:r>
      <w:r w:rsidRPr="00C22FC1">
        <w:rPr>
          <w:rFonts w:ascii="Arial" w:eastAsia="Times New Roman" w:hAnsi="Arial" w:cs="Arial"/>
          <w:color w:val="000000"/>
          <w:kern w:val="0"/>
          <w:sz w:val="20"/>
          <w:szCs w:val="20"/>
          <w14:ligatures w14:val="none"/>
        </w:rPr>
        <w:t>deste artigo não se aplica no caso de operações:</w:t>
      </w:r>
    </w:p>
    <w:p w14:paraId="2ABA7D3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que não tenham sido efetuadas com o único ou principal objetivo de economia tributária; e</w:t>
      </w:r>
    </w:p>
    <w:p w14:paraId="4F63464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cuja beneficiária das importâncias pagas, creditadas, entregues, empregadas ou remetidas a título de juros seja subsidiária integral, filial ou sucursal da pessoa jurídica remetente domiciliada no Brasil e tenha seus lucros tributados na forma do </w:t>
      </w:r>
      <w:hyperlink r:id="rId65" w:anchor="art74" w:history="1">
        <w:r w:rsidRPr="00C22FC1">
          <w:rPr>
            <w:rFonts w:ascii="Arial" w:eastAsia="Times New Roman" w:hAnsi="Arial" w:cs="Arial"/>
            <w:color w:val="0000FF"/>
            <w:kern w:val="0"/>
            <w:sz w:val="20"/>
            <w:szCs w:val="20"/>
            <w:u w:val="single"/>
            <w14:ligatures w14:val="none"/>
          </w:rPr>
          <w:t>art. 74 da Medida Provisória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2.158-35, de 24 de agosto de 2001</w:t>
        </w:r>
      </w:hyperlink>
      <w:r w:rsidRPr="00C22FC1">
        <w:rPr>
          <w:rFonts w:ascii="Arial" w:eastAsia="Times New Roman" w:hAnsi="Arial" w:cs="Arial"/>
          <w:color w:val="000000"/>
          <w:kern w:val="0"/>
          <w:sz w:val="20"/>
          <w:szCs w:val="20"/>
          <w14:ligatures w14:val="none"/>
        </w:rPr>
        <w:t>.</w:t>
      </w:r>
    </w:p>
    <w:p w14:paraId="2E8B153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6" w:name="art27"/>
      <w:bookmarkEnd w:id="26"/>
      <w:r w:rsidRPr="00C22FC1">
        <w:rPr>
          <w:rFonts w:ascii="Arial" w:eastAsia="Times New Roman" w:hAnsi="Arial" w:cs="Arial"/>
          <w:color w:val="000000"/>
          <w:kern w:val="0"/>
          <w:sz w:val="20"/>
          <w:szCs w:val="20"/>
          <w14:ligatures w14:val="none"/>
        </w:rPr>
        <w:t>Art. 27.  A transferência do domicílio fiscal da pessoa física residente e domiciliada no Brasil para país ou dependência com tributação favorecida ou regime fiscal privilegiado, nos termos a que se referem, respectivamente, os </w:t>
      </w:r>
      <w:hyperlink r:id="rId66" w:anchor="art24" w:history="1">
        <w:r w:rsidRPr="00C22FC1">
          <w:rPr>
            <w:rFonts w:ascii="Arial" w:eastAsia="Times New Roman" w:hAnsi="Arial" w:cs="Arial"/>
            <w:color w:val="0000FF"/>
            <w:kern w:val="0"/>
            <w:sz w:val="20"/>
            <w:szCs w:val="20"/>
            <w:u w:val="single"/>
            <w14:ligatures w14:val="none"/>
          </w:rPr>
          <w:t>arts. 24</w:t>
        </w:r>
      </w:hyperlink>
      <w:r w:rsidRPr="00C22FC1">
        <w:rPr>
          <w:rFonts w:ascii="Arial" w:eastAsia="Times New Roman" w:hAnsi="Arial" w:cs="Arial"/>
          <w:color w:val="000000"/>
          <w:kern w:val="0"/>
          <w:sz w:val="20"/>
          <w:szCs w:val="20"/>
          <w14:ligatures w14:val="none"/>
        </w:rPr>
        <w:t> e </w:t>
      </w:r>
      <w:hyperlink r:id="rId67" w:anchor="art24a" w:history="1">
        <w:r w:rsidRPr="00C22FC1">
          <w:rPr>
            <w:rFonts w:ascii="Arial" w:eastAsia="Times New Roman" w:hAnsi="Arial" w:cs="Arial"/>
            <w:color w:val="0000FF"/>
            <w:kern w:val="0"/>
            <w:sz w:val="20"/>
            <w:szCs w:val="20"/>
            <w:u w:val="single"/>
            <w14:ligatures w14:val="none"/>
          </w:rPr>
          <w:t>24-A da Lei nº 9.430, de 27 de dezembro de 1996</w:t>
        </w:r>
      </w:hyperlink>
      <w:r w:rsidRPr="00C22FC1">
        <w:rPr>
          <w:rFonts w:ascii="Arial" w:eastAsia="Times New Roman" w:hAnsi="Arial" w:cs="Arial"/>
          <w:color w:val="000000"/>
          <w:kern w:val="0"/>
          <w:sz w:val="20"/>
          <w:szCs w:val="20"/>
          <w14:ligatures w14:val="none"/>
        </w:rPr>
        <w:t>, somente terá seus efeitos reconhecidos a partir da data em que o contribuinte comprove:</w:t>
      </w:r>
    </w:p>
    <w:p w14:paraId="28B8A9A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ser residente de fato naquele país ou dependência; ou</w:t>
      </w:r>
    </w:p>
    <w:p w14:paraId="4F5155F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sujeitar-se a imposto sobre a totalidade dos rendimentos do trabalho e do capital, bem como o efetivo pagamento desse imposto.</w:t>
      </w:r>
    </w:p>
    <w:p w14:paraId="7E5CC17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Consideram-se residentes de fato, para os fins do disposto no inciso I do caput deste artigo, as pessoas físicas que tenham efetivamente permanecido no país ou dependência por mais de 183 (cento e oitenta e três) dias, consecutivos ou não, no período de até 12 (doze) meses, ou que comprovem ali se localizarem a residência habitual de sua família e a maior parte de seu patrimônio.</w:t>
      </w:r>
    </w:p>
    <w:p w14:paraId="477619E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7" w:name="art28"/>
      <w:bookmarkEnd w:id="27"/>
      <w:r w:rsidRPr="00C22FC1">
        <w:rPr>
          <w:rFonts w:ascii="Arial" w:eastAsia="Times New Roman" w:hAnsi="Arial" w:cs="Arial"/>
          <w:color w:val="000000"/>
          <w:kern w:val="0"/>
          <w:sz w:val="20"/>
          <w:szCs w:val="20"/>
          <w14:ligatures w14:val="none"/>
        </w:rPr>
        <w:t>Art. 28.  O §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do art.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10.865, de 30 de abril de 2004, passa a vigorar com a seguinte redação:     </w:t>
      </w:r>
      <w:hyperlink r:id="rId68" w:anchor="art139" w:history="1">
        <w:r w:rsidRPr="00C22FC1">
          <w:rPr>
            <w:rFonts w:ascii="Arial" w:eastAsia="Times New Roman" w:hAnsi="Arial" w:cs="Arial"/>
            <w:color w:val="0000FF"/>
            <w:kern w:val="0"/>
            <w:sz w:val="20"/>
            <w:szCs w:val="20"/>
            <w:u w:val="single"/>
            <w14:ligatures w14:val="none"/>
          </w:rPr>
          <w:t>(Produção de efeito)</w:t>
        </w:r>
      </w:hyperlink>
    </w:p>
    <w:p w14:paraId="18CC13D3"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69" w:anchor="art7%C2%A71." w:history="1">
        <w:r w:rsidRPr="00C22FC1">
          <w:rPr>
            <w:rFonts w:ascii="Arial" w:eastAsia="Times New Roman" w:hAnsi="Arial" w:cs="Arial"/>
            <w:color w:val="0000FF"/>
            <w:kern w:val="0"/>
            <w:sz w:val="20"/>
            <w:szCs w:val="20"/>
            <w:u w:val="single"/>
            <w14:ligatures w14:val="none"/>
          </w:rPr>
          <w:t>“Art. 7</w:t>
        </w:r>
        <w:r w:rsidRPr="00C22FC1">
          <w:rPr>
            <w:rFonts w:ascii="Arial" w:eastAsia="Times New Roman" w:hAnsi="Arial" w:cs="Arial"/>
            <w:color w:val="0000FF"/>
            <w:kern w:val="0"/>
            <w:sz w:val="20"/>
            <w:szCs w:val="20"/>
            <w:u w:val="single"/>
            <w:vertAlign w:val="superscript"/>
            <w14:ligatures w14:val="none"/>
          </w:rPr>
          <w:t>o</w:t>
        </w:r>
      </w:hyperlink>
      <w:r w:rsidRPr="00C22FC1">
        <w:rPr>
          <w:rFonts w:ascii="Arial" w:eastAsia="Times New Roman" w:hAnsi="Arial" w:cs="Arial"/>
          <w:color w:val="000000"/>
          <w:kern w:val="0"/>
          <w:sz w:val="20"/>
          <w:szCs w:val="20"/>
          <w14:ligatures w14:val="none"/>
        </w:rPr>
        <w:t>  .........................................................................</w:t>
      </w:r>
    </w:p>
    <w:p w14:paraId="682150E1"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base de cálculo das contribuições incidentes sobre prêmios de resseguro cedidos ao exterior é de 15% (quinze por cento) do valor pago, creditado, entregue, empregado ou remetido.</w:t>
      </w:r>
    </w:p>
    <w:p w14:paraId="6128AFAA"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(NR)</w:t>
      </w:r>
    </w:p>
    <w:p w14:paraId="70E7E41F"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CAPÍTULO V </w:t>
      </w:r>
      <w:r w:rsidRPr="00C22FC1">
        <w:rPr>
          <w:rFonts w:ascii="Arial" w:eastAsia="Times New Roman" w:hAnsi="Arial" w:cs="Arial"/>
          <w:color w:val="000000"/>
          <w:kern w:val="0"/>
          <w:sz w:val="20"/>
          <w:szCs w:val="20"/>
          <w14:ligatures w14:val="none"/>
        </w:rPr>
        <w:br/>
      </w:r>
      <w:hyperlink r:id="rId70" w:anchor="art16" w:history="1">
        <w:r w:rsidRPr="00C22FC1">
          <w:rPr>
            <w:rFonts w:ascii="Arial" w:eastAsia="Times New Roman" w:hAnsi="Arial" w:cs="Arial"/>
            <w:color w:val="0000FF"/>
            <w:kern w:val="0"/>
            <w:sz w:val="20"/>
            <w:szCs w:val="20"/>
            <w:u w:val="single"/>
            <w14:ligatures w14:val="none"/>
          </w:rPr>
          <w:t>(Vide Lei nº 12.598, de 2012)</w:t>
        </w:r>
      </w:hyperlink>
    </w:p>
    <w:p w14:paraId="0B277186"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DO REGIME ESPECIAL PARA A INDÚSTRIA AERONÁUTICA BRASILEIRA - RETAERO</w:t>
      </w:r>
    </w:p>
    <w:p w14:paraId="033AE9B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8" w:name="art29"/>
      <w:bookmarkEnd w:id="28"/>
      <w:r w:rsidRPr="00C22FC1">
        <w:rPr>
          <w:rFonts w:ascii="Arial" w:eastAsia="Times New Roman" w:hAnsi="Arial" w:cs="Arial"/>
          <w:color w:val="000000"/>
          <w:kern w:val="0"/>
          <w:sz w:val="20"/>
          <w:szCs w:val="20"/>
          <w14:ligatures w14:val="none"/>
        </w:rPr>
        <w:t>Art. 29.  Fica instituído o Regime Especial para a Indústria Aeronáutica Brasileira - RETAERO, nos termos desta Lei.      </w:t>
      </w:r>
      <w:hyperlink r:id="rId71" w:anchor="art139" w:history="1">
        <w:r w:rsidRPr="00C22FC1">
          <w:rPr>
            <w:rFonts w:ascii="Arial" w:eastAsia="Times New Roman" w:hAnsi="Arial" w:cs="Arial"/>
            <w:color w:val="0000FF"/>
            <w:kern w:val="0"/>
            <w:sz w:val="20"/>
            <w:szCs w:val="20"/>
            <w:u w:val="single"/>
            <w14:ligatures w14:val="none"/>
          </w:rPr>
          <w:t>(Produção de efeito)</w:t>
        </w:r>
      </w:hyperlink>
      <w:r w:rsidRPr="00C22FC1">
        <w:rPr>
          <w:rFonts w:ascii="Arial" w:eastAsia="Times New Roman" w:hAnsi="Arial" w:cs="Arial"/>
          <w:color w:val="000000"/>
          <w:kern w:val="0"/>
          <w:sz w:val="20"/>
          <w:szCs w:val="20"/>
          <w14:ligatures w14:val="none"/>
        </w:rPr>
        <w:t>         </w:t>
      </w:r>
      <w:hyperlink r:id="rId72" w:history="1">
        <w:r w:rsidRPr="00C22FC1">
          <w:rPr>
            <w:rFonts w:ascii="Arial" w:eastAsia="Times New Roman" w:hAnsi="Arial" w:cs="Arial"/>
            <w:color w:val="0000FF"/>
            <w:kern w:val="0"/>
            <w:sz w:val="20"/>
            <w:szCs w:val="20"/>
            <w:u w:val="single"/>
            <w14:ligatures w14:val="none"/>
          </w:rPr>
          <w:t>(Vide Decreto nº 7.451, de 2011)</w:t>
        </w:r>
      </w:hyperlink>
    </w:p>
    <w:p w14:paraId="0623CDC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9" w:name="art30"/>
      <w:bookmarkEnd w:id="29"/>
      <w:r w:rsidRPr="00C22FC1">
        <w:rPr>
          <w:rFonts w:ascii="Arial" w:eastAsia="Times New Roman" w:hAnsi="Arial" w:cs="Arial"/>
          <w:color w:val="000000"/>
          <w:kern w:val="0"/>
          <w:sz w:val="20"/>
          <w:szCs w:val="20"/>
          <w14:ligatures w14:val="none"/>
        </w:rPr>
        <w:t>Art. 30.  São beneficiárias do Retaero:      </w:t>
      </w:r>
      <w:hyperlink r:id="rId73" w:anchor="art139" w:history="1">
        <w:r w:rsidRPr="00C22FC1">
          <w:rPr>
            <w:rFonts w:ascii="Arial" w:eastAsia="Times New Roman" w:hAnsi="Arial" w:cs="Arial"/>
            <w:color w:val="0000FF"/>
            <w:kern w:val="0"/>
            <w:sz w:val="20"/>
            <w:szCs w:val="20"/>
            <w:u w:val="single"/>
            <w14:ligatures w14:val="none"/>
          </w:rPr>
          <w:t>(Produção de efeito)</w:t>
        </w:r>
      </w:hyperlink>
      <w:r w:rsidRPr="00C22FC1">
        <w:rPr>
          <w:rFonts w:ascii="Arial" w:eastAsia="Times New Roman" w:hAnsi="Arial" w:cs="Arial"/>
          <w:color w:val="000000"/>
          <w:kern w:val="0"/>
          <w:sz w:val="20"/>
          <w:szCs w:val="20"/>
          <w14:ligatures w14:val="none"/>
        </w:rPr>
        <w:t>         </w:t>
      </w:r>
      <w:hyperlink r:id="rId74" w:history="1">
        <w:r w:rsidRPr="00C22FC1">
          <w:rPr>
            <w:rFonts w:ascii="Arial" w:eastAsia="Times New Roman" w:hAnsi="Arial" w:cs="Arial"/>
            <w:color w:val="0000FF"/>
            <w:kern w:val="0"/>
            <w:sz w:val="20"/>
            <w:szCs w:val="20"/>
            <w:u w:val="single"/>
            <w14:ligatures w14:val="none"/>
          </w:rPr>
          <w:t>(Vide Decreto nº 7.451, de 2011)</w:t>
        </w:r>
      </w:hyperlink>
    </w:p>
    <w:p w14:paraId="2699C75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xml:space="preserve">I - a pessoa jurídica que produza partes, peças, ferramentais, componentes, equipamentos, sistemas, subsistemas, insumos e matérias-primas, ou preste serviços referidos no art. 32, a serem empregados na manutenção, conservação, modernização, reparo, revisão, </w:t>
      </w:r>
      <w:r w:rsidRPr="00C22FC1">
        <w:rPr>
          <w:rFonts w:ascii="Arial" w:eastAsia="Times New Roman" w:hAnsi="Arial" w:cs="Arial"/>
          <w:color w:val="000000"/>
          <w:kern w:val="0"/>
          <w:sz w:val="20"/>
          <w:szCs w:val="20"/>
          <w14:ligatures w14:val="none"/>
        </w:rPr>
        <w:lastRenderedPageBreak/>
        <w:t>conversão e industrialização das aeronaves classificadas na posição 88.02 da Nomenclatura Comum do Mercosul - NCM;</w:t>
      </w:r>
    </w:p>
    <w:p w14:paraId="748093E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a pessoa jurídica que produza bens ou preste os serviços referidos no art. 32 desta Lei, utilizados como insumo na produção de bens referidos no inciso I.</w:t>
      </w:r>
    </w:p>
    <w:p w14:paraId="03B80BC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No caso do inciso II, somente poderá ser habilitada ao Retaero a pessoa jurídica preponderantemente fornecedora de pessoas jurídicas referidas no inciso I do caput.</w:t>
      </w:r>
    </w:p>
    <w:p w14:paraId="46A8D2B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Considera-se pessoa jurídica preponderantemente fornecedora, de que trata o §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aquela que tenha 70% (setenta por cento) ou mais de sua receita total de venda de bens e serviços, no ano-calendário imediatamente anterior ao da habilitação, decorrente do somatório das vendas:</w:t>
      </w:r>
    </w:p>
    <w:p w14:paraId="55A7C4B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às pessoas jurídicas referidas no inciso I do caput;</w:t>
      </w:r>
    </w:p>
    <w:p w14:paraId="20336AD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a pessoas jurídicas fabricantes de aeronaves classificadas na posição 88.02 da NCM; e</w:t>
      </w:r>
    </w:p>
    <w:p w14:paraId="6F968E5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de exportação para o exterior.</w:t>
      </w:r>
    </w:p>
    <w:p w14:paraId="7DDEE64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os fins do §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exclui-se do cálculo da receita o valor dos impostos e contribuições incidentes sobre a venda.</w:t>
      </w:r>
    </w:p>
    <w:p w14:paraId="6B355A2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(VETADO).</w:t>
      </w:r>
    </w:p>
    <w:p w14:paraId="78D0901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fruição dos benefícios do Retaero condiciona-se ao atendimento cumulativo, pela pessoa jurídica, dos seguintes requisitos:</w:t>
      </w:r>
    </w:p>
    <w:p w14:paraId="7433A66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cumprimento das normas de homologação aeronáutica editadas no âmbito do Sistema de Segurança de Voo;</w:t>
      </w:r>
    </w:p>
    <w:p w14:paraId="7C84A41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prévia habilitação na Secretaria da Receita Federal do Brasil;</w:t>
      </w:r>
    </w:p>
    <w:p w14:paraId="079840B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regularidade fiscal em relação aos impostos e contribuições administradas pela Secretaria da Receita Federal do Brasil.</w:t>
      </w:r>
    </w:p>
    <w:p w14:paraId="76F7095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As pessoas jurídicas optantes pelo Regime Especial Unificado de Arrecadação de Tributos e Contribuições devidos pelas Microempresas e Empresas de Pequeno Porte - Simples Nacional, de que trata a </w:t>
      </w:r>
      <w:hyperlink r:id="rId75" w:history="1">
        <w:r w:rsidRPr="00C22FC1">
          <w:rPr>
            <w:rFonts w:ascii="Arial" w:eastAsia="Times New Roman" w:hAnsi="Arial" w:cs="Arial"/>
            <w:color w:val="0000FF"/>
            <w:kern w:val="0"/>
            <w:sz w:val="20"/>
            <w:szCs w:val="20"/>
            <w:u w:val="single"/>
            <w14:ligatures w14:val="none"/>
          </w:rPr>
          <w:t>Lei Complementar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123, de 14 de dezembro de 2006,</w:t>
        </w:r>
      </w:hyperlink>
      <w:r w:rsidRPr="00C22FC1">
        <w:rPr>
          <w:rFonts w:ascii="Arial" w:eastAsia="Times New Roman" w:hAnsi="Arial" w:cs="Arial"/>
          <w:color w:val="000000"/>
          <w:kern w:val="0"/>
          <w:sz w:val="20"/>
          <w:szCs w:val="20"/>
          <w14:ligatures w14:val="none"/>
        </w:rPr>
        <w:t> e as pessoas jurídicas de que tratam o </w:t>
      </w:r>
      <w:hyperlink r:id="rId76" w:anchor="art8ii" w:history="1">
        <w:r w:rsidRPr="00C22FC1">
          <w:rPr>
            <w:rFonts w:ascii="Arial" w:eastAsia="Times New Roman" w:hAnsi="Arial" w:cs="Arial"/>
            <w:color w:val="0000FF"/>
            <w:kern w:val="0"/>
            <w:sz w:val="20"/>
            <w:szCs w:val="20"/>
            <w:u w:val="single"/>
            <w14:ligatures w14:val="none"/>
          </w:rPr>
          <w:t>inciso II do art. 8</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10.637, de 30 de dezembro de 2002</w:t>
        </w:r>
      </w:hyperlink>
      <w:r w:rsidRPr="00C22FC1">
        <w:rPr>
          <w:rFonts w:ascii="Arial" w:eastAsia="Times New Roman" w:hAnsi="Arial" w:cs="Arial"/>
          <w:color w:val="000000"/>
          <w:kern w:val="0"/>
          <w:sz w:val="20"/>
          <w:szCs w:val="20"/>
          <w14:ligatures w14:val="none"/>
        </w:rPr>
        <w:t>, e o </w:t>
      </w:r>
      <w:hyperlink r:id="rId77" w:anchor="art10ii" w:history="1">
        <w:r w:rsidRPr="00C22FC1">
          <w:rPr>
            <w:rFonts w:ascii="Arial" w:eastAsia="Times New Roman" w:hAnsi="Arial" w:cs="Arial"/>
            <w:color w:val="0000FF"/>
            <w:kern w:val="0"/>
            <w:sz w:val="20"/>
            <w:szCs w:val="20"/>
            <w:u w:val="single"/>
            <w14:ligatures w14:val="none"/>
          </w:rPr>
          <w:t>inciso II do art. 10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10.833, de 29 de dezembro de 2003</w:t>
        </w:r>
      </w:hyperlink>
      <w:r w:rsidRPr="00C22FC1">
        <w:rPr>
          <w:rFonts w:ascii="Arial" w:eastAsia="Times New Roman" w:hAnsi="Arial" w:cs="Arial"/>
          <w:color w:val="000000"/>
          <w:kern w:val="0"/>
          <w:sz w:val="20"/>
          <w:szCs w:val="20"/>
          <w14:ligatures w14:val="none"/>
        </w:rPr>
        <w:t>, não podem habilitar-se ao Retaero.</w:t>
      </w:r>
    </w:p>
    <w:p w14:paraId="7E2E212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À pessoa jurídica beneficiária do Retaero não se aplica o disposto no </w:t>
      </w:r>
      <w:hyperlink r:id="rId78" w:anchor="art8%C2%A712vii" w:history="1">
        <w:r w:rsidRPr="00C22FC1">
          <w:rPr>
            <w:rFonts w:ascii="Arial" w:eastAsia="Times New Roman" w:hAnsi="Arial" w:cs="Arial"/>
            <w:color w:val="0000FF"/>
            <w:kern w:val="0"/>
            <w:sz w:val="20"/>
            <w:szCs w:val="20"/>
            <w:u w:val="single"/>
            <w14:ligatures w14:val="none"/>
          </w:rPr>
          <w:t>inciso VII do § 12 do art. 8</w:t>
        </w:r>
        <w:r w:rsidRPr="00C22FC1">
          <w:rPr>
            <w:rFonts w:ascii="Arial" w:eastAsia="Times New Roman" w:hAnsi="Arial" w:cs="Arial"/>
            <w:color w:val="0000FF"/>
            <w:kern w:val="0"/>
            <w:sz w:val="20"/>
            <w:szCs w:val="20"/>
            <w:u w:val="single"/>
            <w:vertAlign w:val="superscript"/>
            <w14:ligatures w14:val="none"/>
          </w:rPr>
          <w:t>o</w:t>
        </w:r>
      </w:hyperlink>
      <w:r w:rsidRPr="00C22FC1">
        <w:rPr>
          <w:rFonts w:ascii="Arial" w:eastAsia="Times New Roman" w:hAnsi="Arial" w:cs="Arial"/>
          <w:color w:val="000000"/>
          <w:kern w:val="0"/>
          <w:sz w:val="20"/>
          <w:szCs w:val="20"/>
          <w14:ligatures w14:val="none"/>
        </w:rPr>
        <w:t>, no </w:t>
      </w:r>
      <w:hyperlink r:id="rId79" w:anchor="art28iv" w:history="1">
        <w:r w:rsidRPr="00C22FC1">
          <w:rPr>
            <w:rFonts w:ascii="Arial" w:eastAsia="Times New Roman" w:hAnsi="Arial" w:cs="Arial"/>
            <w:color w:val="0000FF"/>
            <w:kern w:val="0"/>
            <w:sz w:val="20"/>
            <w:szCs w:val="20"/>
            <w:u w:val="single"/>
            <w14:ligatures w14:val="none"/>
          </w:rPr>
          <w:t>inciso IV do art. 28 da Lei nº 10.865, de 30 de abril de 2004</w:t>
        </w:r>
      </w:hyperlink>
      <w:r w:rsidRPr="00C22FC1">
        <w:rPr>
          <w:rFonts w:ascii="Arial" w:eastAsia="Times New Roman" w:hAnsi="Arial" w:cs="Arial"/>
          <w:color w:val="000000"/>
          <w:kern w:val="0"/>
          <w:sz w:val="20"/>
          <w:szCs w:val="20"/>
          <w14:ligatures w14:val="none"/>
        </w:rPr>
        <w:t>, e na </w:t>
      </w:r>
      <w:hyperlink r:id="rId80" w:anchor="art29%C2%A71ib" w:history="1">
        <w:r w:rsidRPr="00C22FC1">
          <w:rPr>
            <w:rFonts w:ascii="Arial" w:eastAsia="Times New Roman" w:hAnsi="Arial" w:cs="Arial"/>
            <w:color w:val="0000FF"/>
            <w:kern w:val="0"/>
            <w:sz w:val="20"/>
            <w:szCs w:val="20"/>
            <w:u w:val="single"/>
            <w14:ligatures w14:val="none"/>
          </w:rPr>
          <w:t>alínea b do inciso I do § 1º do art. 29 da Lei nº 10.637, de 30 de dezembro de 2002.</w:t>
        </w:r>
      </w:hyperlink>
    </w:p>
    <w:p w14:paraId="4ABB9BC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8</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Excetua-se do disposto no §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receita bruta decorrente da venda, no mercado interno, das aeronaves classificadas na posição 88.02 da NCM, que continua sujeita a alíquotas zero da Contribuição para o PIS/Pasep e da Cofins.</w:t>
      </w:r>
    </w:p>
    <w:p w14:paraId="1A5418C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9</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Poder Executivo disciplinará em regulamento o Retaero.  </w:t>
      </w:r>
    </w:p>
    <w:p w14:paraId="274865D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0" w:name="art31"/>
      <w:bookmarkEnd w:id="30"/>
      <w:r w:rsidRPr="00C22FC1">
        <w:rPr>
          <w:rFonts w:ascii="Arial" w:eastAsia="Times New Roman" w:hAnsi="Arial" w:cs="Arial"/>
          <w:color w:val="000000"/>
          <w:kern w:val="0"/>
          <w:sz w:val="20"/>
          <w:szCs w:val="20"/>
          <w14:ligatures w14:val="none"/>
        </w:rPr>
        <w:t>Art. 31.  No caso de venda no mercado interno ou de importação de bens de que trata o art. 30, ficam suspensos:      </w:t>
      </w:r>
      <w:hyperlink r:id="rId81" w:anchor="art139" w:history="1">
        <w:r w:rsidRPr="00C22FC1">
          <w:rPr>
            <w:rFonts w:ascii="Arial" w:eastAsia="Times New Roman" w:hAnsi="Arial" w:cs="Arial"/>
            <w:color w:val="0000FF"/>
            <w:kern w:val="0"/>
            <w:sz w:val="20"/>
            <w:szCs w:val="20"/>
            <w:u w:val="single"/>
            <w14:ligatures w14:val="none"/>
          </w:rPr>
          <w:t>(Produção de efeito)</w:t>
        </w:r>
      </w:hyperlink>
      <w:r w:rsidRPr="00C22FC1">
        <w:rPr>
          <w:rFonts w:ascii="Arial" w:eastAsia="Times New Roman" w:hAnsi="Arial" w:cs="Arial"/>
          <w:color w:val="000000"/>
          <w:kern w:val="0"/>
          <w:sz w:val="20"/>
          <w:szCs w:val="20"/>
          <w14:ligatures w14:val="none"/>
        </w:rPr>
        <w:t>         </w:t>
      </w:r>
      <w:hyperlink r:id="rId82" w:history="1">
        <w:r w:rsidRPr="00C22FC1">
          <w:rPr>
            <w:rFonts w:ascii="Arial" w:eastAsia="Times New Roman" w:hAnsi="Arial" w:cs="Arial"/>
            <w:color w:val="0000FF"/>
            <w:kern w:val="0"/>
            <w:sz w:val="20"/>
            <w:szCs w:val="20"/>
            <w:u w:val="single"/>
            <w14:ligatures w14:val="none"/>
          </w:rPr>
          <w:t>(Vide Decreto nº 7.451, de 2011)</w:t>
        </w:r>
      </w:hyperlink>
    </w:p>
    <w:p w14:paraId="1F76A14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I - a exigência da Contribuição para o Programa de Integração Social e de Formação do Patrimônio do Servidor Público - PIS/Pasep e da Contribuição para o Financiamento da Seguridade Social - COFINS incidentes sobre a receita da pessoa jurídica vendedora, quando a aquisição for efetuada por pessoa jurídica beneficiária do Retaero;</w:t>
      </w:r>
    </w:p>
    <w:p w14:paraId="2515C39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a exigência da  Contribuição para o PIS/Pasep-Importação e da Cofins-Importação, quando a importação for efetuada por pessoa jurídica beneficiária do Retaero;</w:t>
      </w:r>
    </w:p>
    <w:p w14:paraId="4EFC299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o IPI incidente na saída do estabelecimento industrial ou equiparado, quando a aquisição no mercado interno for efetuada por estabelecimento industrial de pessoa jurídica beneficiária do Retaero;</w:t>
      </w:r>
    </w:p>
    <w:p w14:paraId="3AD3EA6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IV - o Imposto sobre Produtos Industrializados - IPI incidente na importação, quando efetuada por estabelecimento industrial de pessoa jurídica beneficiária do Retaero.</w:t>
      </w:r>
    </w:p>
    <w:p w14:paraId="6ED56BB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Nas notas fiscais relativas:</w:t>
      </w:r>
    </w:p>
    <w:p w14:paraId="0C92C2B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às vendas de que trata o inciso I do caput, deverá constar a expressão “Venda efetuada com suspensão da exigibilidade da Contribuição para o PIS/Pasep e da Cofins”, com a especificação do dispositivo legal correspondente;</w:t>
      </w:r>
    </w:p>
    <w:p w14:paraId="7545DCB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às saídas de que trata o inciso III do caput, deverá constar a expressão “Saída com suspensão do IPI”, com a especificação do dispositivo legal correspondente, vedado o registro do imposto nas referidas notas.</w:t>
      </w:r>
    </w:p>
    <w:p w14:paraId="1432708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As suspensões de que trata este artigo convertem-se em alíquota zero:</w:t>
      </w:r>
    </w:p>
    <w:p w14:paraId="6E14405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após o emprego ou utilização dos bens adquiridos ou importados no âmbito do Retaero, ou dos bens que resultaram de sua industrialização, na manutenção, conservação, modernização, reparo, revisão, conversão e industrialização das aeronaves classificadas na posição 88.02 da NCM;</w:t>
      </w:r>
    </w:p>
    <w:p w14:paraId="19F60EA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após a exportação dos bens com tributação suspensa ou dos que resultaram de sua industrialização.</w:t>
      </w:r>
    </w:p>
    <w:p w14:paraId="0F9CA84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pessoa jurídica que não utilizar o bem na forma prevista no §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ou não cumprir o compromisso previsto no §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do art. 30 desta Lei, é obrigada a recolher os tributos não pagos em decorrência da suspensão de que trata este artigo, acrescidos de juros e multa, de mora ou de ofício, na forma da lei, contados a partir da data da aquisição ou do registro da Declaração de Importação - DI, na condição:</w:t>
      </w:r>
    </w:p>
    <w:p w14:paraId="07F0B1E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de contribuinte, em relação à Contribuição para o PIS/Pasep-Importação, à Cofins-Importação e ao IPI incidente no desembaraço aduaneiro de importação;</w:t>
      </w:r>
    </w:p>
    <w:p w14:paraId="37E63D1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de responsável, em relação à Contribuição para o PIS/Pasep, à Cofins e ao IPI.</w:t>
      </w:r>
    </w:p>
    <w:p w14:paraId="16C2887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efeitos deste artigo, equipara-se ao importador a pessoa jurídica adquirente de bens estrangeiros, no caso de importação realizada por sua conta e ordem por intermédio de pessoa jurídica importadora.</w:t>
      </w:r>
    </w:p>
    <w:p w14:paraId="3FF98F9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1" w:name="art32"/>
      <w:bookmarkEnd w:id="31"/>
      <w:r w:rsidRPr="00C22FC1">
        <w:rPr>
          <w:rFonts w:ascii="Arial" w:eastAsia="Times New Roman" w:hAnsi="Arial" w:cs="Arial"/>
          <w:color w:val="000000"/>
          <w:kern w:val="0"/>
          <w:sz w:val="20"/>
          <w:szCs w:val="20"/>
          <w14:ligatures w14:val="none"/>
        </w:rPr>
        <w:t>Art. 32.  No caso de venda ou importação de serviços de tecnologia industrial básica, desenvolvimento e inovação tecnológica, assistência técnica e transferência de tecnologia destinados a empresas beneficiárias do Retaero, fica suspensa a exigência:      </w:t>
      </w:r>
      <w:hyperlink r:id="rId83" w:anchor="art139" w:history="1">
        <w:r w:rsidRPr="00C22FC1">
          <w:rPr>
            <w:rFonts w:ascii="Arial" w:eastAsia="Times New Roman" w:hAnsi="Arial" w:cs="Arial"/>
            <w:color w:val="0000FF"/>
            <w:kern w:val="0"/>
            <w:sz w:val="20"/>
            <w:szCs w:val="20"/>
            <w:u w:val="single"/>
            <w14:ligatures w14:val="none"/>
          </w:rPr>
          <w:t>(Produção de efeito)</w:t>
        </w:r>
      </w:hyperlink>
      <w:r w:rsidRPr="00C22FC1">
        <w:rPr>
          <w:rFonts w:ascii="Arial" w:eastAsia="Times New Roman" w:hAnsi="Arial" w:cs="Arial"/>
          <w:color w:val="000000"/>
          <w:kern w:val="0"/>
          <w:sz w:val="20"/>
          <w:szCs w:val="20"/>
          <w14:ligatures w14:val="none"/>
        </w:rPr>
        <w:t>         </w:t>
      </w:r>
      <w:hyperlink r:id="rId84" w:history="1">
        <w:r w:rsidRPr="00C22FC1">
          <w:rPr>
            <w:rFonts w:ascii="Arial" w:eastAsia="Times New Roman" w:hAnsi="Arial" w:cs="Arial"/>
            <w:color w:val="0000FF"/>
            <w:kern w:val="0"/>
            <w:sz w:val="20"/>
            <w:szCs w:val="20"/>
            <w:u w:val="single"/>
            <w14:ligatures w14:val="none"/>
          </w:rPr>
          <w:t>(Vide Decreto nº 7.451, de 2011)</w:t>
        </w:r>
      </w:hyperlink>
    </w:p>
    <w:p w14:paraId="6406C90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I - da Contribuição para o PIS/Pasep e da Cofins incidentes sobre a receita da prestação de serviços efetuada por pessoa jurídica estabelecida no País, quando prestados a pessoa jurídica beneficiária do Retaero;</w:t>
      </w:r>
    </w:p>
    <w:p w14:paraId="735B19A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da Contribuição para o PIS/Pasep-Importação e da Cofins-Importação incidentes sobre serviços, quando importados diretamente por pessoa jurídica beneficiária do Retaero.</w:t>
      </w:r>
    </w:p>
    <w:p w14:paraId="08F5505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Nas vendas ou importação de serviços de que trata o caput aplica-se o disposto nos §§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do art. 31 desta Lei.</w:t>
      </w:r>
    </w:p>
    <w:p w14:paraId="4618574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disposto no inciso I do caput aplica-se também na hipótese de receita de aluguel de máquinas, aparelhos, instrumentos e equipamentos, quando contratados por pessoas jurídicas habilitadas ao Retaero.</w:t>
      </w:r>
    </w:p>
    <w:p w14:paraId="2ED801D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fruição do benefício de que trata este artigo depende da comprovação da efetiva prestação do serviço para produção, reparo e manutenção de aeronaves classificadas na posição 88.02 da NCM.</w:t>
      </w:r>
    </w:p>
    <w:p w14:paraId="2FCAD1B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2" w:name="art33"/>
      <w:bookmarkEnd w:id="32"/>
      <w:r w:rsidRPr="00C22FC1">
        <w:rPr>
          <w:rFonts w:ascii="Arial" w:eastAsia="Times New Roman" w:hAnsi="Arial" w:cs="Arial"/>
          <w:color w:val="000000"/>
          <w:kern w:val="0"/>
          <w:sz w:val="20"/>
          <w:szCs w:val="20"/>
          <w14:ligatures w14:val="none"/>
        </w:rPr>
        <w:t>Art. 33.  A habilitação ao Retaero pode ser realizada em até 5 (cinco) anos, contados da data da vigência desta Lei.     </w:t>
      </w:r>
      <w:hyperlink r:id="rId85" w:anchor="art139" w:history="1">
        <w:r w:rsidRPr="00C22FC1">
          <w:rPr>
            <w:rFonts w:ascii="Arial" w:eastAsia="Times New Roman" w:hAnsi="Arial" w:cs="Arial"/>
            <w:color w:val="0000FF"/>
            <w:kern w:val="0"/>
            <w:sz w:val="20"/>
            <w:szCs w:val="20"/>
            <w:u w:val="single"/>
            <w14:ligatures w14:val="none"/>
          </w:rPr>
          <w:t>(Produção de efeito)</w:t>
        </w:r>
      </w:hyperlink>
    </w:p>
    <w:p w14:paraId="12DD5AE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Os benefícios de que tratam os arts. 31 e 32 desta Lei podem ser utilizados nas aquisições e importações realizadas no período de 5 (cinco) anos, contados da data de habilitação no Retaero.</w:t>
      </w:r>
    </w:p>
    <w:p w14:paraId="50F58445"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CAPÍTULO VI</w:t>
      </w:r>
    </w:p>
    <w:p w14:paraId="75E02CEB"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DISPOSIÇÕES GERAIS</w:t>
      </w:r>
    </w:p>
    <w:p w14:paraId="34283C1E"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Seção I</w:t>
      </w:r>
    </w:p>
    <w:p w14:paraId="06971169"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Da Concessão de Crédito para o Fundo da Marinha Mercante</w:t>
      </w:r>
    </w:p>
    <w:p w14:paraId="6C8399B2"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33" w:name="art34."/>
      <w:bookmarkEnd w:id="33"/>
      <w:r w:rsidRPr="00C22FC1">
        <w:rPr>
          <w:rFonts w:ascii="Arial" w:eastAsia="Times New Roman" w:hAnsi="Arial" w:cs="Arial"/>
          <w:strike/>
          <w:color w:val="000000"/>
          <w:kern w:val="0"/>
          <w:sz w:val="20"/>
          <w:szCs w:val="20"/>
          <w14:ligatures w14:val="none"/>
        </w:rPr>
        <w:t>Art. 34.  Fica a União autorizada a conceder crédito aos agentes financeiros do Fundo da Marinha Mercante - FMM, no montante de até R$ 15.000.000.000,00 (quinze bilhões de reais), para viabilizar o financiamento de projetos aprovados pelo Conselho Diretor do Fundo da Marinha Mercante - CDFMM.               </w:t>
      </w:r>
      <w:hyperlink r:id="rId86" w:anchor="art139" w:history="1">
        <w:r w:rsidRPr="00C22FC1">
          <w:rPr>
            <w:rFonts w:ascii="Arial" w:eastAsia="Times New Roman" w:hAnsi="Arial" w:cs="Arial"/>
            <w:strike/>
            <w:color w:val="0000FF"/>
            <w:kern w:val="0"/>
            <w:sz w:val="20"/>
            <w:szCs w:val="20"/>
            <w:u w:val="single"/>
            <w14:ligatures w14:val="none"/>
          </w:rPr>
          <w:t>(Produção de efeito)</w:t>
        </w:r>
      </w:hyperlink>
    </w:p>
    <w:p w14:paraId="0FAC367B"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1</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Para a cobertura do crédito de que trata o caput, a União poderá emitir, sob a forma de colocação direta, em favor do agente financeiro do FMM, títulos da Dívida Pública Mobiliária Federal, cujas características serão definidas pelo Ministro de Estado da Fazenda.</w:t>
      </w:r>
    </w:p>
    <w:p w14:paraId="5CB2C70D"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2</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No caso de emissão de títulos, será respeitada a equivalência econômica com o valor previsto no caput.</w:t>
      </w:r>
    </w:p>
    <w:p w14:paraId="518B2AAB"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3</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As condições financeiras e contratuais para a concessão do crédito de que trata o caput, inclusive a remuneração a que fará jus a União, serão idênticas àquelas concedidas pelo FMM, conforme estabelece o Conselho Monetário Nacional - CMN.</w:t>
      </w:r>
    </w:p>
    <w:p w14:paraId="62F0C001"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4</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Os recursos decorrentes do crédito de que trata o caput serão alocados a cada agente financeiro do FMM, conforme dispuser o CDFMM.</w:t>
      </w:r>
    </w:p>
    <w:p w14:paraId="4902D70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4" w:name="art34"/>
      <w:bookmarkEnd w:id="34"/>
      <w:r w:rsidRPr="00C22FC1">
        <w:rPr>
          <w:rFonts w:ascii="Arial" w:eastAsia="Times New Roman" w:hAnsi="Arial" w:cs="Arial"/>
          <w:color w:val="000000"/>
          <w:kern w:val="0"/>
          <w:sz w:val="20"/>
          <w:szCs w:val="20"/>
          <w14:ligatures w14:val="none"/>
        </w:rPr>
        <w:t>Art. 34.  Fica a União autorizada a conceder crédito aos agentes financeiros do Fundo da Marinha Mercante - FMM, no montante de até R$ 15.000.000.000,00 (quinze bilhões de reais),  para viabilizar o financiamento de projetos aprovados pelo Conselho Diretor do Fundo da Marinha Mercante - CDFMM, em condições financeiras e contratuais a serem definidas pelo Ministro de Estado da Fazenda.          </w:t>
      </w:r>
      <w:hyperlink r:id="rId87" w:anchor="art14" w:history="1">
        <w:r w:rsidRPr="00C22FC1">
          <w:rPr>
            <w:rFonts w:ascii="Arial" w:eastAsia="Times New Roman" w:hAnsi="Arial" w:cs="Arial"/>
            <w:color w:val="0000FF"/>
            <w:kern w:val="0"/>
            <w:sz w:val="20"/>
            <w:szCs w:val="20"/>
            <w:u w:val="single"/>
            <w14:ligatures w14:val="none"/>
          </w:rPr>
          <w:t>(Redação dada pela Lei nº 12.788, de 2013)</w:t>
        </w:r>
      </w:hyperlink>
    </w:p>
    <w:p w14:paraId="0D01151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a cobertura do crédito de que trata o caput, a União poderá emitir, sob a forma de colocação direta, em favor dos agentes financeiros do FMM, títulos da Dívida Pública Mobiliária Federal, cujas características serão definidas pelo Ministro de Estado da Fazenda.          </w:t>
      </w:r>
      <w:hyperlink r:id="rId88" w:anchor="art14" w:history="1">
        <w:r w:rsidRPr="00C22FC1">
          <w:rPr>
            <w:rFonts w:ascii="Arial" w:eastAsia="Times New Roman" w:hAnsi="Arial" w:cs="Arial"/>
            <w:color w:val="0000FF"/>
            <w:kern w:val="0"/>
            <w:sz w:val="20"/>
            <w:szCs w:val="20"/>
            <w:u w:val="single"/>
            <w14:ligatures w14:val="none"/>
          </w:rPr>
          <w:t>(Redação dada pela Lei nº 12.788, de 2013)</w:t>
        </w:r>
      </w:hyperlink>
    </w:p>
    <w:p w14:paraId="7D94025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No caso de emissão de títulos, será respeitada a equivalência econômica com o valor previsto no caput.          </w:t>
      </w:r>
      <w:hyperlink r:id="rId89" w:anchor="art14" w:history="1">
        <w:r w:rsidRPr="00C22FC1">
          <w:rPr>
            <w:rFonts w:ascii="Arial" w:eastAsia="Times New Roman" w:hAnsi="Arial" w:cs="Arial"/>
            <w:color w:val="0000FF"/>
            <w:kern w:val="0"/>
            <w:sz w:val="20"/>
            <w:szCs w:val="20"/>
            <w:u w:val="single"/>
            <w14:ligatures w14:val="none"/>
          </w:rPr>
          <w:t>(Redação dada pela Lei nº 12.788, de 2013)</w:t>
        </w:r>
      </w:hyperlink>
    </w:p>
    <w:p w14:paraId="322B2A7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As condições financeiras e contratuais para os financiamentos a serem concedidos pelos agentes financeiros aos tomadores para viabilizar os projetos de que trata o caput serão idênticas àquelas concedidas pelo FMM, conforme estabelece o Conselho Monetário Nacional - CMN.          </w:t>
      </w:r>
      <w:hyperlink r:id="rId90" w:anchor="art14" w:history="1">
        <w:r w:rsidRPr="00C22FC1">
          <w:rPr>
            <w:rFonts w:ascii="Arial" w:eastAsia="Times New Roman" w:hAnsi="Arial" w:cs="Arial"/>
            <w:color w:val="0000FF"/>
            <w:kern w:val="0"/>
            <w:sz w:val="20"/>
            <w:szCs w:val="20"/>
            <w:u w:val="single"/>
            <w14:ligatures w14:val="none"/>
          </w:rPr>
          <w:t>(Redação dada pela Lei nº 12.788, de 2013)</w:t>
        </w:r>
      </w:hyperlink>
    </w:p>
    <w:p w14:paraId="3D08BCC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Tesouro Nacional fará jus a uma remuneração com base na TJLP, na variação cambial do dólar norte-americano ou na combinação de ambas, a critério do Ministro da Fazenda.         </w:t>
      </w:r>
      <w:hyperlink r:id="rId91" w:anchor="art14" w:history="1">
        <w:r w:rsidRPr="00C22FC1">
          <w:rPr>
            <w:rFonts w:ascii="Arial" w:eastAsia="Times New Roman" w:hAnsi="Arial" w:cs="Arial"/>
            <w:color w:val="0000FF"/>
            <w:kern w:val="0"/>
            <w:sz w:val="20"/>
            <w:szCs w:val="20"/>
            <w:u w:val="single"/>
            <w14:ligatures w14:val="none"/>
          </w:rPr>
          <w:t>(Redação dada pela Lei nº 12.788, de 2013)</w:t>
        </w:r>
      </w:hyperlink>
    </w:p>
    <w:p w14:paraId="133EAB7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Os valores pagos pelos agentes financeiros do FMM à União, por conta das operações de crédito de que trata o caput, serão destinados exclusivamente ao pagamento da Dívida Pública Federal.         </w:t>
      </w:r>
      <w:hyperlink r:id="rId92" w:anchor="art14" w:history="1">
        <w:r w:rsidRPr="00C22FC1">
          <w:rPr>
            <w:rFonts w:ascii="Arial" w:eastAsia="Times New Roman" w:hAnsi="Arial" w:cs="Arial"/>
            <w:color w:val="0000FF"/>
            <w:kern w:val="0"/>
            <w:sz w:val="20"/>
            <w:szCs w:val="20"/>
            <w:u w:val="single"/>
            <w14:ligatures w14:val="none"/>
          </w:rPr>
          <w:t>(Incluído pela Lei nº 12.788, de 2013)</w:t>
        </w:r>
      </w:hyperlink>
    </w:p>
    <w:p w14:paraId="6645665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5" w:name="art35"/>
      <w:bookmarkEnd w:id="35"/>
      <w:r w:rsidRPr="00C22FC1">
        <w:rPr>
          <w:rFonts w:ascii="Arial" w:eastAsia="Times New Roman" w:hAnsi="Arial" w:cs="Arial"/>
          <w:color w:val="000000"/>
          <w:kern w:val="0"/>
          <w:sz w:val="20"/>
          <w:szCs w:val="20"/>
          <w14:ligatures w14:val="none"/>
        </w:rPr>
        <w:t>Art. 35.  Os agentes financeiros do FMM poderão recomprar da União, a qualquer tempo, os ativos porventura dados em contrapartida aos créditos de que trata o art. 34, a critério do Ministro de Estado da Fazenda.</w:t>
      </w:r>
    </w:p>
    <w:p w14:paraId="0F73536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6" w:name="art36"/>
      <w:bookmarkEnd w:id="36"/>
      <w:r w:rsidRPr="00C22FC1">
        <w:rPr>
          <w:rFonts w:ascii="Arial" w:eastAsia="Times New Roman" w:hAnsi="Arial" w:cs="Arial"/>
          <w:color w:val="000000"/>
          <w:kern w:val="0"/>
          <w:sz w:val="20"/>
          <w:szCs w:val="20"/>
          <w14:ligatures w14:val="none"/>
        </w:rPr>
        <w:t>Art. 36.  O CMN estabelecerá condições financeiras diferenciadas de financiamento, considerando os percentuais para os conteúdos nacional e importado das embarcações a serem construídas com recursos do FMM e desta Lei. </w:t>
      </w:r>
      <w:hyperlink r:id="rId93" w:anchor="art139" w:history="1">
        <w:r w:rsidRPr="00C22FC1">
          <w:rPr>
            <w:rFonts w:ascii="Arial" w:eastAsia="Times New Roman" w:hAnsi="Arial" w:cs="Arial"/>
            <w:color w:val="0000FF"/>
            <w:kern w:val="0"/>
            <w:sz w:val="20"/>
            <w:szCs w:val="20"/>
            <w:u w:val="single"/>
            <w14:ligatures w14:val="none"/>
          </w:rPr>
          <w:t>(Produção de efeito)</w:t>
        </w:r>
      </w:hyperlink>
    </w:p>
    <w:p w14:paraId="565424D5"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Seção II</w:t>
      </w:r>
    </w:p>
    <w:p w14:paraId="7515EDF8"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Da Letra Financeira e do Certificado de Operações Estruturadas</w:t>
      </w:r>
    </w:p>
    <w:p w14:paraId="6557473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7" w:name="art37"/>
      <w:bookmarkEnd w:id="37"/>
      <w:r w:rsidRPr="00C22FC1">
        <w:rPr>
          <w:rFonts w:ascii="Arial" w:eastAsia="Times New Roman" w:hAnsi="Arial" w:cs="Arial"/>
          <w:strike/>
          <w:color w:val="000000"/>
          <w:kern w:val="0"/>
          <w:sz w:val="20"/>
          <w:szCs w:val="20"/>
          <w14:ligatures w14:val="none"/>
        </w:rPr>
        <w:t>Art. 37.  As instituições financeiras podem emitir Letra Financeira - LF, título de crédito que consiste em promessa de pagamento em dinheiro, nominativo, transferível e de livre negociação.            </w:t>
      </w:r>
      <w:hyperlink r:id="rId94" w:anchor="art139" w:history="1">
        <w:r w:rsidRPr="00C22FC1">
          <w:rPr>
            <w:rFonts w:ascii="Arial" w:eastAsia="Times New Roman" w:hAnsi="Arial" w:cs="Arial"/>
            <w:strike/>
            <w:color w:val="0000FF"/>
            <w:kern w:val="0"/>
            <w:sz w:val="20"/>
            <w:szCs w:val="20"/>
            <w:u w:val="single"/>
            <w14:ligatures w14:val="none"/>
          </w:rPr>
          <w:t>(Produção de efeito)</w:t>
        </w:r>
      </w:hyperlink>
    </w:p>
    <w:p w14:paraId="605305A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8" w:name="art37."/>
      <w:bookmarkEnd w:id="38"/>
      <w:r w:rsidRPr="00C22FC1">
        <w:rPr>
          <w:rFonts w:ascii="Arial" w:eastAsia="Times New Roman" w:hAnsi="Arial" w:cs="Arial"/>
          <w:strike/>
          <w:color w:val="000000"/>
          <w:kern w:val="0"/>
          <w:sz w:val="20"/>
          <w:szCs w:val="20"/>
          <w14:ligatures w14:val="none"/>
        </w:rPr>
        <w:t>Art. 37.  As instituições financeiras e demais instituições autorizadas a funcionar pelo Banco Central do Brasil podem emitir Letra Financeira, título de crédito nominativo, transferível e de livre negociação.              </w:t>
      </w:r>
      <w:hyperlink r:id="rId95" w:anchor="art10" w:history="1">
        <w:r w:rsidRPr="00C22FC1">
          <w:rPr>
            <w:rFonts w:ascii="Arial" w:eastAsia="Times New Roman" w:hAnsi="Arial" w:cs="Arial"/>
            <w:strike/>
            <w:color w:val="0000FF"/>
            <w:kern w:val="0"/>
            <w:sz w:val="20"/>
            <w:szCs w:val="20"/>
            <w:u w:val="single"/>
            <w14:ligatures w14:val="none"/>
          </w:rPr>
          <w:t>(Redação dada pela Medida Provisória nº 608, de 2013)</w:t>
        </w:r>
      </w:hyperlink>
      <w:r w:rsidRPr="00C22FC1">
        <w:rPr>
          <w:rFonts w:ascii="Arial" w:eastAsia="Times New Roman" w:hAnsi="Arial" w:cs="Arial"/>
          <w:strike/>
          <w:color w:val="000000"/>
          <w:kern w:val="0"/>
          <w:sz w:val="20"/>
          <w:szCs w:val="20"/>
          <w14:ligatures w14:val="none"/>
        </w:rPr>
        <w:t>              </w:t>
      </w:r>
      <w:hyperlink r:id="rId96" w:anchor="art17" w:history="1">
        <w:r w:rsidRPr="00C22FC1">
          <w:rPr>
            <w:rFonts w:ascii="Arial" w:eastAsia="Times New Roman" w:hAnsi="Arial" w:cs="Arial"/>
            <w:strike/>
            <w:color w:val="0000FF"/>
            <w:kern w:val="0"/>
            <w:sz w:val="20"/>
            <w:szCs w:val="20"/>
            <w:u w:val="single"/>
            <w14:ligatures w14:val="none"/>
          </w:rPr>
          <w:t>(Produção de efeito)</w:t>
        </w:r>
      </w:hyperlink>
    </w:p>
    <w:p w14:paraId="6C0BE1B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9" w:name="art37.."/>
      <w:bookmarkEnd w:id="39"/>
      <w:r w:rsidRPr="00C22FC1">
        <w:rPr>
          <w:rFonts w:ascii="Arial" w:eastAsia="Times New Roman" w:hAnsi="Arial" w:cs="Arial"/>
          <w:color w:val="000000"/>
          <w:kern w:val="0"/>
          <w:sz w:val="20"/>
          <w:szCs w:val="20"/>
          <w14:ligatures w14:val="none"/>
        </w:rPr>
        <w:t>Art. 37.  As instituições financeiras e demais instituições autorizadas a funcionar pelo Banco Central do Brasil podem emitir Letra Financeira, título de crédito nominativo, transferível e de livre negociação.                  </w:t>
      </w:r>
      <w:hyperlink r:id="rId97" w:anchor="art10" w:history="1">
        <w:r w:rsidRPr="00C22FC1">
          <w:rPr>
            <w:rFonts w:ascii="Arial" w:eastAsia="Times New Roman" w:hAnsi="Arial" w:cs="Arial"/>
            <w:color w:val="0000FF"/>
            <w:kern w:val="0"/>
            <w:sz w:val="20"/>
            <w:szCs w:val="20"/>
            <w:u w:val="single"/>
            <w14:ligatures w14:val="none"/>
          </w:rPr>
          <w:t>(Redação dada pela Lei nº 12.838, de 2013)</w:t>
        </w:r>
      </w:hyperlink>
      <w:r w:rsidRPr="00C22FC1">
        <w:rPr>
          <w:rFonts w:ascii="Arial" w:eastAsia="Times New Roman" w:hAnsi="Arial" w:cs="Arial"/>
          <w:color w:val="000000"/>
          <w:kern w:val="0"/>
          <w:sz w:val="20"/>
          <w:szCs w:val="20"/>
          <w14:ligatures w14:val="none"/>
        </w:rPr>
        <w:t>        </w:t>
      </w:r>
      <w:hyperlink r:id="rId98" w:anchor="art18" w:history="1">
        <w:r w:rsidRPr="00C22FC1">
          <w:rPr>
            <w:rFonts w:ascii="Arial" w:eastAsia="Times New Roman" w:hAnsi="Arial" w:cs="Arial"/>
            <w:color w:val="0000FF"/>
            <w:kern w:val="0"/>
            <w:sz w:val="20"/>
            <w:szCs w:val="20"/>
            <w:u w:val="single"/>
            <w14:ligatures w14:val="none"/>
          </w:rPr>
          <w:t>(Produção de efeito)</w:t>
        </w:r>
      </w:hyperlink>
    </w:p>
    <w:p w14:paraId="1EDFA08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0" w:name="art38"/>
      <w:bookmarkEnd w:id="40"/>
      <w:r w:rsidRPr="00C22FC1">
        <w:rPr>
          <w:rFonts w:ascii="Arial" w:eastAsia="Times New Roman" w:hAnsi="Arial" w:cs="Arial"/>
          <w:color w:val="000000"/>
          <w:kern w:val="0"/>
          <w:sz w:val="20"/>
          <w:szCs w:val="20"/>
          <w14:ligatures w14:val="none"/>
        </w:rPr>
        <w:t>Art. 38.  A Letra Financeira será emitida exclusivamente sob a forma escritural, mediante registro em sistema de registro e de liquidação financeira de ativos autorizado pelo Banco Central do Brasil, com as seguintes características:             </w:t>
      </w:r>
      <w:hyperlink r:id="rId99" w:anchor="art139" w:history="1">
        <w:r w:rsidRPr="00C22FC1">
          <w:rPr>
            <w:rFonts w:ascii="Arial" w:eastAsia="Times New Roman" w:hAnsi="Arial" w:cs="Arial"/>
            <w:color w:val="0000FF"/>
            <w:kern w:val="0"/>
            <w:sz w:val="20"/>
            <w:szCs w:val="20"/>
            <w:u w:val="single"/>
            <w14:ligatures w14:val="none"/>
          </w:rPr>
          <w:t>(Produção de efeito)</w:t>
        </w:r>
      </w:hyperlink>
    </w:p>
    <w:p w14:paraId="041DE33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a denominação Letra Financeira;</w:t>
      </w:r>
    </w:p>
    <w:p w14:paraId="09A260B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o nome da instituição financeira emitente;</w:t>
      </w:r>
    </w:p>
    <w:p w14:paraId="35660F7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o número de ordem, o local e a data de emissão;</w:t>
      </w:r>
    </w:p>
    <w:p w14:paraId="276D570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IV - o valor nominal;</w:t>
      </w:r>
    </w:p>
    <w:p w14:paraId="28AF690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 - a taxa de juros, fixa ou flutuante, admitida a capitalização;</w:t>
      </w:r>
    </w:p>
    <w:p w14:paraId="6C5C023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VI - a cláusula de correção pela variação cambial, quando houver;</w:t>
      </w:r>
    </w:p>
    <w:p w14:paraId="20CDA9F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VII - outras formas de remuneração, inclusive baseadas em índices ou taxas de conhecimento público, quando houver;</w:t>
      </w:r>
    </w:p>
    <w:p w14:paraId="0CFDFBD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VIII - a cláusula de subordinação, quando houver;</w:t>
      </w:r>
    </w:p>
    <w:p w14:paraId="06B326C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IX - a data de vencimento;</w:t>
      </w:r>
    </w:p>
    <w:p w14:paraId="21E422B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1" w:name="art38ix"/>
      <w:bookmarkEnd w:id="41"/>
      <w:r w:rsidRPr="00C22FC1">
        <w:rPr>
          <w:rFonts w:ascii="Arial" w:eastAsia="Times New Roman" w:hAnsi="Arial" w:cs="Arial"/>
          <w:strike/>
          <w:color w:val="000000"/>
          <w:kern w:val="0"/>
          <w:sz w:val="20"/>
          <w:szCs w:val="20"/>
          <w14:ligatures w14:val="none"/>
        </w:rPr>
        <w:t>IX - a data ou as condições de vencimento;                   </w:t>
      </w:r>
      <w:hyperlink r:id="rId100" w:anchor="art10" w:history="1">
        <w:r w:rsidRPr="00C22FC1">
          <w:rPr>
            <w:rFonts w:ascii="Arial" w:eastAsia="Times New Roman" w:hAnsi="Arial" w:cs="Arial"/>
            <w:strike/>
            <w:color w:val="0000FF"/>
            <w:kern w:val="0"/>
            <w:sz w:val="20"/>
            <w:szCs w:val="20"/>
            <w:u w:val="single"/>
            <w14:ligatures w14:val="none"/>
          </w:rPr>
          <w:t>(Redação dada pela Medida Provisória nº 608, de 2013)</w:t>
        </w:r>
      </w:hyperlink>
      <w:r w:rsidRPr="00C22FC1">
        <w:rPr>
          <w:rFonts w:ascii="Arial" w:eastAsia="Times New Roman" w:hAnsi="Arial" w:cs="Arial"/>
          <w:strike/>
          <w:color w:val="000000"/>
          <w:kern w:val="0"/>
          <w:sz w:val="20"/>
          <w:szCs w:val="20"/>
          <w14:ligatures w14:val="none"/>
        </w:rPr>
        <w:t>    </w:t>
      </w:r>
      <w:hyperlink r:id="rId101" w:anchor="art17" w:history="1">
        <w:r w:rsidRPr="00C22FC1">
          <w:rPr>
            <w:rFonts w:ascii="Arial" w:eastAsia="Times New Roman" w:hAnsi="Arial" w:cs="Arial"/>
            <w:strike/>
            <w:color w:val="0000FF"/>
            <w:kern w:val="0"/>
            <w:sz w:val="20"/>
            <w:szCs w:val="20"/>
            <w:u w:val="single"/>
            <w14:ligatures w14:val="none"/>
          </w:rPr>
          <w:t>(Produção de efeito)</w:t>
        </w:r>
      </w:hyperlink>
    </w:p>
    <w:p w14:paraId="4814D90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2" w:name="art38ix."/>
      <w:bookmarkEnd w:id="42"/>
      <w:r w:rsidRPr="00C22FC1">
        <w:rPr>
          <w:rFonts w:ascii="Arial" w:eastAsia="Times New Roman" w:hAnsi="Arial" w:cs="Arial"/>
          <w:color w:val="000000"/>
          <w:kern w:val="0"/>
          <w:sz w:val="20"/>
          <w:szCs w:val="20"/>
          <w14:ligatures w14:val="none"/>
        </w:rPr>
        <w:t> IX - a data ou as condições de vencimento;                  </w:t>
      </w:r>
      <w:hyperlink r:id="rId102" w:anchor="art10" w:history="1">
        <w:r w:rsidRPr="00C22FC1">
          <w:rPr>
            <w:rFonts w:ascii="Arial" w:eastAsia="Times New Roman" w:hAnsi="Arial" w:cs="Arial"/>
            <w:color w:val="0000FF"/>
            <w:kern w:val="0"/>
            <w:sz w:val="20"/>
            <w:szCs w:val="20"/>
            <w:u w:val="single"/>
            <w14:ligatures w14:val="none"/>
          </w:rPr>
          <w:t>(Redação dada pela Lei nº 12.838, de 2013)</w:t>
        </w:r>
      </w:hyperlink>
      <w:r w:rsidRPr="00C22FC1">
        <w:rPr>
          <w:rFonts w:ascii="Arial" w:eastAsia="Times New Roman" w:hAnsi="Arial" w:cs="Arial"/>
          <w:color w:val="000000"/>
          <w:kern w:val="0"/>
          <w:sz w:val="20"/>
          <w:szCs w:val="20"/>
          <w14:ligatures w14:val="none"/>
        </w:rPr>
        <w:t>    </w:t>
      </w:r>
      <w:hyperlink r:id="rId103" w:anchor="art18" w:history="1">
        <w:r w:rsidRPr="00C22FC1">
          <w:rPr>
            <w:rFonts w:ascii="Arial" w:eastAsia="Times New Roman" w:hAnsi="Arial" w:cs="Arial"/>
            <w:color w:val="0000FF"/>
            <w:kern w:val="0"/>
            <w:sz w:val="20"/>
            <w:szCs w:val="20"/>
            <w:u w:val="single"/>
            <w14:ligatures w14:val="none"/>
          </w:rPr>
          <w:t>(Produção de efeito)</w:t>
        </w:r>
      </w:hyperlink>
    </w:p>
    <w:p w14:paraId="62D7398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X - o local de pagamento;</w:t>
      </w:r>
    </w:p>
    <w:p w14:paraId="75C8167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XI - o nome da pessoa a quem se deve pagar;</w:t>
      </w:r>
    </w:p>
    <w:p w14:paraId="181396B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XII - a descrição da garantia real ou fidejussória, quando houver;</w:t>
      </w:r>
    </w:p>
    <w:p w14:paraId="42890A0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XIII - a cláusula de pagamento periódico dos rendimentos, quando houver.</w:t>
      </w:r>
    </w:p>
    <w:p w14:paraId="1E5350F8"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bookmarkStart w:id="43" w:name="art38xiv"/>
      <w:bookmarkEnd w:id="43"/>
      <w:r w:rsidRPr="00C22FC1">
        <w:rPr>
          <w:rFonts w:ascii="Arial" w:eastAsia="Times New Roman" w:hAnsi="Arial" w:cs="Arial"/>
          <w:strike/>
          <w:color w:val="000000"/>
          <w:kern w:val="0"/>
          <w:sz w:val="20"/>
          <w:szCs w:val="20"/>
          <w14:ligatures w14:val="none"/>
        </w:rPr>
        <w:t>XIV - a cláusula de suspensão do pagamento da remuneração estipulada, quando houver;              </w:t>
      </w:r>
      <w:hyperlink r:id="rId104" w:anchor="art10" w:history="1">
        <w:r w:rsidRPr="00C22FC1">
          <w:rPr>
            <w:rFonts w:ascii="Arial" w:eastAsia="Times New Roman" w:hAnsi="Arial" w:cs="Arial"/>
            <w:strike/>
            <w:color w:val="0000FF"/>
            <w:kern w:val="0"/>
            <w:sz w:val="20"/>
            <w:szCs w:val="20"/>
            <w:u w:val="single"/>
            <w14:ligatures w14:val="none"/>
          </w:rPr>
          <w:t>(Incluído pela Medida Provisória nº 608, de 2013)</w:t>
        </w:r>
      </w:hyperlink>
      <w:r w:rsidRPr="00C22FC1">
        <w:rPr>
          <w:rFonts w:ascii="Arial" w:eastAsia="Times New Roman" w:hAnsi="Arial" w:cs="Arial"/>
          <w:strike/>
          <w:color w:val="000000"/>
          <w:kern w:val="0"/>
          <w:sz w:val="20"/>
          <w:szCs w:val="20"/>
          <w14:ligatures w14:val="none"/>
        </w:rPr>
        <w:t>    </w:t>
      </w:r>
      <w:hyperlink r:id="rId105" w:anchor="art17" w:history="1">
        <w:r w:rsidRPr="00C22FC1">
          <w:rPr>
            <w:rFonts w:ascii="Arial" w:eastAsia="Times New Roman" w:hAnsi="Arial" w:cs="Arial"/>
            <w:strike/>
            <w:color w:val="0000FF"/>
            <w:kern w:val="0"/>
            <w:sz w:val="20"/>
            <w:szCs w:val="20"/>
            <w:u w:val="single"/>
            <w14:ligatures w14:val="none"/>
          </w:rPr>
          <w:t>(Produção de efeito)</w:t>
        </w:r>
      </w:hyperlink>
    </w:p>
    <w:p w14:paraId="7D55EF11"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bookmarkStart w:id="44" w:name="art38xiv."/>
      <w:bookmarkEnd w:id="44"/>
      <w:r w:rsidRPr="00C22FC1">
        <w:rPr>
          <w:rFonts w:ascii="Arial" w:eastAsia="Times New Roman" w:hAnsi="Arial" w:cs="Arial"/>
          <w:color w:val="000000"/>
          <w:kern w:val="0"/>
          <w:sz w:val="20"/>
          <w:szCs w:val="20"/>
          <w14:ligatures w14:val="none"/>
        </w:rPr>
        <w:t> XIV - a cláusula de suspensão do pagamento da remuneração estipulada, quando houver;                 </w:t>
      </w:r>
      <w:hyperlink r:id="rId106" w:anchor="art10" w:history="1">
        <w:r w:rsidRPr="00C22FC1">
          <w:rPr>
            <w:rFonts w:ascii="Arial" w:eastAsia="Times New Roman" w:hAnsi="Arial" w:cs="Arial"/>
            <w:color w:val="0000FF"/>
            <w:kern w:val="0"/>
            <w:sz w:val="20"/>
            <w:szCs w:val="20"/>
            <w:u w:val="single"/>
            <w14:ligatures w14:val="none"/>
          </w:rPr>
          <w:t>(Incluído pela Lei nº 12.838, de 2013)</w:t>
        </w:r>
      </w:hyperlink>
      <w:r w:rsidRPr="00C22FC1">
        <w:rPr>
          <w:rFonts w:ascii="Arial" w:eastAsia="Times New Roman" w:hAnsi="Arial" w:cs="Arial"/>
          <w:color w:val="000000"/>
          <w:kern w:val="0"/>
          <w:sz w:val="20"/>
          <w:szCs w:val="20"/>
          <w14:ligatures w14:val="none"/>
        </w:rPr>
        <w:t>    </w:t>
      </w:r>
      <w:hyperlink r:id="rId107" w:anchor="art18" w:history="1">
        <w:r w:rsidRPr="00C22FC1">
          <w:rPr>
            <w:rFonts w:ascii="Arial" w:eastAsia="Times New Roman" w:hAnsi="Arial" w:cs="Arial"/>
            <w:color w:val="0000FF"/>
            <w:kern w:val="0"/>
            <w:sz w:val="20"/>
            <w:szCs w:val="20"/>
            <w:u w:val="single"/>
            <w14:ligatures w14:val="none"/>
          </w:rPr>
          <w:t>(Produção de efeito)</w:t>
        </w:r>
      </w:hyperlink>
    </w:p>
    <w:p w14:paraId="64C1491F"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XV - a cláusula de extinção do direito de crédito representado pela Letra Financeira, quando houver; e                </w:t>
      </w:r>
      <w:hyperlink r:id="rId108" w:anchor="art10" w:history="1">
        <w:r w:rsidRPr="00C22FC1">
          <w:rPr>
            <w:rFonts w:ascii="Arial" w:eastAsia="Times New Roman" w:hAnsi="Arial" w:cs="Arial"/>
            <w:strike/>
            <w:color w:val="0000FF"/>
            <w:kern w:val="0"/>
            <w:sz w:val="20"/>
            <w:szCs w:val="20"/>
            <w:u w:val="single"/>
            <w14:ligatures w14:val="none"/>
          </w:rPr>
          <w:t>(Incluído pela Medida Provisória nº 608, de 2013)</w:t>
        </w:r>
      </w:hyperlink>
      <w:r w:rsidRPr="00C22FC1">
        <w:rPr>
          <w:rFonts w:ascii="Arial" w:eastAsia="Times New Roman" w:hAnsi="Arial" w:cs="Arial"/>
          <w:strike/>
          <w:color w:val="000000"/>
          <w:kern w:val="0"/>
          <w:sz w:val="20"/>
          <w:szCs w:val="20"/>
          <w14:ligatures w14:val="none"/>
        </w:rPr>
        <w:t>    </w:t>
      </w:r>
      <w:hyperlink r:id="rId109" w:anchor="art17" w:history="1">
        <w:r w:rsidRPr="00C22FC1">
          <w:rPr>
            <w:rFonts w:ascii="Arial" w:eastAsia="Times New Roman" w:hAnsi="Arial" w:cs="Arial"/>
            <w:strike/>
            <w:color w:val="0000FF"/>
            <w:kern w:val="0"/>
            <w:sz w:val="20"/>
            <w:szCs w:val="20"/>
            <w:u w:val="single"/>
            <w14:ligatures w14:val="none"/>
          </w:rPr>
          <w:t>(Produção de efeito)</w:t>
        </w:r>
      </w:hyperlink>
    </w:p>
    <w:p w14:paraId="661F2478"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XV - a cláusula de extinção do direito de crédito representado pela Letra Financeira, quando houver; e                  </w:t>
      </w:r>
      <w:hyperlink r:id="rId110" w:anchor="art10" w:history="1">
        <w:r w:rsidRPr="00C22FC1">
          <w:rPr>
            <w:rFonts w:ascii="Arial" w:eastAsia="Times New Roman" w:hAnsi="Arial" w:cs="Arial"/>
            <w:color w:val="0000FF"/>
            <w:kern w:val="0"/>
            <w:sz w:val="20"/>
            <w:szCs w:val="20"/>
            <w:u w:val="single"/>
            <w14:ligatures w14:val="none"/>
          </w:rPr>
          <w:t>(Incluído pela Lei nº 12.838, de 2013)</w:t>
        </w:r>
      </w:hyperlink>
      <w:r w:rsidRPr="00C22FC1">
        <w:rPr>
          <w:rFonts w:ascii="Arial" w:eastAsia="Times New Roman" w:hAnsi="Arial" w:cs="Arial"/>
          <w:color w:val="000000"/>
          <w:kern w:val="0"/>
          <w:sz w:val="20"/>
          <w:szCs w:val="20"/>
          <w14:ligatures w14:val="none"/>
        </w:rPr>
        <w:t>    </w:t>
      </w:r>
      <w:hyperlink r:id="rId111" w:anchor="art18" w:history="1">
        <w:r w:rsidRPr="00C22FC1">
          <w:rPr>
            <w:rFonts w:ascii="Arial" w:eastAsia="Times New Roman" w:hAnsi="Arial" w:cs="Arial"/>
            <w:color w:val="0000FF"/>
            <w:kern w:val="0"/>
            <w:sz w:val="20"/>
            <w:szCs w:val="20"/>
            <w:u w:val="single"/>
            <w14:ligatures w14:val="none"/>
          </w:rPr>
          <w:t>(Produção de efeito)</w:t>
        </w:r>
      </w:hyperlink>
    </w:p>
    <w:p w14:paraId="53C6F33F"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XVI - a cláusula de conversão da Letra Financeira em ações da instituição emitente, quando houver.                  </w:t>
      </w:r>
      <w:hyperlink r:id="rId112" w:anchor="art10" w:history="1">
        <w:r w:rsidRPr="00C22FC1">
          <w:rPr>
            <w:rFonts w:ascii="Arial" w:eastAsia="Times New Roman" w:hAnsi="Arial" w:cs="Arial"/>
            <w:strike/>
            <w:color w:val="0000FF"/>
            <w:kern w:val="0"/>
            <w:sz w:val="20"/>
            <w:szCs w:val="20"/>
            <w:u w:val="single"/>
            <w14:ligatures w14:val="none"/>
          </w:rPr>
          <w:t>(Incluído pela Medida Provisória nº 608, de 2013)</w:t>
        </w:r>
      </w:hyperlink>
      <w:r w:rsidRPr="00C22FC1">
        <w:rPr>
          <w:rFonts w:ascii="Arial" w:eastAsia="Times New Roman" w:hAnsi="Arial" w:cs="Arial"/>
          <w:strike/>
          <w:color w:val="000000"/>
          <w:kern w:val="0"/>
          <w:sz w:val="20"/>
          <w:szCs w:val="20"/>
          <w14:ligatures w14:val="none"/>
        </w:rPr>
        <w:t>    </w:t>
      </w:r>
      <w:hyperlink r:id="rId113" w:anchor="art17" w:history="1">
        <w:r w:rsidRPr="00C22FC1">
          <w:rPr>
            <w:rFonts w:ascii="Arial" w:eastAsia="Times New Roman" w:hAnsi="Arial" w:cs="Arial"/>
            <w:strike/>
            <w:color w:val="0000FF"/>
            <w:kern w:val="0"/>
            <w:sz w:val="20"/>
            <w:szCs w:val="20"/>
            <w:u w:val="single"/>
            <w14:ligatures w14:val="none"/>
          </w:rPr>
          <w:t>(Produção de efeito)</w:t>
        </w:r>
      </w:hyperlink>
    </w:p>
    <w:p w14:paraId="126EA80F"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XVI - a cláusula de conversão da Letra Financeira em ações da instituição emitente, quando houver.                     </w:t>
      </w:r>
      <w:hyperlink r:id="rId114" w:anchor="art10" w:history="1">
        <w:r w:rsidRPr="00C22FC1">
          <w:rPr>
            <w:rFonts w:ascii="Arial" w:eastAsia="Times New Roman" w:hAnsi="Arial" w:cs="Arial"/>
            <w:color w:val="0000FF"/>
            <w:kern w:val="0"/>
            <w:sz w:val="20"/>
            <w:szCs w:val="20"/>
            <w:u w:val="single"/>
            <w14:ligatures w14:val="none"/>
          </w:rPr>
          <w:t>(Incluído pela Lei nº 12.838, de 2013)</w:t>
        </w:r>
      </w:hyperlink>
      <w:r w:rsidRPr="00C22FC1">
        <w:rPr>
          <w:rFonts w:ascii="Arial" w:eastAsia="Times New Roman" w:hAnsi="Arial" w:cs="Arial"/>
          <w:color w:val="000000"/>
          <w:kern w:val="0"/>
          <w:sz w:val="20"/>
          <w:szCs w:val="20"/>
          <w14:ligatures w14:val="none"/>
        </w:rPr>
        <w:t>    </w:t>
      </w:r>
      <w:hyperlink r:id="rId115" w:anchor="art18" w:history="1">
        <w:r w:rsidRPr="00C22FC1">
          <w:rPr>
            <w:rFonts w:ascii="Arial" w:eastAsia="Times New Roman" w:hAnsi="Arial" w:cs="Arial"/>
            <w:color w:val="0000FF"/>
            <w:kern w:val="0"/>
            <w:sz w:val="20"/>
            <w:szCs w:val="20"/>
            <w:u w:val="single"/>
            <w14:ligatures w14:val="none"/>
          </w:rPr>
          <w:t>(Produção de efeito)</w:t>
        </w:r>
      </w:hyperlink>
    </w:p>
    <w:p w14:paraId="3A31F7B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Letra Financeira é título executivo extrajudicial, que pode ser executado independentemente de protesto, com base em certidão de inteiro teor dos dados informados no registro, emitida pela entidade administradora do sistema referido no caput.</w:t>
      </w:r>
    </w:p>
    <w:p w14:paraId="29F88D5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Letra Financeira pode, dependendo dos critérios de remuneração, gerar valor de resgate inferior ao valor de sua emissão.</w:t>
      </w:r>
    </w:p>
    <w:p w14:paraId="3F52C0A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transferência de titularidade da Letra Financeira efetiva-se por meio do sistema referido no caput deste artigo, que manterá registro da sequência histórica das negociações.</w:t>
      </w:r>
    </w:p>
    <w:p w14:paraId="64B5D182"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bookmarkStart w:id="45" w:name="art38§4"/>
      <w:bookmarkEnd w:id="45"/>
      <w:r w:rsidRPr="00C22FC1">
        <w:rPr>
          <w:rFonts w:ascii="Arial" w:eastAsia="Times New Roman" w:hAnsi="Arial" w:cs="Arial"/>
          <w:strike/>
          <w:color w:val="000000"/>
          <w:kern w:val="0"/>
          <w:sz w:val="20"/>
          <w:szCs w:val="20"/>
          <w14:ligatures w14:val="none"/>
        </w:rPr>
        <w:t>§ 4º  O registro da Letra Financeira deverá conter todas as características mencionadas neste artigo e as condições negociais que disciplinarão sua conversão, caso emitida com a cláusula de que trata o inciso XVI do caput.                </w:t>
      </w:r>
      <w:hyperlink r:id="rId116" w:anchor="art10" w:history="1">
        <w:r w:rsidRPr="00C22FC1">
          <w:rPr>
            <w:rFonts w:ascii="Arial" w:eastAsia="Times New Roman" w:hAnsi="Arial" w:cs="Arial"/>
            <w:strike/>
            <w:color w:val="0000FF"/>
            <w:kern w:val="0"/>
            <w:sz w:val="20"/>
            <w:szCs w:val="20"/>
            <w:u w:val="single"/>
            <w14:ligatures w14:val="none"/>
          </w:rPr>
          <w:t>(Incluído pela Medida Provisória nº 608, de 2013)</w:t>
        </w:r>
      </w:hyperlink>
      <w:r w:rsidRPr="00C22FC1">
        <w:rPr>
          <w:rFonts w:ascii="Arial" w:eastAsia="Times New Roman" w:hAnsi="Arial" w:cs="Arial"/>
          <w:strike/>
          <w:color w:val="000000"/>
          <w:kern w:val="0"/>
          <w:sz w:val="20"/>
          <w:szCs w:val="20"/>
          <w14:ligatures w14:val="none"/>
        </w:rPr>
        <w:t>    </w:t>
      </w:r>
      <w:hyperlink r:id="rId117" w:anchor="art17" w:history="1">
        <w:r w:rsidRPr="00C22FC1">
          <w:rPr>
            <w:rFonts w:ascii="Arial" w:eastAsia="Times New Roman" w:hAnsi="Arial" w:cs="Arial"/>
            <w:strike/>
            <w:color w:val="0000FF"/>
            <w:kern w:val="0"/>
            <w:sz w:val="20"/>
            <w:szCs w:val="20"/>
            <w:u w:val="single"/>
            <w14:ligatures w14:val="none"/>
          </w:rPr>
          <w:t>(Produção de efeito)</w:t>
        </w:r>
      </w:hyperlink>
    </w:p>
    <w:p w14:paraId="2E335852"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bookmarkStart w:id="46" w:name="art38§4."/>
      <w:bookmarkEnd w:id="46"/>
      <w:r w:rsidRPr="00C22FC1">
        <w:rPr>
          <w:rFonts w:ascii="Arial" w:eastAsia="Times New Roman" w:hAnsi="Arial" w:cs="Arial"/>
          <w:color w:val="000000"/>
          <w:kern w:val="0"/>
          <w:sz w:val="20"/>
          <w:szCs w:val="20"/>
          <w14:ligatures w14:val="none"/>
        </w:rPr>
        <w:lastRenderedPageBreak/>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registro da Letra Financeira deverá conter todas as características mencionadas neste artigo e as condições negociais que disciplinarão sua conversão, caso emitida com a cláusula de que trata o inciso XVI do caput.                  </w:t>
      </w:r>
      <w:hyperlink r:id="rId118" w:anchor="art10" w:history="1">
        <w:r w:rsidRPr="00C22FC1">
          <w:rPr>
            <w:rFonts w:ascii="Arial" w:eastAsia="Times New Roman" w:hAnsi="Arial" w:cs="Arial"/>
            <w:color w:val="0000FF"/>
            <w:kern w:val="0"/>
            <w:sz w:val="20"/>
            <w:szCs w:val="20"/>
            <w:u w:val="single"/>
            <w14:ligatures w14:val="none"/>
          </w:rPr>
          <w:t>(Incluído pela Lei nº 12.838, de 2013)</w:t>
        </w:r>
      </w:hyperlink>
      <w:r w:rsidRPr="00C22FC1">
        <w:rPr>
          <w:rFonts w:ascii="Arial" w:eastAsia="Times New Roman" w:hAnsi="Arial" w:cs="Arial"/>
          <w:color w:val="000000"/>
          <w:kern w:val="0"/>
          <w:sz w:val="20"/>
          <w:szCs w:val="20"/>
          <w14:ligatures w14:val="none"/>
        </w:rPr>
        <w:t>    </w:t>
      </w:r>
      <w:hyperlink r:id="rId119" w:anchor="art18" w:history="1">
        <w:r w:rsidRPr="00C22FC1">
          <w:rPr>
            <w:rFonts w:ascii="Arial" w:eastAsia="Times New Roman" w:hAnsi="Arial" w:cs="Arial"/>
            <w:color w:val="0000FF"/>
            <w:kern w:val="0"/>
            <w:sz w:val="20"/>
            <w:szCs w:val="20"/>
            <w:u w:val="single"/>
            <w14:ligatures w14:val="none"/>
          </w:rPr>
          <w:t>(Produção de efeito)</w:t>
        </w:r>
      </w:hyperlink>
    </w:p>
    <w:p w14:paraId="02D01171"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5º  A cláusula de que trata o inciso IX do caput poderá estabelecer, como condições de vencimento da Letra Financeira, o inadimplemento da obrigação de pagar a remuneração ou a dissolução da instituição emitente, caso em que ambas as condições deverão constar no título.                  </w:t>
      </w:r>
      <w:hyperlink r:id="rId120" w:anchor="art10" w:history="1">
        <w:r w:rsidRPr="00C22FC1">
          <w:rPr>
            <w:rFonts w:ascii="Arial" w:eastAsia="Times New Roman" w:hAnsi="Arial" w:cs="Arial"/>
            <w:strike/>
            <w:color w:val="0000FF"/>
            <w:kern w:val="0"/>
            <w:sz w:val="20"/>
            <w:szCs w:val="20"/>
            <w:u w:val="single"/>
            <w14:ligatures w14:val="none"/>
          </w:rPr>
          <w:t>(Incluído pela Medida Provisória nº 608, de 2013)</w:t>
        </w:r>
      </w:hyperlink>
      <w:r w:rsidRPr="00C22FC1">
        <w:rPr>
          <w:rFonts w:ascii="Arial" w:eastAsia="Times New Roman" w:hAnsi="Arial" w:cs="Arial"/>
          <w:strike/>
          <w:color w:val="000000"/>
          <w:kern w:val="0"/>
          <w:sz w:val="20"/>
          <w:szCs w:val="20"/>
          <w14:ligatures w14:val="none"/>
        </w:rPr>
        <w:t>    </w:t>
      </w:r>
      <w:hyperlink r:id="rId121" w:anchor="art17" w:history="1">
        <w:r w:rsidRPr="00C22FC1">
          <w:rPr>
            <w:rFonts w:ascii="Arial" w:eastAsia="Times New Roman" w:hAnsi="Arial" w:cs="Arial"/>
            <w:strike/>
            <w:color w:val="0000FF"/>
            <w:kern w:val="0"/>
            <w:sz w:val="20"/>
            <w:szCs w:val="20"/>
            <w:u w:val="single"/>
            <w14:ligatures w14:val="none"/>
          </w:rPr>
          <w:t>(Produção de efeito)</w:t>
        </w:r>
      </w:hyperlink>
    </w:p>
    <w:p w14:paraId="0339D2C1"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cláusula de que trata o inciso IX do caput</w:t>
      </w:r>
      <w:r w:rsidRPr="00C22FC1">
        <w:rPr>
          <w:rFonts w:ascii="Arial" w:eastAsia="Times New Roman" w:hAnsi="Arial" w:cs="Arial"/>
          <w:i/>
          <w:iCs/>
          <w:color w:val="000000"/>
          <w:kern w:val="0"/>
          <w:sz w:val="20"/>
          <w:szCs w:val="20"/>
          <w14:ligatures w14:val="none"/>
        </w:rPr>
        <w:t> </w:t>
      </w:r>
      <w:r w:rsidRPr="00C22FC1">
        <w:rPr>
          <w:rFonts w:ascii="Arial" w:eastAsia="Times New Roman" w:hAnsi="Arial" w:cs="Arial"/>
          <w:color w:val="000000"/>
          <w:kern w:val="0"/>
          <w:sz w:val="20"/>
          <w:szCs w:val="20"/>
          <w14:ligatures w14:val="none"/>
        </w:rPr>
        <w:t>poderá estabelecer, como condições de vencimento da Letra Financeira, o inadimplemento da obrigação de pagar a remuneração ou a dissolução da instituição emitente, caso em que ambas as condições deverão constar no título.                   </w:t>
      </w:r>
      <w:hyperlink r:id="rId122" w:anchor="art10" w:history="1">
        <w:r w:rsidRPr="00C22FC1">
          <w:rPr>
            <w:rFonts w:ascii="Arial" w:eastAsia="Times New Roman" w:hAnsi="Arial" w:cs="Arial"/>
            <w:color w:val="0000FF"/>
            <w:kern w:val="0"/>
            <w:sz w:val="20"/>
            <w:szCs w:val="20"/>
            <w:u w:val="single"/>
            <w14:ligatures w14:val="none"/>
          </w:rPr>
          <w:t>(Incluído pela Lei nº 12.838, de 2013)</w:t>
        </w:r>
      </w:hyperlink>
      <w:r w:rsidRPr="00C22FC1">
        <w:rPr>
          <w:rFonts w:ascii="Arial" w:eastAsia="Times New Roman" w:hAnsi="Arial" w:cs="Arial"/>
          <w:color w:val="000000"/>
          <w:kern w:val="0"/>
          <w:sz w:val="20"/>
          <w:szCs w:val="20"/>
          <w14:ligatures w14:val="none"/>
        </w:rPr>
        <w:t>    </w:t>
      </w:r>
      <w:hyperlink r:id="rId123" w:anchor="art18" w:history="1">
        <w:r w:rsidRPr="00C22FC1">
          <w:rPr>
            <w:rFonts w:ascii="Arial" w:eastAsia="Times New Roman" w:hAnsi="Arial" w:cs="Arial"/>
            <w:color w:val="0000FF"/>
            <w:kern w:val="0"/>
            <w:sz w:val="20"/>
            <w:szCs w:val="20"/>
            <w:u w:val="single"/>
            <w14:ligatures w14:val="none"/>
          </w:rPr>
          <w:t>(Produção de efeito)</w:t>
        </w:r>
      </w:hyperlink>
    </w:p>
    <w:p w14:paraId="5C56DA28"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6º  Será considerada extinta a remuneração referente ao período da suspensão do pagamento levada a efeito pela cláusula de que trata o inciso XIV do caput.                     </w:t>
      </w:r>
      <w:hyperlink r:id="rId124" w:anchor="art10" w:history="1">
        <w:r w:rsidRPr="00C22FC1">
          <w:rPr>
            <w:rFonts w:ascii="Arial" w:eastAsia="Times New Roman" w:hAnsi="Arial" w:cs="Arial"/>
            <w:strike/>
            <w:color w:val="0000FF"/>
            <w:kern w:val="0"/>
            <w:sz w:val="20"/>
            <w:szCs w:val="20"/>
            <w:u w:val="single"/>
            <w14:ligatures w14:val="none"/>
          </w:rPr>
          <w:t>(Incluído pela Medida Provisória nº 608, de 2013)</w:t>
        </w:r>
      </w:hyperlink>
      <w:r w:rsidRPr="00C22FC1">
        <w:rPr>
          <w:rFonts w:ascii="Arial" w:eastAsia="Times New Roman" w:hAnsi="Arial" w:cs="Arial"/>
          <w:strike/>
          <w:color w:val="000000"/>
          <w:kern w:val="0"/>
          <w:sz w:val="20"/>
          <w:szCs w:val="20"/>
          <w14:ligatures w14:val="none"/>
        </w:rPr>
        <w:t>    </w:t>
      </w:r>
      <w:hyperlink r:id="rId125" w:anchor="art17" w:history="1">
        <w:r w:rsidRPr="00C22FC1">
          <w:rPr>
            <w:rFonts w:ascii="Arial" w:eastAsia="Times New Roman" w:hAnsi="Arial" w:cs="Arial"/>
            <w:strike/>
            <w:color w:val="0000FF"/>
            <w:kern w:val="0"/>
            <w:sz w:val="20"/>
            <w:szCs w:val="20"/>
            <w:u w:val="single"/>
            <w14:ligatures w14:val="none"/>
          </w:rPr>
          <w:t>(Produção de efeito)</w:t>
        </w:r>
      </w:hyperlink>
    </w:p>
    <w:p w14:paraId="0AFC092C"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Será considerada extinta a remuneração referente ao período da suspensão do pagamento levada a efeito pela cláusula de que trata o inciso XIV do caput.                     </w:t>
      </w:r>
      <w:hyperlink r:id="rId126" w:anchor="art10" w:history="1">
        <w:r w:rsidRPr="00C22FC1">
          <w:rPr>
            <w:rFonts w:ascii="Arial" w:eastAsia="Times New Roman" w:hAnsi="Arial" w:cs="Arial"/>
            <w:color w:val="0000FF"/>
            <w:kern w:val="0"/>
            <w:sz w:val="20"/>
            <w:szCs w:val="20"/>
            <w:u w:val="single"/>
            <w14:ligatures w14:val="none"/>
          </w:rPr>
          <w:t>(Incluído pela Lei nº 12.838, de 2013)</w:t>
        </w:r>
      </w:hyperlink>
      <w:r w:rsidRPr="00C22FC1">
        <w:rPr>
          <w:rFonts w:ascii="Arial" w:eastAsia="Times New Roman" w:hAnsi="Arial" w:cs="Arial"/>
          <w:color w:val="000000"/>
          <w:kern w:val="0"/>
          <w:sz w:val="20"/>
          <w:szCs w:val="20"/>
          <w14:ligatures w14:val="none"/>
        </w:rPr>
        <w:t>    </w:t>
      </w:r>
      <w:hyperlink r:id="rId127" w:anchor="art18" w:history="1">
        <w:r w:rsidRPr="00C22FC1">
          <w:rPr>
            <w:rFonts w:ascii="Arial" w:eastAsia="Times New Roman" w:hAnsi="Arial" w:cs="Arial"/>
            <w:color w:val="0000FF"/>
            <w:kern w:val="0"/>
            <w:sz w:val="20"/>
            <w:szCs w:val="20"/>
            <w:u w:val="single"/>
            <w14:ligatures w14:val="none"/>
          </w:rPr>
          <w:t>(Produção de efeito)</w:t>
        </w:r>
      </w:hyperlink>
    </w:p>
    <w:p w14:paraId="01F88440"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7º  A conversão em ações de que trata o inciso XVI do caput não poderá decorrer de iniciativa do titular ou da instituição emitente da Letra Financeira.                    </w:t>
      </w:r>
      <w:hyperlink r:id="rId128" w:anchor="art10" w:history="1">
        <w:r w:rsidRPr="00C22FC1">
          <w:rPr>
            <w:rFonts w:ascii="Arial" w:eastAsia="Times New Roman" w:hAnsi="Arial" w:cs="Arial"/>
            <w:strike/>
            <w:color w:val="0000FF"/>
            <w:kern w:val="0"/>
            <w:sz w:val="20"/>
            <w:szCs w:val="20"/>
            <w:u w:val="single"/>
            <w14:ligatures w14:val="none"/>
          </w:rPr>
          <w:t>(Incluído pela Medida Provisória nº 608, de 2013)</w:t>
        </w:r>
      </w:hyperlink>
      <w:r w:rsidRPr="00C22FC1">
        <w:rPr>
          <w:rFonts w:ascii="Arial" w:eastAsia="Times New Roman" w:hAnsi="Arial" w:cs="Arial"/>
          <w:strike/>
          <w:color w:val="000000"/>
          <w:kern w:val="0"/>
          <w:sz w:val="20"/>
          <w:szCs w:val="20"/>
          <w14:ligatures w14:val="none"/>
        </w:rPr>
        <w:t>    </w:t>
      </w:r>
      <w:hyperlink r:id="rId129" w:anchor="art17" w:history="1">
        <w:r w:rsidRPr="00C22FC1">
          <w:rPr>
            <w:rFonts w:ascii="Arial" w:eastAsia="Times New Roman" w:hAnsi="Arial" w:cs="Arial"/>
            <w:strike/>
            <w:color w:val="0000FF"/>
            <w:kern w:val="0"/>
            <w:sz w:val="20"/>
            <w:szCs w:val="20"/>
            <w:u w:val="single"/>
            <w14:ligatures w14:val="none"/>
          </w:rPr>
          <w:t>(Produção de efeito)</w:t>
        </w:r>
      </w:hyperlink>
    </w:p>
    <w:p w14:paraId="35F6459F"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conversão em ações de que trata o inciso XVI do caput não poderá decorrer de iniciativa do titular ou da instituição emitente da Letra Financeira.                     </w:t>
      </w:r>
      <w:hyperlink r:id="rId130" w:anchor="art10" w:history="1">
        <w:r w:rsidRPr="00C22FC1">
          <w:rPr>
            <w:rFonts w:ascii="Arial" w:eastAsia="Times New Roman" w:hAnsi="Arial" w:cs="Arial"/>
            <w:color w:val="0000FF"/>
            <w:kern w:val="0"/>
            <w:sz w:val="20"/>
            <w:szCs w:val="20"/>
            <w:u w:val="single"/>
            <w14:ligatures w14:val="none"/>
          </w:rPr>
          <w:t>(Incluído pela Lei nº 12.838, de 2013)</w:t>
        </w:r>
      </w:hyperlink>
      <w:r w:rsidRPr="00C22FC1">
        <w:rPr>
          <w:rFonts w:ascii="Arial" w:eastAsia="Times New Roman" w:hAnsi="Arial" w:cs="Arial"/>
          <w:color w:val="000000"/>
          <w:kern w:val="0"/>
          <w:sz w:val="20"/>
          <w:szCs w:val="20"/>
          <w14:ligatures w14:val="none"/>
        </w:rPr>
        <w:t>    </w:t>
      </w:r>
      <w:hyperlink r:id="rId131" w:anchor="art18" w:history="1">
        <w:r w:rsidRPr="00C22FC1">
          <w:rPr>
            <w:rFonts w:ascii="Arial" w:eastAsia="Times New Roman" w:hAnsi="Arial" w:cs="Arial"/>
            <w:color w:val="0000FF"/>
            <w:kern w:val="0"/>
            <w:sz w:val="20"/>
            <w:szCs w:val="20"/>
            <w:u w:val="single"/>
            <w14:ligatures w14:val="none"/>
          </w:rPr>
          <w:t>(Produção de efeito)</w:t>
        </w:r>
      </w:hyperlink>
    </w:p>
    <w:p w14:paraId="43D9AB5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7" w:name="art39"/>
      <w:bookmarkEnd w:id="47"/>
      <w:r w:rsidRPr="00C22FC1">
        <w:rPr>
          <w:rFonts w:ascii="Arial" w:eastAsia="Times New Roman" w:hAnsi="Arial" w:cs="Arial"/>
          <w:color w:val="000000"/>
          <w:kern w:val="0"/>
          <w:sz w:val="20"/>
          <w:szCs w:val="20"/>
          <w14:ligatures w14:val="none"/>
        </w:rPr>
        <w:t>Art. 39.  A distribuição pública de Letra Financeira observará o disposto pela Comissão de Valores Mobiliários.                </w:t>
      </w:r>
      <w:hyperlink r:id="rId132" w:anchor="art139" w:history="1">
        <w:r w:rsidRPr="00C22FC1">
          <w:rPr>
            <w:rFonts w:ascii="Arial" w:eastAsia="Times New Roman" w:hAnsi="Arial" w:cs="Arial"/>
            <w:color w:val="0000FF"/>
            <w:kern w:val="0"/>
            <w:sz w:val="20"/>
            <w:szCs w:val="20"/>
            <w:u w:val="single"/>
            <w14:ligatures w14:val="none"/>
          </w:rPr>
          <w:t>(Produção de efeito)</w:t>
        </w:r>
      </w:hyperlink>
    </w:p>
    <w:p w14:paraId="108F43D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8" w:name="art40"/>
      <w:bookmarkEnd w:id="48"/>
      <w:r w:rsidRPr="00C22FC1">
        <w:rPr>
          <w:rFonts w:ascii="Arial" w:eastAsia="Times New Roman" w:hAnsi="Arial" w:cs="Arial"/>
          <w:color w:val="000000"/>
          <w:kern w:val="0"/>
          <w:sz w:val="20"/>
          <w:szCs w:val="20"/>
          <w14:ligatures w14:val="none"/>
        </w:rPr>
        <w:t>Art. 40.  A Letra Financeira pode ser emitida com cláusula de subordinação aos credores quirografários, preferindo apenas aos acionistas no ativo remanescente, se houver, na hipótese de liquidação ou falência da instituição emissora.                 </w:t>
      </w:r>
      <w:hyperlink r:id="rId133" w:anchor="art139" w:history="1">
        <w:r w:rsidRPr="00C22FC1">
          <w:rPr>
            <w:rFonts w:ascii="Arial" w:eastAsia="Times New Roman" w:hAnsi="Arial" w:cs="Arial"/>
            <w:color w:val="0000FF"/>
            <w:kern w:val="0"/>
            <w:sz w:val="20"/>
            <w:szCs w:val="20"/>
            <w:u w:val="single"/>
            <w14:ligatures w14:val="none"/>
          </w:rPr>
          <w:t>(Produção de efeito)</w:t>
        </w:r>
      </w:hyperlink>
    </w:p>
    <w:p w14:paraId="632B102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Parágrafo único.  A Letra Financeira de que trata o caput pode ser utilizada como instrumento de dívida, para fins de composição do capital da instituição emissora, nas condições especificadas em regulamento do CMN.</w:t>
      </w:r>
    </w:p>
    <w:p w14:paraId="0618BCEF"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bookmarkStart w:id="49" w:name="art40§1"/>
      <w:bookmarkEnd w:id="49"/>
      <w:r w:rsidRPr="00C22FC1">
        <w:rPr>
          <w:rFonts w:ascii="Arial" w:eastAsia="Times New Roman" w:hAnsi="Arial" w:cs="Arial"/>
          <w:strike/>
          <w:color w:val="000000"/>
          <w:kern w:val="0"/>
          <w:sz w:val="20"/>
          <w:szCs w:val="20"/>
          <w14:ligatures w14:val="none"/>
        </w:rPr>
        <w:t>§ 1º  A Letra Financeira de que trata o caput pode ser utilizada para fins de composição do patrimônio de referência da instituição emitente, nas condições especificadas pelo CMN.                  </w:t>
      </w:r>
      <w:hyperlink r:id="rId134" w:anchor="art10" w:history="1">
        <w:r w:rsidRPr="00C22FC1">
          <w:rPr>
            <w:rFonts w:ascii="Arial" w:eastAsia="Times New Roman" w:hAnsi="Arial" w:cs="Arial"/>
            <w:strike/>
            <w:color w:val="0000FF"/>
            <w:kern w:val="0"/>
            <w:sz w:val="20"/>
            <w:szCs w:val="20"/>
            <w:u w:val="single"/>
            <w14:ligatures w14:val="none"/>
          </w:rPr>
          <w:t>(Redação dada pela Medida Provisória nº 608, de 2013)</w:t>
        </w:r>
      </w:hyperlink>
      <w:r w:rsidRPr="00C22FC1">
        <w:rPr>
          <w:rFonts w:ascii="Arial" w:eastAsia="Times New Roman" w:hAnsi="Arial" w:cs="Arial"/>
          <w:strike/>
          <w:color w:val="000000"/>
          <w:kern w:val="0"/>
          <w:sz w:val="20"/>
          <w:szCs w:val="20"/>
          <w14:ligatures w14:val="none"/>
        </w:rPr>
        <w:t>    </w:t>
      </w:r>
      <w:hyperlink r:id="rId135" w:anchor="art17" w:history="1">
        <w:r w:rsidRPr="00C22FC1">
          <w:rPr>
            <w:rFonts w:ascii="Arial" w:eastAsia="Times New Roman" w:hAnsi="Arial" w:cs="Arial"/>
            <w:strike/>
            <w:color w:val="0000FF"/>
            <w:kern w:val="0"/>
            <w:sz w:val="20"/>
            <w:szCs w:val="20"/>
            <w:u w:val="single"/>
            <w14:ligatures w14:val="none"/>
          </w:rPr>
          <w:t>(Produção de efeito)</w:t>
        </w:r>
      </w:hyperlink>
    </w:p>
    <w:p w14:paraId="7E14D8D7"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bookmarkStart w:id="50" w:name="art40§1."/>
      <w:bookmarkEnd w:id="50"/>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Letra Financeira de que trata o caput</w:t>
      </w:r>
      <w:r w:rsidRPr="00C22FC1">
        <w:rPr>
          <w:rFonts w:ascii="Arial" w:eastAsia="Times New Roman" w:hAnsi="Arial" w:cs="Arial"/>
          <w:i/>
          <w:iCs/>
          <w:color w:val="000000"/>
          <w:kern w:val="0"/>
          <w:sz w:val="20"/>
          <w:szCs w:val="20"/>
          <w14:ligatures w14:val="none"/>
        </w:rPr>
        <w:t> </w:t>
      </w:r>
      <w:r w:rsidRPr="00C22FC1">
        <w:rPr>
          <w:rFonts w:ascii="Arial" w:eastAsia="Times New Roman" w:hAnsi="Arial" w:cs="Arial"/>
          <w:color w:val="000000"/>
          <w:kern w:val="0"/>
          <w:sz w:val="20"/>
          <w:szCs w:val="20"/>
          <w14:ligatures w14:val="none"/>
        </w:rPr>
        <w:t>pode ser utilizada para fins de composição do patrimônio de referência da instituição emitente, nas condições especificadas pelo CMN.                  </w:t>
      </w:r>
      <w:hyperlink r:id="rId136" w:anchor="art10" w:history="1">
        <w:r w:rsidRPr="00C22FC1">
          <w:rPr>
            <w:rFonts w:ascii="Arial" w:eastAsia="Times New Roman" w:hAnsi="Arial" w:cs="Arial"/>
            <w:color w:val="0000FF"/>
            <w:kern w:val="0"/>
            <w:sz w:val="20"/>
            <w:szCs w:val="20"/>
            <w:u w:val="single"/>
            <w14:ligatures w14:val="none"/>
          </w:rPr>
          <w:t>(Redação dada pela Lei nº 12.838, de 2013)</w:t>
        </w:r>
      </w:hyperlink>
      <w:r w:rsidRPr="00C22FC1">
        <w:rPr>
          <w:rFonts w:ascii="Arial" w:eastAsia="Times New Roman" w:hAnsi="Arial" w:cs="Arial"/>
          <w:color w:val="000000"/>
          <w:kern w:val="0"/>
          <w:sz w:val="20"/>
          <w:szCs w:val="20"/>
          <w14:ligatures w14:val="none"/>
        </w:rPr>
        <w:t>    </w:t>
      </w:r>
      <w:hyperlink r:id="rId137" w:anchor="art18" w:history="1">
        <w:r w:rsidRPr="00C22FC1">
          <w:rPr>
            <w:rFonts w:ascii="Arial" w:eastAsia="Times New Roman" w:hAnsi="Arial" w:cs="Arial"/>
            <w:color w:val="0000FF"/>
            <w:kern w:val="0"/>
            <w:sz w:val="20"/>
            <w:szCs w:val="20"/>
            <w:u w:val="single"/>
            <w14:ligatures w14:val="none"/>
          </w:rPr>
          <w:t>(Produção de efeito)</w:t>
        </w:r>
      </w:hyperlink>
    </w:p>
    <w:p w14:paraId="00CF9CE8"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2º  As normas editadas pelo CMN poderão estabelecer ordem de preferência no pagamento dos titulares da Letra Financeira de que trata o caput, de acordo com as características do título.                 </w:t>
      </w:r>
      <w:hyperlink r:id="rId138" w:anchor="art10" w:history="1">
        <w:r w:rsidRPr="00C22FC1">
          <w:rPr>
            <w:rFonts w:ascii="Arial" w:eastAsia="Times New Roman" w:hAnsi="Arial" w:cs="Arial"/>
            <w:strike/>
            <w:color w:val="0000FF"/>
            <w:kern w:val="0"/>
            <w:sz w:val="20"/>
            <w:szCs w:val="20"/>
            <w:u w:val="single"/>
            <w14:ligatures w14:val="none"/>
          </w:rPr>
          <w:t>(Incluído pela Medida Provisória nº 608, de 2013)</w:t>
        </w:r>
      </w:hyperlink>
      <w:r w:rsidRPr="00C22FC1">
        <w:rPr>
          <w:rFonts w:ascii="Arial" w:eastAsia="Times New Roman" w:hAnsi="Arial" w:cs="Arial"/>
          <w:strike/>
          <w:color w:val="000000"/>
          <w:kern w:val="0"/>
          <w:sz w:val="20"/>
          <w:szCs w:val="20"/>
          <w14:ligatures w14:val="none"/>
        </w:rPr>
        <w:t>            </w:t>
      </w:r>
      <w:hyperlink r:id="rId139" w:anchor="art17" w:history="1">
        <w:r w:rsidRPr="00C22FC1">
          <w:rPr>
            <w:rFonts w:ascii="Arial" w:eastAsia="Times New Roman" w:hAnsi="Arial" w:cs="Arial"/>
            <w:strike/>
            <w:color w:val="0000FF"/>
            <w:kern w:val="0"/>
            <w:sz w:val="20"/>
            <w:szCs w:val="20"/>
            <w:u w:val="single"/>
            <w14:ligatures w14:val="none"/>
          </w:rPr>
          <w:t>(Produção de efeito)</w:t>
        </w:r>
      </w:hyperlink>
    </w:p>
    <w:p w14:paraId="37C319DE"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xml:space="preserve">  As normas editadas pelo CMN poderão estabelecer ordem de preferência no pagamento dos titulares da Letra Financeira de que trata o caput, de acordo com as </w:t>
      </w:r>
      <w:r w:rsidRPr="00C22FC1">
        <w:rPr>
          <w:rFonts w:ascii="Arial" w:eastAsia="Times New Roman" w:hAnsi="Arial" w:cs="Arial"/>
          <w:color w:val="000000"/>
          <w:kern w:val="0"/>
          <w:sz w:val="20"/>
          <w:szCs w:val="20"/>
          <w14:ligatures w14:val="none"/>
        </w:rPr>
        <w:lastRenderedPageBreak/>
        <w:t>características do título.                      </w:t>
      </w:r>
      <w:hyperlink r:id="rId140" w:anchor="art10" w:history="1">
        <w:r w:rsidRPr="00C22FC1">
          <w:rPr>
            <w:rFonts w:ascii="Arial" w:eastAsia="Times New Roman" w:hAnsi="Arial" w:cs="Arial"/>
            <w:color w:val="0000FF"/>
            <w:kern w:val="0"/>
            <w:sz w:val="20"/>
            <w:szCs w:val="20"/>
            <w:u w:val="single"/>
            <w14:ligatures w14:val="none"/>
          </w:rPr>
          <w:t>(Incluído pela Lei nº 12.838, de 2013)</w:t>
        </w:r>
      </w:hyperlink>
      <w:r w:rsidRPr="00C22FC1">
        <w:rPr>
          <w:rFonts w:ascii="Arial" w:eastAsia="Times New Roman" w:hAnsi="Arial" w:cs="Arial"/>
          <w:color w:val="000000"/>
          <w:kern w:val="0"/>
          <w:sz w:val="20"/>
          <w:szCs w:val="20"/>
          <w14:ligatures w14:val="none"/>
        </w:rPr>
        <w:t>             </w:t>
      </w:r>
      <w:hyperlink r:id="rId141" w:anchor="art18" w:history="1">
        <w:r w:rsidRPr="00C22FC1">
          <w:rPr>
            <w:rFonts w:ascii="Arial" w:eastAsia="Times New Roman" w:hAnsi="Arial" w:cs="Arial"/>
            <w:color w:val="0000FF"/>
            <w:kern w:val="0"/>
            <w:sz w:val="20"/>
            <w:szCs w:val="20"/>
            <w:u w:val="single"/>
            <w14:ligatures w14:val="none"/>
          </w:rPr>
          <w:t>(Produção de efeito)</w:t>
        </w:r>
      </w:hyperlink>
    </w:p>
    <w:p w14:paraId="52C42C3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51" w:name="art41"/>
      <w:bookmarkEnd w:id="51"/>
      <w:r w:rsidRPr="00C22FC1">
        <w:rPr>
          <w:rFonts w:ascii="Arial" w:eastAsia="Times New Roman" w:hAnsi="Arial" w:cs="Arial"/>
          <w:color w:val="000000"/>
          <w:kern w:val="0"/>
          <w:sz w:val="20"/>
          <w:szCs w:val="20"/>
          <w14:ligatures w14:val="none"/>
        </w:rPr>
        <w:t>Art. 41.  Incumbe ao CMN a disciplina das condições de emissão da Letra Financeira, em especial os seguintes aspectos:       </w:t>
      </w:r>
      <w:hyperlink r:id="rId142" w:anchor="art139" w:history="1">
        <w:r w:rsidRPr="00C22FC1">
          <w:rPr>
            <w:rFonts w:ascii="Arial" w:eastAsia="Times New Roman" w:hAnsi="Arial" w:cs="Arial"/>
            <w:color w:val="0000FF"/>
            <w:kern w:val="0"/>
            <w:sz w:val="20"/>
            <w:szCs w:val="20"/>
            <w:u w:val="single"/>
            <w14:ligatures w14:val="none"/>
          </w:rPr>
          <w:t>(Produção de efeito)</w:t>
        </w:r>
      </w:hyperlink>
    </w:p>
    <w:p w14:paraId="4AE14C17"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 - o tipo de instituição financeira autorizada à sua emissão;</w:t>
      </w:r>
    </w:p>
    <w:p w14:paraId="4030EFD6"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52" w:name="art41i"/>
      <w:bookmarkEnd w:id="52"/>
      <w:r w:rsidRPr="00C22FC1">
        <w:rPr>
          <w:rFonts w:ascii="Arial" w:eastAsia="Times New Roman" w:hAnsi="Arial" w:cs="Arial"/>
          <w:strike/>
          <w:color w:val="000000"/>
          <w:kern w:val="0"/>
          <w:sz w:val="20"/>
          <w:szCs w:val="20"/>
          <w14:ligatures w14:val="none"/>
        </w:rPr>
        <w:t>I - o tipo de instituição autorizada à sua emissão;                    </w:t>
      </w:r>
      <w:hyperlink r:id="rId143" w:anchor="art10" w:history="1">
        <w:r w:rsidRPr="00C22FC1">
          <w:rPr>
            <w:rFonts w:ascii="Arial" w:eastAsia="Times New Roman" w:hAnsi="Arial" w:cs="Arial"/>
            <w:strike/>
            <w:color w:val="0000FF"/>
            <w:kern w:val="0"/>
            <w:sz w:val="20"/>
            <w:szCs w:val="20"/>
            <w:u w:val="single"/>
            <w14:ligatures w14:val="none"/>
          </w:rPr>
          <w:t>(Redação dada pela Medida Provisória nº 608, de 2013)</w:t>
        </w:r>
      </w:hyperlink>
      <w:r w:rsidRPr="00C22FC1">
        <w:rPr>
          <w:rFonts w:ascii="Arial" w:eastAsia="Times New Roman" w:hAnsi="Arial" w:cs="Arial"/>
          <w:strike/>
          <w:color w:val="000000"/>
          <w:kern w:val="0"/>
          <w:sz w:val="20"/>
          <w:szCs w:val="20"/>
          <w14:ligatures w14:val="none"/>
        </w:rPr>
        <w:t>    </w:t>
      </w:r>
      <w:hyperlink r:id="rId144" w:anchor="art17" w:history="1">
        <w:r w:rsidRPr="00C22FC1">
          <w:rPr>
            <w:rFonts w:ascii="Arial" w:eastAsia="Times New Roman" w:hAnsi="Arial" w:cs="Arial"/>
            <w:strike/>
            <w:color w:val="0000FF"/>
            <w:kern w:val="0"/>
            <w:sz w:val="20"/>
            <w:szCs w:val="20"/>
            <w:u w:val="single"/>
            <w14:ligatures w14:val="none"/>
          </w:rPr>
          <w:t>(Produção de efeito)</w:t>
        </w:r>
      </w:hyperlink>
    </w:p>
    <w:bookmarkStart w:id="53" w:name="art41i."/>
    <w:bookmarkEnd w:id="53"/>
    <w:p w14:paraId="306DCAA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fldChar w:fldCharType="begin"/>
      </w:r>
      <w:r w:rsidRPr="00C22FC1">
        <w:rPr>
          <w:rFonts w:ascii="Arial" w:eastAsia="Times New Roman" w:hAnsi="Arial" w:cs="Arial"/>
          <w:color w:val="000000"/>
          <w:kern w:val="0"/>
          <w:sz w:val="20"/>
          <w:szCs w:val="20"/>
          <w14:ligatures w14:val="none"/>
        </w:rPr>
        <w:instrText xml:space="preserve"> HYPERLINK "http://www.planalto.gov.br/ccivil_03/_ato2007-2010/2010/lei/L12249.htm" \l "art41i." </w:instrText>
      </w:r>
      <w:r w:rsidRPr="00C22FC1">
        <w:rPr>
          <w:rFonts w:ascii="Arial" w:eastAsia="Times New Roman" w:hAnsi="Arial" w:cs="Arial"/>
          <w:color w:val="000000"/>
          <w:kern w:val="0"/>
          <w:sz w:val="20"/>
          <w:szCs w:val="20"/>
          <w14:ligatures w14:val="none"/>
        </w:rPr>
        <w:fldChar w:fldCharType="separate"/>
      </w:r>
      <w:r w:rsidRPr="00C22FC1">
        <w:rPr>
          <w:rFonts w:ascii="Arial" w:eastAsia="Times New Roman" w:hAnsi="Arial" w:cs="Arial"/>
          <w:color w:val="0000FF"/>
          <w:kern w:val="0"/>
          <w:sz w:val="20"/>
          <w:szCs w:val="20"/>
          <w:u w:val="single"/>
          <w14:ligatures w14:val="none"/>
        </w:rPr>
        <w:t>I - </w:t>
      </w:r>
      <w:r w:rsidRPr="00C22FC1">
        <w:rPr>
          <w:rFonts w:ascii="Arial" w:eastAsia="Times New Roman" w:hAnsi="Arial" w:cs="Arial"/>
          <w:color w:val="000000"/>
          <w:kern w:val="0"/>
          <w:sz w:val="20"/>
          <w:szCs w:val="20"/>
          <w14:ligatures w14:val="none"/>
        </w:rPr>
        <w:fldChar w:fldCharType="end"/>
      </w:r>
      <w:r w:rsidRPr="00C22FC1">
        <w:rPr>
          <w:rFonts w:ascii="Arial" w:eastAsia="Times New Roman" w:hAnsi="Arial" w:cs="Arial"/>
          <w:color w:val="000000"/>
          <w:kern w:val="0"/>
          <w:sz w:val="20"/>
          <w:szCs w:val="20"/>
          <w14:ligatures w14:val="none"/>
        </w:rPr>
        <w:t>o tipo de instituição autorizada à sua emissão;                     </w:t>
      </w:r>
      <w:hyperlink r:id="rId145" w:anchor="art10" w:history="1">
        <w:r w:rsidRPr="00C22FC1">
          <w:rPr>
            <w:rFonts w:ascii="Arial" w:eastAsia="Times New Roman" w:hAnsi="Arial" w:cs="Arial"/>
            <w:color w:val="0000FF"/>
            <w:kern w:val="0"/>
            <w:sz w:val="20"/>
            <w:szCs w:val="20"/>
            <w:u w:val="single"/>
            <w14:ligatures w14:val="none"/>
          </w:rPr>
          <w:t>(Redação dada pela Lei nº 12.838, de 2013)</w:t>
        </w:r>
      </w:hyperlink>
      <w:r w:rsidRPr="00C22FC1">
        <w:rPr>
          <w:rFonts w:ascii="Arial" w:eastAsia="Times New Roman" w:hAnsi="Arial" w:cs="Arial"/>
          <w:color w:val="000000"/>
          <w:kern w:val="0"/>
          <w:sz w:val="20"/>
          <w:szCs w:val="20"/>
          <w14:ligatures w14:val="none"/>
        </w:rPr>
        <w:t>    </w:t>
      </w:r>
      <w:hyperlink r:id="rId146" w:anchor="art18" w:history="1">
        <w:r w:rsidRPr="00C22FC1">
          <w:rPr>
            <w:rFonts w:ascii="Arial" w:eastAsia="Times New Roman" w:hAnsi="Arial" w:cs="Arial"/>
            <w:color w:val="0000FF"/>
            <w:kern w:val="0"/>
            <w:sz w:val="20"/>
            <w:szCs w:val="20"/>
            <w:u w:val="single"/>
            <w14:ligatures w14:val="none"/>
          </w:rPr>
          <w:t>(Produção de efeito)</w:t>
        </w:r>
      </w:hyperlink>
    </w:p>
    <w:p w14:paraId="7F03F6F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a utilização de índices, taxas ou metodologias de remuneração;</w:t>
      </w:r>
    </w:p>
    <w:p w14:paraId="5626C94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o prazo de vencimento, não inferior a 1 (um) ano;</w:t>
      </w:r>
    </w:p>
    <w:p w14:paraId="2903CD4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IV - as condições de resgate antecipado do título, que somente poderá ocorrer em ambiente de negociação competitivo, observado o prazo mínimo de vencimento; e</w:t>
      </w:r>
    </w:p>
    <w:p w14:paraId="11E80B7F"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V - os limites de emissão, considerados em função do tipo de instituição financeira.</w:t>
      </w:r>
    </w:p>
    <w:p w14:paraId="0E0DB8AB" w14:textId="77777777" w:rsidR="00C22FC1" w:rsidRPr="00C22FC1" w:rsidRDefault="00C22FC1" w:rsidP="00C22FC1">
      <w:pPr>
        <w:spacing w:after="0" w:line="240" w:lineRule="auto"/>
        <w:ind w:firstLine="570"/>
        <w:jc w:val="both"/>
        <w:rPr>
          <w:rFonts w:ascii="Arial" w:eastAsia="Times New Roman" w:hAnsi="Arial" w:cs="Arial"/>
          <w:color w:val="000000"/>
          <w:kern w:val="0"/>
          <w:sz w:val="20"/>
          <w:szCs w:val="20"/>
          <w14:ligatures w14:val="none"/>
        </w:rPr>
      </w:pPr>
      <w:bookmarkStart w:id="54" w:name="art41v"/>
      <w:bookmarkEnd w:id="54"/>
      <w:r w:rsidRPr="00C22FC1">
        <w:rPr>
          <w:rFonts w:ascii="Arial" w:eastAsia="Times New Roman" w:hAnsi="Arial" w:cs="Arial"/>
          <w:strike/>
          <w:color w:val="000000"/>
          <w:kern w:val="0"/>
          <w:sz w:val="20"/>
          <w:szCs w:val="20"/>
          <w14:ligatures w14:val="none"/>
        </w:rPr>
        <w:t>V - os limites de emissão, considerados em função do tipo de instituição;                   </w:t>
      </w:r>
      <w:hyperlink r:id="rId147" w:anchor="art10" w:history="1">
        <w:r w:rsidRPr="00C22FC1">
          <w:rPr>
            <w:rFonts w:ascii="Arial" w:eastAsia="Times New Roman" w:hAnsi="Arial" w:cs="Arial"/>
            <w:strike/>
            <w:color w:val="0000FF"/>
            <w:kern w:val="0"/>
            <w:sz w:val="20"/>
            <w:szCs w:val="20"/>
            <w:u w:val="single"/>
            <w14:ligatures w14:val="none"/>
          </w:rPr>
          <w:t>(Redação dada pela Medida Provisória nº 608, de 2013)</w:t>
        </w:r>
      </w:hyperlink>
      <w:r w:rsidRPr="00C22FC1">
        <w:rPr>
          <w:rFonts w:ascii="Arial" w:eastAsia="Times New Roman" w:hAnsi="Arial" w:cs="Arial"/>
          <w:strike/>
          <w:color w:val="000000"/>
          <w:kern w:val="0"/>
          <w:sz w:val="20"/>
          <w:szCs w:val="20"/>
          <w14:ligatures w14:val="none"/>
        </w:rPr>
        <w:t>    </w:t>
      </w:r>
      <w:hyperlink r:id="rId148" w:anchor="art17" w:history="1">
        <w:r w:rsidRPr="00C22FC1">
          <w:rPr>
            <w:rFonts w:ascii="Arial" w:eastAsia="Times New Roman" w:hAnsi="Arial" w:cs="Arial"/>
            <w:strike/>
            <w:color w:val="0000FF"/>
            <w:kern w:val="0"/>
            <w:sz w:val="20"/>
            <w:szCs w:val="20"/>
            <w:u w:val="single"/>
            <w14:ligatures w14:val="none"/>
          </w:rPr>
          <w:t>(Produção de efeito)</w:t>
        </w:r>
      </w:hyperlink>
    </w:p>
    <w:p w14:paraId="3F722E12"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bookmarkStart w:id="55" w:name="art41v."/>
      <w:bookmarkEnd w:id="55"/>
      <w:r w:rsidRPr="00C22FC1">
        <w:rPr>
          <w:rFonts w:ascii="Arial" w:eastAsia="Times New Roman" w:hAnsi="Arial" w:cs="Arial"/>
          <w:color w:val="000000"/>
          <w:kern w:val="0"/>
          <w:sz w:val="20"/>
          <w:szCs w:val="20"/>
          <w14:ligatures w14:val="none"/>
        </w:rPr>
        <w:t>V - os limites de emissão, considerados em função do tipo de instituição;                       </w:t>
      </w:r>
      <w:hyperlink r:id="rId149" w:anchor="art10" w:history="1">
        <w:r w:rsidRPr="00C22FC1">
          <w:rPr>
            <w:rFonts w:ascii="Arial" w:eastAsia="Times New Roman" w:hAnsi="Arial" w:cs="Arial"/>
            <w:color w:val="0000FF"/>
            <w:kern w:val="0"/>
            <w:sz w:val="20"/>
            <w:szCs w:val="20"/>
            <w:u w:val="single"/>
            <w14:ligatures w14:val="none"/>
          </w:rPr>
          <w:t>(Redação dada pela Lei nº 12.838, de 2013)</w:t>
        </w:r>
      </w:hyperlink>
      <w:r w:rsidRPr="00C22FC1">
        <w:rPr>
          <w:rFonts w:ascii="Arial" w:eastAsia="Times New Roman" w:hAnsi="Arial" w:cs="Arial"/>
          <w:color w:val="000000"/>
          <w:kern w:val="0"/>
          <w:sz w:val="20"/>
          <w:szCs w:val="20"/>
          <w14:ligatures w14:val="none"/>
        </w:rPr>
        <w:t>    </w:t>
      </w:r>
      <w:hyperlink r:id="rId150" w:anchor="art18" w:history="1">
        <w:r w:rsidRPr="00C22FC1">
          <w:rPr>
            <w:rFonts w:ascii="Arial" w:eastAsia="Times New Roman" w:hAnsi="Arial" w:cs="Arial"/>
            <w:color w:val="0000FF"/>
            <w:kern w:val="0"/>
            <w:sz w:val="20"/>
            <w:szCs w:val="20"/>
            <w:u w:val="single"/>
            <w14:ligatures w14:val="none"/>
          </w:rPr>
          <w:t>(Produção de efeito)</w:t>
        </w:r>
      </w:hyperlink>
    </w:p>
    <w:p w14:paraId="1A5E39FD"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VI - as condições de vencimento;                    </w:t>
      </w:r>
      <w:hyperlink r:id="rId151" w:anchor="art10" w:history="1">
        <w:r w:rsidRPr="00C22FC1">
          <w:rPr>
            <w:rFonts w:ascii="Arial" w:eastAsia="Times New Roman" w:hAnsi="Arial" w:cs="Arial"/>
            <w:strike/>
            <w:color w:val="0000FF"/>
            <w:kern w:val="0"/>
            <w:sz w:val="20"/>
            <w:szCs w:val="20"/>
            <w:u w:val="single"/>
            <w14:ligatures w14:val="none"/>
          </w:rPr>
          <w:t>(Incluído pela Medida Provisória nº 608, de 2013)</w:t>
        </w:r>
      </w:hyperlink>
      <w:r w:rsidRPr="00C22FC1">
        <w:rPr>
          <w:rFonts w:ascii="Arial" w:eastAsia="Times New Roman" w:hAnsi="Arial" w:cs="Arial"/>
          <w:strike/>
          <w:color w:val="000000"/>
          <w:kern w:val="0"/>
          <w:sz w:val="20"/>
          <w:szCs w:val="20"/>
          <w14:ligatures w14:val="none"/>
        </w:rPr>
        <w:t>    </w:t>
      </w:r>
      <w:hyperlink r:id="rId152" w:anchor="art17" w:history="1">
        <w:r w:rsidRPr="00C22FC1">
          <w:rPr>
            <w:rFonts w:ascii="Arial" w:eastAsia="Times New Roman" w:hAnsi="Arial" w:cs="Arial"/>
            <w:strike/>
            <w:color w:val="0000FF"/>
            <w:kern w:val="0"/>
            <w:sz w:val="20"/>
            <w:szCs w:val="20"/>
            <w:u w:val="single"/>
            <w14:ligatures w14:val="none"/>
          </w:rPr>
          <w:t>(Produção de efeito)</w:t>
        </w:r>
      </w:hyperlink>
    </w:p>
    <w:p w14:paraId="2BE36365"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VI - as condições de vencimento;                   </w:t>
      </w:r>
      <w:hyperlink r:id="rId153" w:anchor="art10" w:history="1">
        <w:r w:rsidRPr="00C22FC1">
          <w:rPr>
            <w:rFonts w:ascii="Arial" w:eastAsia="Times New Roman" w:hAnsi="Arial" w:cs="Arial"/>
            <w:color w:val="0000FF"/>
            <w:kern w:val="0"/>
            <w:sz w:val="20"/>
            <w:szCs w:val="20"/>
            <w:u w:val="single"/>
            <w14:ligatures w14:val="none"/>
          </w:rPr>
          <w:t>(Redação dada pela Lei nº 12.838, de 2013)</w:t>
        </w:r>
      </w:hyperlink>
      <w:r w:rsidRPr="00C22FC1">
        <w:rPr>
          <w:rFonts w:ascii="Arial" w:eastAsia="Times New Roman" w:hAnsi="Arial" w:cs="Arial"/>
          <w:color w:val="000000"/>
          <w:kern w:val="0"/>
          <w:sz w:val="20"/>
          <w:szCs w:val="20"/>
          <w14:ligatures w14:val="none"/>
        </w:rPr>
        <w:t>    </w:t>
      </w:r>
      <w:hyperlink r:id="rId154" w:anchor="art18" w:history="1">
        <w:r w:rsidRPr="00C22FC1">
          <w:rPr>
            <w:rFonts w:ascii="Arial" w:eastAsia="Times New Roman" w:hAnsi="Arial" w:cs="Arial"/>
            <w:color w:val="0000FF"/>
            <w:kern w:val="0"/>
            <w:sz w:val="20"/>
            <w:szCs w:val="20"/>
            <w:u w:val="single"/>
            <w14:ligatures w14:val="none"/>
          </w:rPr>
          <w:t>(Produção de efeito)</w:t>
        </w:r>
      </w:hyperlink>
    </w:p>
    <w:p w14:paraId="4D68F447"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VII - as situações durante as quais ocorrerá a suspensão do pagamento da remuneração estipulada; e                   </w:t>
      </w:r>
      <w:hyperlink r:id="rId155" w:anchor="art10" w:history="1">
        <w:r w:rsidRPr="00C22FC1">
          <w:rPr>
            <w:rFonts w:ascii="Arial" w:eastAsia="Times New Roman" w:hAnsi="Arial" w:cs="Arial"/>
            <w:strike/>
            <w:color w:val="0000FF"/>
            <w:kern w:val="0"/>
            <w:sz w:val="20"/>
            <w:szCs w:val="20"/>
            <w:u w:val="single"/>
            <w14:ligatures w14:val="none"/>
          </w:rPr>
          <w:t>(Incluído pela Medida Provisória nº 608, de 2013)</w:t>
        </w:r>
      </w:hyperlink>
      <w:r w:rsidRPr="00C22FC1">
        <w:rPr>
          <w:rFonts w:ascii="Arial" w:eastAsia="Times New Roman" w:hAnsi="Arial" w:cs="Arial"/>
          <w:strike/>
          <w:color w:val="000000"/>
          <w:kern w:val="0"/>
          <w:sz w:val="20"/>
          <w:szCs w:val="20"/>
          <w14:ligatures w14:val="none"/>
        </w:rPr>
        <w:t>    </w:t>
      </w:r>
      <w:hyperlink r:id="rId156" w:anchor="art17" w:history="1">
        <w:r w:rsidRPr="00C22FC1">
          <w:rPr>
            <w:rFonts w:ascii="Arial" w:eastAsia="Times New Roman" w:hAnsi="Arial" w:cs="Arial"/>
            <w:strike/>
            <w:color w:val="0000FF"/>
            <w:kern w:val="0"/>
            <w:sz w:val="20"/>
            <w:szCs w:val="20"/>
            <w:u w:val="single"/>
            <w14:ligatures w14:val="none"/>
          </w:rPr>
          <w:t>(Produção de efeito)</w:t>
        </w:r>
      </w:hyperlink>
    </w:p>
    <w:p w14:paraId="4E7038C9"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VII - as situações durante as quais ocorrerá a suspensão do pagamento da remuneração estipulada; e                     </w:t>
      </w:r>
      <w:hyperlink r:id="rId157" w:anchor="art10" w:history="1">
        <w:r w:rsidRPr="00C22FC1">
          <w:rPr>
            <w:rFonts w:ascii="Arial" w:eastAsia="Times New Roman" w:hAnsi="Arial" w:cs="Arial"/>
            <w:color w:val="0000FF"/>
            <w:kern w:val="0"/>
            <w:sz w:val="20"/>
            <w:szCs w:val="20"/>
            <w:u w:val="single"/>
            <w14:ligatures w14:val="none"/>
          </w:rPr>
          <w:t>(Redação dada pela Lei nº 12.838, de 2013)</w:t>
        </w:r>
      </w:hyperlink>
      <w:r w:rsidRPr="00C22FC1">
        <w:rPr>
          <w:rFonts w:ascii="Arial" w:eastAsia="Times New Roman" w:hAnsi="Arial" w:cs="Arial"/>
          <w:color w:val="000000"/>
          <w:kern w:val="0"/>
          <w:sz w:val="20"/>
          <w:szCs w:val="20"/>
          <w14:ligatures w14:val="none"/>
        </w:rPr>
        <w:t>    </w:t>
      </w:r>
      <w:hyperlink r:id="rId158" w:anchor="art18" w:history="1">
        <w:r w:rsidRPr="00C22FC1">
          <w:rPr>
            <w:rFonts w:ascii="Arial" w:eastAsia="Times New Roman" w:hAnsi="Arial" w:cs="Arial"/>
            <w:color w:val="0000FF"/>
            <w:kern w:val="0"/>
            <w:sz w:val="20"/>
            <w:szCs w:val="20"/>
            <w:u w:val="single"/>
            <w14:ligatures w14:val="none"/>
          </w:rPr>
          <w:t>(Produção de efeito)</w:t>
        </w:r>
      </w:hyperlink>
    </w:p>
    <w:p w14:paraId="423F4D90"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VIII - as situações em que ocorrerá a extinção do direito de crédito ou a conversão do título em ações da instituição emitente.                   </w:t>
      </w:r>
      <w:hyperlink r:id="rId159" w:anchor="art10" w:history="1">
        <w:r w:rsidRPr="00C22FC1">
          <w:rPr>
            <w:rFonts w:ascii="Arial" w:eastAsia="Times New Roman" w:hAnsi="Arial" w:cs="Arial"/>
            <w:strike/>
            <w:color w:val="0000FF"/>
            <w:kern w:val="0"/>
            <w:sz w:val="20"/>
            <w:szCs w:val="20"/>
            <w:u w:val="single"/>
            <w14:ligatures w14:val="none"/>
          </w:rPr>
          <w:t>(Incluído pela Medida Provisória nº 608, de 2013)</w:t>
        </w:r>
      </w:hyperlink>
      <w:r w:rsidRPr="00C22FC1">
        <w:rPr>
          <w:rFonts w:ascii="Arial" w:eastAsia="Times New Roman" w:hAnsi="Arial" w:cs="Arial"/>
          <w:strike/>
          <w:color w:val="000000"/>
          <w:kern w:val="0"/>
          <w:sz w:val="20"/>
          <w:szCs w:val="20"/>
          <w14:ligatures w14:val="none"/>
        </w:rPr>
        <w:t>    </w:t>
      </w:r>
      <w:hyperlink r:id="rId160" w:anchor="art17" w:history="1">
        <w:r w:rsidRPr="00C22FC1">
          <w:rPr>
            <w:rFonts w:ascii="Arial" w:eastAsia="Times New Roman" w:hAnsi="Arial" w:cs="Arial"/>
            <w:strike/>
            <w:color w:val="0000FF"/>
            <w:kern w:val="0"/>
            <w:sz w:val="20"/>
            <w:szCs w:val="20"/>
            <w:u w:val="single"/>
            <w14:ligatures w14:val="none"/>
          </w:rPr>
          <w:t>(Produção de efeito)</w:t>
        </w:r>
      </w:hyperlink>
    </w:p>
    <w:p w14:paraId="118F5F4A"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VIII - as situações em que ocorrerá a extinção do direito de crédito ou a conversão do título em ações da instituição emitente.                        </w:t>
      </w:r>
      <w:hyperlink r:id="rId161" w:anchor="art10" w:history="1">
        <w:r w:rsidRPr="00C22FC1">
          <w:rPr>
            <w:rFonts w:ascii="Arial" w:eastAsia="Times New Roman" w:hAnsi="Arial" w:cs="Arial"/>
            <w:color w:val="0000FF"/>
            <w:kern w:val="0"/>
            <w:sz w:val="20"/>
            <w:szCs w:val="20"/>
            <w:u w:val="single"/>
            <w14:ligatures w14:val="none"/>
          </w:rPr>
          <w:t>(Redação dada pela Lei nº 12.838, de 2013)</w:t>
        </w:r>
      </w:hyperlink>
      <w:r w:rsidRPr="00C22FC1">
        <w:rPr>
          <w:rFonts w:ascii="Arial" w:eastAsia="Times New Roman" w:hAnsi="Arial" w:cs="Arial"/>
          <w:color w:val="000000"/>
          <w:kern w:val="0"/>
          <w:sz w:val="20"/>
          <w:szCs w:val="20"/>
          <w14:ligatures w14:val="none"/>
        </w:rPr>
        <w:t>    </w:t>
      </w:r>
      <w:hyperlink r:id="rId162" w:anchor="art18" w:history="1">
        <w:r w:rsidRPr="00C22FC1">
          <w:rPr>
            <w:rFonts w:ascii="Arial" w:eastAsia="Times New Roman" w:hAnsi="Arial" w:cs="Arial"/>
            <w:color w:val="0000FF"/>
            <w:kern w:val="0"/>
            <w:sz w:val="20"/>
            <w:szCs w:val="20"/>
            <w:u w:val="single"/>
            <w14:ligatures w14:val="none"/>
          </w:rPr>
          <w:t>(Produção de efeito)</w:t>
        </w:r>
      </w:hyperlink>
    </w:p>
    <w:p w14:paraId="4447426B"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bookmarkStart w:id="56" w:name="art41p"/>
      <w:bookmarkEnd w:id="56"/>
      <w:r w:rsidRPr="00C22FC1">
        <w:rPr>
          <w:rFonts w:ascii="Arial" w:eastAsia="Times New Roman" w:hAnsi="Arial" w:cs="Arial"/>
          <w:strike/>
          <w:color w:val="000000"/>
          <w:kern w:val="0"/>
          <w:sz w:val="20"/>
          <w:szCs w:val="20"/>
          <w14:ligatures w14:val="none"/>
        </w:rPr>
        <w:t>Parágrafo único.  Fica o CMN autorizado a dispor sobre a emissão de Letra Financeira com prazo de vencimento inferior ao previsto no inciso III do </w:t>
      </w:r>
      <w:r w:rsidRPr="00C22FC1">
        <w:rPr>
          <w:rFonts w:ascii="Arial" w:eastAsia="Times New Roman" w:hAnsi="Arial" w:cs="Arial"/>
          <w:b/>
          <w:bCs/>
          <w:strike/>
          <w:color w:val="000000"/>
          <w:kern w:val="0"/>
          <w:sz w:val="20"/>
          <w:szCs w:val="20"/>
          <w14:ligatures w14:val="none"/>
        </w:rPr>
        <w:t>caput</w:t>
      </w:r>
      <w:r w:rsidRPr="00C22FC1">
        <w:rPr>
          <w:rFonts w:ascii="Arial" w:eastAsia="Times New Roman" w:hAnsi="Arial" w:cs="Arial"/>
          <w:strike/>
          <w:color w:val="000000"/>
          <w:kern w:val="0"/>
          <w:sz w:val="20"/>
          <w:szCs w:val="20"/>
          <w14:ligatures w14:val="none"/>
        </w:rPr>
        <w:t>, para fins de acesso da instituição emitente a operações de redesconto e empréstimo realizadas com o Banco Central do Brasil.         </w:t>
      </w:r>
      <w:hyperlink r:id="rId163" w:anchor="art5" w:history="1">
        <w:r w:rsidRPr="00C22FC1">
          <w:rPr>
            <w:rFonts w:ascii="Arial" w:eastAsia="Times New Roman" w:hAnsi="Arial" w:cs="Arial"/>
            <w:strike/>
            <w:color w:val="0000FF"/>
            <w:kern w:val="0"/>
            <w:sz w:val="20"/>
            <w:szCs w:val="20"/>
            <w:u w:val="single"/>
            <w:shd w:val="clear" w:color="auto" w:fill="FFFFFF"/>
            <w14:ligatures w14:val="none"/>
          </w:rPr>
          <w:t>(Incluído pela Medida Provisória nº 930, de 2020)</w:t>
        </w:r>
      </w:hyperlink>
    </w:p>
    <w:p w14:paraId="7CCBE6F9" w14:textId="77777777" w:rsidR="00C22FC1" w:rsidRPr="00C22FC1" w:rsidRDefault="00C22FC1" w:rsidP="00C22FC1">
      <w:pPr>
        <w:spacing w:before="300" w:after="300" w:line="240" w:lineRule="auto"/>
        <w:ind w:firstLine="570"/>
        <w:jc w:val="both"/>
        <w:rPr>
          <w:rFonts w:ascii="Arial" w:eastAsia="Times New Roman" w:hAnsi="Arial" w:cs="Arial"/>
          <w:color w:val="000000"/>
          <w:kern w:val="0"/>
          <w:sz w:val="20"/>
          <w:szCs w:val="20"/>
          <w14:ligatures w14:val="none"/>
        </w:rPr>
      </w:pPr>
      <w:bookmarkStart w:id="57" w:name="art41p.0"/>
      <w:bookmarkEnd w:id="57"/>
      <w:r w:rsidRPr="00C22FC1">
        <w:rPr>
          <w:rFonts w:ascii="Arial" w:eastAsia="Times New Roman" w:hAnsi="Arial" w:cs="Arial"/>
          <w:color w:val="000000"/>
          <w:kern w:val="0"/>
          <w:sz w:val="20"/>
          <w:szCs w:val="20"/>
          <w14:ligatures w14:val="none"/>
        </w:rPr>
        <w:t>Parágrafo único. Fica o CMN autorizado a dispor sobre a emissão de Letra Financeira com prazo de vencimento inferior ao previsto no inciso III do </w:t>
      </w:r>
      <w:r w:rsidRPr="00C22FC1">
        <w:rPr>
          <w:rFonts w:ascii="Arial" w:eastAsia="Times New Roman" w:hAnsi="Arial" w:cs="Arial"/>
          <w:b/>
          <w:bCs/>
          <w:color w:val="000000"/>
          <w:kern w:val="0"/>
          <w:sz w:val="20"/>
          <w:szCs w:val="20"/>
          <w14:ligatures w14:val="none"/>
        </w:rPr>
        <w:t>caput</w:t>
      </w:r>
      <w:r w:rsidRPr="00C22FC1">
        <w:rPr>
          <w:rFonts w:ascii="Arial" w:eastAsia="Times New Roman" w:hAnsi="Arial" w:cs="Arial"/>
          <w:color w:val="000000"/>
          <w:kern w:val="0"/>
          <w:sz w:val="20"/>
          <w:szCs w:val="20"/>
          <w14:ligatures w14:val="none"/>
        </w:rPr>
        <w:t xml:space="preserve"> deste artigo para fins de acesso </w:t>
      </w:r>
      <w:r w:rsidRPr="00C22FC1">
        <w:rPr>
          <w:rFonts w:ascii="Arial" w:eastAsia="Times New Roman" w:hAnsi="Arial" w:cs="Arial"/>
          <w:color w:val="000000"/>
          <w:kern w:val="0"/>
          <w:sz w:val="20"/>
          <w:szCs w:val="20"/>
          <w14:ligatures w14:val="none"/>
        </w:rPr>
        <w:lastRenderedPageBreak/>
        <w:t>da instituição emitente a operações de redesconto e empréstimo realizadas com o Banco Central do Brasil.   </w:t>
      </w:r>
      <w:hyperlink r:id="rId164" w:anchor="art4" w:history="1">
        <w:r w:rsidRPr="00C22FC1">
          <w:rPr>
            <w:rFonts w:ascii="Arial" w:eastAsia="Times New Roman" w:hAnsi="Arial" w:cs="Arial"/>
            <w:color w:val="0000FF"/>
            <w:kern w:val="0"/>
            <w:sz w:val="20"/>
            <w:szCs w:val="20"/>
            <w:u w:val="single"/>
            <w14:ligatures w14:val="none"/>
          </w:rPr>
          <w:t>(Incluído pela Lei nº 14.031, de 2020)</w:t>
        </w:r>
      </w:hyperlink>
    </w:p>
    <w:p w14:paraId="3568D21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58" w:name="art42"/>
      <w:bookmarkEnd w:id="58"/>
      <w:r w:rsidRPr="00C22FC1">
        <w:rPr>
          <w:rFonts w:ascii="Arial" w:eastAsia="Times New Roman" w:hAnsi="Arial" w:cs="Arial"/>
          <w:color w:val="000000"/>
          <w:kern w:val="0"/>
          <w:sz w:val="20"/>
          <w:szCs w:val="20"/>
          <w14:ligatures w14:val="none"/>
        </w:rPr>
        <w:t>Art. 42.  Aplica-se à Letra Financeira, no que não contrariar o disposto nesta Lei, a legislação cambial.          </w:t>
      </w:r>
      <w:hyperlink r:id="rId165" w:anchor="art139" w:history="1">
        <w:r w:rsidRPr="00C22FC1">
          <w:rPr>
            <w:rFonts w:ascii="Arial" w:eastAsia="Times New Roman" w:hAnsi="Arial" w:cs="Arial"/>
            <w:color w:val="0000FF"/>
            <w:kern w:val="0"/>
            <w:sz w:val="20"/>
            <w:szCs w:val="20"/>
            <w:u w:val="single"/>
            <w14:ligatures w14:val="none"/>
          </w:rPr>
          <w:t>(Produção de efeito)</w:t>
        </w:r>
      </w:hyperlink>
    </w:p>
    <w:p w14:paraId="114FE0D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O Banco Central do Brasil produzirá e divulgará, para acesso público por meio da internet, relatório anual sobre a negociação de Letras Financeiras, com informações sobre os mercados primário e secundário do título, condições financeiras de negociação, prazos, perfil dos investidores e indicadores de risco, quando houver.</w:t>
      </w:r>
    </w:p>
    <w:p w14:paraId="407286C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59" w:name="art43"/>
      <w:bookmarkEnd w:id="59"/>
      <w:r w:rsidRPr="00C22FC1">
        <w:rPr>
          <w:rFonts w:ascii="Arial" w:eastAsia="Times New Roman" w:hAnsi="Arial" w:cs="Arial"/>
          <w:color w:val="000000"/>
          <w:kern w:val="0"/>
          <w:sz w:val="20"/>
          <w:szCs w:val="20"/>
          <w14:ligatures w14:val="none"/>
        </w:rPr>
        <w:t>Art. 43.  As instituições financeiras podem emitir Certificado de Operações Estruturadas, representativo de operações realizadas com base em instrumentos financeiros derivativos, nas condições especificadas em regulamento do CMN.      </w:t>
      </w:r>
      <w:hyperlink r:id="rId166" w:anchor="art139" w:history="1">
        <w:r w:rsidRPr="00C22FC1">
          <w:rPr>
            <w:rFonts w:ascii="Arial" w:eastAsia="Times New Roman" w:hAnsi="Arial" w:cs="Arial"/>
            <w:color w:val="0000FF"/>
            <w:kern w:val="0"/>
            <w:sz w:val="20"/>
            <w:szCs w:val="20"/>
            <w:u w:val="single"/>
            <w14:ligatures w14:val="none"/>
          </w:rPr>
          <w:t>(Produção de efeito)</w:t>
        </w:r>
      </w:hyperlink>
    </w:p>
    <w:p w14:paraId="04AA64BB"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Seção III</w:t>
      </w:r>
    </w:p>
    <w:p w14:paraId="17E70FE2"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Da Concessão de Crédito ao Banco Nacional</w:t>
      </w:r>
    </w:p>
    <w:p w14:paraId="1659228D"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de Desenvolvimento Econômico e Social</w:t>
      </w:r>
    </w:p>
    <w:p w14:paraId="748F3FB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0" w:name="art44"/>
      <w:bookmarkEnd w:id="60"/>
      <w:r w:rsidRPr="00C22FC1">
        <w:rPr>
          <w:rFonts w:ascii="Arial" w:eastAsia="Times New Roman" w:hAnsi="Arial" w:cs="Arial"/>
          <w:color w:val="000000"/>
          <w:kern w:val="0"/>
          <w:sz w:val="20"/>
          <w:szCs w:val="20"/>
          <w14:ligatures w14:val="none"/>
        </w:rPr>
        <w:t>Art. 44.  O caput do art.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11.948, de 16 de junho de 2009, passa a vigorar com a seguinte redação:          </w:t>
      </w:r>
      <w:hyperlink r:id="rId167" w:anchor="art139" w:history="1">
        <w:r w:rsidRPr="00C22FC1">
          <w:rPr>
            <w:rFonts w:ascii="Arial" w:eastAsia="Times New Roman" w:hAnsi="Arial" w:cs="Arial"/>
            <w:color w:val="0000FF"/>
            <w:kern w:val="0"/>
            <w:sz w:val="20"/>
            <w:szCs w:val="20"/>
            <w:u w:val="single"/>
            <w14:ligatures w14:val="none"/>
          </w:rPr>
          <w:t>(Produção de efeito)</w:t>
        </w:r>
      </w:hyperlink>
    </w:p>
    <w:p w14:paraId="368BDD58"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168" w:anchor="art1." w:history="1">
        <w:r w:rsidRPr="00C22FC1">
          <w:rPr>
            <w:rFonts w:ascii="Arial" w:eastAsia="Times New Roman" w:hAnsi="Arial" w:cs="Arial"/>
            <w:color w:val="0000FF"/>
            <w:kern w:val="0"/>
            <w:sz w:val="20"/>
            <w:szCs w:val="20"/>
            <w:u w:val="single"/>
            <w14:ligatures w14:val="none"/>
          </w:rPr>
          <w:t>“Art. 1</w:t>
        </w:r>
        <w:r w:rsidRPr="00C22FC1">
          <w:rPr>
            <w:rFonts w:ascii="Arial" w:eastAsia="Times New Roman" w:hAnsi="Arial" w:cs="Arial"/>
            <w:color w:val="0000FF"/>
            <w:kern w:val="0"/>
            <w:sz w:val="20"/>
            <w:szCs w:val="20"/>
            <w:u w:val="single"/>
            <w:vertAlign w:val="superscript"/>
            <w14:ligatures w14:val="none"/>
          </w:rPr>
          <w:t>o</w:t>
        </w:r>
      </w:hyperlink>
      <w:r w:rsidRPr="00C22FC1">
        <w:rPr>
          <w:rFonts w:ascii="Arial" w:eastAsia="Times New Roman" w:hAnsi="Arial" w:cs="Arial"/>
          <w:color w:val="000000"/>
          <w:kern w:val="0"/>
          <w:sz w:val="20"/>
          <w:szCs w:val="20"/>
          <w14:ligatures w14:val="none"/>
        </w:rPr>
        <w:t>  Fica a União autorizada a conceder crédito ao Banco Nacional de Desenvolvimento Econômico e Social - BNDES, no montante de até R$ 180.000.000.000,00 (cento e oitenta bilhões de reais), em condições financeiras e contratuais a serem definidas pelo Ministro de Estado da Fazenda.</w:t>
      </w:r>
    </w:p>
    <w:p w14:paraId="2EB743AC"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lang w:val="en-US"/>
          <w14:ligatures w14:val="none"/>
        </w:rPr>
        <w:t>...................................................................................” (NR)</w:t>
      </w:r>
    </w:p>
    <w:p w14:paraId="47ABFAF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1" w:name="art45"/>
      <w:bookmarkEnd w:id="61"/>
      <w:r w:rsidRPr="00C22FC1">
        <w:rPr>
          <w:rFonts w:ascii="Arial" w:eastAsia="Times New Roman" w:hAnsi="Arial" w:cs="Arial"/>
          <w:color w:val="000000"/>
          <w:kern w:val="0"/>
          <w:sz w:val="20"/>
          <w:szCs w:val="20"/>
          <w:lang w:val="en-US"/>
          <w14:ligatures w14:val="none"/>
        </w:rPr>
        <w:t>Art. 45.  </w:t>
      </w:r>
      <w:r w:rsidRPr="00C22FC1">
        <w:rPr>
          <w:rFonts w:ascii="Arial" w:eastAsia="Times New Roman" w:hAnsi="Arial" w:cs="Arial"/>
          <w:color w:val="000000"/>
          <w:kern w:val="0"/>
          <w:sz w:val="20"/>
          <w:szCs w:val="20"/>
          <w14:ligatures w14:val="none"/>
        </w:rPr>
        <w:t>(VETADO).       </w:t>
      </w:r>
      <w:hyperlink r:id="rId169" w:history="1">
        <w:r w:rsidRPr="00C22FC1">
          <w:rPr>
            <w:rFonts w:ascii="Arial" w:eastAsia="Times New Roman" w:hAnsi="Arial" w:cs="Arial"/>
            <w:color w:val="0000FF"/>
            <w:kern w:val="0"/>
            <w:sz w:val="20"/>
            <w:szCs w:val="20"/>
            <w:u w:val="single"/>
            <w14:ligatures w14:val="none"/>
          </w:rPr>
          <w:t>(Produção de efeito)</w:t>
        </w:r>
      </w:hyperlink>
    </w:p>
    <w:p w14:paraId="2BC8D67D"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Seção IV</w:t>
      </w:r>
    </w:p>
    <w:p w14:paraId="52D948AF"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Das Alterações no Programa Minha Casa, Minha Vida e da Criação do CNPI</w:t>
      </w:r>
    </w:p>
    <w:p w14:paraId="74C6422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2" w:name="art46"/>
      <w:bookmarkEnd w:id="62"/>
      <w:r w:rsidRPr="00C22FC1">
        <w:rPr>
          <w:rFonts w:ascii="Arial" w:eastAsia="Times New Roman" w:hAnsi="Arial" w:cs="Arial"/>
          <w:color w:val="000000"/>
          <w:kern w:val="0"/>
          <w:sz w:val="20"/>
          <w:szCs w:val="20"/>
          <w:lang w:val="en-US"/>
          <w14:ligatures w14:val="none"/>
        </w:rPr>
        <w:t>Art. 46.  Os arts. </w:t>
      </w:r>
      <w:r w:rsidRPr="00C22FC1">
        <w:rPr>
          <w:rFonts w:ascii="Arial" w:eastAsia="Times New Roman" w:hAnsi="Arial" w:cs="Arial"/>
          <w:color w:val="000000"/>
          <w:kern w:val="0"/>
          <w:sz w:val="20"/>
          <w:szCs w:val="20"/>
          <w14:ligatures w14:val="none"/>
        </w:rPr>
        <w:t>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11, 13, 20 e 30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11.977, de 7 de julho de 2009, passam a vigorar com a seguinte redação:      </w:t>
      </w:r>
      <w:hyperlink r:id="rId170" w:anchor="art139" w:history="1">
        <w:r w:rsidRPr="00C22FC1">
          <w:rPr>
            <w:rFonts w:ascii="Arial" w:eastAsia="Times New Roman" w:hAnsi="Arial" w:cs="Arial"/>
            <w:color w:val="0000FF"/>
            <w:kern w:val="0"/>
            <w:sz w:val="20"/>
            <w:szCs w:val="20"/>
            <w:u w:val="single"/>
            <w14:ligatures w14:val="none"/>
          </w:rPr>
          <w:t>(Produção de efeito)</w:t>
        </w:r>
      </w:hyperlink>
    </w:p>
    <w:p w14:paraId="74E4D78A"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171" w:anchor="art6i." w:history="1">
        <w:r w:rsidRPr="00C22FC1">
          <w:rPr>
            <w:rFonts w:ascii="Arial" w:eastAsia="Times New Roman" w:hAnsi="Arial" w:cs="Arial"/>
            <w:color w:val="0000FF"/>
            <w:kern w:val="0"/>
            <w:sz w:val="20"/>
            <w:szCs w:val="20"/>
            <w:u w:val="single"/>
            <w14:ligatures w14:val="none"/>
          </w:rPr>
          <w:t>“Art. 6</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w:t>
        </w:r>
      </w:hyperlink>
      <w:r w:rsidRPr="00C22FC1">
        <w:rPr>
          <w:rFonts w:ascii="Arial" w:eastAsia="Times New Roman" w:hAnsi="Arial" w:cs="Arial"/>
          <w:color w:val="000000"/>
          <w:kern w:val="0"/>
          <w:sz w:val="20"/>
          <w:szCs w:val="20"/>
          <w14:ligatures w14:val="none"/>
        </w:rPr>
        <w:t> .........................................................................</w:t>
      </w:r>
    </w:p>
    <w:p w14:paraId="0A2DAF44"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facilitar a aquisição, produção e requalificação do imóvel residencial; ou</w:t>
      </w:r>
    </w:p>
    <w:p w14:paraId="15A966FF"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(NR)</w:t>
      </w:r>
    </w:p>
    <w:p w14:paraId="1EE10D52"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172" w:anchor="art11." w:history="1">
        <w:r w:rsidRPr="00C22FC1">
          <w:rPr>
            <w:rFonts w:ascii="Arial" w:eastAsia="Times New Roman" w:hAnsi="Arial" w:cs="Arial"/>
            <w:color w:val="0000FF"/>
            <w:kern w:val="0"/>
            <w:sz w:val="20"/>
            <w:szCs w:val="20"/>
            <w:u w:val="single"/>
            <w14:ligatures w14:val="none"/>
          </w:rPr>
          <w:t>“Art. 11.</w:t>
        </w:r>
      </w:hyperlink>
      <w:r w:rsidRPr="00C22FC1">
        <w:rPr>
          <w:rFonts w:ascii="Arial" w:eastAsia="Times New Roman" w:hAnsi="Arial" w:cs="Arial"/>
          <w:color w:val="000000"/>
          <w:kern w:val="0"/>
          <w:sz w:val="20"/>
          <w:szCs w:val="20"/>
          <w14:ligatures w14:val="none"/>
        </w:rPr>
        <w:t>  O Programa Nacional de Habitação Rural - PNHR tem como finalidade subsidiar a produção de moradia aos agricultores familiares, definidos nos termos do art.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11.326, de 24 de julho de 2006, e trabalhadores rurais.</w:t>
      </w:r>
    </w:p>
    <w:p w14:paraId="3AC8BD9C"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(NR)</w:t>
      </w:r>
    </w:p>
    <w:p w14:paraId="421ED3B4"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173" w:anchor="art13i." w:history="1">
        <w:r w:rsidRPr="00C22FC1">
          <w:rPr>
            <w:rFonts w:ascii="Arial" w:eastAsia="Times New Roman" w:hAnsi="Arial" w:cs="Arial"/>
            <w:color w:val="0000FF"/>
            <w:kern w:val="0"/>
            <w:sz w:val="20"/>
            <w:szCs w:val="20"/>
            <w:u w:val="single"/>
            <w14:ligatures w14:val="none"/>
          </w:rPr>
          <w:t>“Art. 13.</w:t>
        </w:r>
      </w:hyperlink>
      <w:r w:rsidRPr="00C22FC1">
        <w:rPr>
          <w:rFonts w:ascii="Arial" w:eastAsia="Times New Roman" w:hAnsi="Arial" w:cs="Arial"/>
          <w:color w:val="000000"/>
          <w:kern w:val="0"/>
          <w:sz w:val="20"/>
          <w:szCs w:val="20"/>
          <w14:ligatures w14:val="none"/>
        </w:rPr>
        <w:t>  ........................................................................</w:t>
      </w:r>
    </w:p>
    <w:p w14:paraId="33AC658D"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facilitar a produção do imóvel residencial;</w:t>
      </w:r>
    </w:p>
    <w:p w14:paraId="77C09ECC"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w:t>
      </w:r>
    </w:p>
    <w:p w14:paraId="3398EA60"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174" w:anchor="art13%C2%A73." w:history="1">
        <w:r w:rsidRPr="00C22FC1">
          <w:rPr>
            <w:rFonts w:ascii="Arial" w:eastAsia="Times New Roman" w:hAnsi="Arial" w:cs="Arial"/>
            <w:color w:val="0000FF"/>
            <w:kern w:val="0"/>
            <w:sz w:val="20"/>
            <w:szCs w:val="20"/>
            <w:u w:val="single"/>
            <w14:ligatures w14:val="none"/>
          </w:rPr>
          <w:t>§ 3</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w:t>
        </w:r>
      </w:hyperlink>
      <w:r w:rsidRPr="00C22FC1">
        <w:rPr>
          <w:rFonts w:ascii="Arial" w:eastAsia="Times New Roman" w:hAnsi="Arial" w:cs="Arial"/>
          <w:color w:val="000000"/>
          <w:kern w:val="0"/>
          <w:sz w:val="20"/>
          <w:szCs w:val="20"/>
          <w14:ligatures w14:val="none"/>
        </w:rPr>
        <w:t> Para definição dos beneficiários do PNHR, devem ser respeitadas, exclusivamente, as faixas de renda, não se aplicando os demais critérios estabelecidos no art.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(NR)</w:t>
      </w:r>
    </w:p>
    <w:p w14:paraId="0C643EDE"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175" w:anchor="art20%C2%A71." w:history="1">
        <w:r w:rsidRPr="00C22FC1">
          <w:rPr>
            <w:rFonts w:ascii="Arial" w:eastAsia="Times New Roman" w:hAnsi="Arial" w:cs="Arial"/>
            <w:color w:val="0000FF"/>
            <w:kern w:val="0"/>
            <w:sz w:val="20"/>
            <w:szCs w:val="20"/>
            <w:u w:val="single"/>
            <w14:ligatures w14:val="none"/>
          </w:rPr>
          <w:t>“Art. 20.</w:t>
        </w:r>
      </w:hyperlink>
      <w:r w:rsidRPr="00C22FC1">
        <w:rPr>
          <w:rFonts w:ascii="Arial" w:eastAsia="Times New Roman" w:hAnsi="Arial" w:cs="Arial"/>
          <w:color w:val="000000"/>
          <w:kern w:val="0"/>
          <w:sz w:val="20"/>
          <w:szCs w:val="20"/>
          <w14:ligatures w14:val="none"/>
        </w:rPr>
        <w:t>  ......................................................................</w:t>
      </w:r>
    </w:p>
    <w:p w14:paraId="7CCC83E4"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As condições e os limites das coberturas de que tratam os incisos I e II deste artigo serão definidos no estatuto do FGHab, que poderá estabelecer os casos em que será oferecida somente a cobertura de que trata o inciso II.</w:t>
      </w:r>
    </w:p>
    <w:p w14:paraId="4CECB957"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(NR)</w:t>
      </w:r>
    </w:p>
    <w:p w14:paraId="308F0DA8"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176" w:anchor="art30." w:history="1">
        <w:r w:rsidRPr="00C22FC1">
          <w:rPr>
            <w:rFonts w:ascii="Arial" w:eastAsia="Times New Roman" w:hAnsi="Arial" w:cs="Arial"/>
            <w:color w:val="0000FF"/>
            <w:kern w:val="0"/>
            <w:sz w:val="20"/>
            <w:szCs w:val="20"/>
            <w:u w:val="single"/>
            <w14:ligatures w14:val="none"/>
          </w:rPr>
          <w:t>“Art. 30.</w:t>
        </w:r>
      </w:hyperlink>
      <w:r w:rsidRPr="00C22FC1">
        <w:rPr>
          <w:rFonts w:ascii="Arial" w:eastAsia="Times New Roman" w:hAnsi="Arial" w:cs="Arial"/>
          <w:color w:val="000000"/>
          <w:kern w:val="0"/>
          <w:sz w:val="20"/>
          <w:szCs w:val="20"/>
          <w14:ligatures w14:val="none"/>
        </w:rPr>
        <w:t>  As coberturas do FGHab, descritas no art. 20, serão prestadas às operações de financiamento habitacional nos casos de:</w:t>
      </w:r>
    </w:p>
    <w:p w14:paraId="7B0BB1B5"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produção ou aquisição de imóveis novos em áreas urbanas;</w:t>
      </w:r>
    </w:p>
    <w:p w14:paraId="0AAD5821"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requalificação de imóveis já existentes em áreas consolidadas no âmbito do Programa Nacional de Habitação Urbana - PNHU; ou</w:t>
      </w:r>
    </w:p>
    <w:p w14:paraId="371AA8B4"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produção de moradia no âmbito do Programa Nacional de Habitação Rural - PNHR.</w:t>
      </w:r>
    </w:p>
    <w:p w14:paraId="14C6DC82"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contratação das coberturas de que trata o caput está sujeita às seguintes condições:</w:t>
      </w:r>
    </w:p>
    <w:p w14:paraId="2C0615E9"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os valores de financiamento devem obedecer aos limites definidos no estatuto do Fundo;</w:t>
      </w:r>
    </w:p>
    <w:p w14:paraId="00834558"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a cobertura do FGHab está limitada a um único imóvel financiado por mutuário no âmbito do SFH; e</w:t>
      </w:r>
    </w:p>
    <w:p w14:paraId="4707EF33"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a previsão da cobertura pelo FGHab deve estar expressa em cláusula específica dos contratos celebrados entre os agentes financeiros e os mutuários.</w:t>
      </w:r>
    </w:p>
    <w:p w14:paraId="16705425"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estatuto do FGHab definirá o prazo das coberturas oferecidas pelo Fundo.” (NR)</w:t>
      </w:r>
    </w:p>
    <w:p w14:paraId="6E58BB7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3" w:name="art47"/>
      <w:bookmarkEnd w:id="63"/>
      <w:r w:rsidRPr="00C22FC1">
        <w:rPr>
          <w:rFonts w:ascii="Arial" w:eastAsia="Times New Roman" w:hAnsi="Arial" w:cs="Arial"/>
          <w:color w:val="000000"/>
          <w:kern w:val="0"/>
          <w:sz w:val="20"/>
          <w:szCs w:val="20"/>
          <w14:ligatures w14:val="none"/>
        </w:rPr>
        <w:t>Art. 47.  Fica instituído o Cadastro Nacional de Pessoas Físicas e Jurídicas Impedidas de Operar com os Fundos e Programas Habitacionais Públicos ou Geridos por Instituição Pública e com o Sistema Financeiro da Habitação - CNPI.       </w:t>
      </w:r>
      <w:hyperlink r:id="rId177" w:anchor="art139" w:history="1">
        <w:r w:rsidRPr="00C22FC1">
          <w:rPr>
            <w:rFonts w:ascii="Arial" w:eastAsia="Times New Roman" w:hAnsi="Arial" w:cs="Arial"/>
            <w:color w:val="0000FF"/>
            <w:kern w:val="0"/>
            <w:sz w:val="20"/>
            <w:szCs w:val="20"/>
            <w:u w:val="single"/>
            <w14:ligatures w14:val="none"/>
          </w:rPr>
          <w:t>(Produção de efeito)</w:t>
        </w:r>
      </w:hyperlink>
    </w:p>
    <w:p w14:paraId="5D1DEFD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À Caixa Econômica Federal incumbe desenvolver, implantar, gerir, organizar e operar o CNPI, bem como divulgar a Relação Nacional de Pessoas Impedidas de Operar com os Fundos e Programas Habitacionais e com o Sistema Financeiro da Habitação - RNPI.</w:t>
      </w:r>
    </w:p>
    <w:p w14:paraId="6087234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As instituições integrantes do Sistema Financeiro da Habitação - SFH e as que operam com os fundos e programas habitacionais públicos ou geridos por instituição pública encaminharão à Caixa Econômica Federal, na forma e nos prazos estabelecidos em regulamento, os dados, documentos e informações necessários à instrução do procedimento de inclusão ou exclusão das pessoas físicas e jurídicas do CNPI.</w:t>
      </w:r>
    </w:p>
    <w:p w14:paraId="3B617DF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Podem ser incluídos no CNPI, na forma do regulamento, por se recusarem a assumir o ônus da recuperação do imóvel que, previamente vistoriado, acuse vício de construção, ou por não cumprirem suas obrigações contratuais no tocante a prazos estabelecidos para entrega da obra:</w:t>
      </w:r>
    </w:p>
    <w:p w14:paraId="262B1DE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o construtor, seja pessoa física ou jurídica, bem como seus sócios e diretores, e os responsáveis técnicos pela empresa ou pela obra; ou</w:t>
      </w:r>
    </w:p>
    <w:p w14:paraId="5F276D0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II - a sociedade construtora, no caso das sociedades regidas pela </w:t>
      </w:r>
      <w:hyperlink r:id="rId178" w:history="1">
        <w:r w:rsidRPr="00C22FC1">
          <w:rPr>
            <w:rFonts w:ascii="Arial" w:eastAsia="Times New Roman" w:hAnsi="Arial" w:cs="Arial"/>
            <w:color w:val="0000FF"/>
            <w:kern w:val="0"/>
            <w:sz w:val="20"/>
            <w:szCs w:val="20"/>
            <w:u w:val="single"/>
            <w14:ligatures w14:val="none"/>
          </w:rPr>
          <w:t>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6.404, de 15 de dezembro de 1976</w:t>
        </w:r>
      </w:hyperlink>
      <w:r w:rsidRPr="00C22FC1">
        <w:rPr>
          <w:rFonts w:ascii="Arial" w:eastAsia="Times New Roman" w:hAnsi="Arial" w:cs="Arial"/>
          <w:color w:val="000000"/>
          <w:kern w:val="0"/>
          <w:sz w:val="20"/>
          <w:szCs w:val="20"/>
          <w14:ligatures w14:val="none"/>
        </w:rPr>
        <w:t>, bem como seus diretores e acionistas controladores, e os responsáveis técnicos pela empresa ou pela obra.</w:t>
      </w:r>
    </w:p>
    <w:p w14:paraId="068E894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Salvo disposição contratual em contrário, os nomes dos avalistas ou fiadores de operação de financiamento habitacional não serão incluídos no CNPI.</w:t>
      </w:r>
    </w:p>
    <w:p w14:paraId="2535133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Ficam impedidas de operar com os fundos e programas habitacionais públicos ou geridos por instituição pública e com o SFH, além das pessoas incluídas no CNPI na forma do §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as empresas que possuam como sócio, diretor, acionista controlador ou responsável técnico pessoa física incluída no CNPI.</w:t>
      </w:r>
    </w:p>
    <w:p w14:paraId="002E846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impedimento previsto no §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abrange qualquer forma de operação que envolva recursos do SFH ou dos fundos e programas habitacionais públicos ou de gestão pública.</w:t>
      </w:r>
    </w:p>
    <w:p w14:paraId="1399A34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Fica extinta a Relação de Pessoas Impedidas de Operar com o SFH - RPI, devendo os registros nela existentes ser transferidos para o CNPI.</w:t>
      </w:r>
    </w:p>
    <w:p w14:paraId="0819C86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8</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regulamentação do CNPI ficará a cargo do Conselho Monetário Nacional - CMN.</w:t>
      </w:r>
    </w:p>
    <w:p w14:paraId="602A68BF"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Seção V</w:t>
      </w:r>
    </w:p>
    <w:p w14:paraId="56015C68"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Das Taxas e Demais Disposições</w:t>
      </w:r>
    </w:p>
    <w:p w14:paraId="0D42D8D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4" w:name="art48"/>
      <w:bookmarkEnd w:id="64"/>
      <w:r w:rsidRPr="00C22FC1">
        <w:rPr>
          <w:rFonts w:ascii="Arial" w:eastAsia="Times New Roman" w:hAnsi="Arial" w:cs="Arial"/>
          <w:color w:val="000000"/>
          <w:kern w:val="0"/>
          <w:sz w:val="20"/>
          <w:szCs w:val="20"/>
          <w14:ligatures w14:val="none"/>
        </w:rPr>
        <w:t>Art. 48.  É instituída a Taxa de Fiscalização dos Mercados de Seguro e Resseguro, de Capitalização e de Previdência Complementar Aberta.        </w:t>
      </w:r>
      <w:hyperlink r:id="rId179" w:anchor="art139" w:history="1">
        <w:r w:rsidRPr="00C22FC1">
          <w:rPr>
            <w:rFonts w:ascii="Arial" w:eastAsia="Times New Roman" w:hAnsi="Arial" w:cs="Arial"/>
            <w:color w:val="0000FF"/>
            <w:kern w:val="0"/>
            <w:sz w:val="20"/>
            <w:szCs w:val="20"/>
            <w:u w:val="single"/>
            <w14:ligatures w14:val="none"/>
          </w:rPr>
          <w:t>(Produção de efeito)</w:t>
        </w:r>
      </w:hyperlink>
    </w:p>
    <w:p w14:paraId="5885D93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5" w:name="art49"/>
      <w:bookmarkEnd w:id="65"/>
      <w:r w:rsidRPr="00C22FC1">
        <w:rPr>
          <w:rFonts w:ascii="Arial" w:eastAsia="Times New Roman" w:hAnsi="Arial" w:cs="Arial"/>
          <w:color w:val="000000"/>
          <w:kern w:val="0"/>
          <w:sz w:val="20"/>
          <w:szCs w:val="20"/>
          <w14:ligatures w14:val="none"/>
        </w:rPr>
        <w:t>Art. 49.  Considera-se, para fins desta Lei:       </w:t>
      </w:r>
      <w:hyperlink r:id="rId180" w:anchor="art139" w:history="1">
        <w:r w:rsidRPr="00C22FC1">
          <w:rPr>
            <w:rFonts w:ascii="Arial" w:eastAsia="Times New Roman" w:hAnsi="Arial" w:cs="Arial"/>
            <w:color w:val="0000FF"/>
            <w:kern w:val="0"/>
            <w:sz w:val="20"/>
            <w:szCs w:val="20"/>
            <w:u w:val="single"/>
            <w14:ligatures w14:val="none"/>
          </w:rPr>
          <w:t>(Produção de efeito)</w:t>
        </w:r>
      </w:hyperlink>
    </w:p>
    <w:p w14:paraId="21EB11C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prêmio retido: prêmio emitido menos as restituições e as cessões de risco;</w:t>
      </w:r>
    </w:p>
    <w:p w14:paraId="5215263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sinistro retido: sinistro total menos os sinistros correspondentes a cessões de risco; e</w:t>
      </w:r>
    </w:p>
    <w:p w14:paraId="106773D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provisão técnica: montante detido pelo segurador ou ressegurador visando a garantir os riscos assumidos no contrato.</w:t>
      </w:r>
    </w:p>
    <w:p w14:paraId="6BD45FA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6" w:name="art50"/>
      <w:bookmarkEnd w:id="66"/>
      <w:r w:rsidRPr="00C22FC1">
        <w:rPr>
          <w:rFonts w:ascii="Arial" w:eastAsia="Times New Roman" w:hAnsi="Arial" w:cs="Arial"/>
          <w:color w:val="000000"/>
          <w:kern w:val="0"/>
          <w:sz w:val="20"/>
          <w:szCs w:val="20"/>
          <w14:ligatures w14:val="none"/>
        </w:rPr>
        <w:t>Art. 50.  O fato gerador da Taxa de Fiscalização de que trata esta Seção é o exercício do poder de polícia atribuído à Superintendência de Seguros Privados - SUSEP.        </w:t>
      </w:r>
      <w:hyperlink r:id="rId181" w:anchor="art139" w:history="1">
        <w:r w:rsidRPr="00C22FC1">
          <w:rPr>
            <w:rFonts w:ascii="Arial" w:eastAsia="Times New Roman" w:hAnsi="Arial" w:cs="Arial"/>
            <w:color w:val="0000FF"/>
            <w:kern w:val="0"/>
            <w:sz w:val="20"/>
            <w:szCs w:val="20"/>
            <w:u w:val="single"/>
            <w14:ligatures w14:val="none"/>
          </w:rPr>
          <w:t>(Produção de efeito)</w:t>
        </w:r>
      </w:hyperlink>
    </w:p>
    <w:p w14:paraId="4D66E50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7" w:name="art51"/>
      <w:bookmarkEnd w:id="67"/>
      <w:r w:rsidRPr="00C22FC1">
        <w:rPr>
          <w:rFonts w:ascii="Arial" w:eastAsia="Times New Roman" w:hAnsi="Arial" w:cs="Arial"/>
          <w:color w:val="000000"/>
          <w:kern w:val="0"/>
          <w:sz w:val="20"/>
          <w:szCs w:val="20"/>
          <w14:ligatures w14:val="none"/>
        </w:rPr>
        <w:t>Art. 51.  São contribuintes da Taxa de Fiscalização de que trata esta Seção as sociedades seguradoras, resseguradores locais e admitidos, sociedades de capitalização e entidades abertas de previdência complementar. </w:t>
      </w:r>
      <w:hyperlink r:id="rId182" w:anchor="art139" w:history="1">
        <w:r w:rsidRPr="00C22FC1">
          <w:rPr>
            <w:rFonts w:ascii="Arial" w:eastAsia="Times New Roman" w:hAnsi="Arial" w:cs="Arial"/>
            <w:color w:val="0000FF"/>
            <w:kern w:val="0"/>
            <w:sz w:val="20"/>
            <w:szCs w:val="20"/>
            <w:u w:val="single"/>
            <w14:ligatures w14:val="none"/>
          </w:rPr>
          <w:t>(Produção de efeito)</w:t>
        </w:r>
      </w:hyperlink>
    </w:p>
    <w:p w14:paraId="7F6E444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Excetuam-se do disposto no caput as sociedades seguradoras que operam seguro saúde.</w:t>
      </w:r>
    </w:p>
    <w:p w14:paraId="443ED4E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Incluem-se no caput as sociedades cooperativas autorizadas a operar em seguros privados, na forma estabelecida na legislação em vigor.</w:t>
      </w:r>
    </w:p>
    <w:p w14:paraId="397A6BD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8" w:name="art52"/>
      <w:bookmarkEnd w:id="68"/>
      <w:r w:rsidRPr="00C22FC1">
        <w:rPr>
          <w:rFonts w:ascii="Arial" w:eastAsia="Times New Roman" w:hAnsi="Arial" w:cs="Arial"/>
          <w:color w:val="000000"/>
          <w:kern w:val="0"/>
          <w:sz w:val="20"/>
          <w:szCs w:val="20"/>
          <w14:ligatures w14:val="none"/>
        </w:rPr>
        <w:t>Art. 52.  Os valores da Taxa de Fiscalização, expressos em reais, apuram-se com base na tabela constante do Anexo I.      </w:t>
      </w:r>
      <w:hyperlink r:id="rId183" w:anchor="art139" w:history="1">
        <w:r w:rsidRPr="00C22FC1">
          <w:rPr>
            <w:rFonts w:ascii="Arial" w:eastAsia="Times New Roman" w:hAnsi="Arial" w:cs="Arial"/>
            <w:color w:val="0000FF"/>
            <w:kern w:val="0"/>
            <w:sz w:val="20"/>
            <w:szCs w:val="20"/>
            <w:u w:val="single"/>
            <w14:ligatures w14:val="none"/>
          </w:rPr>
          <w:t>(Produção de efeito)</w:t>
        </w:r>
      </w:hyperlink>
    </w:p>
    <w:p w14:paraId="28892E9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Para efeito do enquadramento nas faixas indicadas na tabela do Anexo I, a Base de Cálculo da Taxa de Fiscalização - BCTF corresponde à margem de solvência na forma abaixo:</w:t>
      </w:r>
    </w:p>
    <w:p w14:paraId="31CC416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I - para as sociedades seguradoras que operam com seguro de pessoas - produtos de vida de acumulação: 8% (oito por cento) do total das provisões técnicas e fundos relacionados aos seguros de vida caracterizados como produtos de acumulação somados, no caso dos demais seguros de pessoas, ao maior dos 2 (dois) valores abaixo:</w:t>
      </w:r>
    </w:p>
    <w:p w14:paraId="03F4CB6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a) 20% (vinte por cento) do total dos prêmios retidos dos 12 (doze) meses anteriores; ou</w:t>
      </w:r>
    </w:p>
    <w:p w14:paraId="612C0BD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b) 33% (trinta e três por cento) da média anual dos sinistros retidos dos 36 (trinta e seis) meses anteriores;</w:t>
      </w:r>
    </w:p>
    <w:p w14:paraId="71CF977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para as seguradoras que operam com seguros de danos, o maior dos 2 (dois) valores abaixo:</w:t>
      </w:r>
    </w:p>
    <w:p w14:paraId="43F19D7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a) 20% (vinte por cento) do total dos prêmios retidos dos 12 (doze) meses anteriores; ou</w:t>
      </w:r>
    </w:p>
    <w:p w14:paraId="2731FEB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b) 33% (trinta e três por cento) da média anual dos sinistros retidos dos 36 (trinta e seis) meses anteriores;</w:t>
      </w:r>
    </w:p>
    <w:p w14:paraId="4404DC2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para as sociedades seguradoras que operam simultaneamente com seguros de danos e pessoas: o somatório dos valores dos incisos I e II;</w:t>
      </w:r>
    </w:p>
    <w:p w14:paraId="097F078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IV - para as sociedades seguradoras e as entidades abertas de previdência complementar que operam previdência complementar aberta: 8% (oito por cento) do total das provisões técnicas e fundos relacionados aos planos de previdência;</w:t>
      </w:r>
    </w:p>
    <w:p w14:paraId="694FCE4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 - para as sociedades de capitalização: 8% (oito por cento) do total das provisões técnicas;</w:t>
      </w:r>
    </w:p>
    <w:p w14:paraId="35AA7C8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VI - para efeito de enquadramento nas faixas indicadas na tabela constante do Anexo I, a margem de solvência dos resseguradores locais será calculada pela soma dos resultados obtidos nos incisos I e II;</w:t>
      </w:r>
    </w:p>
    <w:p w14:paraId="6876FF2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VII - para os resseguradores admitidos, fica estabelecido valor de taxa única, conforme tabela constante do Anexo I.</w:t>
      </w:r>
    </w:p>
    <w:p w14:paraId="3826A3E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9" w:name="art53"/>
      <w:bookmarkEnd w:id="69"/>
      <w:r w:rsidRPr="00C22FC1">
        <w:rPr>
          <w:rFonts w:ascii="Arial" w:eastAsia="Times New Roman" w:hAnsi="Arial" w:cs="Arial"/>
          <w:color w:val="000000"/>
          <w:kern w:val="0"/>
          <w:sz w:val="20"/>
          <w:szCs w:val="20"/>
          <w14:ligatures w14:val="none"/>
        </w:rPr>
        <w:t>Art. 53.  A Taxa de Fiscalização de que trata esta Seção será recolhida trimestralmente até o último dia útil do primeiro decêndio dos meses de janeiro, abril, julho e outubro de cada ano.      </w:t>
      </w:r>
      <w:hyperlink r:id="rId184" w:anchor="art139" w:history="1">
        <w:r w:rsidRPr="00C22FC1">
          <w:rPr>
            <w:rFonts w:ascii="Arial" w:eastAsia="Times New Roman" w:hAnsi="Arial" w:cs="Arial"/>
            <w:color w:val="0000FF"/>
            <w:kern w:val="0"/>
            <w:sz w:val="20"/>
            <w:szCs w:val="20"/>
            <w:u w:val="single"/>
            <w14:ligatures w14:val="none"/>
          </w:rPr>
          <w:t>(Produção de efeito)</w:t>
        </w:r>
      </w:hyperlink>
    </w:p>
    <w:p w14:paraId="3D69B12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Para apuração da Taxa de Fiscalização devida, serão obedecidos os seguintes critérios:</w:t>
      </w:r>
    </w:p>
    <w:p w14:paraId="1ABCEFE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no mês de janeiro, a apuração será feita com base nas demonstrações financeiras encerradas em 30 de junho do exercício anterior;</w:t>
      </w:r>
    </w:p>
    <w:p w14:paraId="5D4CD54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nos meses de abril e julho, a apuração será feita com base nas demonstrações financeiras encerradas em 31 de dezembro do exercício anterior; e</w:t>
      </w:r>
    </w:p>
    <w:p w14:paraId="679FB70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no mês de outubro, a apuração será feita com base nas demonstrações financeiras encerradas em 30 de junho do exercício corrente.</w:t>
      </w:r>
    </w:p>
    <w:p w14:paraId="753D490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0" w:name="art54"/>
      <w:bookmarkEnd w:id="70"/>
      <w:r w:rsidRPr="00C22FC1">
        <w:rPr>
          <w:rFonts w:ascii="Arial" w:eastAsia="Times New Roman" w:hAnsi="Arial" w:cs="Arial"/>
          <w:color w:val="000000"/>
          <w:kern w:val="0"/>
          <w:sz w:val="20"/>
          <w:szCs w:val="20"/>
          <w14:ligatures w14:val="none"/>
        </w:rPr>
        <w:t>Art. 54.  Os contribuintes não enquadrados nos critérios desta Lei recolherão a Taxa de Fiscalização com base na menor faixa de cada ramo ou atividade em que estiverem autorizados a operar.     </w:t>
      </w:r>
      <w:hyperlink r:id="rId185" w:anchor="art139" w:history="1">
        <w:r w:rsidRPr="00C22FC1">
          <w:rPr>
            <w:rFonts w:ascii="Arial" w:eastAsia="Times New Roman" w:hAnsi="Arial" w:cs="Arial"/>
            <w:color w:val="0000FF"/>
            <w:kern w:val="0"/>
            <w:sz w:val="20"/>
            <w:szCs w:val="20"/>
            <w:u w:val="single"/>
            <w14:ligatures w14:val="none"/>
          </w:rPr>
          <w:t>(Produção de efeito)</w:t>
        </w:r>
      </w:hyperlink>
    </w:p>
    <w:p w14:paraId="4B27884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1" w:name="art55"/>
      <w:bookmarkEnd w:id="71"/>
      <w:r w:rsidRPr="00C22FC1">
        <w:rPr>
          <w:rFonts w:ascii="Arial" w:eastAsia="Times New Roman" w:hAnsi="Arial" w:cs="Arial"/>
          <w:color w:val="000000"/>
          <w:kern w:val="0"/>
          <w:sz w:val="20"/>
          <w:szCs w:val="20"/>
          <w14:ligatures w14:val="none"/>
        </w:rPr>
        <w:lastRenderedPageBreak/>
        <w:t>Art. 55.  A Taxa de Fiscalização não recolhida no prazo fixado será acrescida de juros e multa de mora, calculados nos termos da legislação federal aplicável aos tributos federais.      </w:t>
      </w:r>
      <w:hyperlink r:id="rId186" w:anchor="art139" w:history="1">
        <w:r w:rsidRPr="00C22FC1">
          <w:rPr>
            <w:rFonts w:ascii="Arial" w:eastAsia="Times New Roman" w:hAnsi="Arial" w:cs="Arial"/>
            <w:color w:val="0000FF"/>
            <w:kern w:val="0"/>
            <w:sz w:val="20"/>
            <w:szCs w:val="20"/>
            <w:u w:val="single"/>
            <w14:ligatures w14:val="none"/>
          </w:rPr>
          <w:t>(Produção de efeito)</w:t>
        </w:r>
      </w:hyperlink>
    </w:p>
    <w:p w14:paraId="46A4EE6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2" w:name="art56"/>
      <w:bookmarkEnd w:id="72"/>
      <w:r w:rsidRPr="00C22FC1">
        <w:rPr>
          <w:rFonts w:ascii="Arial" w:eastAsia="Times New Roman" w:hAnsi="Arial" w:cs="Arial"/>
          <w:color w:val="000000"/>
          <w:kern w:val="0"/>
          <w:sz w:val="20"/>
          <w:szCs w:val="20"/>
          <w14:ligatures w14:val="none"/>
        </w:rPr>
        <w:t>Art. 56.  Os débitos referentes à Taxa de Fiscalização serão inscritos em Dívida Ativa e executados judicialmente pela Procuradoria Federal junto à Susep.     </w:t>
      </w:r>
      <w:hyperlink r:id="rId187" w:anchor="art139" w:history="1">
        <w:r w:rsidRPr="00C22FC1">
          <w:rPr>
            <w:rFonts w:ascii="Arial" w:eastAsia="Times New Roman" w:hAnsi="Arial" w:cs="Arial"/>
            <w:color w:val="0000FF"/>
            <w:kern w:val="0"/>
            <w:sz w:val="20"/>
            <w:szCs w:val="20"/>
            <w:u w:val="single"/>
            <w14:ligatures w14:val="none"/>
          </w:rPr>
          <w:t>(Produção de efeito)</w:t>
        </w:r>
      </w:hyperlink>
    </w:p>
    <w:p w14:paraId="405BC07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3" w:name="art57"/>
      <w:bookmarkEnd w:id="73"/>
      <w:r w:rsidRPr="00C22FC1">
        <w:rPr>
          <w:rFonts w:ascii="Arial" w:eastAsia="Times New Roman" w:hAnsi="Arial" w:cs="Arial"/>
          <w:color w:val="000000"/>
          <w:kern w:val="0"/>
          <w:sz w:val="20"/>
          <w:szCs w:val="20"/>
          <w14:ligatures w14:val="none"/>
        </w:rPr>
        <w:t>Art. 57.  Os débitos relativos à Taxa de Fiscalização podem ser parcelados, a juízo do Conselho Diretor da Susep, de acordo com os mesmos critérios do parcelamento ordinário de tributos federais estabelecidos no </w:t>
      </w:r>
      <w:hyperlink r:id="rId188" w:anchor="art37b" w:history="1">
        <w:r w:rsidRPr="00C22FC1">
          <w:rPr>
            <w:rFonts w:ascii="Arial" w:eastAsia="Times New Roman" w:hAnsi="Arial" w:cs="Arial"/>
            <w:color w:val="0000FF"/>
            <w:kern w:val="0"/>
            <w:sz w:val="20"/>
            <w:szCs w:val="20"/>
            <w:u w:val="single"/>
            <w14:ligatures w14:val="none"/>
          </w:rPr>
          <w:t>art. 37-B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10.522, de 19 de julho de 2002.</w:t>
        </w:r>
      </w:hyperlink>
      <w:r w:rsidRPr="00C22FC1">
        <w:rPr>
          <w:rFonts w:ascii="Arial" w:eastAsia="Times New Roman" w:hAnsi="Arial" w:cs="Arial"/>
          <w:color w:val="000000"/>
          <w:kern w:val="0"/>
          <w:sz w:val="20"/>
          <w:szCs w:val="20"/>
          <w14:ligatures w14:val="none"/>
        </w:rPr>
        <w:t>      </w:t>
      </w:r>
      <w:hyperlink r:id="rId189" w:anchor="art139" w:history="1">
        <w:r w:rsidRPr="00C22FC1">
          <w:rPr>
            <w:rFonts w:ascii="Arial" w:eastAsia="Times New Roman" w:hAnsi="Arial" w:cs="Arial"/>
            <w:color w:val="0000FF"/>
            <w:kern w:val="0"/>
            <w:sz w:val="20"/>
            <w:szCs w:val="20"/>
            <w:u w:val="single"/>
            <w14:ligatures w14:val="none"/>
          </w:rPr>
          <w:t>(Produção de efeito)</w:t>
        </w:r>
      </w:hyperlink>
    </w:p>
    <w:p w14:paraId="1AF43CA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4" w:name="art58"/>
      <w:bookmarkEnd w:id="74"/>
      <w:r w:rsidRPr="00C22FC1">
        <w:rPr>
          <w:rFonts w:ascii="Arial" w:eastAsia="Times New Roman" w:hAnsi="Arial" w:cs="Arial"/>
          <w:color w:val="000000"/>
          <w:kern w:val="0"/>
          <w:sz w:val="20"/>
          <w:szCs w:val="20"/>
          <w14:ligatures w14:val="none"/>
        </w:rPr>
        <w:t>Art. 58.  A Taxa de Fiscalização de que trata esta Seção será recolhida ao Tesouro Nacional, em conta vinculada à Susep, mediante Guia de Recolhimento da União - GRU, por intermédio de estabelecimento bancário integrante da rede credenciada.      </w:t>
      </w:r>
      <w:hyperlink r:id="rId190" w:anchor="art139" w:history="1">
        <w:r w:rsidRPr="00C22FC1">
          <w:rPr>
            <w:rFonts w:ascii="Arial" w:eastAsia="Times New Roman" w:hAnsi="Arial" w:cs="Arial"/>
            <w:color w:val="0000FF"/>
            <w:kern w:val="0"/>
            <w:sz w:val="20"/>
            <w:szCs w:val="20"/>
            <w:u w:val="single"/>
            <w14:ligatures w14:val="none"/>
          </w:rPr>
          <w:t>(Produção de efeito)</w:t>
        </w:r>
      </w:hyperlink>
    </w:p>
    <w:p w14:paraId="26C8745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5" w:name="art59"/>
      <w:bookmarkEnd w:id="75"/>
      <w:r w:rsidRPr="00C22FC1">
        <w:rPr>
          <w:rFonts w:ascii="Arial" w:eastAsia="Times New Roman" w:hAnsi="Arial" w:cs="Arial"/>
          <w:color w:val="000000"/>
          <w:kern w:val="0"/>
          <w:sz w:val="20"/>
          <w:szCs w:val="20"/>
          <w14:ligatures w14:val="none"/>
        </w:rPr>
        <w:t>Art. 59.  A Taxa de Serviços Metrológicos, instituída pelo </w:t>
      </w:r>
      <w:hyperlink r:id="rId191" w:anchor="art11" w:history="1">
        <w:r w:rsidRPr="00C22FC1">
          <w:rPr>
            <w:rFonts w:ascii="Arial" w:eastAsia="Times New Roman" w:hAnsi="Arial" w:cs="Arial"/>
            <w:color w:val="0000FF"/>
            <w:kern w:val="0"/>
            <w:sz w:val="20"/>
            <w:szCs w:val="20"/>
            <w:u w:val="single"/>
            <w14:ligatures w14:val="none"/>
          </w:rPr>
          <w:t>art. 11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9.933, de 20 de dezembro de 1999</w:t>
        </w:r>
      </w:hyperlink>
      <w:r w:rsidRPr="00C22FC1">
        <w:rPr>
          <w:rFonts w:ascii="Arial" w:eastAsia="Times New Roman" w:hAnsi="Arial" w:cs="Arial"/>
          <w:color w:val="000000"/>
          <w:kern w:val="0"/>
          <w:sz w:val="20"/>
          <w:szCs w:val="20"/>
          <w14:ligatures w14:val="none"/>
        </w:rPr>
        <w:t>, passa a vigorar com os valores constantes do </w:t>
      </w:r>
      <w:hyperlink r:id="rId192" w:anchor="anexoii" w:history="1">
        <w:r w:rsidRPr="00C22FC1">
          <w:rPr>
            <w:rFonts w:ascii="Arial" w:eastAsia="Times New Roman" w:hAnsi="Arial" w:cs="Arial"/>
            <w:color w:val="0000FF"/>
            <w:kern w:val="0"/>
            <w:sz w:val="20"/>
            <w:szCs w:val="20"/>
            <w:u w:val="single"/>
            <w14:ligatures w14:val="none"/>
          </w:rPr>
          <w:t>Anexo II desta Lei.</w:t>
        </w:r>
      </w:hyperlink>
      <w:r w:rsidRPr="00C22FC1">
        <w:rPr>
          <w:rFonts w:ascii="Arial" w:eastAsia="Times New Roman" w:hAnsi="Arial" w:cs="Arial"/>
          <w:color w:val="000000"/>
          <w:kern w:val="0"/>
          <w:sz w:val="20"/>
          <w:szCs w:val="20"/>
          <w14:ligatures w14:val="none"/>
        </w:rPr>
        <w:t>         </w:t>
      </w:r>
      <w:hyperlink r:id="rId193" w:anchor="art139" w:history="1">
        <w:r w:rsidRPr="00C22FC1">
          <w:rPr>
            <w:rFonts w:ascii="Arial" w:eastAsia="Times New Roman" w:hAnsi="Arial" w:cs="Arial"/>
            <w:color w:val="0000FF"/>
            <w:kern w:val="0"/>
            <w:sz w:val="20"/>
            <w:szCs w:val="20"/>
            <w:u w:val="single"/>
            <w14:ligatures w14:val="none"/>
          </w:rPr>
          <w:t>(Produção de efeito)</w:t>
        </w:r>
      </w:hyperlink>
    </w:p>
    <w:p w14:paraId="73240FFC"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76" w:name="art60."/>
      <w:bookmarkEnd w:id="76"/>
      <w:r w:rsidRPr="00C22FC1">
        <w:rPr>
          <w:rFonts w:ascii="Arial" w:eastAsia="Times New Roman" w:hAnsi="Arial" w:cs="Arial"/>
          <w:strike/>
          <w:color w:val="000000"/>
          <w:kern w:val="0"/>
          <w:sz w:val="20"/>
          <w:szCs w:val="20"/>
          <w14:ligatures w14:val="none"/>
        </w:rPr>
        <w:t>Art. 60.  Ficam isentos do Imposto de Renda na fonte, de 1</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de janeiro de 2011 até 31 de dezembro de 2015, os valores pagos, creditados, entregues, empregados ou remetidos para pessoa física ou jurídica residente ou domiciliada no exterior, destinados à cobertura de gastos pessoais, no exterior, de pessoas físicas residentes no País, em viagens de turismo, negócios, serviço, treinamento ou missões oficiais.</w:t>
      </w:r>
    </w:p>
    <w:p w14:paraId="49862358"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1</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A isenção de que trata o caput deste artigo é sujeita ao limite global das remessas de até R$ 20.000,00 (vinte mil reais) ao mês, sendo esse valor sujeito aos limites e condições a que se refere o § 3</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w:t>
      </w:r>
    </w:p>
    <w:p w14:paraId="3A06B6EB"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2</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Em relação às agências de viagem, o limite de que trata o § 1</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passa a ser de, no máximo, R$ 10.000,00 (dez mil reais) ao mês por passageiro, observado o disposto no § 3</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w:t>
      </w:r>
    </w:p>
    <w:p w14:paraId="2EA427F2"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3</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O Poder Executivo disporá sobre os limites, a quantidade de passageiros e as condições para utilização da isenção, conforme o tipo de gasto custeado.</w:t>
      </w:r>
    </w:p>
    <w:p w14:paraId="6A9D28D5"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4</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Salvo se atendidas as condições do art. 26, o disposto neste artigo não se aplica ao caso de beneficiário residente ou domiciliado em país ou dependência com tributação favorecida ou beneficiada por regime fiscal privilegiado, de que tratam os </w:t>
      </w:r>
      <w:hyperlink r:id="rId194" w:anchor="art24" w:history="1">
        <w:r w:rsidRPr="00C22FC1">
          <w:rPr>
            <w:rFonts w:ascii="Arial" w:eastAsia="Times New Roman" w:hAnsi="Arial" w:cs="Arial"/>
            <w:strike/>
            <w:color w:val="0000FF"/>
            <w:kern w:val="0"/>
            <w:sz w:val="20"/>
            <w:szCs w:val="20"/>
            <w:u w:val="single"/>
            <w14:ligatures w14:val="none"/>
          </w:rPr>
          <w:t>arts. 24 </w:t>
        </w:r>
      </w:hyperlink>
      <w:r w:rsidRPr="00C22FC1">
        <w:rPr>
          <w:rFonts w:ascii="Arial" w:eastAsia="Times New Roman" w:hAnsi="Arial" w:cs="Arial"/>
          <w:strike/>
          <w:color w:val="000000"/>
          <w:kern w:val="0"/>
          <w:sz w:val="20"/>
          <w:szCs w:val="20"/>
          <w14:ligatures w14:val="none"/>
        </w:rPr>
        <w:t>e </w:t>
      </w:r>
      <w:hyperlink r:id="rId195" w:anchor="art24a" w:history="1">
        <w:r w:rsidRPr="00C22FC1">
          <w:rPr>
            <w:rFonts w:ascii="Arial" w:eastAsia="Times New Roman" w:hAnsi="Arial" w:cs="Arial"/>
            <w:strike/>
            <w:color w:val="0000FF"/>
            <w:kern w:val="0"/>
            <w:sz w:val="20"/>
            <w:szCs w:val="20"/>
            <w:u w:val="single"/>
            <w14:ligatures w14:val="none"/>
          </w:rPr>
          <w:t>24-A da Lei nº 9.430, de 27 de dezembro de 1996.</w:t>
        </w:r>
      </w:hyperlink>
    </w:p>
    <w:p w14:paraId="2A345CE1" w14:textId="77777777" w:rsidR="00C22FC1" w:rsidRPr="00C22FC1" w:rsidRDefault="00C22FC1" w:rsidP="00C22FC1">
      <w:pPr>
        <w:spacing w:after="0" w:line="293" w:lineRule="atLeast"/>
        <w:ind w:firstLine="525"/>
        <w:rPr>
          <w:rFonts w:ascii="Arial" w:eastAsia="Times New Roman" w:hAnsi="Arial" w:cs="Arial"/>
          <w:color w:val="000000"/>
          <w:kern w:val="0"/>
          <w:sz w:val="20"/>
          <w:szCs w:val="20"/>
          <w14:ligatures w14:val="none"/>
        </w:rPr>
      </w:pPr>
      <w:bookmarkStart w:id="77" w:name="art60§2"/>
      <w:bookmarkEnd w:id="77"/>
      <w:r w:rsidRPr="00C22FC1">
        <w:rPr>
          <w:rFonts w:ascii="Arial" w:eastAsia="Times New Roman" w:hAnsi="Arial" w:cs="Arial"/>
          <w:strike/>
          <w:color w:val="000000"/>
          <w:kern w:val="0"/>
          <w:sz w:val="20"/>
          <w:szCs w:val="20"/>
          <w14:ligatures w14:val="none"/>
        </w:rPr>
        <w:t>§ 2</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A partir de 1</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de abril de 2013, em relação às operadoras e agências de viagem não se aplica o limite previsto no § 1</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desde que cadastradas no Ministério do Turismo e que as operações previstas no caput sejam realizadas por intermédio de instituição financeira domiciliada no País.                     </w:t>
      </w:r>
      <w:hyperlink r:id="rId196" w:anchor="art19" w:history="1">
        <w:r w:rsidRPr="00C22FC1">
          <w:rPr>
            <w:rFonts w:ascii="Arial" w:eastAsia="Times New Roman" w:hAnsi="Arial" w:cs="Arial"/>
            <w:strike/>
            <w:color w:val="0000FF"/>
            <w:kern w:val="0"/>
            <w:sz w:val="20"/>
            <w:szCs w:val="20"/>
            <w:u w:val="single"/>
            <w14:ligatures w14:val="none"/>
          </w:rPr>
          <w:t>(Redação dada pela Lei nº 12.810, de 2013)</w:t>
        </w:r>
      </w:hyperlink>
    </w:p>
    <w:p w14:paraId="35DBF3FD" w14:textId="77777777" w:rsidR="00C22FC1" w:rsidRPr="00C22FC1" w:rsidRDefault="00C22FC1" w:rsidP="00C22FC1">
      <w:pPr>
        <w:spacing w:after="0" w:line="293" w:lineRule="atLeast"/>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3</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O Poder Executivo disporá sobre os limites e as condições para utilização do benefício.                    </w:t>
      </w:r>
      <w:hyperlink r:id="rId197" w:anchor="art19" w:history="1">
        <w:r w:rsidRPr="00C22FC1">
          <w:rPr>
            <w:rFonts w:ascii="Arial" w:eastAsia="Times New Roman" w:hAnsi="Arial" w:cs="Arial"/>
            <w:strike/>
            <w:color w:val="0000FF"/>
            <w:kern w:val="0"/>
            <w:sz w:val="20"/>
            <w:szCs w:val="20"/>
            <w:u w:val="single"/>
            <w14:ligatures w14:val="none"/>
          </w:rPr>
          <w:t>(Redação dada pela Lei nº 12.810, de 2013)</w:t>
        </w:r>
      </w:hyperlink>
    </w:p>
    <w:p w14:paraId="522BF8FE" w14:textId="77777777" w:rsidR="00C22FC1" w:rsidRPr="00C22FC1" w:rsidRDefault="00C22FC1" w:rsidP="00C22FC1">
      <w:pPr>
        <w:spacing w:after="0" w:line="293" w:lineRule="atLeast"/>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4</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O disposto neste artigo não se aplica ao caso de beneficiário residente ou domiciliado em país ou dependência com tributação favorecida ou beneficiada por regime fiscal privilegiado, de que tratam os </w:t>
      </w:r>
      <w:hyperlink r:id="rId198" w:anchor="art24" w:history="1">
        <w:r w:rsidRPr="00C22FC1">
          <w:rPr>
            <w:rFonts w:ascii="Arial" w:eastAsia="Times New Roman" w:hAnsi="Arial" w:cs="Arial"/>
            <w:strike/>
            <w:color w:val="0000FF"/>
            <w:kern w:val="0"/>
            <w:sz w:val="20"/>
            <w:szCs w:val="20"/>
            <w:u w:val="single"/>
            <w14:ligatures w14:val="none"/>
          </w:rPr>
          <w:t>arts. 24</w:t>
        </w:r>
      </w:hyperlink>
      <w:r w:rsidRPr="00C22FC1">
        <w:rPr>
          <w:rFonts w:ascii="Arial" w:eastAsia="Times New Roman" w:hAnsi="Arial" w:cs="Arial"/>
          <w:strike/>
          <w:color w:val="000000"/>
          <w:kern w:val="0"/>
          <w:sz w:val="20"/>
          <w:szCs w:val="20"/>
          <w14:ligatures w14:val="none"/>
        </w:rPr>
        <w:t> e </w:t>
      </w:r>
      <w:hyperlink r:id="rId199" w:anchor="art24a" w:history="1">
        <w:r w:rsidRPr="00C22FC1">
          <w:rPr>
            <w:rFonts w:ascii="Arial" w:eastAsia="Times New Roman" w:hAnsi="Arial" w:cs="Arial"/>
            <w:strike/>
            <w:color w:val="0000FF"/>
            <w:kern w:val="0"/>
            <w:sz w:val="20"/>
            <w:szCs w:val="20"/>
            <w:u w:val="single"/>
            <w14:ligatures w14:val="none"/>
          </w:rPr>
          <w:t>24-A da Lei nº 9.430, de 27 de dezembro de 1996</w:t>
        </w:r>
      </w:hyperlink>
      <w:r w:rsidRPr="00C22FC1">
        <w:rPr>
          <w:rFonts w:ascii="Arial" w:eastAsia="Times New Roman" w:hAnsi="Arial" w:cs="Arial"/>
          <w:strike/>
          <w:color w:val="000000"/>
          <w:kern w:val="0"/>
          <w:sz w:val="20"/>
          <w:szCs w:val="20"/>
          <w14:ligatures w14:val="none"/>
        </w:rPr>
        <w:t>.                   </w:t>
      </w:r>
      <w:hyperlink r:id="rId200" w:anchor="art19" w:history="1">
        <w:r w:rsidRPr="00C22FC1">
          <w:rPr>
            <w:rFonts w:ascii="Arial" w:eastAsia="Times New Roman" w:hAnsi="Arial" w:cs="Arial"/>
            <w:strike/>
            <w:color w:val="0000FF"/>
            <w:kern w:val="0"/>
            <w:sz w:val="20"/>
            <w:szCs w:val="20"/>
            <w:u w:val="single"/>
            <w14:ligatures w14:val="none"/>
          </w:rPr>
          <w:t>(Redação dada pela Lei nº 12.810, de 2013)</w:t>
        </w:r>
      </w:hyperlink>
    </w:p>
    <w:p w14:paraId="7BFBF812" w14:textId="77777777" w:rsidR="00C22FC1" w:rsidRPr="00C22FC1" w:rsidRDefault="00C22FC1" w:rsidP="00C22FC1">
      <w:pPr>
        <w:spacing w:after="0" w:line="240" w:lineRule="auto"/>
        <w:ind w:firstLine="570"/>
        <w:rPr>
          <w:rFonts w:ascii="Arial" w:eastAsia="Times New Roman" w:hAnsi="Arial" w:cs="Arial"/>
          <w:color w:val="000000"/>
          <w:kern w:val="0"/>
          <w:sz w:val="20"/>
          <w:szCs w:val="20"/>
          <w14:ligatures w14:val="none"/>
        </w:rPr>
      </w:pPr>
      <w:bookmarkStart w:id="78" w:name="art60"/>
      <w:bookmarkEnd w:id="78"/>
      <w:r w:rsidRPr="00C22FC1">
        <w:rPr>
          <w:rFonts w:ascii="Arial" w:eastAsia="Times New Roman" w:hAnsi="Arial" w:cs="Arial"/>
          <w:strike/>
          <w:color w:val="000000"/>
          <w:kern w:val="0"/>
          <w:sz w:val="20"/>
          <w:szCs w:val="20"/>
          <w14:ligatures w14:val="none"/>
        </w:rPr>
        <w:t>Art. 60.  Ficam isentos do Imposto de Renda na fonte, de 1</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de janeiro de 2011 até 31 de dezembro de 2015, os valores pagos, creditados, entregues, empregados ou remetidos para pessoa física ou jurídica residente ou domiciliada no exterior, destinados à cobertura de gastos pessoais, no exterior, de pessoas físicas residentes no País, em viagens de turismo, negócios, serviço, treinamento ou missões oficiais, até o limite global de R$ 20.000,00 (vinte mil reais) ao mês, nos termos, limites e condições estabelecidos pelo Poder Executivo.                      </w:t>
      </w:r>
      <w:hyperlink r:id="rId201" w:anchor="art19" w:history="1">
        <w:r w:rsidRPr="00C22FC1">
          <w:rPr>
            <w:rFonts w:ascii="Arial" w:eastAsia="Times New Roman" w:hAnsi="Arial" w:cs="Arial"/>
            <w:strike/>
            <w:color w:val="0000FF"/>
            <w:kern w:val="0"/>
            <w:sz w:val="20"/>
            <w:szCs w:val="20"/>
            <w:u w:val="single"/>
            <w14:ligatures w14:val="none"/>
          </w:rPr>
          <w:t>(Redação dada pela Lei nº 12.844, de 2013)</w:t>
        </w:r>
      </w:hyperlink>
    </w:p>
    <w:p w14:paraId="0C68B58A" w14:textId="77777777" w:rsidR="00C22FC1" w:rsidRPr="00C22FC1" w:rsidRDefault="00C22FC1" w:rsidP="00C22FC1">
      <w:pPr>
        <w:spacing w:after="0" w:line="240" w:lineRule="auto"/>
        <w:ind w:firstLine="570"/>
        <w:rPr>
          <w:rFonts w:ascii="Arial" w:eastAsia="Times New Roman" w:hAnsi="Arial" w:cs="Arial"/>
          <w:color w:val="000000"/>
          <w:kern w:val="0"/>
          <w:sz w:val="20"/>
          <w:szCs w:val="20"/>
          <w14:ligatures w14:val="none"/>
        </w:rPr>
      </w:pPr>
      <w:bookmarkStart w:id="79" w:name="art60.."/>
      <w:bookmarkEnd w:id="79"/>
      <w:r w:rsidRPr="00C22FC1">
        <w:rPr>
          <w:rFonts w:ascii="Arial" w:eastAsia="Times New Roman" w:hAnsi="Arial" w:cs="Arial"/>
          <w:strike/>
          <w:color w:val="000000"/>
          <w:kern w:val="0"/>
          <w:sz w:val="20"/>
          <w:szCs w:val="20"/>
          <w:lang w:val="pt-PT"/>
          <w14:ligatures w14:val="none"/>
        </w:rPr>
        <w:t xml:space="preserve">Art. 60.  Até 31 de dezembro de 2019, fica reduzida a 6% (seis por cento) a alíquota do Imposto de Renda Retido na Fonte incidente sobre os valores pagos, creditados, entregues, empregados ou remetidos para pessoa física ou jurídica residente ou domiciliada no exterior, </w:t>
      </w:r>
      <w:r w:rsidRPr="00C22FC1">
        <w:rPr>
          <w:rFonts w:ascii="Arial" w:eastAsia="Times New Roman" w:hAnsi="Arial" w:cs="Arial"/>
          <w:strike/>
          <w:color w:val="000000"/>
          <w:kern w:val="0"/>
          <w:sz w:val="20"/>
          <w:szCs w:val="20"/>
          <w:lang w:val="pt-PT"/>
          <w14:ligatures w14:val="none"/>
        </w:rPr>
        <w:lastRenderedPageBreak/>
        <w:t>destinados à cobertura de gastos pessoais, no exterior, de pessoas físicas residentes no País, em viagens de turismo, negócios, serviço, treinamento ou missões oficiais, até o limite global de R$ 20.000,00 (vinte mil reais) ao mês, nos termos, limites e condições estabelecidos pelo Poder Executivo.                 </w:t>
      </w:r>
      <w:hyperlink r:id="rId202" w:anchor="art1" w:history="1">
        <w:r w:rsidRPr="00C22FC1">
          <w:rPr>
            <w:rFonts w:ascii="Arial" w:eastAsia="Times New Roman" w:hAnsi="Arial" w:cs="Arial"/>
            <w:strike/>
            <w:color w:val="0000FF"/>
            <w:kern w:val="0"/>
            <w:sz w:val="20"/>
            <w:szCs w:val="20"/>
            <w:u w:val="single"/>
            <w:lang w:val="pt-PT"/>
            <w14:ligatures w14:val="none"/>
          </w:rPr>
          <w:t>(Redação dada pela Medida Provisória nº 713, de 2016)</w:t>
        </w:r>
      </w:hyperlink>
    </w:p>
    <w:p w14:paraId="2809314C" w14:textId="77777777" w:rsidR="00C22FC1" w:rsidRPr="00C22FC1" w:rsidRDefault="00C22FC1" w:rsidP="00C22FC1">
      <w:pPr>
        <w:spacing w:after="0" w:line="240" w:lineRule="auto"/>
        <w:ind w:firstLine="570"/>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Art. 60.</w:t>
      </w:r>
      <w:r w:rsidRPr="00C22FC1">
        <w:rPr>
          <w:rFonts w:ascii="Arial" w:eastAsia="Times New Roman" w:hAnsi="Arial" w:cs="Arial"/>
          <w:strike/>
          <w:color w:val="000000"/>
          <w:kern w:val="0"/>
          <w:sz w:val="20"/>
          <w:szCs w:val="20"/>
          <w:lang w:val="pt-PT"/>
          <w14:ligatures w14:val="none"/>
        </w:rPr>
        <w:t>  Até 31 de dezembro de 2019, fica reduzida a 6% (seis por cento) a alíquota do imposto de renda retido na fonte incidente sobre os valores pagos, creditados, entregues, empregados ou remetidos para pessoa física ou jurídica residente ou </w:t>
      </w:r>
      <w:r w:rsidRPr="00C22FC1">
        <w:rPr>
          <w:rFonts w:ascii="Arial" w:eastAsia="Times New Roman" w:hAnsi="Arial" w:cs="Arial"/>
          <w:strike/>
          <w:color w:val="000000"/>
          <w:kern w:val="0"/>
          <w:sz w:val="20"/>
          <w:szCs w:val="20"/>
          <w14:ligatures w14:val="none"/>
        </w:rPr>
        <w:t>domiciliada</w:t>
      </w:r>
      <w:r w:rsidRPr="00C22FC1">
        <w:rPr>
          <w:rFonts w:ascii="Arial" w:eastAsia="Times New Roman" w:hAnsi="Arial" w:cs="Arial"/>
          <w:strike/>
          <w:color w:val="000000"/>
          <w:kern w:val="0"/>
          <w:sz w:val="20"/>
          <w:szCs w:val="20"/>
          <w:lang w:val="pt-PT"/>
          <w14:ligatures w14:val="none"/>
        </w:rPr>
        <w:t> no exterior, destinados à cobertura de gastos pessoais, no exterior, de pessoas físicas residentes no País, em viagens de turismo, negócios, serviço, treinamento ou missões oficiais, até o limite global de R$ 20.000,00 (vinte mil reais) ao mês, nos termos, limites e condições estabelecidos pelo Poder Executivo.                           </w:t>
      </w:r>
      <w:hyperlink r:id="rId203" w:anchor="art1" w:history="1">
        <w:r w:rsidRPr="00C22FC1">
          <w:rPr>
            <w:rFonts w:ascii="Arial" w:eastAsia="Times New Roman" w:hAnsi="Arial" w:cs="Arial"/>
            <w:strike/>
            <w:color w:val="0000FF"/>
            <w:kern w:val="0"/>
            <w:sz w:val="20"/>
            <w:szCs w:val="20"/>
            <w:u w:val="single"/>
            <w14:ligatures w14:val="none"/>
          </w:rPr>
          <w:t>(Redação dada pela Lei nº 13.315, de 2016)</w:t>
        </w:r>
      </w:hyperlink>
      <w:r w:rsidRPr="00C22FC1">
        <w:rPr>
          <w:rFonts w:ascii="Arial" w:eastAsia="Times New Roman" w:hAnsi="Arial" w:cs="Arial"/>
          <w:strike/>
          <w:color w:val="000000"/>
          <w:kern w:val="0"/>
          <w:sz w:val="20"/>
          <w:szCs w:val="20"/>
          <w:lang w:val="pt-PT"/>
          <w14:ligatures w14:val="none"/>
        </w:rPr>
        <w:t>  </w:t>
      </w:r>
    </w:p>
    <w:p w14:paraId="03B4F300" w14:textId="77777777" w:rsidR="00C22FC1" w:rsidRPr="00C22FC1" w:rsidRDefault="00C22FC1" w:rsidP="00C22FC1">
      <w:pPr>
        <w:spacing w:after="0" w:line="240" w:lineRule="auto"/>
        <w:ind w:firstLine="525"/>
        <w:jc w:val="both"/>
        <w:rPr>
          <w:rFonts w:ascii="Arial" w:eastAsia="Times New Roman" w:hAnsi="Arial" w:cs="Arial"/>
          <w:color w:val="000000"/>
          <w:kern w:val="0"/>
          <w:sz w:val="20"/>
          <w:szCs w:val="20"/>
          <w14:ligatures w14:val="none"/>
        </w:rPr>
      </w:pPr>
      <w:bookmarkStart w:id="80" w:name="art60...."/>
      <w:bookmarkEnd w:id="80"/>
      <w:r w:rsidRPr="00C22FC1">
        <w:rPr>
          <w:rFonts w:ascii="Arial" w:eastAsia="Times New Roman" w:hAnsi="Arial" w:cs="Arial"/>
          <w:strike/>
          <w:color w:val="000000"/>
          <w:kern w:val="0"/>
          <w:sz w:val="20"/>
          <w:szCs w:val="20"/>
          <w14:ligatures w14:val="none"/>
        </w:rPr>
        <w:t>Art. 60.  Até 31 de dezembro de 2024, fica reduzida a alíquota do imposto sobre a renda retido na fonte incidente sobre os valores pagos, creditados, entregues, empregados ou remetidos para pessoa física ou jurídica residente ou domiciliada no exterior, destinados à cobertura de gastos pessoais, no exterior, de pessoas físicas residentes no País, em viagens de turismo, de negócios, a serviço, de treinamento ou missões oficiais, até o limite de R$ 20.000,00 (vinte mil reais) ao mês, nos termos, nos limites e nas condições estabelecidos em ato do Poder Executivo federal, para:       </w:t>
      </w:r>
      <w:hyperlink r:id="rId204" w:anchor="art3" w:history="1">
        <w:r w:rsidRPr="00C22FC1">
          <w:rPr>
            <w:rFonts w:ascii="Arial" w:eastAsia="Times New Roman" w:hAnsi="Arial" w:cs="Arial"/>
            <w:strike/>
            <w:color w:val="0000FF"/>
            <w:kern w:val="0"/>
            <w:sz w:val="20"/>
            <w:szCs w:val="20"/>
            <w:u w:val="single"/>
            <w14:ligatures w14:val="none"/>
          </w:rPr>
          <w:t>(Redação dada pela Medida Provisória nº 907, de 2019)</w:t>
        </w:r>
      </w:hyperlink>
      <w:r w:rsidRPr="00C22FC1">
        <w:rPr>
          <w:rFonts w:ascii="Arial" w:eastAsia="Times New Roman" w:hAnsi="Arial" w:cs="Arial"/>
          <w:strike/>
          <w:color w:val="000000"/>
          <w:kern w:val="0"/>
          <w:sz w:val="20"/>
          <w:szCs w:val="20"/>
          <w14:ligatures w14:val="none"/>
        </w:rPr>
        <w:t>     </w:t>
      </w:r>
      <w:hyperlink r:id="rId205" w:anchor="art36" w:history="1">
        <w:r w:rsidRPr="00C22FC1">
          <w:rPr>
            <w:rFonts w:ascii="Arial" w:eastAsia="Times New Roman" w:hAnsi="Arial" w:cs="Arial"/>
            <w:strike/>
            <w:color w:val="0000FF"/>
            <w:kern w:val="0"/>
            <w:sz w:val="20"/>
            <w:szCs w:val="20"/>
            <w:u w:val="single"/>
            <w14:ligatures w14:val="none"/>
          </w:rPr>
          <w:t>Produção de efeitos</w:t>
        </w:r>
      </w:hyperlink>
    </w:p>
    <w:p w14:paraId="4FDAF7ED" w14:textId="77777777" w:rsidR="00C22FC1" w:rsidRPr="00C22FC1" w:rsidRDefault="00C22FC1" w:rsidP="00C22FC1">
      <w:pPr>
        <w:spacing w:after="0" w:line="240" w:lineRule="auto"/>
        <w:ind w:firstLine="525"/>
        <w:jc w:val="both"/>
        <w:rPr>
          <w:rFonts w:ascii="Arial" w:eastAsia="Times New Roman" w:hAnsi="Arial" w:cs="Arial"/>
          <w:color w:val="000000"/>
          <w:kern w:val="0"/>
          <w:sz w:val="20"/>
          <w:szCs w:val="20"/>
          <w14:ligatures w14:val="none"/>
        </w:rPr>
      </w:pPr>
      <w:bookmarkStart w:id="81" w:name="art60.0"/>
      <w:bookmarkEnd w:id="81"/>
      <w:r w:rsidRPr="00C22FC1">
        <w:rPr>
          <w:rFonts w:ascii="Arial" w:eastAsia="Times New Roman" w:hAnsi="Arial" w:cs="Arial"/>
          <w:strike/>
          <w:color w:val="000000"/>
          <w:kern w:val="0"/>
          <w:sz w:val="20"/>
          <w:szCs w:val="20"/>
          <w14:ligatures w14:val="none"/>
        </w:rPr>
        <w:t>Art. 60.  Fica reduzida a alíquota do imposto sobre a renda retido na fonte incidente sobre os valores pagos, creditados, entregues, empregados ou remetidos para pessoa física ou jurídica residente ou domiciliada no exterior, destinados à cobertura de gastos pessoais, no exterior, de pessoas físicas residentes no País, em viagens de turismo, de negócios, de serviço ou de treinamento ou em missões oficiais, até o limite de R$ 20.000,00 (vinte mil reais) ao mês, nos termos, nos limites e nas condições estabelecidos em ato do Poder Executivo federal, para:      </w:t>
      </w:r>
      <w:hyperlink r:id="rId206" w:anchor="art1" w:history="1">
        <w:r w:rsidRPr="00C22FC1">
          <w:rPr>
            <w:rFonts w:ascii="Arial" w:eastAsia="Times New Roman" w:hAnsi="Arial" w:cs="Arial"/>
            <w:strike/>
            <w:color w:val="0000FF"/>
            <w:kern w:val="0"/>
            <w:sz w:val="20"/>
            <w:szCs w:val="20"/>
            <w:u w:val="single"/>
            <w14:ligatures w14:val="none"/>
          </w:rPr>
          <w:t>(Redação dada pela Medida Provisória nº 1.138, de 2022)</w:t>
        </w:r>
      </w:hyperlink>
    </w:p>
    <w:p w14:paraId="1E663064" w14:textId="77777777" w:rsidR="00C22FC1" w:rsidRPr="00C22FC1" w:rsidRDefault="00C22FC1" w:rsidP="00C22FC1">
      <w:pPr>
        <w:spacing w:after="0" w:line="240" w:lineRule="auto"/>
        <w:ind w:firstLine="525"/>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 - sete inteiros e nove décimos por cento, em 2020;       </w:t>
      </w:r>
      <w:hyperlink r:id="rId207" w:anchor="art3" w:history="1">
        <w:r w:rsidRPr="00C22FC1">
          <w:rPr>
            <w:rFonts w:ascii="Arial" w:eastAsia="Times New Roman" w:hAnsi="Arial" w:cs="Arial"/>
            <w:strike/>
            <w:color w:val="0000FF"/>
            <w:kern w:val="0"/>
            <w:sz w:val="20"/>
            <w:szCs w:val="20"/>
            <w:u w:val="single"/>
            <w14:ligatures w14:val="none"/>
          </w:rPr>
          <w:t>(Incluído pela Medida Provisória nº 907, de 2019)</w:t>
        </w:r>
      </w:hyperlink>
      <w:r w:rsidRPr="00C22FC1">
        <w:rPr>
          <w:rFonts w:ascii="Arial" w:eastAsia="Times New Roman" w:hAnsi="Arial" w:cs="Arial"/>
          <w:strike/>
          <w:color w:val="000000"/>
          <w:kern w:val="0"/>
          <w:sz w:val="20"/>
          <w:szCs w:val="20"/>
          <w14:ligatures w14:val="none"/>
        </w:rPr>
        <w:t>     </w:t>
      </w:r>
      <w:hyperlink r:id="rId208" w:anchor="art36" w:history="1">
        <w:r w:rsidRPr="00C22FC1">
          <w:rPr>
            <w:rFonts w:ascii="Arial" w:eastAsia="Times New Roman" w:hAnsi="Arial" w:cs="Arial"/>
            <w:strike/>
            <w:color w:val="0000FF"/>
            <w:kern w:val="0"/>
            <w:sz w:val="20"/>
            <w:szCs w:val="20"/>
            <w:u w:val="single"/>
            <w14:ligatures w14:val="none"/>
          </w:rPr>
          <w:t>Produção de efeitos</w:t>
        </w:r>
      </w:hyperlink>
    </w:p>
    <w:p w14:paraId="515B3861" w14:textId="77777777" w:rsidR="00C22FC1" w:rsidRPr="00C22FC1" w:rsidRDefault="00C22FC1" w:rsidP="00C22FC1">
      <w:pPr>
        <w:spacing w:after="0" w:line="240" w:lineRule="auto"/>
        <w:ind w:firstLine="525"/>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II - nove inteiros e oito décimos por cento, em 2021;        </w:t>
      </w:r>
      <w:hyperlink r:id="rId209" w:anchor="art3" w:history="1">
        <w:r w:rsidRPr="00C22FC1">
          <w:rPr>
            <w:rFonts w:ascii="Arial" w:eastAsia="Times New Roman" w:hAnsi="Arial" w:cs="Arial"/>
            <w:strike/>
            <w:color w:val="0000FF"/>
            <w:kern w:val="0"/>
            <w:sz w:val="20"/>
            <w:szCs w:val="20"/>
            <w:u w:val="single"/>
            <w14:ligatures w14:val="none"/>
          </w:rPr>
          <w:t>(Incluído pela Medida Provisória nº 907, de 2019)</w:t>
        </w:r>
      </w:hyperlink>
      <w:r w:rsidRPr="00C22FC1">
        <w:rPr>
          <w:rFonts w:ascii="Arial" w:eastAsia="Times New Roman" w:hAnsi="Arial" w:cs="Arial"/>
          <w:strike/>
          <w:color w:val="000000"/>
          <w:kern w:val="0"/>
          <w:sz w:val="20"/>
          <w:szCs w:val="20"/>
          <w14:ligatures w14:val="none"/>
        </w:rPr>
        <w:t>     </w:t>
      </w:r>
      <w:hyperlink r:id="rId210" w:anchor="art36" w:history="1">
        <w:r w:rsidRPr="00C22FC1">
          <w:rPr>
            <w:rFonts w:ascii="Arial" w:eastAsia="Times New Roman" w:hAnsi="Arial" w:cs="Arial"/>
            <w:strike/>
            <w:color w:val="0000FF"/>
            <w:kern w:val="0"/>
            <w:sz w:val="20"/>
            <w:szCs w:val="20"/>
            <w:u w:val="single"/>
            <w14:ligatures w14:val="none"/>
          </w:rPr>
          <w:t>Produção de efeitos</w:t>
        </w:r>
      </w:hyperlink>
    </w:p>
    <w:p w14:paraId="338EC917" w14:textId="77777777" w:rsidR="00C22FC1" w:rsidRPr="00C22FC1" w:rsidRDefault="00C22FC1" w:rsidP="00C22FC1">
      <w:pPr>
        <w:spacing w:after="0" w:line="240" w:lineRule="auto"/>
        <w:ind w:firstLine="525"/>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III - onze inteiros e sete décimos por cento, em 2022;       </w:t>
      </w:r>
      <w:hyperlink r:id="rId211" w:anchor="art3" w:history="1">
        <w:r w:rsidRPr="00C22FC1">
          <w:rPr>
            <w:rFonts w:ascii="Arial" w:eastAsia="Times New Roman" w:hAnsi="Arial" w:cs="Arial"/>
            <w:strike/>
            <w:color w:val="0000FF"/>
            <w:kern w:val="0"/>
            <w:sz w:val="20"/>
            <w:szCs w:val="20"/>
            <w:u w:val="single"/>
            <w14:ligatures w14:val="none"/>
          </w:rPr>
          <w:t>(Incluído pela Medida Provisória nº 907, de 2019)</w:t>
        </w:r>
      </w:hyperlink>
      <w:r w:rsidRPr="00C22FC1">
        <w:rPr>
          <w:rFonts w:ascii="Arial" w:eastAsia="Times New Roman" w:hAnsi="Arial" w:cs="Arial"/>
          <w:strike/>
          <w:color w:val="000000"/>
          <w:kern w:val="0"/>
          <w:sz w:val="20"/>
          <w:szCs w:val="20"/>
          <w14:ligatures w14:val="none"/>
        </w:rPr>
        <w:t>     </w:t>
      </w:r>
      <w:hyperlink r:id="rId212" w:anchor="art36" w:history="1">
        <w:r w:rsidRPr="00C22FC1">
          <w:rPr>
            <w:rFonts w:ascii="Arial" w:eastAsia="Times New Roman" w:hAnsi="Arial" w:cs="Arial"/>
            <w:strike/>
            <w:color w:val="0000FF"/>
            <w:kern w:val="0"/>
            <w:sz w:val="20"/>
            <w:szCs w:val="20"/>
            <w:u w:val="single"/>
            <w14:ligatures w14:val="none"/>
          </w:rPr>
          <w:t>Produção de efeitos</w:t>
        </w:r>
      </w:hyperlink>
    </w:p>
    <w:p w14:paraId="07C547C2" w14:textId="77777777" w:rsidR="00C22FC1" w:rsidRPr="00C22FC1" w:rsidRDefault="00C22FC1" w:rsidP="00C22FC1">
      <w:pPr>
        <w:spacing w:after="0" w:line="240" w:lineRule="auto"/>
        <w:ind w:firstLine="525"/>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IV - treze inteiros e seis décimos por cento, em 2023; e     </w:t>
      </w:r>
      <w:hyperlink r:id="rId213" w:anchor="art3" w:history="1">
        <w:r w:rsidRPr="00C22FC1">
          <w:rPr>
            <w:rFonts w:ascii="Arial" w:eastAsia="Times New Roman" w:hAnsi="Arial" w:cs="Arial"/>
            <w:strike/>
            <w:color w:val="0000FF"/>
            <w:kern w:val="0"/>
            <w:sz w:val="20"/>
            <w:szCs w:val="20"/>
            <w:u w:val="single"/>
            <w14:ligatures w14:val="none"/>
          </w:rPr>
          <w:t>(Incluído pela Medida Provisória nº 907, de 2019)</w:t>
        </w:r>
      </w:hyperlink>
      <w:r w:rsidRPr="00C22FC1">
        <w:rPr>
          <w:rFonts w:ascii="Arial" w:eastAsia="Times New Roman" w:hAnsi="Arial" w:cs="Arial"/>
          <w:strike/>
          <w:color w:val="000000"/>
          <w:kern w:val="0"/>
          <w:sz w:val="20"/>
          <w:szCs w:val="20"/>
          <w14:ligatures w14:val="none"/>
        </w:rPr>
        <w:t>     </w:t>
      </w:r>
      <w:hyperlink r:id="rId214" w:anchor="art36" w:history="1">
        <w:r w:rsidRPr="00C22FC1">
          <w:rPr>
            <w:rFonts w:ascii="Arial" w:eastAsia="Times New Roman" w:hAnsi="Arial" w:cs="Arial"/>
            <w:strike/>
            <w:color w:val="0000FF"/>
            <w:kern w:val="0"/>
            <w:sz w:val="20"/>
            <w:szCs w:val="20"/>
            <w:u w:val="single"/>
            <w14:ligatures w14:val="none"/>
          </w:rPr>
          <w:t>Produção de efeitos</w:t>
        </w:r>
      </w:hyperlink>
    </w:p>
    <w:p w14:paraId="365E8D22" w14:textId="77777777" w:rsidR="00C22FC1" w:rsidRPr="00C22FC1" w:rsidRDefault="00C22FC1" w:rsidP="00C22FC1">
      <w:pPr>
        <w:spacing w:after="0" w:line="240" w:lineRule="auto"/>
        <w:ind w:firstLine="525"/>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V - quinze inteiros e cinco décimos por cento, em 2024.      </w:t>
      </w:r>
      <w:hyperlink r:id="rId215" w:anchor="art3" w:history="1">
        <w:r w:rsidRPr="00C22FC1">
          <w:rPr>
            <w:rFonts w:ascii="Arial" w:eastAsia="Times New Roman" w:hAnsi="Arial" w:cs="Arial"/>
            <w:strike/>
            <w:color w:val="0000FF"/>
            <w:kern w:val="0"/>
            <w:sz w:val="20"/>
            <w:szCs w:val="20"/>
            <w:u w:val="single"/>
            <w14:ligatures w14:val="none"/>
          </w:rPr>
          <w:t>(Incluído pela Medida Provisória nº 907, de 2019)</w:t>
        </w:r>
      </w:hyperlink>
      <w:r w:rsidRPr="00C22FC1">
        <w:rPr>
          <w:rFonts w:ascii="Arial" w:eastAsia="Times New Roman" w:hAnsi="Arial" w:cs="Arial"/>
          <w:strike/>
          <w:color w:val="000000"/>
          <w:kern w:val="0"/>
          <w:sz w:val="20"/>
          <w:szCs w:val="20"/>
          <w14:ligatures w14:val="none"/>
        </w:rPr>
        <w:t>     </w:t>
      </w:r>
      <w:hyperlink r:id="rId216" w:anchor="art36" w:history="1">
        <w:r w:rsidRPr="00C22FC1">
          <w:rPr>
            <w:rFonts w:ascii="Arial" w:eastAsia="Times New Roman" w:hAnsi="Arial" w:cs="Arial"/>
            <w:strike/>
            <w:color w:val="0000FF"/>
            <w:kern w:val="0"/>
            <w:sz w:val="20"/>
            <w:szCs w:val="20"/>
            <w:u w:val="single"/>
            <w14:ligatures w14:val="none"/>
          </w:rPr>
          <w:t>Produção de efeitos</w:t>
        </w:r>
      </w:hyperlink>
    </w:p>
    <w:p w14:paraId="645918E8" w14:textId="77777777" w:rsidR="00C22FC1" w:rsidRPr="00C22FC1" w:rsidRDefault="00C22FC1" w:rsidP="00C22FC1">
      <w:pPr>
        <w:spacing w:after="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VI - 6% (seis por cento), de 1º de janeiro de 2023 a 31 de dezembro de 2024;        </w:t>
      </w:r>
      <w:hyperlink r:id="rId217" w:anchor="art1" w:history="1">
        <w:r w:rsidRPr="00C22FC1">
          <w:rPr>
            <w:rFonts w:ascii="Arial" w:eastAsia="Times New Roman" w:hAnsi="Arial" w:cs="Arial"/>
            <w:strike/>
            <w:color w:val="0000FF"/>
            <w:kern w:val="0"/>
            <w:sz w:val="20"/>
            <w:szCs w:val="20"/>
            <w:u w:val="single"/>
            <w14:ligatures w14:val="none"/>
          </w:rPr>
          <w:t>(Incluído pela Medida Provisória nº 1.138, de 2022)</w:t>
        </w:r>
      </w:hyperlink>
    </w:p>
    <w:p w14:paraId="491D6807" w14:textId="77777777" w:rsidR="00C22FC1" w:rsidRPr="00C22FC1" w:rsidRDefault="00C22FC1" w:rsidP="00C22FC1">
      <w:pPr>
        <w:spacing w:after="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VII - 7% (sete por cento), de 1º de janeiro a 31 de dezembro de 2025;        </w:t>
      </w:r>
      <w:hyperlink r:id="rId218" w:anchor="art1" w:history="1">
        <w:r w:rsidRPr="00C22FC1">
          <w:rPr>
            <w:rFonts w:ascii="Arial" w:eastAsia="Times New Roman" w:hAnsi="Arial" w:cs="Arial"/>
            <w:strike/>
            <w:color w:val="0000FF"/>
            <w:kern w:val="0"/>
            <w:sz w:val="20"/>
            <w:szCs w:val="20"/>
            <w:u w:val="single"/>
            <w14:ligatures w14:val="none"/>
          </w:rPr>
          <w:t>(Incluído pela Medida Provisória nº 1.138, de 2022)</w:t>
        </w:r>
      </w:hyperlink>
    </w:p>
    <w:p w14:paraId="082CB607" w14:textId="77777777" w:rsidR="00C22FC1" w:rsidRPr="00C22FC1" w:rsidRDefault="00C22FC1" w:rsidP="00C22FC1">
      <w:pPr>
        <w:spacing w:after="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VIII - 8% (oito por cento), de 1º de janeiro a 31 de dezembro de 2026; e       </w:t>
      </w:r>
      <w:hyperlink r:id="rId219" w:anchor="art1" w:history="1">
        <w:r w:rsidRPr="00C22FC1">
          <w:rPr>
            <w:rFonts w:ascii="Arial" w:eastAsia="Times New Roman" w:hAnsi="Arial" w:cs="Arial"/>
            <w:strike/>
            <w:color w:val="0000FF"/>
            <w:kern w:val="0"/>
            <w:sz w:val="20"/>
            <w:szCs w:val="20"/>
            <w:u w:val="single"/>
            <w14:ligatures w14:val="none"/>
          </w:rPr>
          <w:t>(Incluído pela Medida Provisória nº 1.138, de 2022)</w:t>
        </w:r>
      </w:hyperlink>
    </w:p>
    <w:p w14:paraId="364FEA15" w14:textId="77777777" w:rsidR="00C22FC1" w:rsidRPr="00C22FC1" w:rsidRDefault="00C22FC1" w:rsidP="00C22FC1">
      <w:pPr>
        <w:spacing w:after="0"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IX - 9% (nove por cento), de 1º de janeiro a 31 de dezembro de 2027.         </w:t>
      </w:r>
      <w:hyperlink r:id="rId220" w:anchor="art1" w:history="1">
        <w:r w:rsidRPr="00C22FC1">
          <w:rPr>
            <w:rFonts w:ascii="Arial" w:eastAsia="Times New Roman" w:hAnsi="Arial" w:cs="Arial"/>
            <w:strike/>
            <w:color w:val="0000FF"/>
            <w:kern w:val="0"/>
            <w:sz w:val="20"/>
            <w:szCs w:val="20"/>
            <w:u w:val="single"/>
            <w14:ligatures w14:val="none"/>
          </w:rPr>
          <w:t>(Incluído pela Medida Provisória nº 1.138, de 2022)</w:t>
        </w:r>
      </w:hyperlink>
    </w:p>
    <w:p w14:paraId="32D402AB" w14:textId="77777777" w:rsidR="00C22FC1" w:rsidRPr="00C22FC1" w:rsidRDefault="00C22FC1" w:rsidP="00C22FC1">
      <w:pPr>
        <w:spacing w:before="225" w:after="225" w:line="240" w:lineRule="auto"/>
        <w:ind w:firstLine="570"/>
        <w:jc w:val="both"/>
        <w:rPr>
          <w:rFonts w:ascii="Arial" w:eastAsia="Times New Roman" w:hAnsi="Arial" w:cs="Arial"/>
          <w:color w:val="000000"/>
          <w:kern w:val="0"/>
          <w:sz w:val="20"/>
          <w:szCs w:val="20"/>
          <w14:ligatures w14:val="none"/>
        </w:rPr>
      </w:pPr>
      <w:bookmarkStart w:id="82" w:name="art60.1"/>
      <w:bookmarkEnd w:id="82"/>
      <w:r w:rsidRPr="00C22FC1">
        <w:rPr>
          <w:rFonts w:ascii="Arial" w:eastAsia="Times New Roman" w:hAnsi="Arial" w:cs="Arial"/>
          <w:color w:val="000000"/>
          <w:kern w:val="0"/>
          <w:sz w:val="20"/>
          <w:szCs w:val="20"/>
          <w14:ligatures w14:val="none"/>
        </w:rPr>
        <w:t>Art. 60. Fica reduzida a alíquota do imposto sobre a renda retido na fonte incidente sobre os valores pagos, creditados, entregues, empregados ou remetidos para pessoa física ou jurídica residente ou domiciliada no exterior, destinados à cobertura de gastos pessoais, no exterior, de pessoas físicas residentes no País, em viagens de turismo, de negócios, de serviço ou de treinamento ou em missões oficiais, até o limite de R$ 20.000,00 (vinte mil reais) ao mês, nos termos, nos limites e nas condições estabelecidos em ato do Poder Executivo federal, para:      </w:t>
      </w:r>
      <w:hyperlink r:id="rId221" w:anchor="art1" w:history="1">
        <w:r w:rsidRPr="00C22FC1">
          <w:rPr>
            <w:rFonts w:ascii="Arial" w:eastAsia="Times New Roman" w:hAnsi="Arial" w:cs="Arial"/>
            <w:color w:val="0000FF"/>
            <w:kern w:val="0"/>
            <w:sz w:val="20"/>
            <w:szCs w:val="20"/>
            <w:u w:val="single"/>
            <w14:ligatures w14:val="none"/>
          </w:rPr>
          <w:t>(Redação dada pela Lei nº 14.537, de 2023)</w:t>
        </w:r>
      </w:hyperlink>
    </w:p>
    <w:p w14:paraId="0A772833" w14:textId="77777777" w:rsidR="00C22FC1" w:rsidRPr="00C22FC1" w:rsidRDefault="00C22FC1" w:rsidP="00C22FC1">
      <w:pPr>
        <w:spacing w:before="225" w:after="225"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- 6% (seis por cento), de 1º de janeiro de 2023 a 31 de dezembro de 2024;      </w:t>
      </w:r>
      <w:hyperlink r:id="rId222" w:anchor="art1" w:history="1">
        <w:r w:rsidRPr="00C22FC1">
          <w:rPr>
            <w:rFonts w:ascii="Arial" w:eastAsia="Times New Roman" w:hAnsi="Arial" w:cs="Arial"/>
            <w:color w:val="0000FF"/>
            <w:kern w:val="0"/>
            <w:sz w:val="20"/>
            <w:szCs w:val="20"/>
            <w:u w:val="single"/>
            <w14:ligatures w14:val="none"/>
          </w:rPr>
          <w:t>(Incluído pela Lei nº 14.537, de 2023)</w:t>
        </w:r>
      </w:hyperlink>
    </w:p>
    <w:p w14:paraId="184DEA59" w14:textId="77777777" w:rsidR="00C22FC1" w:rsidRPr="00C22FC1" w:rsidRDefault="00C22FC1" w:rsidP="00C22FC1">
      <w:pPr>
        <w:spacing w:before="225" w:after="225"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- 7% (sete por cento), de 1º de janeiro a 31 de dezembro de 2025;        </w:t>
      </w:r>
      <w:hyperlink r:id="rId223" w:anchor="art1" w:history="1">
        <w:r w:rsidRPr="00C22FC1">
          <w:rPr>
            <w:rFonts w:ascii="Arial" w:eastAsia="Times New Roman" w:hAnsi="Arial" w:cs="Arial"/>
            <w:color w:val="0000FF"/>
            <w:kern w:val="0"/>
            <w:sz w:val="20"/>
            <w:szCs w:val="20"/>
            <w:u w:val="single"/>
            <w14:ligatures w14:val="none"/>
          </w:rPr>
          <w:t>(Incluído pela Lei nº 14.537, de 2023)</w:t>
        </w:r>
      </w:hyperlink>
    </w:p>
    <w:p w14:paraId="00240631" w14:textId="77777777" w:rsidR="00C22FC1" w:rsidRPr="00C22FC1" w:rsidRDefault="00C22FC1" w:rsidP="00C22FC1">
      <w:pPr>
        <w:spacing w:before="225" w:after="225"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III - 8% (oito por cento), de 1º de janeiro a 31 de dezembro de 2026; e       </w:t>
      </w:r>
      <w:hyperlink r:id="rId224" w:anchor="art1" w:history="1">
        <w:r w:rsidRPr="00C22FC1">
          <w:rPr>
            <w:rFonts w:ascii="Arial" w:eastAsia="Times New Roman" w:hAnsi="Arial" w:cs="Arial"/>
            <w:color w:val="0000FF"/>
            <w:kern w:val="0"/>
            <w:sz w:val="20"/>
            <w:szCs w:val="20"/>
            <w:u w:val="single"/>
            <w14:ligatures w14:val="none"/>
          </w:rPr>
          <w:t>(Incluído pela Lei nº 14.537, de 2023)</w:t>
        </w:r>
      </w:hyperlink>
    </w:p>
    <w:p w14:paraId="010E3F93" w14:textId="77777777" w:rsidR="00C22FC1" w:rsidRPr="00C22FC1" w:rsidRDefault="00C22FC1" w:rsidP="00C22FC1">
      <w:pPr>
        <w:spacing w:before="225" w:after="225" w:line="240" w:lineRule="auto"/>
        <w:ind w:firstLine="570"/>
        <w:jc w:val="both"/>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IV - 9% (nove por cento), de 1º de janeiro a 31 de dezembro de 2027.       </w:t>
      </w:r>
      <w:hyperlink r:id="rId225" w:anchor="art1" w:history="1">
        <w:r w:rsidRPr="00C22FC1">
          <w:rPr>
            <w:rFonts w:ascii="Arial" w:eastAsia="Times New Roman" w:hAnsi="Arial" w:cs="Arial"/>
            <w:color w:val="0000FF"/>
            <w:kern w:val="0"/>
            <w:sz w:val="20"/>
            <w:szCs w:val="20"/>
            <w:u w:val="single"/>
            <w14:ligatures w14:val="none"/>
          </w:rPr>
          <w:t>(Incluído pela Lei nº 14.537, de 2023)</w:t>
        </w:r>
      </w:hyperlink>
    </w:p>
    <w:p w14:paraId="1AA99F9B" w14:textId="77777777" w:rsidR="00C22FC1" w:rsidRPr="00C22FC1" w:rsidRDefault="00C22FC1" w:rsidP="00C22FC1">
      <w:pPr>
        <w:spacing w:before="300" w:after="300" w:line="240" w:lineRule="auto"/>
        <w:ind w:firstLine="570"/>
        <w:rPr>
          <w:rFonts w:ascii="Arial" w:eastAsia="Times New Roman" w:hAnsi="Arial" w:cs="Arial"/>
          <w:color w:val="000000"/>
          <w:kern w:val="0"/>
          <w:sz w:val="20"/>
          <w:szCs w:val="20"/>
          <w14:ligatures w14:val="none"/>
        </w:rPr>
      </w:pPr>
      <w:bookmarkStart w:id="83" w:name="art60§1"/>
      <w:bookmarkEnd w:id="83"/>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limite global previsto no caput não se aplica em relação às operadoras e agências de viagem.       </w:t>
      </w:r>
      <w:hyperlink r:id="rId226" w:anchor="art19" w:history="1">
        <w:r w:rsidRPr="00C22FC1">
          <w:rPr>
            <w:rFonts w:ascii="Arial" w:eastAsia="Times New Roman" w:hAnsi="Arial" w:cs="Arial"/>
            <w:color w:val="0000FF"/>
            <w:kern w:val="0"/>
            <w:sz w:val="20"/>
            <w:szCs w:val="20"/>
            <w:u w:val="single"/>
            <w14:ligatures w14:val="none"/>
          </w:rPr>
          <w:t>(Redação dada pela Lei nº 12.844, de 2013)</w:t>
        </w:r>
      </w:hyperlink>
    </w:p>
    <w:p w14:paraId="785CBDCE" w14:textId="77777777" w:rsidR="00C22FC1" w:rsidRPr="00C22FC1" w:rsidRDefault="00C22FC1" w:rsidP="00C22FC1">
      <w:pPr>
        <w:spacing w:after="0" w:line="240" w:lineRule="auto"/>
        <w:ind w:firstLine="570"/>
        <w:rPr>
          <w:rFonts w:ascii="Arial" w:eastAsia="Times New Roman" w:hAnsi="Arial" w:cs="Arial"/>
          <w:color w:val="000000"/>
          <w:kern w:val="0"/>
          <w:sz w:val="20"/>
          <w:szCs w:val="20"/>
          <w14:ligatures w14:val="none"/>
        </w:rPr>
      </w:pPr>
      <w:bookmarkStart w:id="84" w:name="art60§2."/>
      <w:bookmarkEnd w:id="84"/>
      <w:r w:rsidRPr="00C22FC1">
        <w:rPr>
          <w:rFonts w:ascii="Arial" w:eastAsia="Times New Roman" w:hAnsi="Arial" w:cs="Arial"/>
          <w:strike/>
          <w:color w:val="000000"/>
          <w:kern w:val="0"/>
          <w:sz w:val="20"/>
          <w:szCs w:val="20"/>
          <w14:ligatures w14:val="none"/>
        </w:rPr>
        <w:t>§ 2</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Salvo se atendidas as condições previstas no art. 26, o disposto no caput não se aplica ao caso de beneficiário residente ou domiciliado em país ou dependência com tributação favorecida ou pessoa física ou jurídica submetida a regime fiscal privilegiado, de que tratam os </w:t>
      </w:r>
      <w:hyperlink r:id="rId227" w:anchor="art24" w:history="1">
        <w:r w:rsidRPr="00C22FC1">
          <w:rPr>
            <w:rFonts w:ascii="Arial" w:eastAsia="Times New Roman" w:hAnsi="Arial" w:cs="Arial"/>
            <w:strike/>
            <w:color w:val="0000FF"/>
            <w:kern w:val="0"/>
            <w:sz w:val="20"/>
            <w:szCs w:val="20"/>
            <w:u w:val="single"/>
            <w14:ligatures w14:val="none"/>
          </w:rPr>
          <w:t>arts. 24</w:t>
        </w:r>
      </w:hyperlink>
      <w:r w:rsidRPr="00C22FC1">
        <w:rPr>
          <w:rFonts w:ascii="Arial" w:eastAsia="Times New Roman" w:hAnsi="Arial" w:cs="Arial"/>
          <w:strike/>
          <w:color w:val="000000"/>
          <w:kern w:val="0"/>
          <w:sz w:val="20"/>
          <w:szCs w:val="20"/>
          <w14:ligatures w14:val="none"/>
        </w:rPr>
        <w:t> e </w:t>
      </w:r>
      <w:hyperlink r:id="rId228" w:anchor="art24a" w:history="1">
        <w:r w:rsidRPr="00C22FC1">
          <w:rPr>
            <w:rFonts w:ascii="Arial" w:eastAsia="Times New Roman" w:hAnsi="Arial" w:cs="Arial"/>
            <w:strike/>
            <w:color w:val="0000FF"/>
            <w:kern w:val="0"/>
            <w:sz w:val="20"/>
            <w:szCs w:val="20"/>
            <w:u w:val="single"/>
            <w14:ligatures w14:val="none"/>
          </w:rPr>
          <w:t>24-A da Lei no 9.430, de 27 de dezembro de 1996</w:t>
        </w:r>
      </w:hyperlink>
      <w:r w:rsidRPr="00C22FC1">
        <w:rPr>
          <w:rFonts w:ascii="Arial" w:eastAsia="Times New Roman" w:hAnsi="Arial" w:cs="Arial"/>
          <w:strike/>
          <w:color w:val="000000"/>
          <w:kern w:val="0"/>
          <w:sz w:val="20"/>
          <w:szCs w:val="20"/>
          <w14:ligatures w14:val="none"/>
        </w:rPr>
        <w:t>.    </w:t>
      </w:r>
      <w:hyperlink r:id="rId229" w:anchor="art19" w:history="1">
        <w:r w:rsidRPr="00C22FC1">
          <w:rPr>
            <w:rFonts w:ascii="Arial" w:eastAsia="Times New Roman" w:hAnsi="Arial" w:cs="Arial"/>
            <w:strike/>
            <w:color w:val="0000FF"/>
            <w:kern w:val="0"/>
            <w:sz w:val="20"/>
            <w:szCs w:val="20"/>
            <w:u w:val="single"/>
            <w14:ligatures w14:val="none"/>
          </w:rPr>
          <w:t>(Redação dada pela Lei nº 12.844, de 2013)</w:t>
        </w:r>
      </w:hyperlink>
    </w:p>
    <w:p w14:paraId="18EA8BB6" w14:textId="77777777" w:rsidR="00C22FC1" w:rsidRPr="00C22FC1" w:rsidRDefault="00C22FC1" w:rsidP="00C22FC1">
      <w:pPr>
        <w:spacing w:after="0" w:line="240" w:lineRule="auto"/>
        <w:ind w:firstLine="570"/>
        <w:rPr>
          <w:rFonts w:ascii="Arial" w:eastAsia="Times New Roman" w:hAnsi="Arial" w:cs="Arial"/>
          <w:color w:val="000000"/>
          <w:kern w:val="0"/>
          <w:sz w:val="20"/>
          <w:szCs w:val="20"/>
          <w14:ligatures w14:val="none"/>
        </w:rPr>
      </w:pPr>
      <w:bookmarkStart w:id="85" w:name="art60§2.."/>
      <w:bookmarkEnd w:id="85"/>
      <w:r w:rsidRPr="00C22FC1">
        <w:rPr>
          <w:rFonts w:ascii="Arial" w:eastAsia="Times New Roman" w:hAnsi="Arial" w:cs="Arial"/>
          <w:strike/>
          <w:color w:val="000000"/>
          <w:kern w:val="0"/>
          <w:sz w:val="20"/>
          <w:szCs w:val="20"/>
          <w:lang w:val="pt-PT"/>
          <w14:ligatures w14:val="none"/>
        </w:rPr>
        <w:t>§ 2º  Salvo se atendidas as condições previstas no art. 26, a redução da alíquota prevista no </w:t>
      </w:r>
      <w:r w:rsidRPr="00C22FC1">
        <w:rPr>
          <w:rFonts w:ascii="Arial" w:eastAsia="Times New Roman" w:hAnsi="Arial" w:cs="Arial"/>
          <w:b/>
          <w:bCs/>
          <w:strike/>
          <w:color w:val="000000"/>
          <w:kern w:val="0"/>
          <w:sz w:val="20"/>
          <w:szCs w:val="20"/>
          <w:lang w:val="pt-PT"/>
          <w14:ligatures w14:val="none"/>
        </w:rPr>
        <w:t>caput</w:t>
      </w:r>
      <w:r w:rsidRPr="00C22FC1">
        <w:rPr>
          <w:rFonts w:ascii="Arial" w:eastAsia="Times New Roman" w:hAnsi="Arial" w:cs="Arial"/>
          <w:strike/>
          <w:color w:val="000000"/>
          <w:kern w:val="0"/>
          <w:sz w:val="20"/>
          <w:szCs w:val="20"/>
          <w:lang w:val="pt-PT"/>
          <w14:ligatures w14:val="none"/>
        </w:rPr>
        <w:t> não se aplica ao caso de beneficiário residente ou domiciliado em país ou dependência com tributação favorecida ou de pessoa física ou jurídica submetida a regime fiscal privilegiado, de que tratam os </w:t>
      </w:r>
      <w:hyperlink r:id="rId230" w:anchor="art24" w:history="1">
        <w:r w:rsidRPr="00C22FC1">
          <w:rPr>
            <w:rFonts w:ascii="Arial" w:eastAsia="Times New Roman" w:hAnsi="Arial" w:cs="Arial"/>
            <w:strike/>
            <w:color w:val="0000FF"/>
            <w:kern w:val="0"/>
            <w:sz w:val="20"/>
            <w:szCs w:val="20"/>
            <w:u w:val="single"/>
            <w14:ligatures w14:val="none"/>
          </w:rPr>
          <w:t>arts. 24</w:t>
        </w:r>
      </w:hyperlink>
      <w:r w:rsidRPr="00C22FC1">
        <w:rPr>
          <w:rFonts w:ascii="Arial" w:eastAsia="Times New Roman" w:hAnsi="Arial" w:cs="Arial"/>
          <w:strike/>
          <w:color w:val="000000"/>
          <w:kern w:val="0"/>
          <w:sz w:val="20"/>
          <w:szCs w:val="20"/>
          <w:lang w:val="pt-PT"/>
          <w14:ligatures w14:val="none"/>
        </w:rPr>
        <w:t> e </w:t>
      </w:r>
      <w:hyperlink r:id="rId231" w:anchor="art24a" w:history="1">
        <w:r w:rsidRPr="00C22FC1">
          <w:rPr>
            <w:rFonts w:ascii="Arial" w:eastAsia="Times New Roman" w:hAnsi="Arial" w:cs="Arial"/>
            <w:strike/>
            <w:color w:val="0000FF"/>
            <w:kern w:val="0"/>
            <w:sz w:val="20"/>
            <w:szCs w:val="20"/>
            <w:u w:val="single"/>
            <w14:ligatures w14:val="none"/>
          </w:rPr>
          <w:t>24-A da Lei nº 9.430, de 1996</w:t>
        </w:r>
      </w:hyperlink>
      <w:r w:rsidRPr="00C22FC1">
        <w:rPr>
          <w:rFonts w:ascii="Arial" w:eastAsia="Times New Roman" w:hAnsi="Arial" w:cs="Arial"/>
          <w:strike/>
          <w:color w:val="000000"/>
          <w:kern w:val="0"/>
          <w:sz w:val="20"/>
          <w:szCs w:val="20"/>
          <w:lang w:val="pt-PT"/>
          <w14:ligatures w14:val="none"/>
        </w:rPr>
        <w:t>.     </w:t>
      </w:r>
      <w:hyperlink r:id="rId232" w:anchor="art1" w:history="1">
        <w:r w:rsidRPr="00C22FC1">
          <w:rPr>
            <w:rFonts w:ascii="Arial" w:eastAsia="Times New Roman" w:hAnsi="Arial" w:cs="Arial"/>
            <w:strike/>
            <w:color w:val="0000FF"/>
            <w:kern w:val="0"/>
            <w:sz w:val="20"/>
            <w:szCs w:val="20"/>
            <w:u w:val="single"/>
            <w:lang w:val="pt-PT"/>
            <w14:ligatures w14:val="none"/>
          </w:rPr>
          <w:t>(Redação dada pela Medida Provisória nº 713, de 2016)</w:t>
        </w:r>
      </w:hyperlink>
    </w:p>
    <w:p w14:paraId="78FE92F7" w14:textId="77777777" w:rsidR="00C22FC1" w:rsidRPr="00C22FC1" w:rsidRDefault="00C22FC1" w:rsidP="00C22FC1">
      <w:pPr>
        <w:spacing w:before="300" w:after="300" w:line="240" w:lineRule="auto"/>
        <w:ind w:firstLine="570"/>
        <w:rPr>
          <w:rFonts w:ascii="Arial" w:eastAsia="Times New Roman" w:hAnsi="Arial" w:cs="Arial"/>
          <w:color w:val="000000"/>
          <w:kern w:val="0"/>
          <w:sz w:val="20"/>
          <w:szCs w:val="20"/>
          <w14:ligatures w14:val="none"/>
        </w:rPr>
      </w:pPr>
      <w:bookmarkStart w:id="86" w:name="art60§2..."/>
      <w:bookmarkEnd w:id="86"/>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lang w:val="pt-PT"/>
          <w14:ligatures w14:val="none"/>
        </w:rPr>
        <w:t>  Salvo se atendidas as condições previstas no art. 26, a redução da alíquota prevista no </w:t>
      </w:r>
      <w:r w:rsidRPr="00C22FC1">
        <w:rPr>
          <w:rFonts w:ascii="Arial" w:eastAsia="Times New Roman" w:hAnsi="Arial" w:cs="Arial"/>
          <w:b/>
          <w:bCs/>
          <w:color w:val="000000"/>
          <w:kern w:val="0"/>
          <w:sz w:val="20"/>
          <w:szCs w:val="20"/>
          <w:lang w:val="pt-PT"/>
          <w14:ligatures w14:val="none"/>
        </w:rPr>
        <w:t>caput</w:t>
      </w:r>
      <w:r w:rsidRPr="00C22FC1">
        <w:rPr>
          <w:rFonts w:ascii="Arial" w:eastAsia="Times New Roman" w:hAnsi="Arial" w:cs="Arial"/>
          <w:color w:val="000000"/>
          <w:kern w:val="0"/>
          <w:sz w:val="20"/>
          <w:szCs w:val="20"/>
          <w:lang w:val="pt-PT"/>
          <w14:ligatures w14:val="none"/>
        </w:rPr>
        <w:t> não se aplica ao caso de beneficiário residente ou domiciliado em país ou dependência com tributação favorecida ou de pessoa física ou jurídica submetida a regime fiscal privilegiado, de que tratam os </w:t>
      </w:r>
      <w:hyperlink r:id="rId233" w:anchor="art24" w:history="1">
        <w:r w:rsidRPr="00C22FC1">
          <w:rPr>
            <w:rFonts w:ascii="Arial" w:eastAsia="Times New Roman" w:hAnsi="Arial" w:cs="Arial"/>
            <w:color w:val="0000FF"/>
            <w:kern w:val="0"/>
            <w:sz w:val="20"/>
            <w:szCs w:val="20"/>
            <w:u w:val="single"/>
            <w:lang w:val="pt-PT"/>
            <w14:ligatures w14:val="none"/>
          </w:rPr>
          <w:t>arts. 24</w:t>
        </w:r>
      </w:hyperlink>
      <w:r w:rsidRPr="00C22FC1">
        <w:rPr>
          <w:rFonts w:ascii="Arial" w:eastAsia="Times New Roman" w:hAnsi="Arial" w:cs="Arial"/>
          <w:color w:val="000000"/>
          <w:kern w:val="0"/>
          <w:sz w:val="20"/>
          <w:szCs w:val="20"/>
          <w:lang w:val="pt-PT"/>
          <w14:ligatures w14:val="none"/>
        </w:rPr>
        <w:t> e </w:t>
      </w:r>
      <w:hyperlink r:id="rId234" w:anchor="art24a" w:history="1">
        <w:r w:rsidRPr="00C22FC1">
          <w:rPr>
            <w:rFonts w:ascii="Arial" w:eastAsia="Times New Roman" w:hAnsi="Arial" w:cs="Arial"/>
            <w:color w:val="0000FF"/>
            <w:kern w:val="0"/>
            <w:sz w:val="20"/>
            <w:szCs w:val="20"/>
            <w:u w:val="single"/>
            <w:lang w:val="pt-PT"/>
            <w14:ligatures w14:val="none"/>
          </w:rPr>
          <w:t>24-A da Lei n</w:t>
        </w:r>
        <w:r w:rsidRPr="00C22FC1">
          <w:rPr>
            <w:rFonts w:ascii="Arial" w:eastAsia="Times New Roman" w:hAnsi="Arial" w:cs="Arial"/>
            <w:color w:val="0000FF"/>
            <w:kern w:val="0"/>
            <w:sz w:val="20"/>
            <w:szCs w:val="20"/>
            <w:u w:val="single"/>
            <w:vertAlign w:val="superscript"/>
            <w:lang w:val="pt-PT"/>
            <w14:ligatures w14:val="none"/>
          </w:rPr>
          <w:t>o</w:t>
        </w:r>
        <w:r w:rsidRPr="00C22FC1">
          <w:rPr>
            <w:rFonts w:ascii="Arial" w:eastAsia="Times New Roman" w:hAnsi="Arial" w:cs="Arial"/>
            <w:color w:val="0000FF"/>
            <w:kern w:val="0"/>
            <w:sz w:val="20"/>
            <w:szCs w:val="20"/>
            <w:u w:val="single"/>
            <w:lang w:val="pt-PT"/>
            <w14:ligatures w14:val="none"/>
          </w:rPr>
          <w:t> 9.430, de 27 de dezembro de 1996</w:t>
        </w:r>
      </w:hyperlink>
      <w:r w:rsidRPr="00C22FC1">
        <w:rPr>
          <w:rFonts w:ascii="Arial" w:eastAsia="Times New Roman" w:hAnsi="Arial" w:cs="Arial"/>
          <w:color w:val="000000"/>
          <w:kern w:val="0"/>
          <w:sz w:val="20"/>
          <w:szCs w:val="20"/>
          <w:lang w:val="pt-PT"/>
          <w14:ligatures w14:val="none"/>
        </w:rPr>
        <w:t>.      </w:t>
      </w:r>
      <w:hyperlink r:id="rId235" w:anchor="art1" w:history="1">
        <w:r w:rsidRPr="00C22FC1">
          <w:rPr>
            <w:rFonts w:ascii="Arial" w:eastAsia="Times New Roman" w:hAnsi="Arial" w:cs="Arial"/>
            <w:color w:val="0000FF"/>
            <w:kern w:val="0"/>
            <w:sz w:val="20"/>
            <w:szCs w:val="20"/>
            <w:u w:val="single"/>
            <w14:ligatures w14:val="none"/>
          </w:rPr>
          <w:t>(Redação dada pela Lei nº 13.315, de 2016)</w:t>
        </w:r>
      </w:hyperlink>
    </w:p>
    <w:p w14:paraId="5959035E" w14:textId="77777777" w:rsidR="00C22FC1" w:rsidRPr="00C22FC1" w:rsidRDefault="00C22FC1" w:rsidP="00C22FC1">
      <w:pPr>
        <w:spacing w:after="0" w:line="240" w:lineRule="auto"/>
        <w:ind w:firstLine="570"/>
        <w:rPr>
          <w:rFonts w:ascii="Arial" w:eastAsia="Times New Roman" w:hAnsi="Arial" w:cs="Arial"/>
          <w:color w:val="000000"/>
          <w:kern w:val="0"/>
          <w:sz w:val="20"/>
          <w:szCs w:val="20"/>
          <w14:ligatures w14:val="none"/>
        </w:rPr>
      </w:pPr>
      <w:bookmarkStart w:id="87" w:name="art60§3"/>
      <w:bookmarkEnd w:id="87"/>
      <w:r w:rsidRPr="00C22FC1">
        <w:rPr>
          <w:rFonts w:ascii="Arial" w:eastAsia="Times New Roman" w:hAnsi="Arial" w:cs="Arial"/>
          <w:strike/>
          <w:color w:val="000000"/>
          <w:kern w:val="0"/>
          <w:sz w:val="20"/>
          <w:szCs w:val="20"/>
          <w14:ligatures w14:val="none"/>
        </w:rPr>
        <w:t>§ 3</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As operadoras e agências de viagem, na hipótese de cumprimento da ressalva constante do § 2</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sujeitam-se ao limite de R$ 10.000,00 (dez mil reais) ao mês por passageiro, obedecida a regulamentação do Poder Executivo, quanto a limites, quantidade de passageiros e condições para utilização da isenção, conforme o tipo de gasto custeado.     </w:t>
      </w:r>
      <w:hyperlink r:id="rId236" w:anchor="art19" w:history="1">
        <w:r w:rsidRPr="00C22FC1">
          <w:rPr>
            <w:rFonts w:ascii="Arial" w:eastAsia="Times New Roman" w:hAnsi="Arial" w:cs="Arial"/>
            <w:strike/>
            <w:color w:val="0000FF"/>
            <w:kern w:val="0"/>
            <w:sz w:val="20"/>
            <w:szCs w:val="20"/>
            <w:u w:val="single"/>
            <w14:ligatures w14:val="none"/>
          </w:rPr>
          <w:t>(Redação dada pela Lei nº 12.844, de 2013)</w:t>
        </w:r>
      </w:hyperlink>
    </w:p>
    <w:p w14:paraId="46E30DE1" w14:textId="77777777" w:rsidR="00C22FC1" w:rsidRPr="00C22FC1" w:rsidRDefault="00C22FC1" w:rsidP="00C22FC1">
      <w:pPr>
        <w:spacing w:after="0" w:line="240" w:lineRule="auto"/>
        <w:ind w:firstLine="570"/>
        <w:rPr>
          <w:rFonts w:ascii="Arial" w:eastAsia="Times New Roman" w:hAnsi="Arial" w:cs="Arial"/>
          <w:color w:val="000000"/>
          <w:kern w:val="0"/>
          <w:sz w:val="20"/>
          <w:szCs w:val="20"/>
          <w14:ligatures w14:val="none"/>
        </w:rPr>
      </w:pPr>
      <w:bookmarkStart w:id="88" w:name="art60§3."/>
      <w:bookmarkEnd w:id="88"/>
      <w:r w:rsidRPr="00C22FC1">
        <w:rPr>
          <w:rFonts w:ascii="Arial" w:eastAsia="Times New Roman" w:hAnsi="Arial" w:cs="Arial"/>
          <w:strike/>
          <w:color w:val="000000"/>
          <w:kern w:val="0"/>
          <w:sz w:val="20"/>
          <w:szCs w:val="20"/>
          <w:lang w:val="pt-PT"/>
          <w14:ligatures w14:val="none"/>
        </w:rPr>
        <w:t>§ 3º  As operadoras e agências de viagem, na hipótese de cumprimento da ressalva constante do § 2º, sujeitam-se ao limite de R$ 10.000,00 (dez mil reais) ao mês por passageiro, obedecida a regulamentação do Poder Executivo quanto a limites, quantidade de passageiros e condições para utilização da redução, conforme o tipo de gasto custeado.      </w:t>
      </w:r>
      <w:hyperlink r:id="rId237" w:anchor="art1" w:history="1">
        <w:r w:rsidRPr="00C22FC1">
          <w:rPr>
            <w:rFonts w:ascii="Arial" w:eastAsia="Times New Roman" w:hAnsi="Arial" w:cs="Arial"/>
            <w:strike/>
            <w:color w:val="0000FF"/>
            <w:kern w:val="0"/>
            <w:sz w:val="20"/>
            <w:szCs w:val="20"/>
            <w:u w:val="single"/>
            <w:lang w:val="pt-PT"/>
            <w14:ligatures w14:val="none"/>
          </w:rPr>
          <w:t>(Redação dada pela Medida Provisória nº 713, de 2016)</w:t>
        </w:r>
      </w:hyperlink>
    </w:p>
    <w:p w14:paraId="0F985DB0" w14:textId="77777777" w:rsidR="00C22FC1" w:rsidRPr="00C22FC1" w:rsidRDefault="00C22FC1" w:rsidP="00C22FC1">
      <w:pPr>
        <w:spacing w:before="300" w:after="300" w:line="240" w:lineRule="auto"/>
        <w:ind w:firstLine="570"/>
        <w:rPr>
          <w:rFonts w:ascii="Arial" w:eastAsia="Times New Roman" w:hAnsi="Arial" w:cs="Arial"/>
          <w:color w:val="000000"/>
          <w:kern w:val="0"/>
          <w:sz w:val="20"/>
          <w:szCs w:val="20"/>
          <w14:ligatures w14:val="none"/>
        </w:rPr>
      </w:pPr>
      <w:bookmarkStart w:id="89" w:name="art60§3.."/>
      <w:bookmarkEnd w:id="89"/>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lang w:val="pt-PT"/>
          <w14:ligatures w14:val="none"/>
        </w:rPr>
        <w:t>  As operadoras e agências de viagem, na hipótese de cumprimento da ressalva constante do § 2</w:t>
      </w:r>
      <w:r w:rsidRPr="00C22FC1">
        <w:rPr>
          <w:rFonts w:ascii="Arial" w:eastAsia="Times New Roman" w:hAnsi="Arial" w:cs="Arial"/>
          <w:color w:val="000000"/>
          <w:kern w:val="0"/>
          <w:sz w:val="20"/>
          <w:szCs w:val="20"/>
          <w:u w:val="single"/>
          <w:vertAlign w:val="superscript"/>
          <w:lang w:val="pt-PT"/>
          <w14:ligatures w14:val="none"/>
        </w:rPr>
        <w:t>o</w:t>
      </w:r>
      <w:r w:rsidRPr="00C22FC1">
        <w:rPr>
          <w:rFonts w:ascii="Arial" w:eastAsia="Times New Roman" w:hAnsi="Arial" w:cs="Arial"/>
          <w:color w:val="000000"/>
          <w:kern w:val="0"/>
          <w:sz w:val="20"/>
          <w:szCs w:val="20"/>
          <w:lang w:val="pt-PT"/>
          <w14:ligatures w14:val="none"/>
        </w:rPr>
        <w:t>, sujeitam-se ao limite de R$ 10.000,00 (dez mil reais) ao mês por passageiro, obedecida a regulamentação do Poder Executivo quanto a limites, quantidade de passageiros e condições para utilização da redução, conforme o tipo de gasto custeado.     </w:t>
      </w:r>
      <w:hyperlink r:id="rId238" w:anchor="art1" w:history="1">
        <w:r w:rsidRPr="00C22FC1">
          <w:rPr>
            <w:rFonts w:ascii="Arial" w:eastAsia="Times New Roman" w:hAnsi="Arial" w:cs="Arial"/>
            <w:color w:val="0000FF"/>
            <w:kern w:val="0"/>
            <w:sz w:val="20"/>
            <w:szCs w:val="20"/>
            <w:u w:val="single"/>
            <w14:ligatures w14:val="none"/>
          </w:rPr>
          <w:t>(Redação dada pela Lei nº 13.315, de 2016)</w:t>
        </w:r>
      </w:hyperlink>
    </w:p>
    <w:p w14:paraId="634EE075" w14:textId="77777777" w:rsidR="00C22FC1" w:rsidRPr="00C22FC1" w:rsidRDefault="00C22FC1" w:rsidP="00C22FC1">
      <w:pPr>
        <w:spacing w:after="0" w:line="240" w:lineRule="auto"/>
        <w:ind w:firstLine="570"/>
        <w:rPr>
          <w:rFonts w:ascii="Arial" w:eastAsia="Times New Roman" w:hAnsi="Arial" w:cs="Arial"/>
          <w:color w:val="000000"/>
          <w:kern w:val="0"/>
          <w:sz w:val="20"/>
          <w:szCs w:val="20"/>
          <w14:ligatures w14:val="none"/>
        </w:rPr>
      </w:pPr>
      <w:bookmarkStart w:id="90" w:name="art60§4"/>
      <w:bookmarkEnd w:id="90"/>
      <w:r w:rsidRPr="00C22FC1">
        <w:rPr>
          <w:rFonts w:ascii="Arial" w:eastAsia="Times New Roman" w:hAnsi="Arial" w:cs="Arial"/>
          <w:strike/>
          <w:color w:val="000000"/>
          <w:kern w:val="0"/>
          <w:sz w:val="20"/>
          <w:szCs w:val="20"/>
          <w14:ligatures w14:val="none"/>
        </w:rPr>
        <w:t>§ 4</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Para fins de cumprimento das condições de isenção de que trata este artigo, as operadoras e agências de viagem deverão ser cadastradas no Ministério do Turismo e suas operações devem ser realizadas por intermédio de instituição financeira domiciliada no País.                    </w:t>
      </w:r>
      <w:hyperlink r:id="rId239" w:anchor="art19" w:history="1">
        <w:r w:rsidRPr="00C22FC1">
          <w:rPr>
            <w:rFonts w:ascii="Arial" w:eastAsia="Times New Roman" w:hAnsi="Arial" w:cs="Arial"/>
            <w:strike/>
            <w:color w:val="0000FF"/>
            <w:kern w:val="0"/>
            <w:sz w:val="20"/>
            <w:szCs w:val="20"/>
            <w:u w:val="single"/>
            <w14:ligatures w14:val="none"/>
          </w:rPr>
          <w:t>(Redação dada pela Lei nº 12.844, de 2013)</w:t>
        </w:r>
      </w:hyperlink>
    </w:p>
    <w:p w14:paraId="6405D932" w14:textId="77777777" w:rsidR="00C22FC1" w:rsidRPr="00C22FC1" w:rsidRDefault="00C22FC1" w:rsidP="00C22FC1">
      <w:pPr>
        <w:spacing w:after="300" w:line="240" w:lineRule="auto"/>
        <w:ind w:firstLine="570"/>
        <w:rPr>
          <w:rFonts w:ascii="Arial" w:eastAsia="Times New Roman" w:hAnsi="Arial" w:cs="Arial"/>
          <w:color w:val="000000"/>
          <w:kern w:val="0"/>
          <w:sz w:val="20"/>
          <w:szCs w:val="20"/>
          <w14:ligatures w14:val="none"/>
        </w:rPr>
      </w:pPr>
      <w:bookmarkStart w:id="91" w:name="art60§4."/>
      <w:bookmarkEnd w:id="91"/>
      <w:r w:rsidRPr="00C22FC1">
        <w:rPr>
          <w:rFonts w:ascii="Arial" w:eastAsia="Times New Roman" w:hAnsi="Arial" w:cs="Arial"/>
          <w:strike/>
          <w:color w:val="000000"/>
          <w:kern w:val="0"/>
          <w:sz w:val="20"/>
          <w:szCs w:val="20"/>
          <w:lang w:val="pt-PT"/>
          <w14:ligatures w14:val="none"/>
        </w:rPr>
        <w:t>§ 4º  Para fins de cumprimento das condições para utilização da alíquota reduzida de que trata este artigo, as operadoras e agências de viagem deverão ser cadastradas no Ministério do Turismo e suas operações deverão ser realizadas por intermédio de instituição financeira domiciliada no País.    </w:t>
      </w:r>
      <w:hyperlink r:id="rId240" w:anchor="art1" w:history="1">
        <w:r w:rsidRPr="00C22FC1">
          <w:rPr>
            <w:rFonts w:ascii="Arial" w:eastAsia="Times New Roman" w:hAnsi="Arial" w:cs="Arial"/>
            <w:strike/>
            <w:color w:val="0000FF"/>
            <w:kern w:val="0"/>
            <w:sz w:val="20"/>
            <w:szCs w:val="20"/>
            <w:u w:val="single"/>
            <w:lang w:val="pt-PT"/>
            <w14:ligatures w14:val="none"/>
          </w:rPr>
          <w:t>(Redação dada pela Medida Provisória nº 713, de 2016)</w:t>
        </w:r>
      </w:hyperlink>
    </w:p>
    <w:p w14:paraId="4F6A3432" w14:textId="77777777" w:rsidR="00C22FC1" w:rsidRPr="00C22FC1" w:rsidRDefault="00C22FC1" w:rsidP="00C22FC1">
      <w:pPr>
        <w:spacing w:after="0" w:line="240" w:lineRule="auto"/>
        <w:ind w:firstLine="570"/>
        <w:rPr>
          <w:rFonts w:ascii="Arial" w:eastAsia="Times New Roman" w:hAnsi="Arial" w:cs="Arial"/>
          <w:color w:val="000000"/>
          <w:kern w:val="0"/>
          <w:sz w:val="20"/>
          <w:szCs w:val="20"/>
          <w14:ligatures w14:val="none"/>
        </w:rPr>
      </w:pPr>
      <w:bookmarkStart w:id="92" w:name="art60§4.."/>
      <w:bookmarkEnd w:id="92"/>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lang w:val="pt-PT"/>
          <w14:ligatures w14:val="none"/>
        </w:rPr>
        <w:t>  Para fins de cumprimento das condições para utilização da alíquota reduzida de que trata este artigo, as operadoras e agências de viagem deverão ser </w:t>
      </w:r>
      <w:r w:rsidRPr="00C22FC1">
        <w:rPr>
          <w:rFonts w:ascii="Arial" w:eastAsia="Times New Roman" w:hAnsi="Arial" w:cs="Arial"/>
          <w:color w:val="000000"/>
          <w:kern w:val="0"/>
          <w:sz w:val="20"/>
          <w:szCs w:val="20"/>
          <w14:ligatures w14:val="none"/>
        </w:rPr>
        <w:t>cadastradas</w:t>
      </w:r>
      <w:r w:rsidRPr="00C22FC1">
        <w:rPr>
          <w:rFonts w:ascii="Arial" w:eastAsia="Times New Roman" w:hAnsi="Arial" w:cs="Arial"/>
          <w:color w:val="000000"/>
          <w:kern w:val="0"/>
          <w:sz w:val="20"/>
          <w:szCs w:val="20"/>
          <w:lang w:val="pt-PT"/>
          <w14:ligatures w14:val="none"/>
        </w:rPr>
        <w:t> no Ministério do Turismo, e suas operações deverão ser realizadas por intermédio de instituição financeira domiciliada no País.      </w:t>
      </w:r>
      <w:hyperlink r:id="rId241" w:anchor="art1" w:history="1">
        <w:r w:rsidRPr="00C22FC1">
          <w:rPr>
            <w:rFonts w:ascii="Arial" w:eastAsia="Times New Roman" w:hAnsi="Arial" w:cs="Arial"/>
            <w:color w:val="0000FF"/>
            <w:kern w:val="0"/>
            <w:sz w:val="20"/>
            <w:szCs w:val="20"/>
            <w:u w:val="single"/>
            <w14:ligatures w14:val="none"/>
          </w:rPr>
          <w:t>(Redação dada pela Lei nº 13.315, de 2016)</w:t>
        </w:r>
      </w:hyperlink>
    </w:p>
    <w:p w14:paraId="3861449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93" w:name="art61"/>
      <w:bookmarkEnd w:id="93"/>
      <w:r w:rsidRPr="00C22FC1">
        <w:rPr>
          <w:rFonts w:ascii="Arial" w:eastAsia="Times New Roman" w:hAnsi="Arial" w:cs="Arial"/>
          <w:color w:val="000000"/>
          <w:kern w:val="0"/>
          <w:sz w:val="20"/>
          <w:szCs w:val="20"/>
          <w14:ligatures w14:val="none"/>
        </w:rPr>
        <w:lastRenderedPageBreak/>
        <w:t>Art. 61.  Os atos concessórios de drawback cujos prazos máximos tenham sido prorrogados nos termos do </w:t>
      </w:r>
      <w:hyperlink r:id="rId242" w:anchor="art4" w:history="1">
        <w:r w:rsidRPr="00C22FC1">
          <w:rPr>
            <w:rFonts w:ascii="Arial" w:eastAsia="Times New Roman" w:hAnsi="Arial" w:cs="Arial"/>
            <w:color w:val="0000FF"/>
            <w:kern w:val="0"/>
            <w:sz w:val="20"/>
            <w:szCs w:val="20"/>
            <w:u w:val="single"/>
            <w14:ligatures w14:val="none"/>
          </w:rPr>
          <w:t>art. 4</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do Decreto-Lei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1.722, de 3 de dezembro de 1979</w:t>
        </w:r>
      </w:hyperlink>
      <w:r w:rsidRPr="00C22FC1">
        <w:rPr>
          <w:rFonts w:ascii="Arial" w:eastAsia="Times New Roman" w:hAnsi="Arial" w:cs="Arial"/>
          <w:color w:val="000000"/>
          <w:kern w:val="0"/>
          <w:sz w:val="20"/>
          <w:szCs w:val="20"/>
          <w14:ligatures w14:val="none"/>
        </w:rPr>
        <w:t>, com vencimento em 2010, ou nos termos do </w:t>
      </w:r>
      <w:hyperlink r:id="rId243" w:anchor="art13" w:history="1">
        <w:r w:rsidRPr="00C22FC1">
          <w:rPr>
            <w:rFonts w:ascii="Arial" w:eastAsia="Times New Roman" w:hAnsi="Arial" w:cs="Arial"/>
            <w:color w:val="0000FF"/>
            <w:kern w:val="0"/>
            <w:sz w:val="20"/>
            <w:szCs w:val="20"/>
            <w:u w:val="single"/>
            <w14:ligatures w14:val="none"/>
          </w:rPr>
          <w:t>art. 13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11.945, de 4 de junho de 2009</w:t>
        </w:r>
      </w:hyperlink>
      <w:r w:rsidRPr="00C22FC1">
        <w:rPr>
          <w:rFonts w:ascii="Arial" w:eastAsia="Times New Roman" w:hAnsi="Arial" w:cs="Arial"/>
          <w:color w:val="000000"/>
          <w:kern w:val="0"/>
          <w:sz w:val="20"/>
          <w:szCs w:val="20"/>
          <w14:ligatures w14:val="none"/>
        </w:rPr>
        <w:t>, poderão, em caráter excepcional, ser objeto de nova prorrogação por período de 1 (um) ano.                </w:t>
      </w:r>
      <w:hyperlink r:id="rId244" w:anchor="art8" w:history="1">
        <w:r w:rsidRPr="00C22FC1">
          <w:rPr>
            <w:rFonts w:ascii="Arial" w:eastAsia="Times New Roman" w:hAnsi="Arial" w:cs="Arial"/>
            <w:color w:val="0000FF"/>
            <w:kern w:val="0"/>
            <w:sz w:val="20"/>
            <w:szCs w:val="20"/>
            <w:u w:val="single"/>
            <w14:ligatures w14:val="none"/>
          </w:rPr>
          <w:t>(Vide Lei nº 12.453, de 2011)</w:t>
        </w:r>
      </w:hyperlink>
      <w:r w:rsidRPr="00C22FC1">
        <w:rPr>
          <w:rFonts w:ascii="Arial" w:eastAsia="Times New Roman" w:hAnsi="Arial" w:cs="Arial"/>
          <w:color w:val="000000"/>
          <w:kern w:val="0"/>
          <w:sz w:val="15"/>
          <w:szCs w:val="15"/>
          <w14:ligatures w14:val="none"/>
        </w:rPr>
        <w:t>                </w:t>
      </w:r>
      <w:hyperlink r:id="rId245" w:anchor="art20p" w:history="1">
        <w:r w:rsidRPr="00C22FC1">
          <w:rPr>
            <w:rFonts w:ascii="Arial" w:eastAsia="Times New Roman" w:hAnsi="Arial" w:cs="Arial"/>
            <w:color w:val="0000FF"/>
            <w:kern w:val="0"/>
            <w:sz w:val="20"/>
            <w:szCs w:val="20"/>
            <w:u w:val="single"/>
            <w14:ligatures w14:val="none"/>
          </w:rPr>
          <w:t>(Vide Lei nº 12.872, de 2013)</w:t>
        </w:r>
      </w:hyperlink>
      <w:r w:rsidRPr="00C22FC1">
        <w:rPr>
          <w:rFonts w:ascii="Arial" w:eastAsia="Times New Roman" w:hAnsi="Arial" w:cs="Arial"/>
          <w:color w:val="000000"/>
          <w:kern w:val="0"/>
          <w:sz w:val="20"/>
          <w:szCs w:val="20"/>
          <w14:ligatures w14:val="none"/>
        </w:rPr>
        <w:t>             </w:t>
      </w:r>
      <w:hyperlink r:id="rId246" w:anchor="art16" w:history="1">
        <w:r w:rsidRPr="00C22FC1">
          <w:rPr>
            <w:rFonts w:ascii="Arial" w:eastAsia="Times New Roman" w:hAnsi="Arial" w:cs="Arial"/>
            <w:color w:val="0000FF"/>
            <w:kern w:val="0"/>
            <w:sz w:val="20"/>
            <w:szCs w:val="20"/>
            <w:u w:val="single"/>
            <w14:ligatures w14:val="none"/>
          </w:rPr>
          <w:t>(Vide Lei nº 12.995, de 2014)</w:t>
        </w:r>
      </w:hyperlink>
    </w:p>
    <w:p w14:paraId="0692552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94" w:name="art62"/>
      <w:bookmarkEnd w:id="94"/>
      <w:r w:rsidRPr="00C22FC1">
        <w:rPr>
          <w:rFonts w:ascii="Arial" w:eastAsia="Times New Roman" w:hAnsi="Arial" w:cs="Arial"/>
          <w:color w:val="000000"/>
          <w:kern w:val="0"/>
          <w:sz w:val="20"/>
          <w:szCs w:val="20"/>
          <w14:ligatures w14:val="none"/>
        </w:rPr>
        <w:t>Art. 62.  O art. 74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9.430, de 27 de dezembro de 1996, passa a vigorar com a seguinte redação:</w:t>
      </w:r>
    </w:p>
    <w:p w14:paraId="36D9F816"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247" w:anchor="art74%C2%A715." w:history="1">
        <w:r w:rsidRPr="00C22FC1">
          <w:rPr>
            <w:rFonts w:ascii="Arial" w:eastAsia="Times New Roman" w:hAnsi="Arial" w:cs="Arial"/>
            <w:color w:val="0000FF"/>
            <w:kern w:val="0"/>
            <w:sz w:val="20"/>
            <w:szCs w:val="20"/>
            <w:u w:val="single"/>
            <w14:ligatures w14:val="none"/>
          </w:rPr>
          <w:t>“Art. 74.</w:t>
        </w:r>
      </w:hyperlink>
      <w:r w:rsidRPr="00C22FC1">
        <w:rPr>
          <w:rFonts w:ascii="Arial" w:eastAsia="Times New Roman" w:hAnsi="Arial" w:cs="Arial"/>
          <w:color w:val="000000"/>
          <w:kern w:val="0"/>
          <w:sz w:val="20"/>
          <w:szCs w:val="20"/>
          <w14:ligatures w14:val="none"/>
        </w:rPr>
        <w:t>  .......................................................................</w:t>
      </w:r>
    </w:p>
    <w:p w14:paraId="630F36F0"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59BB71F3"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15.  Será aplicada multa isolada de 50% (cinquenta por cento) sobre o valor do crédito objeto de pedido de ressarcimento indeferido ou indevido.</w:t>
      </w:r>
    </w:p>
    <w:p w14:paraId="070F4C2D"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16.  O percentual da multa de que trata o § 15 será de 100% (cem por cento) na hipótese de ressarcimento obtido com falsidade no pedido apresentado pelo sujeito passivo.</w:t>
      </w:r>
    </w:p>
    <w:p w14:paraId="70EA061A"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17.  Aplica-se a multa prevista no § 15, também, sobre o valor do crédito objeto de declaração de compensação não homologada, salvo no caso de falsidade da declaração apresentada pelo sujeito passivo.” (NR)</w:t>
      </w:r>
    </w:p>
    <w:p w14:paraId="5CF916A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95" w:name="art63"/>
      <w:bookmarkEnd w:id="95"/>
      <w:r w:rsidRPr="00C22FC1">
        <w:rPr>
          <w:rFonts w:ascii="Arial" w:eastAsia="Times New Roman" w:hAnsi="Arial" w:cs="Arial"/>
          <w:color w:val="000000"/>
          <w:kern w:val="0"/>
          <w:sz w:val="20"/>
          <w:szCs w:val="20"/>
          <w14:ligatures w14:val="none"/>
        </w:rPr>
        <w:t>Art. 63.  É a União autorizada a conceder crédito ao Banco do Nordeste do Brasil S.A., no montante de R$ 1.000.000.000,00 (um bilhão de reais), em condições financeiras e contratuais a serem definidas pelo Ministro de Estado da Fazenda.</w:t>
      </w:r>
    </w:p>
    <w:p w14:paraId="5AE693E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96" w:name="art63p"/>
      <w:bookmarkEnd w:id="96"/>
      <w:r w:rsidRPr="00C22FC1">
        <w:rPr>
          <w:rFonts w:ascii="Arial" w:eastAsia="Times New Roman" w:hAnsi="Arial" w:cs="Arial"/>
          <w:strike/>
          <w:color w:val="000000"/>
          <w:spacing w:val="-4"/>
          <w:kern w:val="0"/>
          <w:sz w:val="20"/>
          <w:szCs w:val="20"/>
          <w14:ligatures w14:val="none"/>
        </w:rPr>
        <w:t>Parágrafo único.  Para a cobertura do crédito de que trata o caput, a União poderá emitir, sob a forma de colocação direta, em favor do Banco do Nordeste do Brasil S.A., títulos da Dívida Pública Mobiliária Federal, cujas características serão definidas pelo Ministro de Estado da Fazenda, devendo ser respeitada a equivalência econômica dos títulos com o valor previsto no caput.                       </w:t>
      </w:r>
      <w:hyperlink r:id="rId248" w:anchor="art3" w:history="1">
        <w:r w:rsidRPr="00C22FC1">
          <w:rPr>
            <w:rFonts w:ascii="Arial" w:eastAsia="Times New Roman" w:hAnsi="Arial" w:cs="Arial"/>
            <w:strike/>
            <w:color w:val="0000FF"/>
            <w:spacing w:val="-4"/>
            <w:kern w:val="0"/>
            <w:sz w:val="20"/>
            <w:szCs w:val="20"/>
            <w:u w:val="single"/>
            <w14:ligatures w14:val="none"/>
          </w:rPr>
          <w:t>(Incluído pela Medida Provisória nº 513, de 2010)</w:t>
        </w:r>
      </w:hyperlink>
    </w:p>
    <w:p w14:paraId="5AC3F3B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97" w:name="art63p."/>
      <w:bookmarkEnd w:id="97"/>
      <w:r w:rsidRPr="00C22FC1">
        <w:rPr>
          <w:rFonts w:ascii="Arial" w:eastAsia="Times New Roman" w:hAnsi="Arial" w:cs="Arial"/>
          <w:color w:val="000000"/>
          <w:kern w:val="0"/>
          <w:sz w:val="20"/>
          <w:szCs w:val="20"/>
          <w14:ligatures w14:val="none"/>
        </w:rPr>
        <w:t>Parágrafo único.  Para a cobertura do crédito de que trata o caput, a União poderá emitir, sob a forma de colocação direta, em favor do Banco do Nordeste do Brasil S.A., títulos da Dívida Pública Mobiliária Federal, cujas características serão definidas pelo Ministro de Estado da Fazenda, devendo ser respeitada a equivalência econômica dos títulos com o valor previsto no caput.                     </w:t>
      </w:r>
      <w:hyperlink r:id="rId249" w:anchor="art3" w:history="1">
        <w:r w:rsidRPr="00C22FC1">
          <w:rPr>
            <w:rFonts w:ascii="Arial" w:eastAsia="Times New Roman" w:hAnsi="Arial" w:cs="Arial"/>
            <w:color w:val="0000FF"/>
            <w:kern w:val="0"/>
            <w:sz w:val="20"/>
            <w:szCs w:val="20"/>
            <w:u w:val="single"/>
            <w14:ligatures w14:val="none"/>
          </w:rPr>
          <w:t>(Incluído pela Lei nº 12.409, de 2011)</w:t>
        </w:r>
      </w:hyperlink>
    </w:p>
    <w:p w14:paraId="2A693FD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98" w:name="art64"/>
      <w:bookmarkEnd w:id="98"/>
      <w:r w:rsidRPr="00C22FC1">
        <w:rPr>
          <w:rFonts w:ascii="Arial" w:eastAsia="Times New Roman" w:hAnsi="Arial" w:cs="Arial"/>
          <w:color w:val="000000"/>
          <w:kern w:val="0"/>
          <w:sz w:val="20"/>
          <w:szCs w:val="20"/>
          <w14:ligatures w14:val="none"/>
        </w:rPr>
        <w:t>Art. 64.  É a União, mediante aprovação do Ministro de Estado da Fazenda, autorizada a renegociar ou a estabelecer as condições financeiras e contratuais de operações de crédito realizadas com o Banco do Nordeste do Brasil S.A., até o montante de R$ 1.000.000.000,00 (um bilhão de reais), visando a enquadrá-las como instrumento híbrido de capital e dívida apto a integrar o seu patrimônio de referência, conforme definido pelo Conselho Monetário Nacional.</w:t>
      </w:r>
    </w:p>
    <w:p w14:paraId="22C31A3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99" w:name="art65"/>
      <w:bookmarkEnd w:id="99"/>
      <w:r w:rsidRPr="00C22FC1">
        <w:rPr>
          <w:rFonts w:ascii="Arial" w:eastAsia="Times New Roman" w:hAnsi="Arial" w:cs="Arial"/>
          <w:color w:val="000000"/>
          <w:kern w:val="0"/>
          <w:sz w:val="20"/>
          <w:szCs w:val="20"/>
          <w14:ligatures w14:val="none"/>
        </w:rPr>
        <w:t>Art. 65.  Poderão ser pagos ou parcelados, em até 180 (cento e oitenta) meses, nas condições desta Lei, os débitos administrados pelas autarquias e fundações públicas federais e os débitos de qualquer natureza, tributários ou não tributários, com a Procuradoria-Geral Federal.              </w:t>
      </w:r>
      <w:hyperlink r:id="rId250" w:anchor="art17" w:history="1">
        <w:r w:rsidRPr="00C22FC1">
          <w:rPr>
            <w:rFonts w:ascii="Arial" w:eastAsia="Times New Roman" w:hAnsi="Arial" w:cs="Arial"/>
            <w:color w:val="0000FF"/>
            <w:kern w:val="0"/>
            <w:sz w:val="20"/>
            <w:szCs w:val="20"/>
            <w:u w:val="single"/>
            <w14:ligatures w14:val="none"/>
          </w:rPr>
          <w:t>(Vide Lei nº 12.865, de 2013)</w:t>
        </w:r>
      </w:hyperlink>
      <w:r w:rsidRPr="00C22FC1">
        <w:rPr>
          <w:rFonts w:ascii="Arial" w:eastAsia="Times New Roman" w:hAnsi="Arial" w:cs="Arial"/>
          <w:color w:val="000000"/>
          <w:kern w:val="0"/>
          <w:sz w:val="20"/>
          <w:szCs w:val="20"/>
          <w14:ligatures w14:val="none"/>
        </w:rPr>
        <w:t>               </w:t>
      </w:r>
      <w:hyperlink r:id="rId251" w:anchor="art2" w:history="1">
        <w:r w:rsidRPr="00C22FC1">
          <w:rPr>
            <w:rFonts w:ascii="Arial" w:eastAsia="Times New Roman" w:hAnsi="Arial" w:cs="Arial"/>
            <w:color w:val="0000FF"/>
            <w:kern w:val="0"/>
            <w:sz w:val="20"/>
            <w:szCs w:val="20"/>
            <w:u w:val="single"/>
            <w14:ligatures w14:val="none"/>
          </w:rPr>
          <w:t>(Vide Lei nº 12.996, de 2014)</w:t>
        </w:r>
      </w:hyperlink>
      <w:r w:rsidRPr="00C22FC1">
        <w:rPr>
          <w:rFonts w:ascii="Arial" w:eastAsia="Times New Roman" w:hAnsi="Arial" w:cs="Arial"/>
          <w:color w:val="000000"/>
          <w:kern w:val="0"/>
          <w:sz w:val="20"/>
          <w:szCs w:val="20"/>
          <w14:ligatures w14:val="none"/>
        </w:rPr>
        <w:t>                 </w:t>
      </w:r>
      <w:hyperlink r:id="rId252" w:anchor="art40" w:history="1">
        <w:r w:rsidRPr="00C22FC1">
          <w:rPr>
            <w:rFonts w:ascii="Arial" w:eastAsia="Times New Roman" w:hAnsi="Arial" w:cs="Arial"/>
            <w:color w:val="0000FF"/>
            <w:kern w:val="0"/>
            <w:sz w:val="20"/>
            <w:szCs w:val="20"/>
            <w:u w:val="single"/>
            <w14:ligatures w14:val="none"/>
          </w:rPr>
          <w:t>(Vide Medida Provisória nº 651, de 2014)</w:t>
        </w:r>
      </w:hyperlink>
    </w:p>
    <w:p w14:paraId="31D0595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0" w:name="art65§1"/>
      <w:bookmarkEnd w:id="100"/>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disposto neste artigo aplica-se aos créditos constituídos ou não, inscritos ou não como dívida ativa das autarquias e fundações, mesmo em fase de execução fiscal já ajuizada.</w:t>
      </w:r>
    </w:p>
    <w:p w14:paraId="20FF1C8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1" w:name="art65§2"/>
      <w:bookmarkEnd w:id="101"/>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xml:space="preserve">  Para os fins do disposto no caput deste artigo, poderão ser pagas ou parceladas as dívidas vencidas até 30 de novembro de 2008, de pessoas físicas ou jurídicas, consolidadas pelo sujeito passivo, com exigibilidade suspensa ou não, inscritas ou não em dívida ativa, </w:t>
      </w:r>
      <w:r w:rsidRPr="00C22FC1">
        <w:rPr>
          <w:rFonts w:ascii="Arial" w:eastAsia="Times New Roman" w:hAnsi="Arial" w:cs="Arial"/>
          <w:color w:val="000000"/>
          <w:kern w:val="0"/>
          <w:sz w:val="20"/>
          <w:szCs w:val="20"/>
          <w14:ligatures w14:val="none"/>
        </w:rPr>
        <w:lastRenderedPageBreak/>
        <w:t>consideradas isoladamente, mesmo em fase de execução fiscal já ajuizada, assim considerados:</w:t>
      </w:r>
    </w:p>
    <w:p w14:paraId="75F6C91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os débitos de qualquer natureza, tributários ou não, inscritos em dívida ativa no âmbito da Procuradoria-Geral Federal e os que não estejam inscritos em dívida ativa perante as autarquias e fundações públicas federais;</w:t>
      </w:r>
    </w:p>
    <w:p w14:paraId="178DC4A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os demais débitos de qualquer natureza, tributários ou não, com as autarquias e fundações.</w:t>
      </w:r>
    </w:p>
    <w:p w14:paraId="34BE558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2" w:name="art65§3"/>
      <w:bookmarkEnd w:id="102"/>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Observados o disposto nesta Lei e os requisitos e as condições estabelecidos em ato da Advocacia-Geral da União, a ser editado no prazo de 120 (cento e vinte) dias a partir da data de publicação desta Lei, os débitos a que se refere este artigo poderão ser pagos ou parcelados da seguinte forma:</w:t>
      </w:r>
    </w:p>
    <w:p w14:paraId="04E4A0A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pagos à vista, com redução de 100% (cem por cento) das multas de mora e de ofício, de 40% (quarenta por cento) das isoladas, de 45% (quarenta e cinco por cento) dos juros de mora e de 100% (cem por cento) sobre o valor do encargo legal;</w:t>
      </w:r>
    </w:p>
    <w:p w14:paraId="51F3AA0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parcelados em até 30 (trinta) prestações mensais, com redução de 90% (noventa por cento) das multas de mora e de ofício, de 35% (trinta e cinco por cento) das isoladas, de 40% (quarenta por cento) dos juros de mora e de 100% (cem por cento) sobre o valor do encargo legal;</w:t>
      </w:r>
    </w:p>
    <w:p w14:paraId="0BCF222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parcelados em até 60 (sessenta) prestações mensais, com redução de 80% (oitenta por cento) das multas de mora e de ofício, de 30% (trinta por cento) das isoladas, de 35% (trinta e cinco por cento) dos juros de mora e de 100% (cem por cento) sobre o valor do encargo legal;</w:t>
      </w:r>
    </w:p>
    <w:p w14:paraId="245D971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IV - parcelados em até 120 (cento e vinte) prestações mensais, com redução de 70% (setenta por cento) das multas de mora e de ofício, de 25% (vinte e cinco por cento) das isoladas, de 30% (trinta por cento) dos juros de mora e de 100% (cem por cento) sobre o valor do encargo legal; ou</w:t>
      </w:r>
    </w:p>
    <w:p w14:paraId="357B442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 - parcelados em até 180 (cento e oitenta) prestações mensais, com redução de 60% (sessenta por cento) das multas de mora e de ofício, de 20% (vinte por cento) das isoladas, de 25% (vinte e cinco por cento) dos juros de mora e de 100% (cem por cento) sobre o valor do encargo legal.</w:t>
      </w:r>
    </w:p>
    <w:p w14:paraId="54F22F0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3" w:name="art65§4"/>
      <w:bookmarkEnd w:id="103"/>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Os débitos não tributários pagos ou parcelados na forma dos incisos I a V do §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 terão como definição de juros de mora, para todos os fins desta Lei, o montante total de correção e juros estabelecidos na legislação aplicável a cada tipo de débito objeto de pagamento ou parcelamento.</w:t>
      </w:r>
    </w:p>
    <w:p w14:paraId="6A024B5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4" w:name="art65§5"/>
      <w:bookmarkEnd w:id="104"/>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requerimento do parcelamento abrange os débitos de que trata este artigo, incluídos, a critério do optante, no âmbito de cada um dos órgãos.</w:t>
      </w:r>
    </w:p>
    <w:p w14:paraId="751082B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5" w:name="art65§6"/>
      <w:bookmarkEnd w:id="105"/>
      <w:r w:rsidRPr="00C22FC1">
        <w:rPr>
          <w:rFonts w:ascii="Arial" w:eastAsia="Times New Roman" w:hAnsi="Arial" w:cs="Arial"/>
          <w:color w:val="000000"/>
          <w:kern w:val="0"/>
          <w:sz w:val="20"/>
          <w:szCs w:val="20"/>
          <w14:ligatures w14:val="none"/>
        </w:rPr>
        <w: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Observado o disposto nesta Lei, a dívida objeto do parcelamento será consolidada na data de seu requerimento e dividida pelo número de prestações que forem indicadas pelo sujeito passivo, nos termos dos §§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 não podendo cada prestação mensal ser inferior a:</w:t>
      </w:r>
    </w:p>
    <w:p w14:paraId="1572D4D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R$ 50,00 (cinquenta reais), no caso de pessoa física; e</w:t>
      </w:r>
    </w:p>
    <w:p w14:paraId="715AE3A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R$ 100,00 (cem reais), no caso de pessoa jurídica.</w:t>
      </w:r>
    </w:p>
    <w:p w14:paraId="46DBC74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6" w:name="art65§7"/>
      <w:bookmarkEnd w:id="106"/>
      <w:r w:rsidRPr="00C22FC1">
        <w:rPr>
          <w:rFonts w:ascii="Arial" w:eastAsia="Times New Roman" w:hAnsi="Arial" w:cs="Arial"/>
          <w:color w:val="000000"/>
          <w:kern w:val="0"/>
          <w:sz w:val="20"/>
          <w:szCs w:val="20"/>
          <w14:ligatures w14:val="none"/>
        </w:rPr>
        <w: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(VETADO).</w:t>
      </w:r>
    </w:p>
    <w:p w14:paraId="787880F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7" w:name="art65§8"/>
      <w:bookmarkEnd w:id="107"/>
      <w:r w:rsidRPr="00C22FC1">
        <w:rPr>
          <w:rFonts w:ascii="Arial" w:eastAsia="Times New Roman" w:hAnsi="Arial" w:cs="Arial"/>
          <w:color w:val="000000"/>
          <w:kern w:val="0"/>
          <w:sz w:val="20"/>
          <w:szCs w:val="20"/>
          <w14:ligatures w14:val="none"/>
        </w:rPr>
        <w:lastRenderedPageBreak/>
        <w:t>§ 8</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(VETADO).</w:t>
      </w:r>
    </w:p>
    <w:p w14:paraId="41F9BC2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8" w:name="art65§9"/>
      <w:bookmarkEnd w:id="108"/>
      <w:r w:rsidRPr="00C22FC1">
        <w:rPr>
          <w:rFonts w:ascii="Arial" w:eastAsia="Times New Roman" w:hAnsi="Arial" w:cs="Arial"/>
          <w:color w:val="000000"/>
          <w:kern w:val="0"/>
          <w:sz w:val="20"/>
          <w:szCs w:val="20"/>
          <w14:ligatures w14:val="none"/>
        </w:rPr>
        <w:t>§ 9</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manutenção em aberto de 3 (três) parcelas, consecutivas ou não, ou de uma parcela, estando pagas todas as demais, implicará, após comunicação ao sujeito passivo, a imediata rescisão do parcelamento e, conforme o caso, o prosseguimento da cobrança.</w:t>
      </w:r>
    </w:p>
    <w:p w14:paraId="24B43EB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9" w:name="art65§10"/>
      <w:bookmarkEnd w:id="109"/>
      <w:r w:rsidRPr="00C22FC1">
        <w:rPr>
          <w:rFonts w:ascii="Arial" w:eastAsia="Times New Roman" w:hAnsi="Arial" w:cs="Arial"/>
          <w:color w:val="000000"/>
          <w:kern w:val="0"/>
          <w:sz w:val="20"/>
          <w:szCs w:val="20"/>
          <w14:ligatures w14:val="none"/>
        </w:rPr>
        <w:t>§ 10.  As parcelas pagas com até 30 (trinta) dias de atraso não configurarão inadimplência para os fins previstos no § 9</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w:t>
      </w:r>
    </w:p>
    <w:p w14:paraId="31D7F4A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10" w:name="art65§11"/>
      <w:bookmarkEnd w:id="110"/>
      <w:r w:rsidRPr="00C22FC1">
        <w:rPr>
          <w:rFonts w:ascii="Arial" w:eastAsia="Times New Roman" w:hAnsi="Arial" w:cs="Arial"/>
          <w:color w:val="000000"/>
          <w:kern w:val="0"/>
          <w:sz w:val="20"/>
          <w:szCs w:val="20"/>
          <w14:ligatures w14:val="none"/>
        </w:rPr>
        <w:t>§ 11.  A pessoa jurídica optante pelo parcelamento previsto neste artigo deverá indicar pormenorizadamente, no respectivo requerimento de parcelamento, quais débitos deverão ser nele incluídos.</w:t>
      </w:r>
    </w:p>
    <w:p w14:paraId="44D1D7F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11" w:name="art65§12"/>
      <w:bookmarkEnd w:id="111"/>
      <w:r w:rsidRPr="00C22FC1">
        <w:rPr>
          <w:rFonts w:ascii="Arial" w:eastAsia="Times New Roman" w:hAnsi="Arial" w:cs="Arial"/>
          <w:color w:val="000000"/>
          <w:kern w:val="0"/>
          <w:sz w:val="20"/>
          <w:szCs w:val="20"/>
          <w14:ligatures w14:val="none"/>
        </w:rPr>
        <w:t>§ 12.  Na hipótese de rescisão do parcelamento com o cancelamento dos benefícios concedidos:</w:t>
      </w:r>
    </w:p>
    <w:p w14:paraId="415770D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será efetuada a apuração do valor original do débito, com a incidência dos acréscimos legais, até a data da rescisão;</w:t>
      </w:r>
    </w:p>
    <w:p w14:paraId="52905B2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serão deduzidas do valor referido no inciso I deste parágrafo as parcelas pagas, com acréscimos legais até a data da rescisão.</w:t>
      </w:r>
    </w:p>
    <w:p w14:paraId="0705640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12" w:name="art65§13"/>
      <w:bookmarkEnd w:id="112"/>
      <w:r w:rsidRPr="00C22FC1">
        <w:rPr>
          <w:rFonts w:ascii="Arial" w:eastAsia="Times New Roman" w:hAnsi="Arial" w:cs="Arial"/>
          <w:color w:val="000000"/>
          <w:kern w:val="0"/>
          <w:sz w:val="20"/>
          <w:szCs w:val="20"/>
          <w14:ligatures w14:val="none"/>
        </w:rPr>
        <w:t>§ 13.  A pessoa física responsabilizada pelo não pagamento ou recolhimento de tributos devidos pela pessoa jurídica poderá efetuar, nos mesmos termos e condições previstos nesta Lei, em relação à totalidade ou à parte determinada dos débitos:</w:t>
      </w:r>
    </w:p>
    <w:p w14:paraId="74DAFBE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pagamento;</w:t>
      </w:r>
    </w:p>
    <w:p w14:paraId="0FFE3F2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parcelamento, desde que com anuência da pessoa jurídica, nos termos a serem definidos em regulamento.</w:t>
      </w:r>
    </w:p>
    <w:p w14:paraId="27C8C50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13" w:name="art65§14"/>
      <w:bookmarkEnd w:id="113"/>
      <w:r w:rsidRPr="00C22FC1">
        <w:rPr>
          <w:rFonts w:ascii="Arial" w:eastAsia="Times New Roman" w:hAnsi="Arial" w:cs="Arial"/>
          <w:color w:val="000000"/>
          <w:kern w:val="0"/>
          <w:sz w:val="20"/>
          <w:szCs w:val="20"/>
          <w14:ligatures w14:val="none"/>
        </w:rPr>
        <w:t>§ 14.  Na hipótese do inciso II do § 13 deste artigo:</w:t>
      </w:r>
    </w:p>
    <w:p w14:paraId="5C3AA66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a pessoa física que solicitar o parcelamento passará a ser solidariamente responsável, juntamente com a pessoa jurídica, em relação à dívida parcelada;</w:t>
      </w:r>
    </w:p>
    <w:p w14:paraId="510EC4F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é suspenso o julgamento na esfera administrativa.</w:t>
      </w:r>
    </w:p>
    <w:p w14:paraId="3EA701C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14" w:name="art65§15"/>
      <w:bookmarkEnd w:id="114"/>
      <w:r w:rsidRPr="00C22FC1">
        <w:rPr>
          <w:rFonts w:ascii="Arial" w:eastAsia="Times New Roman" w:hAnsi="Arial" w:cs="Arial"/>
          <w:color w:val="000000"/>
          <w:kern w:val="0"/>
          <w:sz w:val="20"/>
          <w:szCs w:val="20"/>
          <w14:ligatures w14:val="none"/>
        </w:rPr>
        <w:t>§ 15.  Na hipótese de rescisão do parcelamento previsto no inciso II do § 13 deste artigo, a pessoa jurídica será intimada a pagar o saldo remanescente, calculado na forma do § 12 deste artigo.</w:t>
      </w:r>
    </w:p>
    <w:p w14:paraId="27FB5B0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15" w:name="art65§16"/>
      <w:bookmarkEnd w:id="115"/>
      <w:r w:rsidRPr="00C22FC1">
        <w:rPr>
          <w:rFonts w:ascii="Arial" w:eastAsia="Times New Roman" w:hAnsi="Arial" w:cs="Arial"/>
          <w:color w:val="000000"/>
          <w:kern w:val="0"/>
          <w:sz w:val="20"/>
          <w:szCs w:val="20"/>
          <w14:ligatures w14:val="none"/>
        </w:rPr>
        <w:t>§ 16.  A opção pelos parcelamentos de que trata esta Lei importa confissão irrevogável e irretratável dos débitos em nome do sujeito passivo, na condição de contribuinte ou de responsável, e por ele indicados para compor os referidos parcelamentos, configura confissão extrajudicial nos termos dos </w:t>
      </w:r>
      <w:hyperlink r:id="rId253" w:anchor="art348" w:history="1">
        <w:r w:rsidRPr="00C22FC1">
          <w:rPr>
            <w:rFonts w:ascii="Arial" w:eastAsia="Times New Roman" w:hAnsi="Arial" w:cs="Arial"/>
            <w:color w:val="0000FF"/>
            <w:kern w:val="0"/>
            <w:sz w:val="20"/>
            <w:szCs w:val="20"/>
            <w:u w:val="single"/>
            <w14:ligatures w14:val="none"/>
          </w:rPr>
          <w:t>arts. 348</w:t>
        </w:r>
      </w:hyperlink>
      <w:r w:rsidRPr="00C22FC1">
        <w:rPr>
          <w:rFonts w:ascii="Arial" w:eastAsia="Times New Roman" w:hAnsi="Arial" w:cs="Arial"/>
          <w:color w:val="000000"/>
          <w:kern w:val="0"/>
          <w:sz w:val="20"/>
          <w:szCs w:val="20"/>
          <w14:ligatures w14:val="none"/>
        </w:rPr>
        <w:t>, </w:t>
      </w:r>
      <w:hyperlink r:id="rId254" w:anchor="art353" w:history="1">
        <w:r w:rsidRPr="00C22FC1">
          <w:rPr>
            <w:rFonts w:ascii="Arial" w:eastAsia="Times New Roman" w:hAnsi="Arial" w:cs="Arial"/>
            <w:color w:val="0000FF"/>
            <w:kern w:val="0"/>
            <w:sz w:val="20"/>
            <w:szCs w:val="20"/>
            <w:u w:val="single"/>
            <w14:ligatures w14:val="none"/>
          </w:rPr>
          <w:t>353 </w:t>
        </w:r>
      </w:hyperlink>
      <w:r w:rsidRPr="00C22FC1">
        <w:rPr>
          <w:rFonts w:ascii="Arial" w:eastAsia="Times New Roman" w:hAnsi="Arial" w:cs="Arial"/>
          <w:color w:val="000000"/>
          <w:kern w:val="0"/>
          <w:sz w:val="20"/>
          <w:szCs w:val="20"/>
          <w14:ligatures w14:val="none"/>
        </w:rPr>
        <w:t>e </w:t>
      </w:r>
      <w:hyperlink r:id="rId255" w:anchor="art354" w:history="1">
        <w:r w:rsidRPr="00C22FC1">
          <w:rPr>
            <w:rFonts w:ascii="Arial" w:eastAsia="Times New Roman" w:hAnsi="Arial" w:cs="Arial"/>
            <w:color w:val="0000FF"/>
            <w:kern w:val="0"/>
            <w:sz w:val="20"/>
            <w:szCs w:val="20"/>
            <w:u w:val="single"/>
            <w14:ligatures w14:val="none"/>
          </w:rPr>
          <w:t>354 da Lei nº 5.869, de 11 de janeiro de 1973</w:t>
        </w:r>
      </w:hyperlink>
      <w:r w:rsidRPr="00C22FC1">
        <w:rPr>
          <w:rFonts w:ascii="Arial" w:eastAsia="Times New Roman" w:hAnsi="Arial" w:cs="Arial"/>
          <w:color w:val="000000"/>
          <w:kern w:val="0"/>
          <w:sz w:val="20"/>
          <w:szCs w:val="20"/>
          <w14:ligatures w14:val="none"/>
        </w:rPr>
        <w:t> - Código de Processo Civil, e condiciona o sujeito passivo à aceitação plena e irretratável de todas as condições estabelecidas nesta Lei.</w:t>
      </w:r>
    </w:p>
    <w:p w14:paraId="70DEDB9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16" w:name="art65§17"/>
      <w:bookmarkEnd w:id="116"/>
      <w:r w:rsidRPr="00C22FC1">
        <w:rPr>
          <w:rFonts w:ascii="Arial" w:eastAsia="Times New Roman" w:hAnsi="Arial" w:cs="Arial"/>
          <w:color w:val="000000"/>
          <w:kern w:val="0"/>
          <w:sz w:val="20"/>
          <w:szCs w:val="20"/>
          <w14:ligatures w14:val="none"/>
        </w:rPr>
        <w:t>§ 17.  São dispensados os honorários advocatícios em razão da extinção da ação na forma deste artigo.</w:t>
      </w:r>
    </w:p>
    <w:p w14:paraId="309A88A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17" w:name="art65§18"/>
      <w:bookmarkEnd w:id="117"/>
      <w:r w:rsidRPr="00C22FC1">
        <w:rPr>
          <w:rFonts w:ascii="Arial" w:eastAsia="Times New Roman" w:hAnsi="Arial" w:cs="Arial"/>
          <w:color w:val="000000"/>
          <w:kern w:val="0"/>
          <w:sz w:val="20"/>
          <w:szCs w:val="20"/>
          <w14:ligatures w14:val="none"/>
        </w:rPr>
        <w:t>§ 18.  A opção pelo pagamento à vista ou pelos parcelamentos de débitos de que trata esta Lei deverá ser efetivada até o último dia útil do sexto mês subsequente ao da publicação desta Lei.                </w:t>
      </w:r>
      <w:hyperlink r:id="rId256" w:anchor="art17" w:history="1">
        <w:r w:rsidRPr="00C22FC1">
          <w:rPr>
            <w:rFonts w:ascii="Arial" w:eastAsia="Times New Roman" w:hAnsi="Arial" w:cs="Arial"/>
            <w:color w:val="0000FF"/>
            <w:kern w:val="0"/>
            <w:sz w:val="20"/>
            <w:szCs w:val="20"/>
            <w:u w:val="single"/>
            <w14:ligatures w14:val="none"/>
          </w:rPr>
          <w:t>(Vide Lei nº 12.865, de 2013)</w:t>
        </w:r>
      </w:hyperlink>
      <w:r w:rsidRPr="00C22FC1">
        <w:rPr>
          <w:rFonts w:ascii="Arial" w:eastAsia="Times New Roman" w:hAnsi="Arial" w:cs="Arial"/>
          <w:color w:val="000000"/>
          <w:kern w:val="0"/>
          <w:sz w:val="20"/>
          <w:szCs w:val="20"/>
          <w14:ligatures w14:val="none"/>
        </w:rPr>
        <w:t>            </w:t>
      </w:r>
      <w:hyperlink r:id="rId257" w:anchor="art2" w:history="1">
        <w:r w:rsidRPr="00C22FC1">
          <w:rPr>
            <w:rFonts w:ascii="Arial" w:eastAsia="Times New Roman" w:hAnsi="Arial" w:cs="Arial"/>
            <w:color w:val="0000FF"/>
            <w:kern w:val="0"/>
            <w:sz w:val="20"/>
            <w:szCs w:val="20"/>
            <w:u w:val="single"/>
            <w14:ligatures w14:val="none"/>
          </w:rPr>
          <w:t>(Vide Lei nº 12.996, de 2014)</w:t>
        </w:r>
      </w:hyperlink>
    </w:p>
    <w:p w14:paraId="3379E21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18" w:name="art65§19"/>
      <w:bookmarkEnd w:id="118"/>
      <w:r w:rsidRPr="00C22FC1">
        <w:rPr>
          <w:rFonts w:ascii="Arial" w:eastAsia="Times New Roman" w:hAnsi="Arial" w:cs="Arial"/>
          <w:color w:val="000000"/>
          <w:kern w:val="0"/>
          <w:sz w:val="20"/>
          <w:szCs w:val="20"/>
          <w14:ligatures w14:val="none"/>
        </w:rPr>
        <w:lastRenderedPageBreak/>
        <w:t>§ 19.  As pessoas que se mantiverem ativas no parcelamento de que trata este artigo poderão amortizar seu saldo devedor com as reduções de que trata o inciso I do §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 mediante a antecipação no pagamento de parcelas.</w:t>
      </w:r>
    </w:p>
    <w:p w14:paraId="65E42BC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19" w:name="art65§20"/>
      <w:bookmarkEnd w:id="119"/>
      <w:r w:rsidRPr="00C22FC1">
        <w:rPr>
          <w:rFonts w:ascii="Arial" w:eastAsia="Times New Roman" w:hAnsi="Arial" w:cs="Arial"/>
          <w:color w:val="000000"/>
          <w:kern w:val="0"/>
          <w:sz w:val="20"/>
          <w:szCs w:val="20"/>
          <w14:ligatures w14:val="none"/>
        </w:rPr>
        <w:t>§ 20.  O montante de cada amortização de que trata o § 19 deste artigo deverá ser equivalente, no mínimo, ao valor de 12 (doze) parcelas.</w:t>
      </w:r>
    </w:p>
    <w:p w14:paraId="7D7068C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20" w:name="art65§21"/>
      <w:bookmarkEnd w:id="120"/>
      <w:r w:rsidRPr="00C22FC1">
        <w:rPr>
          <w:rFonts w:ascii="Arial" w:eastAsia="Times New Roman" w:hAnsi="Arial" w:cs="Arial"/>
          <w:color w:val="000000"/>
          <w:kern w:val="0"/>
          <w:sz w:val="20"/>
          <w:szCs w:val="20"/>
          <w14:ligatures w14:val="none"/>
        </w:rPr>
        <w:t>§ 21.  A amortização de que trata o § 19 deste artigo implicará redução proporcional da quantidade de parcelas vincendas.</w:t>
      </w:r>
    </w:p>
    <w:p w14:paraId="5C7175C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21" w:name="art65§22"/>
      <w:bookmarkEnd w:id="121"/>
      <w:r w:rsidRPr="00C22FC1">
        <w:rPr>
          <w:rFonts w:ascii="Arial" w:eastAsia="Times New Roman" w:hAnsi="Arial" w:cs="Arial"/>
          <w:color w:val="000000"/>
          <w:kern w:val="0"/>
          <w:sz w:val="20"/>
          <w:szCs w:val="20"/>
          <w14:ligatures w14:val="none"/>
        </w:rPr>
        <w:t>§ 22.  A inclusão de débitos nos parcelamentos de que trata esta Lei não implica novação de dívida.</w:t>
      </w:r>
    </w:p>
    <w:p w14:paraId="07C1716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22" w:name="art65§23"/>
      <w:bookmarkEnd w:id="122"/>
      <w:r w:rsidRPr="00C22FC1">
        <w:rPr>
          <w:rFonts w:ascii="Arial" w:eastAsia="Times New Roman" w:hAnsi="Arial" w:cs="Arial"/>
          <w:color w:val="000000"/>
          <w:kern w:val="0"/>
          <w:sz w:val="20"/>
          <w:szCs w:val="20"/>
          <w14:ligatures w14:val="none"/>
        </w:rPr>
        <w:t>§ 23.  As reduções previstas neste artigo não são cumulativas com outras previstas em lei e serão aplicadas somente em relação aos saldos devedores dos débitos.</w:t>
      </w:r>
    </w:p>
    <w:p w14:paraId="2329134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23" w:name="art65§24"/>
      <w:bookmarkEnd w:id="123"/>
      <w:r w:rsidRPr="00C22FC1">
        <w:rPr>
          <w:rFonts w:ascii="Arial" w:eastAsia="Times New Roman" w:hAnsi="Arial" w:cs="Arial"/>
          <w:color w:val="000000"/>
          <w:kern w:val="0"/>
          <w:sz w:val="20"/>
          <w:szCs w:val="20"/>
          <w14:ligatures w14:val="none"/>
        </w:rPr>
        <w:t>§ 24.  Na hipótese de anterior concessão de redução de multa, de mora e de ofício, de juros de mora ou de encargos legais em percentuais diversos dos estabelecidos neste artigo, prevalecerão os percentuais nela referidos, aplicados sobre os respectivos valores originais.</w:t>
      </w:r>
    </w:p>
    <w:p w14:paraId="79D64D5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24" w:name="art65§25"/>
      <w:bookmarkEnd w:id="124"/>
      <w:r w:rsidRPr="00C22FC1">
        <w:rPr>
          <w:rFonts w:ascii="Arial" w:eastAsia="Times New Roman" w:hAnsi="Arial" w:cs="Arial"/>
          <w:color w:val="000000"/>
          <w:kern w:val="0"/>
          <w:sz w:val="20"/>
          <w:szCs w:val="20"/>
          <w14:ligatures w14:val="none"/>
        </w:rPr>
        <w:t>§ 25.  O saldo dos depósitos existentes, em espécie ou em instrumentos da dívida pública federal, exceto precatórios, vinculados aos débitos a serem pagos ou parcelados nos termos deste artigo será automaticamente convertido em renda das respectivas autarquias e fundações, após aplicação das reduções sobre o valor atualizado do depósito para o pagamento à vista ou parcelamento.</w:t>
      </w:r>
    </w:p>
    <w:p w14:paraId="2D629AD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25" w:name="art65§26"/>
      <w:bookmarkEnd w:id="125"/>
      <w:r w:rsidRPr="00C22FC1">
        <w:rPr>
          <w:rFonts w:ascii="Arial" w:eastAsia="Times New Roman" w:hAnsi="Arial" w:cs="Arial"/>
          <w:color w:val="000000"/>
          <w:kern w:val="0"/>
          <w:sz w:val="20"/>
          <w:szCs w:val="20"/>
          <w14:ligatures w14:val="none"/>
        </w:rPr>
        <w:t>§ 26.  Na hipótese em que o saldo exceda ao valor do débito após a consolidação de que trata este artigo, o saldo remanescente será levantado pelo sujeito passivo, caso não haja outro crédito tributário ou não tributário vencido e exigível em face do sujeito passivo. </w:t>
      </w:r>
    </w:p>
    <w:p w14:paraId="3ADAEA7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26" w:name="art65§27"/>
      <w:bookmarkEnd w:id="126"/>
      <w:r w:rsidRPr="00C22FC1">
        <w:rPr>
          <w:rFonts w:ascii="Arial" w:eastAsia="Times New Roman" w:hAnsi="Arial" w:cs="Arial"/>
          <w:color w:val="000000"/>
          <w:kern w:val="0"/>
          <w:sz w:val="20"/>
          <w:szCs w:val="20"/>
          <w14:ligatures w14:val="none"/>
        </w:rPr>
        <w:t>§ 27.  Na hipótese de depósitos ou garantias de instrumentos da dívida pública federal, exceto precatórios, o órgão credor os recepcionará pelo valor reconhecido por ele como representativo de valor real ou pelo valor aceito como garantia pelo mesmo órgão credor.</w:t>
      </w:r>
    </w:p>
    <w:p w14:paraId="7B61D88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27" w:name="art65§28"/>
      <w:bookmarkEnd w:id="127"/>
      <w:r w:rsidRPr="00C22FC1">
        <w:rPr>
          <w:rFonts w:ascii="Arial" w:eastAsia="Times New Roman" w:hAnsi="Arial" w:cs="Arial"/>
          <w:color w:val="000000"/>
          <w:kern w:val="0"/>
          <w:sz w:val="20"/>
          <w:szCs w:val="20"/>
          <w14:ligatures w14:val="none"/>
        </w:rPr>
        <w:t>§ 28.  No cálculo dos saldos em espécie existentes na data de adesão ao pagamento ou parcelamento previstos neste artigo, serão excluídos os juros remuneratórios sobre débitos cuja exigibilidade tenha sido suspensa por meio do referido depósito e que não tenham incidência de multa ou juros de mora.</w:t>
      </w:r>
    </w:p>
    <w:p w14:paraId="73BDAD0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28" w:name="art65§29"/>
      <w:bookmarkEnd w:id="128"/>
      <w:r w:rsidRPr="00C22FC1">
        <w:rPr>
          <w:rFonts w:ascii="Arial" w:eastAsia="Times New Roman" w:hAnsi="Arial" w:cs="Arial"/>
          <w:color w:val="000000"/>
          <w:kern w:val="0"/>
          <w:sz w:val="20"/>
          <w:szCs w:val="20"/>
          <w14:ligatures w14:val="none"/>
        </w:rPr>
        <w:t>§ 29.  Para fins de determinação do saldo dos depósitos a serem levantados após a dedução dos débitos consolidados, se o sujeito passivo tiver efetivado tempestivamente apenas o depósito do principal, será deduzido o principal acrescido de valor equivalente ao que decorreria da incidência de multas de mora e juros de mora, observada a aplicação das reduções e dos demais benefícios previstos neste artigo.</w:t>
      </w:r>
    </w:p>
    <w:p w14:paraId="4EA4DA7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29" w:name="art65§30"/>
      <w:bookmarkEnd w:id="129"/>
      <w:r w:rsidRPr="00C22FC1">
        <w:rPr>
          <w:rFonts w:ascii="Arial" w:eastAsia="Times New Roman" w:hAnsi="Arial" w:cs="Arial"/>
          <w:color w:val="000000"/>
          <w:kern w:val="0"/>
          <w:sz w:val="20"/>
          <w:szCs w:val="20"/>
          <w14:ligatures w14:val="none"/>
        </w:rPr>
        <w:t>§ 30.  A Advocacia-Geral da União expedirá normas que possibilitem, se for o caso, a revisão dos valores dos débitos consolidados para o efeito do disposto no § 29.</w:t>
      </w:r>
    </w:p>
    <w:p w14:paraId="255DBBC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30" w:name="art65§31"/>
      <w:bookmarkEnd w:id="130"/>
      <w:r w:rsidRPr="00C22FC1">
        <w:rPr>
          <w:rFonts w:ascii="Arial" w:eastAsia="Times New Roman" w:hAnsi="Arial" w:cs="Arial"/>
          <w:color w:val="000000"/>
          <w:kern w:val="0"/>
          <w:sz w:val="20"/>
          <w:szCs w:val="20"/>
          <w14:ligatures w14:val="none"/>
        </w:rPr>
        <w:t>§ 31.  Os parcelamentos requeridos na forma e nas condições de que trata este artigo:</w:t>
      </w:r>
    </w:p>
    <w:p w14:paraId="17F8C19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não dependem de apresentação de garantia ou de arrolamento de bens, exceto quando já houver penhora em execução fiscal ajuizada; e</w:t>
      </w:r>
    </w:p>
    <w:p w14:paraId="3D28907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no caso de débito inscrito em dívida ativa, abrangerão inclusive os encargos legais que forem devidos, sem prejuízo da dispensa prevista neste artigo.</w:t>
      </w:r>
    </w:p>
    <w:p w14:paraId="583AABF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31" w:name="art65§32"/>
      <w:bookmarkEnd w:id="131"/>
      <w:r w:rsidRPr="00C22FC1">
        <w:rPr>
          <w:rFonts w:ascii="Arial" w:eastAsia="Times New Roman" w:hAnsi="Arial" w:cs="Arial"/>
          <w:color w:val="000000"/>
          <w:kern w:val="0"/>
          <w:sz w:val="20"/>
          <w:szCs w:val="20"/>
          <w14:ligatures w14:val="none"/>
        </w:rPr>
        <w:lastRenderedPageBreak/>
        <w:t>§ 32.  O disposto neste artigo não se aplica ao Conselho Administrativo de Defesa Econômica - CADE e ao Instituto Nacional de Metrologia, Normalização e Qualidade Industrial -INMETRO.</w:t>
      </w:r>
    </w:p>
    <w:p w14:paraId="5DE456A2" w14:textId="77777777" w:rsidR="00C22FC1" w:rsidRPr="00C22FC1" w:rsidRDefault="00C22FC1" w:rsidP="00C22FC1">
      <w:pPr>
        <w:spacing w:before="300" w:after="300" w:line="240" w:lineRule="auto"/>
        <w:ind w:firstLine="570"/>
        <w:rPr>
          <w:rFonts w:ascii="Arial" w:eastAsia="Times New Roman" w:hAnsi="Arial" w:cs="Arial"/>
          <w:color w:val="000000"/>
          <w:kern w:val="0"/>
          <w:sz w:val="20"/>
          <w:szCs w:val="20"/>
          <w14:ligatures w14:val="none"/>
        </w:rPr>
      </w:pPr>
      <w:bookmarkStart w:id="132" w:name="art65§33"/>
      <w:bookmarkEnd w:id="132"/>
      <w:r w:rsidRPr="00C22FC1">
        <w:rPr>
          <w:rFonts w:ascii="Arial" w:eastAsia="Times New Roman" w:hAnsi="Arial" w:cs="Arial"/>
          <w:color w:val="000000"/>
          <w:kern w:val="0"/>
          <w:sz w:val="20"/>
          <w:szCs w:val="20"/>
          <w14:ligatures w14:val="none"/>
        </w:rPr>
        <w:t>§ 33.  As pessoas jurídicas que se encontrem inativas desde o ano-calendário de 2009 ou que estiverem em regime de liquidação ordinária, judicial ou extrajudicial, ou em regime de falência, que optaram pelo pagamento ou parcelamento dos débitos, nos termos deste artigo, poderão compensar os débitos do Imposto de Renda da Pessoa Jurídica (IRPJ) e da Contribuição Social sobre o Lucro Líquido (CSLL) apurados em razão da concessão do benefício de redução dos valores de multas, juros de mora e encargo legal, em decorrência do disposto no §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 respectivamente, com a utilização de prejuízo fiscal e da base de cálculo negativa da CSLL, próprios, acumulados de exercícios anteriores, sendo que o valor a ser utilizado será determinado mediante a aplicação da alíquota de 25% (vinte e cinco por cento) sobre o montante do prejuízo fiscal e de 9% (nove por cento) sobre a base de cálculo negativa da CSLL.</w:t>
      </w:r>
      <w:r w:rsidRPr="00C22FC1">
        <w:rPr>
          <w:rFonts w:ascii="Arial" w:eastAsia="Times New Roman" w:hAnsi="Arial" w:cs="Arial"/>
          <w:i/>
          <w:iCs/>
          <w:color w:val="000000"/>
          <w:kern w:val="0"/>
          <w:sz w:val="20"/>
          <w:szCs w:val="20"/>
          <w14:ligatures w14:val="none"/>
        </w:rPr>
        <w:t>                </w:t>
      </w:r>
      <w:hyperlink r:id="rId258" w:anchor="art4" w:history="1">
        <w:r w:rsidRPr="00C22FC1">
          <w:rPr>
            <w:rFonts w:ascii="Arial" w:eastAsia="Times New Roman" w:hAnsi="Arial" w:cs="Arial"/>
            <w:color w:val="0000FF"/>
            <w:kern w:val="0"/>
            <w:sz w:val="20"/>
            <w:szCs w:val="20"/>
            <w:u w:val="single"/>
            <w14:ligatures w14:val="none"/>
          </w:rPr>
          <w:t>(Incluído pela Lei nº 12.402, de 2011)</w:t>
        </w:r>
      </w:hyperlink>
      <w:r w:rsidRPr="00C22FC1">
        <w:rPr>
          <w:rFonts w:ascii="Arial" w:eastAsia="Times New Roman" w:hAnsi="Arial" w:cs="Arial"/>
          <w:color w:val="000000"/>
          <w:kern w:val="0"/>
          <w:sz w:val="20"/>
          <w:szCs w:val="20"/>
          <w14:ligatures w14:val="none"/>
        </w:rPr>
        <w:t>               </w:t>
      </w:r>
      <w:hyperlink r:id="rId259" w:anchor="art104" w:history="1">
        <w:r w:rsidRPr="00C22FC1">
          <w:rPr>
            <w:rFonts w:ascii="Arial" w:eastAsia="Times New Roman" w:hAnsi="Arial" w:cs="Arial"/>
            <w:color w:val="0000FF"/>
            <w:kern w:val="0"/>
            <w:sz w:val="20"/>
            <w:szCs w:val="20"/>
            <w:u w:val="single"/>
            <w14:ligatures w14:val="none"/>
          </w:rPr>
          <w:t>(Vide Lei nº 12.973, de 2014)</w:t>
        </w:r>
      </w:hyperlink>
    </w:p>
    <w:p w14:paraId="1BDC6344" w14:textId="77777777" w:rsidR="00C22FC1" w:rsidRPr="00C22FC1" w:rsidRDefault="00C22FC1" w:rsidP="00C22FC1">
      <w:pPr>
        <w:spacing w:before="300" w:after="300" w:line="240" w:lineRule="auto"/>
        <w:ind w:firstLine="570"/>
        <w:rPr>
          <w:rFonts w:ascii="Arial" w:eastAsia="Times New Roman" w:hAnsi="Arial" w:cs="Arial"/>
          <w:color w:val="000000"/>
          <w:kern w:val="0"/>
          <w:sz w:val="20"/>
          <w:szCs w:val="20"/>
          <w14:ligatures w14:val="none"/>
        </w:rPr>
      </w:pPr>
      <w:bookmarkStart w:id="133" w:name="art65§34"/>
      <w:bookmarkEnd w:id="133"/>
      <w:r w:rsidRPr="00C22FC1">
        <w:rPr>
          <w:rFonts w:ascii="Arial" w:eastAsia="Times New Roman" w:hAnsi="Arial" w:cs="Arial"/>
          <w:color w:val="000000"/>
          <w:kern w:val="0"/>
          <w:sz w:val="20"/>
          <w:szCs w:val="20"/>
          <w14:ligatures w14:val="none"/>
        </w:rPr>
        <w:t>§ 34.  Para fins do disposto no § 33, a pessoa jurídica inativa que retornar à atividade antes de 31 de dezembro de 2013 deverá recolher os valores referentes ao IRPJ e à CSLL objeto da compensação com todos os encargos legais e recompor o prejuízo fiscal do IRPJ e a base de cálculo negativa da CSLL correspondentes.                  </w:t>
      </w:r>
      <w:hyperlink r:id="rId260" w:anchor="art4" w:history="1">
        <w:r w:rsidRPr="00C22FC1">
          <w:rPr>
            <w:rFonts w:ascii="Arial" w:eastAsia="Times New Roman" w:hAnsi="Arial" w:cs="Arial"/>
            <w:color w:val="0000FF"/>
            <w:kern w:val="0"/>
            <w:sz w:val="20"/>
            <w:szCs w:val="20"/>
            <w:u w:val="single"/>
            <w14:ligatures w14:val="none"/>
          </w:rPr>
          <w:t>(Incluído pela Lei nº 12.402, de 2011)</w:t>
        </w:r>
      </w:hyperlink>
    </w:p>
    <w:p w14:paraId="70D8D615" w14:textId="77777777" w:rsidR="00C22FC1" w:rsidRPr="00C22FC1" w:rsidRDefault="00C22FC1" w:rsidP="00C22FC1">
      <w:pPr>
        <w:spacing w:before="300" w:after="300" w:line="240" w:lineRule="auto"/>
        <w:ind w:firstLine="570"/>
        <w:rPr>
          <w:rFonts w:ascii="Arial" w:eastAsia="Times New Roman" w:hAnsi="Arial" w:cs="Arial"/>
          <w:color w:val="000000"/>
          <w:kern w:val="0"/>
          <w:sz w:val="20"/>
          <w:szCs w:val="20"/>
          <w14:ligatures w14:val="none"/>
        </w:rPr>
      </w:pPr>
      <w:bookmarkStart w:id="134" w:name="art65§35"/>
      <w:bookmarkEnd w:id="134"/>
      <w:r w:rsidRPr="00C22FC1">
        <w:rPr>
          <w:rFonts w:ascii="Arial" w:eastAsia="Times New Roman" w:hAnsi="Arial" w:cs="Arial"/>
          <w:color w:val="000000"/>
          <w:kern w:val="0"/>
          <w:sz w:val="20"/>
          <w:szCs w:val="20"/>
          <w14:ligatures w14:val="none"/>
        </w:rPr>
        <w:t>§ 35.  A Secretaria da Receita Federal do Brasil disciplinará o disposto nos §§ 33 e 34.                    </w:t>
      </w:r>
      <w:hyperlink r:id="rId261" w:anchor="art4" w:history="1">
        <w:r w:rsidRPr="00C22FC1">
          <w:rPr>
            <w:rFonts w:ascii="Arial" w:eastAsia="Times New Roman" w:hAnsi="Arial" w:cs="Arial"/>
            <w:color w:val="0000FF"/>
            <w:kern w:val="0"/>
            <w:sz w:val="20"/>
            <w:szCs w:val="20"/>
            <w:u w:val="single"/>
            <w14:ligatures w14:val="none"/>
          </w:rPr>
          <w:t>(Incluído pela Lei nº 12.402, de 2011)</w:t>
        </w:r>
      </w:hyperlink>
    </w:p>
    <w:p w14:paraId="4999CE2D" w14:textId="77777777" w:rsidR="00C22FC1" w:rsidRPr="00C22FC1" w:rsidRDefault="00C22FC1" w:rsidP="00C22FC1">
      <w:pPr>
        <w:spacing w:before="300" w:after="300" w:line="240" w:lineRule="auto"/>
        <w:ind w:firstLine="570"/>
        <w:rPr>
          <w:rFonts w:ascii="Arial" w:eastAsia="Times New Roman" w:hAnsi="Arial" w:cs="Arial"/>
          <w:color w:val="000000"/>
          <w:kern w:val="0"/>
          <w:sz w:val="20"/>
          <w:szCs w:val="20"/>
          <w14:ligatures w14:val="none"/>
        </w:rPr>
      </w:pPr>
      <w:bookmarkStart w:id="135" w:name="art65§36"/>
      <w:bookmarkEnd w:id="135"/>
      <w:r w:rsidRPr="00C22FC1">
        <w:rPr>
          <w:rFonts w:ascii="Arial" w:eastAsia="Times New Roman" w:hAnsi="Arial" w:cs="Arial"/>
          <w:color w:val="000000"/>
          <w:kern w:val="0"/>
          <w:sz w:val="20"/>
          <w:szCs w:val="20"/>
          <w14:ligatures w14:val="none"/>
        </w:rPr>
        <w:t>§ 36.  Interpreta-se, para fins da correção monetária prevista no §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 a atualização ou correção monetária única e exclusivamente pelos índices oficiais previstos em Lei, reconhecidos pela Procuradoria-Geral da Fazenda Nacional, vedada a inclusão de qualquer montante a título de complemento incidente sobre os planos econômicos referidos nos </w:t>
      </w:r>
      <w:hyperlink r:id="rId262" w:history="1">
        <w:r w:rsidRPr="00C22FC1">
          <w:rPr>
            <w:rFonts w:ascii="Arial" w:eastAsia="Times New Roman" w:hAnsi="Arial" w:cs="Arial"/>
            <w:color w:val="0000FF"/>
            <w:kern w:val="0"/>
            <w:sz w:val="20"/>
            <w:szCs w:val="20"/>
            <w:u w:val="single"/>
            <w14:ligatures w14:val="none"/>
          </w:rPr>
          <w:t>Decretos-Lei n</w:t>
        </w:r>
        <w:r w:rsidRPr="00C22FC1">
          <w:rPr>
            <w:rFonts w:ascii="Arial" w:eastAsia="Times New Roman" w:hAnsi="Arial" w:cs="Arial"/>
            <w:color w:val="0000FF"/>
            <w:kern w:val="0"/>
            <w:sz w:val="20"/>
            <w:szCs w:val="20"/>
            <w:u w:val="single"/>
            <w:vertAlign w:val="superscript"/>
            <w14:ligatures w14:val="none"/>
          </w:rPr>
          <w:t>os</w:t>
        </w:r>
        <w:r w:rsidRPr="00C22FC1">
          <w:rPr>
            <w:rFonts w:ascii="Arial" w:eastAsia="Times New Roman" w:hAnsi="Arial" w:cs="Arial"/>
            <w:color w:val="0000FF"/>
            <w:kern w:val="0"/>
            <w:sz w:val="20"/>
            <w:szCs w:val="20"/>
            <w:u w:val="single"/>
            <w14:ligatures w14:val="none"/>
          </w:rPr>
          <w:t> 2.283, de 27 de fevereiro de 1986</w:t>
        </w:r>
      </w:hyperlink>
      <w:r w:rsidRPr="00C22FC1">
        <w:rPr>
          <w:rFonts w:ascii="Arial" w:eastAsia="Times New Roman" w:hAnsi="Arial" w:cs="Arial"/>
          <w:color w:val="000000"/>
          <w:kern w:val="0"/>
          <w:sz w:val="20"/>
          <w:szCs w:val="20"/>
          <w14:ligatures w14:val="none"/>
        </w:rPr>
        <w:t>, e </w:t>
      </w:r>
      <w:hyperlink r:id="rId263" w:history="1">
        <w:r w:rsidRPr="00C22FC1">
          <w:rPr>
            <w:rFonts w:ascii="Arial" w:eastAsia="Times New Roman" w:hAnsi="Arial" w:cs="Arial"/>
            <w:color w:val="0000FF"/>
            <w:kern w:val="0"/>
            <w:sz w:val="20"/>
            <w:szCs w:val="20"/>
            <w:u w:val="single"/>
            <w14:ligatures w14:val="none"/>
          </w:rPr>
          <w:t>2.335, de 12 de junho de 1987</w:t>
        </w:r>
      </w:hyperlink>
      <w:r w:rsidRPr="00C22FC1">
        <w:rPr>
          <w:rFonts w:ascii="Arial" w:eastAsia="Times New Roman" w:hAnsi="Arial" w:cs="Arial"/>
          <w:color w:val="000000"/>
          <w:kern w:val="0"/>
          <w:sz w:val="20"/>
          <w:szCs w:val="20"/>
          <w14:ligatures w14:val="none"/>
        </w:rPr>
        <w:t>, e das</w:t>
      </w:r>
      <w:hyperlink r:id="rId264" w:history="1">
        <w:r w:rsidRPr="00C22FC1">
          <w:rPr>
            <w:rFonts w:ascii="Arial" w:eastAsia="Times New Roman" w:hAnsi="Arial" w:cs="Arial"/>
            <w:color w:val="0000FF"/>
            <w:kern w:val="0"/>
            <w:sz w:val="20"/>
            <w:szCs w:val="20"/>
            <w:u w:val="single"/>
            <w14:ligatures w14:val="none"/>
          </w:rPr>
          <w:t> Leis n</w:t>
        </w:r>
        <w:r w:rsidRPr="00C22FC1">
          <w:rPr>
            <w:rFonts w:ascii="Arial" w:eastAsia="Times New Roman" w:hAnsi="Arial" w:cs="Arial"/>
            <w:color w:val="0000FF"/>
            <w:kern w:val="0"/>
            <w:sz w:val="20"/>
            <w:szCs w:val="20"/>
            <w:u w:val="single"/>
            <w:vertAlign w:val="superscript"/>
            <w14:ligatures w14:val="none"/>
          </w:rPr>
          <w:t>os</w:t>
        </w:r>
        <w:r w:rsidRPr="00C22FC1">
          <w:rPr>
            <w:rFonts w:ascii="Arial" w:eastAsia="Times New Roman" w:hAnsi="Arial" w:cs="Arial"/>
            <w:color w:val="0000FF"/>
            <w:kern w:val="0"/>
            <w:sz w:val="20"/>
            <w:szCs w:val="20"/>
            <w:u w:val="single"/>
            <w14:ligatures w14:val="none"/>
          </w:rPr>
          <w:t> 7.730, de 31 de janeiro de 1989</w:t>
        </w:r>
      </w:hyperlink>
      <w:r w:rsidRPr="00C22FC1">
        <w:rPr>
          <w:rFonts w:ascii="Arial" w:eastAsia="Times New Roman" w:hAnsi="Arial" w:cs="Arial"/>
          <w:color w:val="000000"/>
          <w:kern w:val="0"/>
          <w:sz w:val="20"/>
          <w:szCs w:val="20"/>
          <w14:ligatures w14:val="none"/>
        </w:rPr>
        <w:t>, </w:t>
      </w:r>
      <w:hyperlink r:id="rId265" w:history="1">
        <w:r w:rsidRPr="00C22FC1">
          <w:rPr>
            <w:rFonts w:ascii="Arial" w:eastAsia="Times New Roman" w:hAnsi="Arial" w:cs="Arial"/>
            <w:color w:val="0000FF"/>
            <w:kern w:val="0"/>
            <w:sz w:val="20"/>
            <w:szCs w:val="20"/>
            <w:u w:val="single"/>
            <w14:ligatures w14:val="none"/>
          </w:rPr>
          <w:t>8.024, de 12 de abril de 1990</w:t>
        </w:r>
      </w:hyperlink>
      <w:r w:rsidRPr="00C22FC1">
        <w:rPr>
          <w:rFonts w:ascii="Arial" w:eastAsia="Times New Roman" w:hAnsi="Arial" w:cs="Arial"/>
          <w:color w:val="000000"/>
          <w:kern w:val="0"/>
          <w:sz w:val="20"/>
          <w:szCs w:val="20"/>
          <w14:ligatures w14:val="none"/>
        </w:rPr>
        <w:t>, e </w:t>
      </w:r>
      <w:hyperlink r:id="rId266" w:history="1">
        <w:r w:rsidRPr="00C22FC1">
          <w:rPr>
            <w:rFonts w:ascii="Arial" w:eastAsia="Times New Roman" w:hAnsi="Arial" w:cs="Arial"/>
            <w:color w:val="0000FF"/>
            <w:kern w:val="0"/>
            <w:sz w:val="20"/>
            <w:szCs w:val="20"/>
            <w:u w:val="single"/>
            <w14:ligatures w14:val="none"/>
          </w:rPr>
          <w:t>8.177, de 1</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de março de 1991</w:t>
        </w:r>
      </w:hyperlink>
      <w:r w:rsidRPr="00C22FC1">
        <w:rPr>
          <w:rFonts w:ascii="Arial" w:eastAsia="Times New Roman" w:hAnsi="Arial" w:cs="Arial"/>
          <w:color w:val="000000"/>
          <w:kern w:val="0"/>
          <w:sz w:val="20"/>
          <w:szCs w:val="20"/>
          <w14:ligatures w14:val="none"/>
        </w:rPr>
        <w:t>.              </w:t>
      </w:r>
      <w:hyperlink r:id="rId267" w:anchor="art13" w:history="1">
        <w:r w:rsidRPr="00C22FC1">
          <w:rPr>
            <w:rFonts w:ascii="Arial" w:eastAsia="Times New Roman" w:hAnsi="Arial" w:cs="Arial"/>
            <w:color w:val="0000FF"/>
            <w:kern w:val="0"/>
            <w:sz w:val="20"/>
            <w:szCs w:val="20"/>
            <w:u w:val="single"/>
            <w14:ligatures w14:val="none"/>
          </w:rPr>
          <w:t>(Incluído pela Lei nº 13.496, de 2017)</w:t>
        </w:r>
      </w:hyperlink>
    </w:p>
    <w:p w14:paraId="2C87799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36" w:name="art66"/>
      <w:bookmarkEnd w:id="136"/>
      <w:r w:rsidRPr="00C22FC1">
        <w:rPr>
          <w:rFonts w:ascii="Arial" w:eastAsia="Times New Roman" w:hAnsi="Arial" w:cs="Arial"/>
          <w:color w:val="000000"/>
          <w:kern w:val="0"/>
          <w:sz w:val="20"/>
          <w:szCs w:val="20"/>
          <w:lang w:val="en-US"/>
          <w14:ligatures w14:val="none"/>
        </w:rPr>
        <w:t>Art. 66.  </w:t>
      </w:r>
      <w:r w:rsidRPr="00C22FC1">
        <w:rPr>
          <w:rFonts w:ascii="Arial" w:eastAsia="Times New Roman" w:hAnsi="Arial" w:cs="Arial"/>
          <w:color w:val="000000"/>
          <w:kern w:val="0"/>
          <w:sz w:val="20"/>
          <w:szCs w:val="20"/>
          <w14:ligatures w14:val="none"/>
        </w:rPr>
        <w:t>(VETADO).</w:t>
      </w:r>
    </w:p>
    <w:p w14:paraId="644FE57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37" w:name="art67"/>
      <w:bookmarkEnd w:id="137"/>
      <w:r w:rsidRPr="00C22FC1">
        <w:rPr>
          <w:rFonts w:ascii="Arial" w:eastAsia="Times New Roman" w:hAnsi="Arial" w:cs="Arial"/>
          <w:color w:val="000000"/>
          <w:kern w:val="0"/>
          <w:sz w:val="20"/>
          <w:szCs w:val="20"/>
          <w:lang w:val="en-US"/>
          <w14:ligatures w14:val="none"/>
        </w:rPr>
        <w:t>Art. 67. </w:t>
      </w:r>
      <w:r w:rsidRPr="00C22FC1">
        <w:rPr>
          <w:rFonts w:ascii="Arial" w:eastAsia="Times New Roman" w:hAnsi="Arial" w:cs="Arial"/>
          <w:color w:val="000000"/>
          <w:kern w:val="0"/>
          <w:sz w:val="20"/>
          <w:szCs w:val="20"/>
          <w14:ligatures w14:val="none"/>
        </w:rPr>
        <w:t>O art.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5.615, de 13 de outubro de 1970, passa a vigorar com a seguinte redação, renumerando-se o atual parágrafo único para §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w:t>
      </w:r>
    </w:p>
    <w:p w14:paraId="68225FF1"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268" w:anchor="art2" w:history="1">
        <w:r w:rsidRPr="00C22FC1">
          <w:rPr>
            <w:rFonts w:ascii="Arial" w:eastAsia="Times New Roman" w:hAnsi="Arial" w:cs="Arial"/>
            <w:color w:val="0000FF"/>
            <w:kern w:val="0"/>
            <w:sz w:val="20"/>
            <w:szCs w:val="20"/>
            <w:u w:val="single"/>
            <w14:ligatures w14:val="none"/>
          </w:rPr>
          <w:t>“Art. 2</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w:t>
        </w:r>
      </w:hyperlink>
      <w:r w:rsidRPr="00C22FC1">
        <w:rPr>
          <w:rFonts w:ascii="Arial" w:eastAsia="Times New Roman" w:hAnsi="Arial" w:cs="Arial"/>
          <w:color w:val="000000"/>
          <w:kern w:val="0"/>
          <w:sz w:val="20"/>
          <w:szCs w:val="20"/>
          <w14:ligatures w14:val="none"/>
        </w:rPr>
        <w:t> É dispensada a licitação para a contratação do Serviço Federal de Processamento de Dados - SERPRO pela União, por intermédio dos respectivos órgãos do Ministério da Fazenda e do Ministério do Planejamento, Orçamento e Gestão, para a prestação de serviços de tecnologia da informação considerados estratégicos, relacionados com as atividades de sua especialização.</w:t>
      </w:r>
    </w:p>
    <w:p w14:paraId="09C7815D"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Ato do Ministro de Estado da Fazenda especificará os serviços estratégicos do Ministério da Fazenda e ato do Ministro de Estado do Planejamento, Orçamento e Gestão especificará os serviços estratégicos do Ministério do Planejamento, Orçamento e Gestão.</w:t>
      </w:r>
    </w:p>
    <w:p w14:paraId="45BA73F9"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Ao Serpro é vedada a subcontratação de outras empresas para que prestem os serviços estratégicos a que se refere este artigo.</w:t>
      </w:r>
    </w:p>
    <w:p w14:paraId="1CFFF139"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Os atos de contratação dos demais serviços de tecnologia da informação, não especificados como serviços estratégicos, seguirão as normas gerais de licitações e contratos.</w:t>
      </w:r>
    </w:p>
    <w:p w14:paraId="21D5E26A"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disposto neste artigo não constitui óbice a que todos os órgãos e entidades da administração pública venham a contratar serviços com o Serpro, mediante prévia licitação ou contratação direta que observe as normas gerais de licitações e contratos.” (NR)</w:t>
      </w:r>
    </w:p>
    <w:p w14:paraId="255BB3A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38" w:name="art68"/>
      <w:bookmarkEnd w:id="138"/>
      <w:r w:rsidRPr="00C22FC1">
        <w:rPr>
          <w:rFonts w:ascii="Arial" w:eastAsia="Times New Roman" w:hAnsi="Arial" w:cs="Arial"/>
          <w:color w:val="000000"/>
          <w:kern w:val="0"/>
          <w:sz w:val="20"/>
          <w:szCs w:val="20"/>
          <w14:ligatures w14:val="none"/>
        </w:rPr>
        <w:lastRenderedPageBreak/>
        <w:t>Art. 68.  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5.615, de 13 de outubro de 1970, passa a vigorar acrescida dos seguintes arts.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-A e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-B:</w:t>
      </w:r>
    </w:p>
    <w:p w14:paraId="4A0801E2"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269" w:anchor="art2a" w:history="1">
        <w:r w:rsidRPr="00C22FC1">
          <w:rPr>
            <w:rFonts w:ascii="Arial" w:eastAsia="Times New Roman" w:hAnsi="Arial" w:cs="Arial"/>
            <w:color w:val="0000FF"/>
            <w:kern w:val="0"/>
            <w:sz w:val="20"/>
            <w:szCs w:val="20"/>
            <w:u w:val="single"/>
            <w:lang w:val="en-US"/>
            <w14:ligatures w14:val="none"/>
          </w:rPr>
          <w:t>“Art. 2</w:t>
        </w:r>
        <w:r w:rsidRPr="00C22FC1">
          <w:rPr>
            <w:rFonts w:ascii="Arial" w:eastAsia="Times New Roman" w:hAnsi="Arial" w:cs="Arial"/>
            <w:color w:val="0000FF"/>
            <w:kern w:val="0"/>
            <w:sz w:val="20"/>
            <w:szCs w:val="20"/>
            <w:u w:val="single"/>
            <w:vertAlign w:val="superscript"/>
            <w:lang w:val="en-US"/>
            <w14:ligatures w14:val="none"/>
          </w:rPr>
          <w:t>o</w:t>
        </w:r>
        <w:r w:rsidRPr="00C22FC1">
          <w:rPr>
            <w:rFonts w:ascii="Arial" w:eastAsia="Times New Roman" w:hAnsi="Arial" w:cs="Arial"/>
            <w:color w:val="0000FF"/>
            <w:kern w:val="0"/>
            <w:sz w:val="20"/>
            <w:szCs w:val="20"/>
            <w:u w:val="single"/>
            <w:lang w:val="en-US"/>
            <w14:ligatures w14:val="none"/>
          </w:rPr>
          <w:t>-A.</w:t>
        </w:r>
      </w:hyperlink>
      <w:r w:rsidRPr="00C22FC1">
        <w:rPr>
          <w:rFonts w:ascii="Arial" w:eastAsia="Times New Roman" w:hAnsi="Arial" w:cs="Arial"/>
          <w:color w:val="000000"/>
          <w:kern w:val="0"/>
          <w:sz w:val="20"/>
          <w:szCs w:val="20"/>
          <w:lang w:val="en-US"/>
          <w14:ligatures w14:val="none"/>
        </w:rPr>
        <w:t>  </w:t>
      </w:r>
      <w:r w:rsidRPr="00C22FC1">
        <w:rPr>
          <w:rFonts w:ascii="Arial" w:eastAsia="Times New Roman" w:hAnsi="Arial" w:cs="Arial"/>
          <w:color w:val="000000"/>
          <w:kern w:val="0"/>
          <w:sz w:val="20"/>
          <w:szCs w:val="20"/>
          <w14:ligatures w14:val="none"/>
        </w:rPr>
        <w:t>Os serviços estratégicos executados pelo Serviço Federal de Processamento de Dados - SERPRO, contratados na forma do art.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desta Lei, terão o valor de sua remuneração fixado conforme metodologia estabelecida em ato do Ministro de Estado da Fazenda.”</w:t>
      </w:r>
    </w:p>
    <w:p w14:paraId="303D0A61"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270" w:anchor="art2b" w:history="1">
        <w:r w:rsidRPr="00C22FC1">
          <w:rPr>
            <w:rFonts w:ascii="Arial" w:eastAsia="Times New Roman" w:hAnsi="Arial" w:cs="Arial"/>
            <w:color w:val="0000FF"/>
            <w:kern w:val="0"/>
            <w:sz w:val="20"/>
            <w:szCs w:val="20"/>
            <w:u w:val="single"/>
            <w:lang w:val="en-US"/>
            <w14:ligatures w14:val="none"/>
          </w:rPr>
          <w:t>“Art. 2</w:t>
        </w:r>
        <w:r w:rsidRPr="00C22FC1">
          <w:rPr>
            <w:rFonts w:ascii="Arial" w:eastAsia="Times New Roman" w:hAnsi="Arial" w:cs="Arial"/>
            <w:color w:val="0000FF"/>
            <w:kern w:val="0"/>
            <w:sz w:val="20"/>
            <w:szCs w:val="20"/>
            <w:u w:val="single"/>
            <w:vertAlign w:val="superscript"/>
            <w:lang w:val="en-US"/>
            <w14:ligatures w14:val="none"/>
          </w:rPr>
          <w:t>o</w:t>
        </w:r>
        <w:r w:rsidRPr="00C22FC1">
          <w:rPr>
            <w:rFonts w:ascii="Arial" w:eastAsia="Times New Roman" w:hAnsi="Arial" w:cs="Arial"/>
            <w:color w:val="0000FF"/>
            <w:kern w:val="0"/>
            <w:sz w:val="20"/>
            <w:szCs w:val="20"/>
            <w:u w:val="single"/>
            <w:lang w:val="en-US"/>
            <w14:ligatures w14:val="none"/>
          </w:rPr>
          <w:t>-B.</w:t>
        </w:r>
      </w:hyperlink>
      <w:r w:rsidRPr="00C22FC1">
        <w:rPr>
          <w:rFonts w:ascii="Arial" w:eastAsia="Times New Roman" w:hAnsi="Arial" w:cs="Arial"/>
          <w:color w:val="000000"/>
          <w:kern w:val="0"/>
          <w:sz w:val="20"/>
          <w:szCs w:val="20"/>
          <w:lang w:val="en-US"/>
          <w14:ligatures w14:val="none"/>
        </w:rPr>
        <w:t>  </w:t>
      </w:r>
      <w:r w:rsidRPr="00C22FC1">
        <w:rPr>
          <w:rFonts w:ascii="Arial" w:eastAsia="Times New Roman" w:hAnsi="Arial" w:cs="Arial"/>
          <w:color w:val="000000"/>
          <w:kern w:val="0"/>
          <w:sz w:val="20"/>
          <w:szCs w:val="20"/>
          <w14:ligatures w14:val="none"/>
        </w:rPr>
        <w:t>É o Serpro autorizado a aplicar a disponibilidade de sua capacidade técnica e operacional na execução de serviços que venham a ser contratados com outros órgãos e entidades, desde que garantida a disponibilidade de recursos necessários aos órgãos dos Ministérios da Fazenda e do Planejamento, Orçamento e Gestão.”</w:t>
      </w:r>
    </w:p>
    <w:p w14:paraId="30C3E57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39" w:name="art69"/>
      <w:bookmarkEnd w:id="139"/>
      <w:r w:rsidRPr="00C22FC1">
        <w:rPr>
          <w:rFonts w:ascii="Arial" w:eastAsia="Times New Roman" w:hAnsi="Arial" w:cs="Arial"/>
          <w:color w:val="000000"/>
          <w:kern w:val="0"/>
          <w:sz w:val="20"/>
          <w:szCs w:val="20"/>
          <w14:ligatures w14:val="none"/>
        </w:rPr>
        <w:t>Art. 69.  São remitidas as dívidas decorrentes de operações de crédito rural renegociadas nas condições do </w:t>
      </w:r>
      <w:hyperlink r:id="rId271" w:anchor="art2" w:history="1">
        <w:r w:rsidRPr="00C22FC1">
          <w:rPr>
            <w:rFonts w:ascii="Arial" w:eastAsia="Times New Roman" w:hAnsi="Arial" w:cs="Arial"/>
            <w:color w:val="0000FF"/>
            <w:kern w:val="0"/>
            <w:sz w:val="20"/>
            <w:szCs w:val="20"/>
            <w:u w:val="single"/>
            <w14:ligatures w14:val="none"/>
          </w:rPr>
          <w:t>art. 2</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11.322, de 13 de julho de 2006</w:t>
        </w:r>
      </w:hyperlink>
      <w:r w:rsidRPr="00C22FC1">
        <w:rPr>
          <w:rFonts w:ascii="Arial" w:eastAsia="Times New Roman" w:hAnsi="Arial" w:cs="Arial"/>
          <w:color w:val="000000"/>
          <w:kern w:val="0"/>
          <w:sz w:val="20"/>
          <w:szCs w:val="20"/>
          <w14:ligatures w14:val="none"/>
        </w:rPr>
        <w:t>, cujos saldos devedores na data de publicação desta Lei, atualizados pelos encargos financeiros contratuais aplicáveis para a situação de normalidade, excluídos os bônus, sejam de até R$ 10.000,00 (dez mil reais), desde que as operações sejam:                     </w:t>
      </w:r>
      <w:hyperlink r:id="rId272" w:history="1">
        <w:r w:rsidRPr="00C22FC1">
          <w:rPr>
            <w:rFonts w:ascii="Arial" w:eastAsia="Times New Roman" w:hAnsi="Arial" w:cs="Arial"/>
            <w:color w:val="0000FF"/>
            <w:kern w:val="0"/>
            <w:sz w:val="20"/>
            <w:szCs w:val="20"/>
            <w:u w:val="single"/>
            <w14:ligatures w14:val="none"/>
          </w:rPr>
          <w:t>(Vide Decreto nº 7.339, de 2010)</w:t>
        </w:r>
      </w:hyperlink>
    </w:p>
    <w:p w14:paraId="6646988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lastreadas em recursos do Fundo Constitucional de Financiamento do Nordeste - FNE;</w:t>
      </w:r>
    </w:p>
    <w:p w14:paraId="3D55BFB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lastreadas em recursos mistos do FNE com outras fontes;</w:t>
      </w:r>
    </w:p>
    <w:p w14:paraId="1DA8BF6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lastreadas em outras fontes de crédito rural cujo risco seja da União; ou</w:t>
      </w:r>
    </w:p>
    <w:p w14:paraId="6DC47A4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IV - contratadas no âmbito do Programa Nacional de Fortalecimento da Agricultura Familiar - PRONAF.</w:t>
      </w:r>
    </w:p>
    <w:p w14:paraId="25950E0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Do valor de que trata o caput</w:t>
      </w:r>
      <w:r w:rsidRPr="00C22FC1">
        <w:rPr>
          <w:rFonts w:ascii="Arial" w:eastAsia="Times New Roman" w:hAnsi="Arial" w:cs="Arial"/>
          <w:i/>
          <w:iCs/>
          <w:color w:val="000000"/>
          <w:kern w:val="0"/>
          <w:sz w:val="20"/>
          <w:szCs w:val="20"/>
          <w14:ligatures w14:val="none"/>
        </w:rPr>
        <w:t> </w:t>
      </w:r>
      <w:r w:rsidRPr="00C22FC1">
        <w:rPr>
          <w:rFonts w:ascii="Arial" w:eastAsia="Times New Roman" w:hAnsi="Arial" w:cs="Arial"/>
          <w:color w:val="000000"/>
          <w:kern w:val="0"/>
          <w:sz w:val="20"/>
          <w:szCs w:val="20"/>
          <w14:ligatures w14:val="none"/>
        </w:rPr>
        <w:t>deste artigo excluem-se as multas.</w:t>
      </w:r>
    </w:p>
    <w:p w14:paraId="6247060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remissão de que trata este artigo também se aplica às operações de crédito rural que se enquadrem nas condições para renegociação previstas no </w:t>
      </w:r>
      <w:hyperlink r:id="rId273" w:anchor="art2" w:history="1">
        <w:r w:rsidRPr="00C22FC1">
          <w:rPr>
            <w:rFonts w:ascii="Arial" w:eastAsia="Times New Roman" w:hAnsi="Arial" w:cs="Arial"/>
            <w:color w:val="0000FF"/>
            <w:kern w:val="0"/>
            <w:sz w:val="20"/>
            <w:szCs w:val="20"/>
            <w:u w:val="single"/>
            <w14:ligatures w14:val="none"/>
          </w:rPr>
          <w:t>art. 2º da Lei nº 11.322, de 13 de julho de 2006</w:t>
        </w:r>
      </w:hyperlink>
      <w:r w:rsidRPr="00C22FC1">
        <w:rPr>
          <w:rFonts w:ascii="Arial" w:eastAsia="Times New Roman" w:hAnsi="Arial" w:cs="Arial"/>
          <w:color w:val="000000"/>
          <w:kern w:val="0"/>
          <w:sz w:val="20"/>
          <w:szCs w:val="20"/>
          <w14:ligatures w14:val="none"/>
        </w:rPr>
        <w:t>, efetuadas com recursos do FNE, ou com recursos mistos do FNE com outras fontes, ou com recursos de outras fontes efetuadas com risco da União, ou ainda às operações contratadas no âmbito do Pronaf, cujos mutuários não as tenham renegociado nas condições ali estabelecidas e cujo saldo devedor atualizado até a data de publicação desta Lei, nas condições abaixo especificadas, seja inferior a R$ 10.000,00 (dez mil reais):</w:t>
      </w:r>
    </w:p>
    <w:p w14:paraId="59BEB67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até 15 de janeiro de 2001, pelos encargos financeiros originalmente contratados, sem bônus e sem encargos adicionais de inadimplemento;</w:t>
      </w:r>
    </w:p>
    <w:p w14:paraId="046C075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de 16 de janeiro de 2001 até a data de publicação desta Lei:</w:t>
      </w:r>
    </w:p>
    <w:p w14:paraId="3F619ED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a) para as operações efetuadas no âmbito do Pronaf, taxa efetiva de juros de 3% a.a. (três por cento ao ano);</w:t>
      </w:r>
    </w:p>
    <w:p w14:paraId="1F16A37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b) para as demais operações, pelos encargos financeiros previstos no </w:t>
      </w:r>
      <w:hyperlink r:id="rId274" w:anchor="art45" w:history="1">
        <w:r w:rsidRPr="00C22FC1">
          <w:rPr>
            <w:rFonts w:ascii="Arial" w:eastAsia="Times New Roman" w:hAnsi="Arial" w:cs="Arial"/>
            <w:color w:val="0000FF"/>
            <w:kern w:val="0"/>
            <w:sz w:val="20"/>
            <w:szCs w:val="20"/>
            <w:u w:val="single"/>
            <w14:ligatures w14:val="none"/>
          </w:rPr>
          <w:t>art. 45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11.775, de 17 de setembro de 2008</w:t>
        </w:r>
      </w:hyperlink>
      <w:r w:rsidRPr="00C22FC1">
        <w:rPr>
          <w:rFonts w:ascii="Arial" w:eastAsia="Times New Roman" w:hAnsi="Arial" w:cs="Arial"/>
          <w:color w:val="000000"/>
          <w:kern w:val="0"/>
          <w:sz w:val="20"/>
          <w:szCs w:val="20"/>
          <w14:ligatures w14:val="none"/>
        </w:rPr>
        <w:t>, para cada período, sem encargos adicionais de inadimplemento, observado o porte do mutuário.</w:t>
      </w:r>
    </w:p>
    <w:p w14:paraId="42893F5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fins de enquadramento na remissão de que trata este artigo, os saldos devedores das operações de crédito rural contratadas com cooperativas, associações e condomínios de produtores rurais, inclusive as operações efetuadas na modalidade grupal ou coletiva, serão apurados:</w:t>
      </w:r>
    </w:p>
    <w:p w14:paraId="265051F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por cédula-filha ou instrumento de crédito individual firmado por beneficiário final do crédito;</w:t>
      </w:r>
    </w:p>
    <w:p w14:paraId="7265244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II - no caso de operação que não tenha envolvido repasse de recursos a cooperados ou associados, pelo resultado da divisão dos saldos devedores pelo número total de cooperados ou associados ativos da entidade;</w:t>
      </w:r>
    </w:p>
    <w:p w14:paraId="2D2DB6C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no caso de condomínios de produtores rurais, por participante identificado pelo respectivo Cadastro de Pessoa Física - CPF, excluindo-se cônjuges; ou</w:t>
      </w:r>
    </w:p>
    <w:p w14:paraId="4DCA857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IV - no caso de crédito grupal ou coletivo, por mutuário constante da cédula de crédito.</w:t>
      </w:r>
    </w:p>
    <w:p w14:paraId="6D6E88B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disposto no §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 aplica-se às operações ali enquadráveis renegociadas com base em outros instrumentos legais, mantida a vedação prevista no </w:t>
      </w:r>
      <w:hyperlink r:id="rId275" w:anchor="art2%C2%A78" w:history="1">
        <w:r w:rsidRPr="00C22FC1">
          <w:rPr>
            <w:rFonts w:ascii="Arial" w:eastAsia="Times New Roman" w:hAnsi="Arial" w:cs="Arial"/>
            <w:color w:val="0000FF"/>
            <w:kern w:val="0"/>
            <w:sz w:val="20"/>
            <w:szCs w:val="20"/>
            <w:u w:val="single"/>
            <w14:ligatures w14:val="none"/>
          </w:rPr>
          <w:t>§ 8º do art. 2º da Lei no 11.322, de 13 de julho de 2006.</w:t>
        </w:r>
      </w:hyperlink>
    </w:p>
    <w:p w14:paraId="447F723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remissão de que trata este artigo abrange somente o saldo devedor, sendo que em nenhuma hipótese haverá devolução de valores a mutuários.</w:t>
      </w:r>
    </w:p>
    <w:p w14:paraId="684DF94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É o FNE autorizado a assumir os ônus decorrentes das disposições deste artigo referentes às operações lastreadas em seus recursos e às operações lastreadas em recursos mistos do FNE com outras fontes.</w:t>
      </w:r>
    </w:p>
    <w:p w14:paraId="126018D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É a União autorizada a assumir os ônus decorrentes das disposições deste artigo referentes às operações efetuadas com recursos de outras fontes no âmbito do Pronaf e às demais operações efetuadas com risco da União.</w:t>
      </w:r>
    </w:p>
    <w:p w14:paraId="0BA4DA7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8</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É o Poder Executivo autorizado a definir a metodologia e as demais condições para ressarcir às instituições financeiras públicas federais os custos da remissão e dos rebates definidos neste artigo para as operações ou parcelas das operações efetuadas com risco da instituição financeira, observado o disposto nos §§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w:t>
      </w:r>
    </w:p>
    <w:p w14:paraId="4E5E37E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40" w:name="art69a"/>
      <w:bookmarkEnd w:id="140"/>
      <w:r w:rsidRPr="00C22FC1">
        <w:rPr>
          <w:rFonts w:ascii="Arial" w:eastAsia="Times New Roman" w:hAnsi="Arial" w:cs="Arial"/>
          <w:strike/>
          <w:color w:val="000000"/>
          <w:kern w:val="0"/>
          <w:sz w:val="20"/>
          <w:szCs w:val="20"/>
          <w14:ligatures w14:val="none"/>
        </w:rPr>
        <w:t>Art. 69-A.  Ficam suspensos, até 30 de junho de 2013, as execuções fiscais e os respectivos prazos processuais, cujo objeto seja a cobrança de débitos inscritos em Dívida Ativa da União ou que venham a ser incluídos até 31 de dezembro de 2012, oriundos de operações de crédito rural contratados entre 17 de maio de 1984 e 31 de maio de 2002, de responsabilidade de produtores rurais vinculados ao Projeto Agro-Industrial do Canavieiro Abraham Lincoln - PACAL, situado no Estado do Pará (Km 92 da Rodovia Transamazônica, trecho Altamira-Itaituba), desapropriado pela União Federal na forma do </w:t>
      </w:r>
      <w:hyperlink r:id="rId276" w:history="1">
        <w:r w:rsidRPr="00C22FC1">
          <w:rPr>
            <w:rFonts w:ascii="Arial" w:eastAsia="Times New Roman" w:hAnsi="Arial" w:cs="Arial"/>
            <w:strike/>
            <w:color w:val="0000FF"/>
            <w:kern w:val="0"/>
            <w:sz w:val="20"/>
            <w:szCs w:val="20"/>
            <w:u w:val="single"/>
            <w14:ligatures w14:val="none"/>
          </w:rPr>
          <w:t>Decreto n</w:t>
        </w:r>
        <w:r w:rsidRPr="00C22FC1">
          <w:rPr>
            <w:rFonts w:ascii="Arial" w:eastAsia="Times New Roman" w:hAnsi="Arial" w:cs="Arial"/>
            <w:strike/>
            <w:color w:val="0000FF"/>
            <w:kern w:val="0"/>
            <w:sz w:val="20"/>
            <w:szCs w:val="20"/>
            <w:u w:val="single"/>
            <w:vertAlign w:val="superscript"/>
            <w14:ligatures w14:val="none"/>
          </w:rPr>
          <w:t>o</w:t>
        </w:r>
        <w:r w:rsidRPr="00C22FC1">
          <w:rPr>
            <w:rFonts w:ascii="Arial" w:eastAsia="Times New Roman" w:hAnsi="Arial" w:cs="Arial"/>
            <w:strike/>
            <w:color w:val="0000FF"/>
            <w:kern w:val="0"/>
            <w:sz w:val="20"/>
            <w:szCs w:val="20"/>
            <w:u w:val="single"/>
            <w14:ligatures w14:val="none"/>
          </w:rPr>
          <w:t> 89.677, de 17 de maio de 1984</w:t>
        </w:r>
      </w:hyperlink>
      <w:r w:rsidRPr="00C22FC1">
        <w:rPr>
          <w:rFonts w:ascii="Arial" w:eastAsia="Times New Roman" w:hAnsi="Arial" w:cs="Arial"/>
          <w:strike/>
          <w:color w:val="000000"/>
          <w:kern w:val="0"/>
          <w:sz w:val="20"/>
          <w:szCs w:val="20"/>
          <w14:ligatures w14:val="none"/>
        </w:rPr>
        <w:t>.                 </w:t>
      </w:r>
      <w:hyperlink r:id="rId277" w:anchor="art20" w:history="1">
        <w:r w:rsidRPr="00C22FC1">
          <w:rPr>
            <w:rFonts w:ascii="Arial" w:eastAsia="Times New Roman" w:hAnsi="Arial" w:cs="Arial"/>
            <w:strike/>
            <w:color w:val="0000FF"/>
            <w:kern w:val="0"/>
            <w:sz w:val="20"/>
            <w:szCs w:val="20"/>
            <w:u w:val="single"/>
            <w14:ligatures w14:val="none"/>
          </w:rPr>
          <w:t>(Incluído pela Lei nº 12.678, de 2012).</w:t>
        </w:r>
      </w:hyperlink>
    </w:p>
    <w:p w14:paraId="0F93CB5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41" w:name="art69a."/>
      <w:bookmarkEnd w:id="141"/>
      <w:r w:rsidRPr="00C22FC1">
        <w:rPr>
          <w:rFonts w:ascii="Arial" w:eastAsia="Times New Roman" w:hAnsi="Arial" w:cs="Arial"/>
          <w:color w:val="000000"/>
          <w:kern w:val="0"/>
          <w:sz w:val="20"/>
          <w:szCs w:val="20"/>
          <w14:ligatures w14:val="none"/>
        </w:rPr>
        <w:t>Art. 69-A. Ficam suspensos, até 31 de dezembro de 2014, as execuções fiscais e os respectivos prazos processuais, cujo objeto seja a cobrança de débitos inscritos em Dívida Ativa da União ou que venham a ser incluídos até 31 de dezembro de 2014, oriundos de operações de crédito rural contratados entre 17 de maio de 1984 e 31 de maio de 2002, de responsabilidade de produtores rurais vinculados ao Projeto Agro-Industrial do Canavieiro Abraham Lincoln - PACAL, situado no Município de Prainha, Estado do Pará (Km 92 da Rodovia Transamazônica, trecho Altamira-Itaituba), desapropriado pela União Federal na forma do </w:t>
      </w:r>
      <w:hyperlink r:id="rId278" w:history="1">
        <w:r w:rsidRPr="00C22FC1">
          <w:rPr>
            <w:rFonts w:ascii="Arial" w:eastAsia="Times New Roman" w:hAnsi="Arial" w:cs="Arial"/>
            <w:color w:val="0000FF"/>
            <w:kern w:val="0"/>
            <w:sz w:val="20"/>
            <w:szCs w:val="20"/>
            <w:u w:val="single"/>
            <w14:ligatures w14:val="none"/>
          </w:rPr>
          <w:t>Decreto nº 89.677, de 17 de maio de 1984</w:t>
        </w:r>
      </w:hyperlink>
      <w:r w:rsidRPr="00C22FC1">
        <w:rPr>
          <w:rFonts w:ascii="Arial" w:eastAsia="Times New Roman" w:hAnsi="Arial" w:cs="Arial"/>
          <w:color w:val="000000"/>
          <w:kern w:val="0"/>
          <w:sz w:val="20"/>
          <w:szCs w:val="20"/>
          <w14:ligatures w14:val="none"/>
        </w:rPr>
        <w:t>.                 </w:t>
      </w:r>
      <w:hyperlink r:id="rId279" w:anchor="art13" w:history="1">
        <w:r w:rsidRPr="00C22FC1">
          <w:rPr>
            <w:rFonts w:ascii="Arial" w:eastAsia="Times New Roman" w:hAnsi="Arial" w:cs="Arial"/>
            <w:color w:val="0000FF"/>
            <w:kern w:val="0"/>
            <w:sz w:val="20"/>
            <w:szCs w:val="20"/>
            <w:u w:val="single"/>
            <w14:ligatures w14:val="none"/>
          </w:rPr>
          <w:t> (Incluído a pela Lei nº 12.872, de 2013)</w:t>
        </w:r>
      </w:hyperlink>
    </w:p>
    <w:p w14:paraId="33EBF54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As instituições financeiras oficiais federais deverão encaminhar à Procuradoria-Geral da Fazenda Nacional, até o último dia útil do mês seguinte ao da publicação desta Lei, listagem com todos os débitos já encaminhados para inscrição em Dívida Ativa da União que se enquadrem nos requisitos dispostos no caput</w:t>
      </w:r>
      <w:r w:rsidRPr="00C22FC1">
        <w:rPr>
          <w:rFonts w:ascii="Arial" w:eastAsia="Times New Roman" w:hAnsi="Arial" w:cs="Arial"/>
          <w:i/>
          <w:iCs/>
          <w:color w:val="000000"/>
          <w:kern w:val="0"/>
          <w:sz w:val="20"/>
          <w:szCs w:val="20"/>
          <w14:ligatures w14:val="none"/>
        </w:rPr>
        <w:t>.                </w:t>
      </w:r>
      <w:r w:rsidRPr="00C22FC1">
        <w:rPr>
          <w:rFonts w:ascii="Arial" w:eastAsia="Times New Roman" w:hAnsi="Arial" w:cs="Arial"/>
          <w:color w:val="000000"/>
          <w:kern w:val="0"/>
          <w:sz w:val="20"/>
          <w:szCs w:val="20"/>
          <w14:ligatures w14:val="none"/>
        </w:rPr>
        <w:t> </w:t>
      </w:r>
      <w:hyperlink r:id="rId280" w:anchor="art13" w:history="1">
        <w:r w:rsidRPr="00C22FC1">
          <w:rPr>
            <w:rFonts w:ascii="Arial" w:eastAsia="Times New Roman" w:hAnsi="Arial" w:cs="Arial"/>
            <w:color w:val="0000FF"/>
            <w:kern w:val="0"/>
            <w:sz w:val="20"/>
            <w:szCs w:val="20"/>
            <w:u w:val="single"/>
            <w14:ligatures w14:val="none"/>
          </w:rPr>
          <w:t> (Incluído a pela Lei nº 12.872, de 2013)</w:t>
        </w:r>
      </w:hyperlink>
    </w:p>
    <w:p w14:paraId="7E2DCBF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42" w:name="art70"/>
      <w:bookmarkEnd w:id="142"/>
      <w:r w:rsidRPr="00C22FC1">
        <w:rPr>
          <w:rFonts w:ascii="Arial" w:eastAsia="Times New Roman" w:hAnsi="Arial" w:cs="Arial"/>
          <w:strike/>
          <w:color w:val="000000"/>
          <w:kern w:val="0"/>
          <w:sz w:val="20"/>
          <w:szCs w:val="20"/>
          <w14:ligatures w14:val="none"/>
        </w:rPr>
        <w:t>Art. 70.  É autorizada a concessão de rebate para liquidação, até 30 de novembro de 2011, das operações de crédito rural que tenham sido renegociadas nas condições do </w:t>
      </w:r>
      <w:hyperlink r:id="rId281" w:anchor="art2" w:history="1">
        <w:r w:rsidRPr="00C22FC1">
          <w:rPr>
            <w:rFonts w:ascii="Arial" w:eastAsia="Times New Roman" w:hAnsi="Arial" w:cs="Arial"/>
            <w:strike/>
            <w:color w:val="0000FF"/>
            <w:kern w:val="0"/>
            <w:sz w:val="20"/>
            <w:szCs w:val="20"/>
            <w:u w:val="single"/>
            <w14:ligatures w14:val="none"/>
          </w:rPr>
          <w:t>art. 2º da Lei nº 11.322, de 13 de julho de 2006,</w:t>
        </w:r>
      </w:hyperlink>
      <w:r w:rsidRPr="00C22FC1">
        <w:rPr>
          <w:rFonts w:ascii="Arial" w:eastAsia="Times New Roman" w:hAnsi="Arial" w:cs="Arial"/>
          <w:strike/>
          <w:color w:val="000000"/>
          <w:kern w:val="0"/>
          <w:sz w:val="20"/>
          <w:szCs w:val="20"/>
          <w14:ligatures w14:val="none"/>
        </w:rPr>
        <w:t xml:space="preserve"> e que estejam lastreadas em recursos do FNE, ou em recursos mistos do FNE com outras fontes, ou em recursos de outras fontes efetuadas com </w:t>
      </w:r>
      <w:r w:rsidRPr="00C22FC1">
        <w:rPr>
          <w:rFonts w:ascii="Arial" w:eastAsia="Times New Roman" w:hAnsi="Arial" w:cs="Arial"/>
          <w:strike/>
          <w:color w:val="000000"/>
          <w:kern w:val="0"/>
          <w:sz w:val="20"/>
          <w:szCs w:val="20"/>
          <w14:ligatures w14:val="none"/>
        </w:rPr>
        <w:lastRenderedPageBreak/>
        <w:t>risco da União, ou ainda das operações realizadas no âmbito do Pronaf, em substituição a todos os bônus de adimplência e de liquidação previstos para essas operações na </w:t>
      </w:r>
      <w:hyperlink r:id="rId282" w:history="1">
        <w:r w:rsidRPr="00C22FC1">
          <w:rPr>
            <w:rFonts w:ascii="Arial" w:eastAsia="Times New Roman" w:hAnsi="Arial" w:cs="Arial"/>
            <w:strike/>
            <w:color w:val="0000FF"/>
            <w:kern w:val="0"/>
            <w:sz w:val="20"/>
            <w:szCs w:val="20"/>
            <w:u w:val="single"/>
            <w14:ligatures w14:val="none"/>
          </w:rPr>
          <w:t>Lei nº 11.322, de 13 de julho de 2006</w:t>
        </w:r>
      </w:hyperlink>
      <w:r w:rsidRPr="00C22FC1">
        <w:rPr>
          <w:rFonts w:ascii="Arial" w:eastAsia="Times New Roman" w:hAnsi="Arial" w:cs="Arial"/>
          <w:strike/>
          <w:color w:val="000000"/>
          <w:kern w:val="0"/>
          <w:sz w:val="20"/>
          <w:szCs w:val="20"/>
          <w14:ligatures w14:val="none"/>
        </w:rPr>
        <w:t>, e no </w:t>
      </w:r>
      <w:hyperlink r:id="rId283" w:anchor="art28" w:history="1">
        <w:r w:rsidRPr="00C22FC1">
          <w:rPr>
            <w:rFonts w:ascii="Arial" w:eastAsia="Times New Roman" w:hAnsi="Arial" w:cs="Arial"/>
            <w:strike/>
            <w:color w:val="0000FF"/>
            <w:kern w:val="0"/>
            <w:sz w:val="20"/>
            <w:szCs w:val="20"/>
            <w:u w:val="single"/>
            <w14:ligatures w14:val="none"/>
          </w:rPr>
          <w:t>art. 28 da Lei nº 11.775, de 17 de setembro de 2008</w:t>
        </w:r>
      </w:hyperlink>
      <w:r w:rsidRPr="00C22FC1">
        <w:rPr>
          <w:rFonts w:ascii="Arial" w:eastAsia="Times New Roman" w:hAnsi="Arial" w:cs="Arial"/>
          <w:strike/>
          <w:color w:val="000000"/>
          <w:kern w:val="0"/>
          <w:sz w:val="20"/>
          <w:szCs w:val="20"/>
          <w14:ligatures w14:val="none"/>
        </w:rPr>
        <w:t>, não remitidas na forma do art. 69 desta Lei, observadas ainda as seguintes condições:                       </w:t>
      </w:r>
      <w:hyperlink r:id="rId284" w:history="1">
        <w:r w:rsidRPr="00C22FC1">
          <w:rPr>
            <w:rFonts w:ascii="Arial" w:eastAsia="Times New Roman" w:hAnsi="Arial" w:cs="Arial"/>
            <w:strike/>
            <w:color w:val="0000FF"/>
            <w:kern w:val="0"/>
            <w:sz w:val="20"/>
            <w:szCs w:val="20"/>
            <w:u w:val="single"/>
            <w14:ligatures w14:val="none"/>
          </w:rPr>
          <w:t>(Vide Decreto nº 7.339, de 2010)</w:t>
        </w:r>
      </w:hyperlink>
    </w:p>
    <w:p w14:paraId="3DF6590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43" w:name="art70."/>
      <w:bookmarkEnd w:id="143"/>
      <w:r w:rsidRPr="00C22FC1">
        <w:rPr>
          <w:rFonts w:ascii="Arial" w:eastAsia="Times New Roman" w:hAnsi="Arial" w:cs="Arial"/>
          <w:color w:val="000000"/>
          <w:kern w:val="0"/>
          <w:sz w:val="20"/>
          <w:szCs w:val="20"/>
          <w14:ligatures w14:val="none"/>
        </w:rPr>
        <w:t>Art. 70.  É autorizada a concessão de rebate para liquidação, até 29 de março de 2013, das operações de crédito rural que tenham sido renegociadas nas condições do </w:t>
      </w:r>
      <w:hyperlink r:id="rId285" w:anchor="art2" w:history="1">
        <w:r w:rsidRPr="00C22FC1">
          <w:rPr>
            <w:rFonts w:ascii="Arial" w:eastAsia="Times New Roman" w:hAnsi="Arial" w:cs="Arial"/>
            <w:color w:val="0000FF"/>
            <w:kern w:val="0"/>
            <w:sz w:val="20"/>
            <w:szCs w:val="20"/>
            <w:u w:val="single"/>
            <w14:ligatures w14:val="none"/>
          </w:rPr>
          <w:t>art. 2º da Lei nº 11.322, de 13 de julho de 2006</w:t>
        </w:r>
      </w:hyperlink>
      <w:r w:rsidRPr="00C22FC1">
        <w:rPr>
          <w:rFonts w:ascii="Arial" w:eastAsia="Times New Roman" w:hAnsi="Arial" w:cs="Arial"/>
          <w:color w:val="000000"/>
          <w:kern w:val="0"/>
          <w:sz w:val="20"/>
          <w:szCs w:val="20"/>
          <w14:ligatures w14:val="none"/>
        </w:rPr>
        <w:t>, e que estejam lastreadas em recursos do FNE, ou em recursos mistos do FNE com outras fontes, ou em recursos de outras fontes efetuadas com risco da União, ou ainda das operações realizadas no âmbito do Pronaf, em substituição a todos os bônus de adimplência e de liquidação previstos para essas operações na </w:t>
      </w:r>
      <w:hyperlink r:id="rId286" w:history="1">
        <w:r w:rsidRPr="00C22FC1">
          <w:rPr>
            <w:rFonts w:ascii="Arial" w:eastAsia="Times New Roman" w:hAnsi="Arial" w:cs="Arial"/>
            <w:color w:val="0000FF"/>
            <w:kern w:val="0"/>
            <w:sz w:val="20"/>
            <w:szCs w:val="20"/>
            <w:u w:val="single"/>
            <w14:ligatures w14:val="none"/>
          </w:rPr>
          <w:t>Lei nº 11.322, de 13 de julho de 2006</w:t>
        </w:r>
      </w:hyperlink>
      <w:r w:rsidRPr="00C22FC1">
        <w:rPr>
          <w:rFonts w:ascii="Arial" w:eastAsia="Times New Roman" w:hAnsi="Arial" w:cs="Arial"/>
          <w:color w:val="000000"/>
          <w:kern w:val="0"/>
          <w:sz w:val="20"/>
          <w:szCs w:val="20"/>
          <w14:ligatures w14:val="none"/>
        </w:rPr>
        <w:t>, e no </w:t>
      </w:r>
      <w:hyperlink r:id="rId287" w:anchor="art28" w:history="1">
        <w:r w:rsidRPr="00C22FC1">
          <w:rPr>
            <w:rFonts w:ascii="Arial" w:eastAsia="Times New Roman" w:hAnsi="Arial" w:cs="Arial"/>
            <w:color w:val="0000FF"/>
            <w:kern w:val="0"/>
            <w:sz w:val="20"/>
            <w:szCs w:val="20"/>
            <w:u w:val="single"/>
            <w14:ligatures w14:val="none"/>
          </w:rPr>
          <w:t>art. 28 da Lei nº 11.775, de 17 de setembro de 2008</w:t>
        </w:r>
      </w:hyperlink>
      <w:r w:rsidRPr="00C22FC1">
        <w:rPr>
          <w:rFonts w:ascii="Arial" w:eastAsia="Times New Roman" w:hAnsi="Arial" w:cs="Arial"/>
          <w:color w:val="000000"/>
          <w:kern w:val="0"/>
          <w:sz w:val="20"/>
          <w:szCs w:val="20"/>
          <w14:ligatures w14:val="none"/>
        </w:rPr>
        <w:t>, não remitidas na forma do art. 69 desta Lei, observadas ainda as seguintes condições:                    </w:t>
      </w:r>
      <w:hyperlink r:id="rId288" w:anchor="art21" w:history="1">
        <w:r w:rsidRPr="00C22FC1">
          <w:rPr>
            <w:rFonts w:ascii="Arial" w:eastAsia="Times New Roman" w:hAnsi="Arial" w:cs="Arial"/>
            <w:color w:val="0000FF"/>
            <w:kern w:val="0"/>
            <w:sz w:val="20"/>
            <w:szCs w:val="20"/>
            <w:u w:val="single"/>
            <w14:ligatures w14:val="none"/>
          </w:rPr>
          <w:t>(Redação dada pela Lei nº 12.599, de 2012)</w:t>
        </w:r>
      </w:hyperlink>
    </w:p>
    <w:p w14:paraId="2EC3736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para liquidação antecipada das operações renegociadas com base nos</w:t>
      </w:r>
      <w:hyperlink r:id="rId289" w:anchor="art2i" w:history="1">
        <w:r w:rsidRPr="00C22FC1">
          <w:rPr>
            <w:rFonts w:ascii="Arial" w:eastAsia="Times New Roman" w:hAnsi="Arial" w:cs="Arial"/>
            <w:color w:val="0000FF"/>
            <w:kern w:val="0"/>
            <w:sz w:val="20"/>
            <w:szCs w:val="20"/>
            <w:u w:val="single"/>
            <w14:ligatures w14:val="none"/>
          </w:rPr>
          <w:t> incisos I e II do art. 2º da Lei nº 11.322, de 13 de julho de 2006,</w:t>
        </w:r>
      </w:hyperlink>
      <w:r w:rsidRPr="00C22FC1">
        <w:rPr>
          <w:rFonts w:ascii="Arial" w:eastAsia="Times New Roman" w:hAnsi="Arial" w:cs="Arial"/>
          <w:color w:val="000000"/>
          <w:kern w:val="0"/>
          <w:sz w:val="20"/>
          <w:szCs w:val="20"/>
          <w14:ligatures w14:val="none"/>
        </w:rPr>
        <w:t> será concedido rebate de 65% (sessenta e cinco por cento) sobre o saldo devedor da dívida, atualizado pelos encargos financeiros contratuais aplicáveis para a situação de normalidade, excluídos os bônus, sendo que nas regiões do semiárido, no norte do Espírito Santo e nos Municípios do norte de Minas Gerais, do Vale do Jequitinhonha e do Vale do Mucuri, compreendidos na área de atuação da Superintendência de Desenvolvimento do Nordeste - SUDENE, o rebate para liquidação será de 85% (oitenta e cinco por cento);</w:t>
      </w:r>
    </w:p>
    <w:p w14:paraId="1B2E55C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para liquidação antecipada das operações renegociadas com base no </w:t>
      </w:r>
      <w:hyperlink r:id="rId290" w:anchor="art2%C2%A75iii" w:history="1">
        <w:r w:rsidRPr="00C22FC1">
          <w:rPr>
            <w:rFonts w:ascii="Arial" w:eastAsia="Times New Roman" w:hAnsi="Arial" w:cs="Arial"/>
            <w:color w:val="0000FF"/>
            <w:kern w:val="0"/>
            <w:sz w:val="20"/>
            <w:szCs w:val="20"/>
            <w:u w:val="single"/>
            <w14:ligatures w14:val="none"/>
          </w:rPr>
          <w:t>inciso III ou no § 5º do art. 2º da Lei nº 11.322, de 13 de julho de 2006,</w:t>
        </w:r>
      </w:hyperlink>
      <w:r w:rsidRPr="00C22FC1">
        <w:rPr>
          <w:rFonts w:ascii="Arial" w:eastAsia="Times New Roman" w:hAnsi="Arial" w:cs="Arial"/>
          <w:color w:val="000000"/>
          <w:kern w:val="0"/>
          <w:sz w:val="20"/>
          <w:szCs w:val="20"/>
          <w14:ligatures w14:val="none"/>
        </w:rPr>
        <w:t> observado o disposto no </w:t>
      </w:r>
      <w:hyperlink r:id="rId291" w:anchor="art28" w:history="1">
        <w:r w:rsidRPr="00C22FC1">
          <w:rPr>
            <w:rFonts w:ascii="Arial" w:eastAsia="Times New Roman" w:hAnsi="Arial" w:cs="Arial"/>
            <w:color w:val="0000FF"/>
            <w:kern w:val="0"/>
            <w:sz w:val="20"/>
            <w:szCs w:val="20"/>
            <w:u w:val="single"/>
            <w14:ligatures w14:val="none"/>
          </w:rPr>
          <w:t>art. 28 da Lei nº 11.775, de 17 de setembro de 2008:</w:t>
        </w:r>
      </w:hyperlink>
    </w:p>
    <w:p w14:paraId="5B9CE78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a) aplica-se o disposto no inciso I deste artigo para a parcela do saldo devedor que corresponda ao limite de R$ 15.000,00 (quinze mil reais) na data do contrato original;</w:t>
      </w:r>
    </w:p>
    <w:p w14:paraId="2D6B80D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b) será concedido rebate de 45% (quarenta e cinco por cento) sobre a parcela do saldo devedor da dívida, atualizado pelos encargos financeiros contratuais aplicáveis para a situação de normalidade, excluídos os bônus, que diz respeito ao crédito original excedente ao limite de R$ 15.000,00 (quinze mil reais), sendo que nas regiões do semiárido, no norte do Espírito Santo e nos Municípios do norte de Minas Gerais, do Vale do Jequitinhonha e do Vale do Mucuri, compreendidos na área de atuação da Superintendência de Desenvolvimento do Nordeste - SUDENE, o rebate para liquidação será de 75% (setenta e cinco por cento).</w:t>
      </w:r>
    </w:p>
    <w:p w14:paraId="103A543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disposto neste artigo também pode ser aplicado para liquidação das operações de crédito rural que se enquadrem nas condições para renegociação previstas no </w:t>
      </w:r>
      <w:hyperlink r:id="rId292" w:anchor="art2" w:history="1">
        <w:r w:rsidRPr="00C22FC1">
          <w:rPr>
            <w:rFonts w:ascii="Arial" w:eastAsia="Times New Roman" w:hAnsi="Arial" w:cs="Arial"/>
            <w:color w:val="0000FF"/>
            <w:kern w:val="0"/>
            <w:sz w:val="20"/>
            <w:szCs w:val="20"/>
            <w:u w:val="single"/>
            <w14:ligatures w14:val="none"/>
          </w:rPr>
          <w:t>art. 2º da Lei nº 11.322, de 13 de julho de 2006</w:t>
        </w:r>
      </w:hyperlink>
      <w:r w:rsidRPr="00C22FC1">
        <w:rPr>
          <w:rFonts w:ascii="Arial" w:eastAsia="Times New Roman" w:hAnsi="Arial" w:cs="Arial"/>
          <w:color w:val="000000"/>
          <w:kern w:val="0"/>
          <w:sz w:val="20"/>
          <w:szCs w:val="20"/>
          <w14:ligatures w14:val="none"/>
        </w:rPr>
        <w:t>, lastreadas em recursos do FNE, ou em recursos mistos do FNE com outras fontes, ou em recursos de outras fontes efetuadas com risco da União, ou ainda das operações contratadas no âmbito do Pronaf, cujos mutuários não as tenham renegociado nas condições ali estabelecidas, sendo que os rebates serão aplicados sobre o saldo devedor atualizado da seguinte forma:</w:t>
      </w:r>
    </w:p>
    <w:p w14:paraId="28BD2D2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até 15 de janeiro de 2001, pelos encargos financeiros originalmente contratados, sem bônus e sem encargos adicionais de inadimplemento;</w:t>
      </w:r>
    </w:p>
    <w:p w14:paraId="7C79F7F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de 16 de janeiro de 2001 até a data da liquidação da operação:</w:t>
      </w:r>
    </w:p>
    <w:p w14:paraId="6E2AFE3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a) para as operações efetuadas no âmbito do Pronaf, taxa efetiva de juros de 3% a.a. (três por cento ao ano);</w:t>
      </w:r>
    </w:p>
    <w:p w14:paraId="02689B3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b) para as demais operações, pelos encargos financeiros previstos no </w:t>
      </w:r>
      <w:hyperlink r:id="rId293" w:anchor="art45" w:history="1">
        <w:r w:rsidRPr="00C22FC1">
          <w:rPr>
            <w:rFonts w:ascii="Arial" w:eastAsia="Times New Roman" w:hAnsi="Arial" w:cs="Arial"/>
            <w:color w:val="0000FF"/>
            <w:kern w:val="0"/>
            <w:sz w:val="20"/>
            <w:szCs w:val="20"/>
            <w:u w:val="single"/>
            <w14:ligatures w14:val="none"/>
          </w:rPr>
          <w:t>art. 45 da Lei nº 11.775, de 17 de setembro de 2008</w:t>
        </w:r>
      </w:hyperlink>
      <w:r w:rsidRPr="00C22FC1">
        <w:rPr>
          <w:rFonts w:ascii="Arial" w:eastAsia="Times New Roman" w:hAnsi="Arial" w:cs="Arial"/>
          <w:color w:val="000000"/>
          <w:kern w:val="0"/>
          <w:sz w:val="20"/>
          <w:szCs w:val="20"/>
          <w14:ligatures w14:val="none"/>
        </w:rPr>
        <w:t>, para cada período, sem encargos adicionais de inadimplemento, observado o porte do mutuário.</w:t>
      </w:r>
    </w:p>
    <w:p w14:paraId="02176F3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disposto no §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 aplica-se às operações ali enquadráveis renegociadas com base em outros instrumentos legais, mantida a vedação prevista no </w:t>
      </w:r>
      <w:hyperlink r:id="rId294" w:anchor="art2%C2%A78" w:history="1">
        <w:r w:rsidRPr="00C22FC1">
          <w:rPr>
            <w:rFonts w:ascii="Arial" w:eastAsia="Times New Roman" w:hAnsi="Arial" w:cs="Arial"/>
            <w:color w:val="0000FF"/>
            <w:kern w:val="0"/>
            <w:sz w:val="20"/>
            <w:szCs w:val="20"/>
            <w:u w:val="single"/>
            <w14:ligatures w14:val="none"/>
          </w:rPr>
          <w:t>§ 8º do art. 2º da Lei no 11.322, de 13 de julho de 2006.</w:t>
        </w:r>
      </w:hyperlink>
    </w:p>
    <w:p w14:paraId="5812497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Caso o recálculo da dívida de que trata o §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 efetuado considerando os encargos financeiros de normalidade, resulte em saldo devedor zero ou menor que zero, a operação será considerada liquidada, não havendo, em hipótese alguma, devolução de valores a mutuários.</w:t>
      </w:r>
    </w:p>
    <w:p w14:paraId="5099BC8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44" w:name="art70§4"/>
      <w:bookmarkEnd w:id="144"/>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mutuário de operação de crédito rural que se enquadrar no disposto neste artigo, cujo saldo devedor atualizado pelos encargos financeiros contratuais aplicáveis para a situação de normalidade, excluídos os bônus, seja inferior a R$ 80.000,00 (oitenta mil reais), observado o disposto no §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do art. 69, e que não disponha de capacidade de pagamento para honrar sua dívida, recalculada nas condições e com os rebates de que trata este artigo, poderá solicitar desconto adicional para liquidação da sua dívida mediante apresentação de pedido formal à instituição financeira pública federal detentora da operação, contendo demonstrativo de sua incapacidade de pagamento.</w:t>
      </w:r>
    </w:p>
    <w:p w14:paraId="34E1AEB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fins do disposto no §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 caberá ao Poder Executivo definir em regulamento:</w:t>
      </w:r>
    </w:p>
    <w:p w14:paraId="50F8034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os prazos para a solicitação do desconto adicional;</w:t>
      </w:r>
    </w:p>
    <w:p w14:paraId="55A3D85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os documentos exigidos para a comprovação da incapacidade de pagamento do mutuário;</w:t>
      </w:r>
    </w:p>
    <w:p w14:paraId="09AEADD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os percentuais de descontos adicionais que poderão ser concedidos, considerando as diferentes situações;</w:t>
      </w:r>
    </w:p>
    <w:p w14:paraId="0D4FC1B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45" w:name="art70§5iv"/>
      <w:bookmarkEnd w:id="145"/>
      <w:r w:rsidRPr="00C22FC1">
        <w:rPr>
          <w:rFonts w:ascii="Arial" w:eastAsia="Times New Roman" w:hAnsi="Arial" w:cs="Arial"/>
          <w:color w:val="000000"/>
          <w:kern w:val="0"/>
          <w:sz w:val="20"/>
          <w:szCs w:val="20"/>
          <w14:ligatures w14:val="none"/>
        </w:rPr>
        <w:t>IV - a criação de grupo de trabalho para acompanhar e monitorar a implementação das medidas de que trata este artigo; e</w:t>
      </w:r>
    </w:p>
    <w:p w14:paraId="47C81EB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 - demais normas necessárias à implantação do disposto no §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w:t>
      </w:r>
    </w:p>
    <w:p w14:paraId="634F2F0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É o FNE autorizado a assumir os ônus decorrentes das disposições deste artigo referentes às operações lastreadas em seus recursos e às operações lastreadas em recursos mistos do FNE com outras fontes.</w:t>
      </w:r>
    </w:p>
    <w:p w14:paraId="6FCB92C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É a União autorizada a assumir os ônus decorrentes das disposições deste artigo referentes às operações efetuadas com outras fontes no âmbito do Pronaf e às demais operações efetuadas com risco da União.</w:t>
      </w:r>
    </w:p>
    <w:p w14:paraId="6FCBC75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8</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É o Poder Executivo autorizado a definir a metodologia e as demais condições para ressarcir às instituições financeiras públicas federais os custos da remissão e dos rebates definidos neste artigo para as operações ou parcelas das operações efetuadas com risco da instituição financeira, observado o disposto nos §§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w:t>
      </w:r>
    </w:p>
    <w:p w14:paraId="77AA7093" w14:textId="77777777" w:rsidR="00C22FC1" w:rsidRPr="00C22FC1" w:rsidRDefault="00C22FC1" w:rsidP="00C22FC1">
      <w:pPr>
        <w:spacing w:before="300" w:after="300" w:line="240" w:lineRule="auto"/>
        <w:ind w:firstLine="570"/>
        <w:rPr>
          <w:rFonts w:ascii="Arial" w:eastAsia="Times New Roman" w:hAnsi="Arial" w:cs="Arial"/>
          <w:color w:val="000000"/>
          <w:kern w:val="0"/>
          <w:sz w:val="20"/>
          <w:szCs w:val="20"/>
          <w14:ligatures w14:val="none"/>
        </w:rPr>
      </w:pPr>
      <w:bookmarkStart w:id="146" w:name="art70§9"/>
      <w:bookmarkEnd w:id="146"/>
      <w:r w:rsidRPr="00C22FC1">
        <w:rPr>
          <w:rFonts w:ascii="Arial" w:eastAsia="Times New Roman" w:hAnsi="Arial" w:cs="Arial"/>
          <w:color w:val="000000"/>
          <w:kern w:val="0"/>
          <w:sz w:val="20"/>
          <w:szCs w:val="20"/>
          <w14:ligatures w14:val="none"/>
        </w:rPr>
        <w:t>§ 9º  Fica autorizada a suspensão das execuções judiciais e dos respectivos prazos processuais referentes às operações enquadráveis neste artigo até a data limite para concessão de rebate definida no caput, desde que o mutuário formalize interesse em liquidar a operação perante a instituição financeira.                  </w:t>
      </w:r>
      <w:hyperlink r:id="rId295" w:anchor="art21" w:history="1">
        <w:r w:rsidRPr="00C22FC1">
          <w:rPr>
            <w:rFonts w:ascii="Arial" w:eastAsia="Times New Roman" w:hAnsi="Arial" w:cs="Arial"/>
            <w:color w:val="0000FF"/>
            <w:kern w:val="0"/>
            <w:sz w:val="20"/>
            <w:szCs w:val="20"/>
            <w:u w:val="single"/>
            <w14:ligatures w14:val="none"/>
          </w:rPr>
          <w:t>(Incluído pela Lei nº 12.599, de 2012)</w:t>
        </w:r>
      </w:hyperlink>
    </w:p>
    <w:p w14:paraId="60ADA4DF" w14:textId="77777777" w:rsidR="00C22FC1" w:rsidRPr="00C22FC1" w:rsidRDefault="00C22FC1" w:rsidP="00C22FC1">
      <w:pPr>
        <w:spacing w:before="300" w:after="300" w:line="240" w:lineRule="auto"/>
        <w:ind w:firstLine="570"/>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 10.  O prazo de prescrição das dívidas de que trata o caput fica suspenso a partir da data de publicação desta Lei até 29 de março de 2013.                     </w:t>
      </w:r>
      <w:hyperlink r:id="rId296" w:anchor="art21" w:history="1">
        <w:r w:rsidRPr="00C22FC1">
          <w:rPr>
            <w:rFonts w:ascii="Arial" w:eastAsia="Times New Roman" w:hAnsi="Arial" w:cs="Arial"/>
            <w:color w:val="0000FF"/>
            <w:kern w:val="0"/>
            <w:sz w:val="20"/>
            <w:szCs w:val="20"/>
            <w:u w:val="single"/>
            <w14:ligatures w14:val="none"/>
          </w:rPr>
          <w:t>(Incluído pela Lei nº 12.599, de 2012)</w:t>
        </w:r>
      </w:hyperlink>
    </w:p>
    <w:p w14:paraId="009AE764"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47" w:name="art70a"/>
      <w:bookmarkEnd w:id="147"/>
      <w:r w:rsidRPr="00C22FC1">
        <w:rPr>
          <w:rFonts w:ascii="Arial" w:eastAsia="Times New Roman" w:hAnsi="Arial" w:cs="Arial"/>
          <w:strike/>
          <w:color w:val="000000"/>
          <w:kern w:val="0"/>
          <w:sz w:val="20"/>
          <w:szCs w:val="20"/>
          <w14:ligatures w14:val="none"/>
        </w:rPr>
        <w:t>Art. 70-A.  Aplica-se o disposto no art. 70 às operações de crédito rural contratadas até 31 de dezembro de 2006 no âmbito do Pronaf nos Municípios da área de abrangência da Sudene com decretação de situação de emergência ou de estado de calamidade pública em decorrência de seca ou estiagem reconhecido pelo Ministério da Integração Nacional a partir de 1</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de dezembro de 2011, desde que as operações se enquadrem nas demais condições definidas no art. 70.                     </w:t>
      </w:r>
      <w:hyperlink r:id="rId297" w:anchor="art8" w:history="1">
        <w:r w:rsidRPr="00C22FC1">
          <w:rPr>
            <w:rFonts w:ascii="Arial" w:eastAsia="Times New Roman" w:hAnsi="Arial" w:cs="Arial"/>
            <w:strike/>
            <w:color w:val="0000FF"/>
            <w:kern w:val="0"/>
            <w:sz w:val="20"/>
            <w:szCs w:val="20"/>
            <w:u w:val="single"/>
            <w14:ligatures w14:val="none"/>
          </w:rPr>
          <w:t>(Incluído pela Medida Provisória nº 610, de 2013)</w:t>
        </w:r>
      </w:hyperlink>
      <w:r w:rsidRPr="00C22FC1">
        <w:rPr>
          <w:rFonts w:ascii="Arial" w:eastAsia="Times New Roman" w:hAnsi="Arial" w:cs="Arial"/>
          <w:strike/>
          <w:color w:val="000000"/>
          <w:kern w:val="0"/>
          <w:sz w:val="20"/>
          <w:szCs w:val="20"/>
          <w14:ligatures w14:val="none"/>
        </w:rPr>
        <w:t>    </w:t>
      </w:r>
      <w:r w:rsidRPr="00C22FC1">
        <w:rPr>
          <w:rFonts w:ascii="Arial" w:eastAsia="Times New Roman" w:hAnsi="Arial" w:cs="Arial"/>
          <w:color w:val="000000"/>
          <w:kern w:val="0"/>
          <w:sz w:val="20"/>
          <w:szCs w:val="20"/>
          <w14:ligatures w14:val="none"/>
        </w:rPr>
        <w:t>             </w:t>
      </w:r>
      <w:hyperlink r:id="rId298" w:anchor="art19" w:history="1">
        <w:r w:rsidRPr="00C22FC1">
          <w:rPr>
            <w:rFonts w:ascii="Arial" w:eastAsia="Times New Roman" w:hAnsi="Arial" w:cs="Arial"/>
            <w:color w:val="0000FF"/>
            <w:kern w:val="0"/>
            <w:sz w:val="20"/>
            <w:szCs w:val="20"/>
            <w:u w:val="single"/>
            <w14:ligatures w14:val="none"/>
          </w:rPr>
          <w:t>(Vide Lei nº 12.844, de 2013)</w:t>
        </w:r>
      </w:hyperlink>
    </w:p>
    <w:p w14:paraId="51AB9BC7"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1º A  liquidação das operações de que trata o </w:t>
      </w:r>
      <w:r w:rsidRPr="00C22FC1">
        <w:rPr>
          <w:rFonts w:ascii="Arial" w:eastAsia="Times New Roman" w:hAnsi="Arial" w:cs="Arial"/>
          <w:b/>
          <w:bCs/>
          <w:strike/>
          <w:color w:val="000000"/>
          <w:kern w:val="0"/>
          <w:sz w:val="20"/>
          <w:szCs w:val="20"/>
          <w14:ligatures w14:val="none"/>
        </w:rPr>
        <w:t>caput</w:t>
      </w:r>
      <w:r w:rsidRPr="00C22FC1">
        <w:rPr>
          <w:rFonts w:ascii="Arial" w:eastAsia="Times New Roman" w:hAnsi="Arial" w:cs="Arial"/>
          <w:strike/>
          <w:color w:val="000000"/>
          <w:kern w:val="0"/>
          <w:sz w:val="20"/>
          <w:szCs w:val="20"/>
          <w14:ligatures w14:val="none"/>
        </w:rPr>
        <w:t> deverá ser realizada até 30 de dezembro de 2014.                    </w:t>
      </w:r>
      <w:hyperlink r:id="rId299" w:anchor="art8" w:history="1">
        <w:r w:rsidRPr="00C22FC1">
          <w:rPr>
            <w:rFonts w:ascii="Arial" w:eastAsia="Times New Roman" w:hAnsi="Arial" w:cs="Arial"/>
            <w:strike/>
            <w:color w:val="0000FF"/>
            <w:kern w:val="0"/>
            <w:sz w:val="20"/>
            <w:szCs w:val="20"/>
            <w:u w:val="single"/>
            <w14:ligatures w14:val="none"/>
          </w:rPr>
          <w:t>(Incluído pela Medida Provisória nº 610, de 2013)</w:t>
        </w:r>
      </w:hyperlink>
    </w:p>
    <w:p w14:paraId="3F8400D4"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2º  Não se aplica o disposto nos §§ 4º e 5º do art. 70 para efeito da liquidação de operações de crédito rural.                   </w:t>
      </w:r>
      <w:hyperlink r:id="rId300" w:anchor="art8" w:history="1">
        <w:r w:rsidRPr="00C22FC1">
          <w:rPr>
            <w:rFonts w:ascii="Arial" w:eastAsia="Times New Roman" w:hAnsi="Arial" w:cs="Arial"/>
            <w:strike/>
            <w:color w:val="0000FF"/>
            <w:kern w:val="0"/>
            <w:sz w:val="20"/>
            <w:szCs w:val="20"/>
            <w:u w:val="single"/>
            <w14:ligatures w14:val="none"/>
          </w:rPr>
          <w:t>(Incluído pela Medida Provisória nº 610, de 2013)</w:t>
        </w:r>
      </w:hyperlink>
    </w:p>
    <w:p w14:paraId="46209AA9"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3</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O prazo de prescrição das dívidas de que trata o </w:t>
      </w:r>
      <w:r w:rsidRPr="00C22FC1">
        <w:rPr>
          <w:rFonts w:ascii="Arial" w:eastAsia="Times New Roman" w:hAnsi="Arial" w:cs="Arial"/>
          <w:b/>
          <w:bCs/>
          <w:strike/>
          <w:color w:val="000000"/>
          <w:kern w:val="0"/>
          <w:sz w:val="20"/>
          <w:szCs w:val="20"/>
          <w14:ligatures w14:val="none"/>
        </w:rPr>
        <w:t>caput</w:t>
      </w:r>
      <w:r w:rsidRPr="00C22FC1">
        <w:rPr>
          <w:rFonts w:ascii="Arial" w:eastAsia="Times New Roman" w:hAnsi="Arial" w:cs="Arial"/>
          <w:strike/>
          <w:color w:val="000000"/>
          <w:kern w:val="0"/>
          <w:sz w:val="20"/>
          <w:szCs w:val="20"/>
          <w14:ligatures w14:val="none"/>
        </w:rPr>
        <w:t> fica suspenso a partir de 4 de abril de 2013 até 30 de dezembro de 2014.                      </w:t>
      </w:r>
      <w:hyperlink r:id="rId301" w:anchor="art8" w:history="1">
        <w:r w:rsidRPr="00C22FC1">
          <w:rPr>
            <w:rFonts w:ascii="Arial" w:eastAsia="Times New Roman" w:hAnsi="Arial" w:cs="Arial"/>
            <w:strike/>
            <w:color w:val="0000FF"/>
            <w:kern w:val="0"/>
            <w:sz w:val="20"/>
            <w:szCs w:val="20"/>
            <w:u w:val="single"/>
            <w14:ligatures w14:val="none"/>
          </w:rPr>
          <w:t>(Incluído pela Medida Provisória nº 610, de 2013)</w:t>
        </w:r>
      </w:hyperlink>
    </w:p>
    <w:p w14:paraId="6BDA107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48" w:name="art71"/>
      <w:bookmarkEnd w:id="148"/>
      <w:r w:rsidRPr="00C22FC1">
        <w:rPr>
          <w:rFonts w:ascii="Arial" w:eastAsia="Times New Roman" w:hAnsi="Arial" w:cs="Arial"/>
          <w:color w:val="000000"/>
          <w:kern w:val="0"/>
          <w:sz w:val="20"/>
          <w:szCs w:val="20"/>
          <w14:ligatures w14:val="none"/>
        </w:rPr>
        <w:t>Art. 71.  São remitidas as dívidas referentes às operações de crédito rural do Grupo ‘B’ do Pronaf contratadas até 31 de dezembro de 2004 com recursos do orçamento geral da União ou dos Fundos Constitucionais de Financiamento do Nordeste, Norte e Centro-Oeste, efetuadas com risco da União ou dos respectivos Fundos, cujo valor contratado por mutuário tenha sido de até R$ 1.000,00 (mil reais).                   </w:t>
      </w:r>
      <w:hyperlink r:id="rId302" w:history="1">
        <w:r w:rsidRPr="00C22FC1">
          <w:rPr>
            <w:rFonts w:ascii="Arial" w:eastAsia="Times New Roman" w:hAnsi="Arial" w:cs="Arial"/>
            <w:color w:val="0000FF"/>
            <w:kern w:val="0"/>
            <w:sz w:val="20"/>
            <w:szCs w:val="20"/>
            <w:u w:val="single"/>
            <w14:ligatures w14:val="none"/>
          </w:rPr>
          <w:t>(Vide Decreto nº 7.339, de 2010)</w:t>
        </w:r>
      </w:hyperlink>
    </w:p>
    <w:p w14:paraId="27B6CBF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fins de enquadramento na remissão de que trata o caput</w:t>
      </w:r>
      <w:r w:rsidRPr="00C22FC1">
        <w:rPr>
          <w:rFonts w:ascii="Arial" w:eastAsia="Times New Roman" w:hAnsi="Arial" w:cs="Arial"/>
          <w:i/>
          <w:iCs/>
          <w:color w:val="000000"/>
          <w:kern w:val="0"/>
          <w:sz w:val="20"/>
          <w:szCs w:val="20"/>
          <w14:ligatures w14:val="none"/>
        </w:rPr>
        <w:t> </w:t>
      </w:r>
      <w:r w:rsidRPr="00C22FC1">
        <w:rPr>
          <w:rFonts w:ascii="Arial" w:eastAsia="Times New Roman" w:hAnsi="Arial" w:cs="Arial"/>
          <w:color w:val="000000"/>
          <w:kern w:val="0"/>
          <w:sz w:val="20"/>
          <w:szCs w:val="20"/>
          <w14:ligatures w14:val="none"/>
        </w:rPr>
        <w:t>deste artigo, no caso de operações de crédito rural grupais ou coletivas, o valor considerado por mutuário será obtido pelo resultado da divisão do valor contratado da operação pelo número de mutuários constantes da cédula de crédito.</w:t>
      </w:r>
    </w:p>
    <w:p w14:paraId="2ABAE29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Aplica-se o disposto neste artigo às operações nele enquadradas que tenham sido renegociadas ao amparo de legislação específica, inclusive àquelas efetuadas por meio de resoluções do Conselho Monetário Nacional - CMN.</w:t>
      </w:r>
    </w:p>
    <w:p w14:paraId="5E93DFB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Aplica-se o disposto neste artigo às operações nele enquadradas que tenham sido inscritas ou estejam em processo de inscrição na Dívida Ativa da União - DAU.</w:t>
      </w:r>
    </w:p>
    <w:p w14:paraId="69F9A0E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remissão de que trata este artigo é limitada ao saldo devedor existente na data de promulgação desta Lei, não cabendo devolução de recursos aos mutuários que já tenham efetuado o pagamento total ou parcial das operações.</w:t>
      </w:r>
    </w:p>
    <w:p w14:paraId="289DC33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São a União e os Fundos Constitucionais de Financiamento autorizados a assumir os ônus decorrentes das disposições deste artigo referentes às operações realizadas com os respectivos recursos.</w:t>
      </w:r>
    </w:p>
    <w:p w14:paraId="4755CE0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49" w:name="art72"/>
      <w:bookmarkEnd w:id="149"/>
      <w:r w:rsidRPr="00C22FC1">
        <w:rPr>
          <w:rFonts w:ascii="Arial" w:eastAsia="Times New Roman" w:hAnsi="Arial" w:cs="Arial"/>
          <w:strike/>
          <w:color w:val="000000"/>
          <w:kern w:val="0"/>
          <w:sz w:val="20"/>
          <w:szCs w:val="20"/>
          <w14:ligatures w14:val="none"/>
        </w:rPr>
        <w:t>Art. 72.  É autorizada a concessão de rebate de 60% (sessenta por cento) sobre o saldo devedor atualizado pelos encargos financeiros contratuais aplicáveis para a situação de normalidade, excluídos os bônus, para a liquidação, até 30 de novembro de 2011, das operações de crédito rural do Grupo ‘B’ do Pronaf contratadas entre 2 de janeiro de 2005 e 31 de dezembro de 2006, com recursos do orçamento geral da União ou dos Fundos Constitucionais de Financiamento do Nordeste, Norte e Centro-Oeste, efetuadas com risco da União ou dos respectivos Fundos, cujo valor contratado por mutuário tenha sido de até R$ 1.500,00 (mil e quinhentos reais).                        </w:t>
      </w:r>
      <w:hyperlink r:id="rId303" w:history="1">
        <w:r w:rsidRPr="00C22FC1">
          <w:rPr>
            <w:rFonts w:ascii="Arial" w:eastAsia="Times New Roman" w:hAnsi="Arial" w:cs="Arial"/>
            <w:strike/>
            <w:color w:val="0000FF"/>
            <w:kern w:val="0"/>
            <w:sz w:val="20"/>
            <w:szCs w:val="20"/>
            <w:u w:val="single"/>
            <w14:ligatures w14:val="none"/>
          </w:rPr>
          <w:t>(Vide Decreto nº 7.339, de 2010)</w:t>
        </w:r>
      </w:hyperlink>
    </w:p>
    <w:p w14:paraId="41CE726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50" w:name="art72."/>
      <w:bookmarkEnd w:id="150"/>
      <w:r w:rsidRPr="00C22FC1">
        <w:rPr>
          <w:rFonts w:ascii="Arial" w:eastAsia="Times New Roman" w:hAnsi="Arial" w:cs="Arial"/>
          <w:color w:val="000000"/>
          <w:kern w:val="0"/>
          <w:sz w:val="20"/>
          <w:szCs w:val="20"/>
          <w14:ligatures w14:val="none"/>
        </w:rPr>
        <w:t xml:space="preserve">Art. 72.  É autorizada a concessão de rebate de 60% (sessenta por cento) sobre o saldo devedor atualizado pelos encargos financeiros contratuais aplicáveis para a situação de normalidade, excluídos os bônus, para a liquidação, até 29 de março de 2013, das operações de crédito rural do Grupo ‘B’ do Pronaf contratadas entre 2 de janeiro de 2005 e 31 de </w:t>
      </w:r>
      <w:r w:rsidRPr="00C22FC1">
        <w:rPr>
          <w:rFonts w:ascii="Arial" w:eastAsia="Times New Roman" w:hAnsi="Arial" w:cs="Arial"/>
          <w:color w:val="000000"/>
          <w:kern w:val="0"/>
          <w:sz w:val="20"/>
          <w:szCs w:val="20"/>
          <w14:ligatures w14:val="none"/>
        </w:rPr>
        <w:lastRenderedPageBreak/>
        <w:t>dezembro de 2006, com recursos do orçamento geral da União ou dos Fundos Constitucionais de Financiamento do Nordeste, Norte e Centro-Oeste, efetuadas com risco da União ou dos respectivos Fundos, cujo valor contratado por mutuário tenha sido de até R$ 1.500,00 (mil e quinhentos reais).                  </w:t>
      </w:r>
      <w:hyperlink r:id="rId304" w:anchor="art21" w:history="1">
        <w:r w:rsidRPr="00C22FC1">
          <w:rPr>
            <w:rFonts w:ascii="Arial" w:eastAsia="Times New Roman" w:hAnsi="Arial" w:cs="Arial"/>
            <w:color w:val="0000FF"/>
            <w:kern w:val="0"/>
            <w:sz w:val="20"/>
            <w:szCs w:val="20"/>
            <w:u w:val="single"/>
            <w14:ligatures w14:val="none"/>
          </w:rPr>
          <w:t>(Redação dada pela Lei nº 12.599, de 2012)</w:t>
        </w:r>
      </w:hyperlink>
    </w:p>
    <w:p w14:paraId="2806F32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fins de enquadramento na concessão do rebate de que trata o caput</w:t>
      </w:r>
      <w:r w:rsidRPr="00C22FC1">
        <w:rPr>
          <w:rFonts w:ascii="Arial" w:eastAsia="Times New Roman" w:hAnsi="Arial" w:cs="Arial"/>
          <w:i/>
          <w:iCs/>
          <w:color w:val="000000"/>
          <w:kern w:val="0"/>
          <w:sz w:val="20"/>
          <w:szCs w:val="20"/>
          <w14:ligatures w14:val="none"/>
        </w:rPr>
        <w:t> </w:t>
      </w:r>
      <w:r w:rsidRPr="00C22FC1">
        <w:rPr>
          <w:rFonts w:ascii="Arial" w:eastAsia="Times New Roman" w:hAnsi="Arial" w:cs="Arial"/>
          <w:color w:val="000000"/>
          <w:kern w:val="0"/>
          <w:sz w:val="20"/>
          <w:szCs w:val="20"/>
          <w14:ligatures w14:val="none"/>
        </w:rPr>
        <w:t>deste artigo, no caso de operações de crédito rural grupais ou coletivas, o valor considerado por mutuário será obtido pelo resultado da divisão do saldo devedor da operação pelo número de mutuários constantes da cédula de crédito.</w:t>
      </w:r>
    </w:p>
    <w:p w14:paraId="2DAA883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disposto neste artigo aplica-se às operações nele enquadradas que tenham sido renegociadas ao amparo de legislação específica, inclusive àquelas efetuadas por meio de resoluções do CMN.</w:t>
      </w:r>
    </w:p>
    <w:p w14:paraId="0239760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rebate previsto neste artigo substitui os rebates e os bônus de adimplência contratuais, inclusive nos casos previstos no §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w:t>
      </w:r>
    </w:p>
    <w:p w14:paraId="717203F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São a União e os Fundos Constitucionais de Financiamento autorizados a assumir os ônus decorrentes das disposições deste artigo referentes às operações realizadas com os respectivos recursos.</w:t>
      </w:r>
    </w:p>
    <w:p w14:paraId="3E10277B" w14:textId="77777777" w:rsidR="00C22FC1" w:rsidRPr="00C22FC1" w:rsidRDefault="00C22FC1" w:rsidP="00C22FC1">
      <w:pPr>
        <w:spacing w:before="300" w:after="300" w:line="240" w:lineRule="auto"/>
        <w:ind w:firstLine="570"/>
        <w:rPr>
          <w:rFonts w:ascii="Arial" w:eastAsia="Times New Roman" w:hAnsi="Arial" w:cs="Arial"/>
          <w:color w:val="000000"/>
          <w:kern w:val="0"/>
          <w:sz w:val="20"/>
          <w:szCs w:val="20"/>
          <w14:ligatures w14:val="none"/>
        </w:rPr>
      </w:pPr>
      <w:bookmarkStart w:id="151" w:name="art72§5"/>
      <w:bookmarkEnd w:id="151"/>
      <w:r w:rsidRPr="00C22FC1">
        <w:rPr>
          <w:rFonts w:ascii="Arial" w:eastAsia="Times New Roman" w:hAnsi="Arial" w:cs="Arial"/>
          <w:color w:val="000000"/>
          <w:kern w:val="0"/>
          <w:sz w:val="20"/>
          <w:szCs w:val="20"/>
          <w14:ligatures w14:val="none"/>
        </w:rPr>
        <w:t>§ 5º  Fica autorizada a suspensão das execuções judiciais e dos respectivos prazos processuais referentes às operações enquadráveis neste artigo até a data limite para concessão de rebate definida no caput, desde que o mutuário formalize interesse em liquidar a operação perante a instituição financeira.                 </w:t>
      </w:r>
      <w:hyperlink r:id="rId305" w:anchor="art21" w:history="1">
        <w:r w:rsidRPr="00C22FC1">
          <w:rPr>
            <w:rFonts w:ascii="Arial" w:eastAsia="Times New Roman" w:hAnsi="Arial" w:cs="Arial"/>
            <w:color w:val="0000FF"/>
            <w:kern w:val="0"/>
            <w:sz w:val="20"/>
            <w:szCs w:val="20"/>
            <w:u w:val="single"/>
            <w14:ligatures w14:val="none"/>
          </w:rPr>
          <w:t>(Incluído pela Lei nº 12.599, de 2012)</w:t>
        </w:r>
      </w:hyperlink>
    </w:p>
    <w:p w14:paraId="0CC75C00" w14:textId="77777777" w:rsidR="00C22FC1" w:rsidRPr="00C22FC1" w:rsidRDefault="00C22FC1" w:rsidP="00C22FC1">
      <w:pPr>
        <w:spacing w:before="300" w:after="300" w:line="240" w:lineRule="auto"/>
        <w:ind w:firstLine="570"/>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prazo de prescrição das dívidas de que trata o caput fica suspenso a partir da data de publicação desta Lei até 29 de março de 2013.                     </w:t>
      </w:r>
      <w:hyperlink r:id="rId306" w:anchor="art21" w:history="1">
        <w:r w:rsidRPr="00C22FC1">
          <w:rPr>
            <w:rFonts w:ascii="Arial" w:eastAsia="Times New Roman" w:hAnsi="Arial" w:cs="Arial"/>
            <w:color w:val="0000FF"/>
            <w:kern w:val="0"/>
            <w:sz w:val="20"/>
            <w:szCs w:val="20"/>
            <w:u w:val="single"/>
            <w14:ligatures w14:val="none"/>
          </w:rPr>
          <w:t>(Incluído pela Lei nº 12.599, de 2012)</w:t>
        </w:r>
      </w:hyperlink>
    </w:p>
    <w:p w14:paraId="572115F5"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52" w:name="art73.."/>
      <w:bookmarkEnd w:id="152"/>
      <w:r w:rsidRPr="00C22FC1">
        <w:rPr>
          <w:rFonts w:ascii="Arial" w:eastAsia="Times New Roman" w:hAnsi="Arial" w:cs="Arial"/>
          <w:strike/>
          <w:color w:val="000000"/>
          <w:kern w:val="0"/>
          <w:sz w:val="20"/>
          <w:szCs w:val="20"/>
          <w14:ligatures w14:val="none"/>
        </w:rPr>
        <w:t>Art. 73.  O CMN poderá definir normas complementares para a operacionalização do disposto nos arts. 69, 70, 71 e 72 desta Lei.</w:t>
      </w:r>
    </w:p>
    <w:p w14:paraId="2B544D6B"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53" w:name="art73"/>
      <w:bookmarkEnd w:id="153"/>
      <w:r w:rsidRPr="00C22FC1">
        <w:rPr>
          <w:rFonts w:ascii="Arial" w:eastAsia="Times New Roman" w:hAnsi="Arial" w:cs="Arial"/>
          <w:strike/>
          <w:color w:val="000000"/>
          <w:kern w:val="0"/>
          <w:sz w:val="20"/>
          <w:szCs w:val="20"/>
          <w14:ligatures w14:val="none"/>
        </w:rPr>
        <w:t>Art. 73. O CMN poderá definir normas complementares para a operacionalização do disposto nos arts. 69, 70, 70-A, 71 e 72.                      </w:t>
      </w:r>
      <w:hyperlink r:id="rId307" w:anchor="art8" w:history="1">
        <w:r w:rsidRPr="00C22FC1">
          <w:rPr>
            <w:rFonts w:ascii="Arial" w:eastAsia="Times New Roman" w:hAnsi="Arial" w:cs="Arial"/>
            <w:strike/>
            <w:color w:val="0000FF"/>
            <w:kern w:val="0"/>
            <w:sz w:val="20"/>
            <w:szCs w:val="20"/>
            <w:u w:val="single"/>
            <w14:ligatures w14:val="none"/>
          </w:rPr>
          <w:t>(Redação dada pela Medida Provisória nº 610, de 2013)</w:t>
        </w:r>
      </w:hyperlink>
    </w:p>
    <w:p w14:paraId="5C2ACD8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54" w:name="art73."/>
      <w:bookmarkEnd w:id="154"/>
      <w:r w:rsidRPr="00C22FC1">
        <w:rPr>
          <w:rFonts w:ascii="Arial" w:eastAsia="Times New Roman" w:hAnsi="Arial" w:cs="Arial"/>
          <w:color w:val="000000"/>
          <w:kern w:val="0"/>
          <w:sz w:val="20"/>
          <w:szCs w:val="20"/>
          <w14:ligatures w14:val="none"/>
        </w:rPr>
        <w:t>Art. 73.  O CMN poderá definir normas complementares para a operacionalização do disposto nos arts. 69, 70, 71 e 72 desta Lei.</w:t>
      </w:r>
    </w:p>
    <w:p w14:paraId="711C5F3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55" w:name="art74"/>
      <w:bookmarkEnd w:id="155"/>
      <w:r w:rsidRPr="00C22FC1">
        <w:rPr>
          <w:rFonts w:ascii="Arial" w:eastAsia="Times New Roman" w:hAnsi="Arial" w:cs="Arial"/>
          <w:color w:val="000000"/>
          <w:kern w:val="0"/>
          <w:sz w:val="20"/>
          <w:szCs w:val="20"/>
          <w14:ligatures w14:val="none"/>
        </w:rPr>
        <w:t>Art. 74.  O art.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9.126, de 10 de novembro de 1995, passa a vigorar com a seguinte redação:</w:t>
      </w:r>
    </w:p>
    <w:p w14:paraId="687E3F6F"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308" w:anchor="art7." w:history="1">
        <w:r w:rsidRPr="00C22FC1">
          <w:rPr>
            <w:rFonts w:ascii="Arial" w:eastAsia="Times New Roman" w:hAnsi="Arial" w:cs="Arial"/>
            <w:color w:val="0000FF"/>
            <w:kern w:val="0"/>
            <w:sz w:val="20"/>
            <w:szCs w:val="20"/>
            <w:u w:val="single"/>
            <w14:ligatures w14:val="none"/>
          </w:rPr>
          <w:t>“Art. 7</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w:t>
        </w:r>
      </w:hyperlink>
      <w:r w:rsidRPr="00C22FC1">
        <w:rPr>
          <w:rFonts w:ascii="Arial" w:eastAsia="Times New Roman" w:hAnsi="Arial" w:cs="Arial"/>
          <w:color w:val="000000"/>
          <w:kern w:val="0"/>
          <w:sz w:val="20"/>
          <w:szCs w:val="20"/>
          <w14:ligatures w14:val="none"/>
        </w:rPr>
        <w:t> Os bancos administradores aplicarão 10% (dez por cento) dos recursos dos Fundos Constitucionais de Financiamento das Regiões Norte, Nordeste e Centro-Oeste para financiamento a assentados e a colonos nos programas oficiais de assentamento, colonização e reforma agrária, aprovados pelo Instituto Nacional de Colonização e Reforma Agrária - INCRA, bem como a beneficiários do Fundo de Terras e da Reforma Agrária, instituído pela Lei Complementar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93, de 4 de fevereiro de 1998.</w:t>
      </w:r>
    </w:p>
    <w:p w14:paraId="4E547FD5"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Os contratos de financiamento de projetos de estruturação inicial dos assentados, colonos ou beneficiários do Fundo de Terras e da Reforma Agrária, a que se refere o caput deste artigo, ainda não beneficiados com crédito direcionado exclusivamente para essa categoria de agricultores, serão realizados por bancos oficiais federais com risco para o respectivo Fundo Constitucional, observadas as condições definidas pelo Conselho Monetário Nacional para essas operações de crédito.</w:t>
      </w:r>
    </w:p>
    <w:p w14:paraId="1AB8E78C"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Aplica-se o disposto no §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xml:space="preserve"> aos contratos de financiamento de projetos de estruturação complementar daqueles assentados, colonos ou beneficiários do Fundo de Terras e da </w:t>
      </w:r>
      <w:r w:rsidRPr="00C22FC1">
        <w:rPr>
          <w:rFonts w:ascii="Arial" w:eastAsia="Times New Roman" w:hAnsi="Arial" w:cs="Arial"/>
          <w:color w:val="000000"/>
          <w:kern w:val="0"/>
          <w:sz w:val="20"/>
          <w:szCs w:val="20"/>
          <w14:ligatures w14:val="none"/>
        </w:rPr>
        <w:lastRenderedPageBreak/>
        <w:t>Reforma Agrária já contemplados com crédito da espécie, cujo valor financiável se limita ao diferencial entre o saldo devedor atual da operação e o teto vigente para essas operações de crédito, conforme deliberação do Conselho Monetário Nacional.</w:t>
      </w:r>
    </w:p>
    <w:p w14:paraId="42979F2E"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efeito do cumprimento do percentual de que trata o caput deste artigo, poderão ser computados os recursos destinados a financiamentos de investimento para agricultores familiares enquadrados nos critérios definidos pela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11.326, de 24 de julho de 2006, regulamentados pelo Conselho Monetário Nacional, conforme programação anual proposta pelo Ministério do Desenvolvimento Agrário, desde que os financiamentos contemplem as seguintes finalidades:</w:t>
      </w:r>
    </w:p>
    <w:p w14:paraId="4DC27FD3"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regularização e adequação ambiental dos estabelecimentos rurais, reflorestamento, recuperação ou regeneração de áreas degradadas ou formação ou melhoria de corredores ecológicos entre áreas prioritárias para conservação da biodiversidade;</w:t>
      </w:r>
    </w:p>
    <w:p w14:paraId="39AEB2DF"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implantação de infraestrutura hídrica e de atividades produtivas adequadas à convivência com o semiárido;</w:t>
      </w:r>
    </w:p>
    <w:p w14:paraId="7E10DA18"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pagamento dos serviços de assistência técnica e extensão rural e remuneração da mão de obra familiar para implantação das atividades referentes às finalidades constantes dos incisos I e II deste parágrafo; e</w:t>
      </w:r>
    </w:p>
    <w:p w14:paraId="678BB6B0"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IV - outras, a serem definidas pelo Conselho Monetário Nacional.</w:t>
      </w:r>
    </w:p>
    <w:p w14:paraId="75EC7465"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Os financiamentos concedidos na forma deste artigo terão os encargos financeiros ajustados para não exceder o limite de 12% a.a. (doze por cento ao ano) e redutores de até 50% (cinquenta por cento) sobre as parcelas da amortização do principal e sobre os encargos financeiros, durante todo o prazo de vigência da operação, conforme condições definidas pelo Conselho Monetário Nacional.</w:t>
      </w:r>
    </w:p>
    <w:p w14:paraId="0B3A4D91"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Os agentes financeiros apresentarão ao Ministério da Integração Nacional e ao Conselho Nacional de Desenvolvimento Rural Sustentável, integrante da estrutura do Ministério do Desenvolvimento Agrário, demonstrativos dos valores que vierem a ser imputados aos Fundos Constitucionais em função do disposto neste artigo.” </w:t>
      </w:r>
      <w:r w:rsidRPr="00C22FC1">
        <w:rPr>
          <w:rFonts w:ascii="Arial" w:eastAsia="Times New Roman" w:hAnsi="Arial" w:cs="Arial"/>
          <w:color w:val="000000"/>
          <w:kern w:val="0"/>
          <w:sz w:val="20"/>
          <w:szCs w:val="20"/>
          <w:lang w:val="en-US"/>
          <w14:ligatures w14:val="none"/>
        </w:rPr>
        <w:t>(NR)</w:t>
      </w:r>
    </w:p>
    <w:p w14:paraId="56BE655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56" w:name="art75"/>
      <w:bookmarkEnd w:id="156"/>
      <w:r w:rsidRPr="00C22FC1">
        <w:rPr>
          <w:rFonts w:ascii="Arial" w:eastAsia="Times New Roman" w:hAnsi="Arial" w:cs="Arial"/>
          <w:color w:val="000000"/>
          <w:kern w:val="0"/>
          <w:sz w:val="20"/>
          <w:szCs w:val="20"/>
          <w:lang w:val="en-US"/>
          <w14:ligatures w14:val="none"/>
        </w:rPr>
        <w:t>Art. 75.  Os arts. </w:t>
      </w:r>
      <w:r w:rsidRPr="00C22FC1">
        <w:rPr>
          <w:rFonts w:ascii="Arial" w:eastAsia="Times New Roman" w:hAnsi="Arial" w:cs="Arial"/>
          <w:color w:val="000000"/>
          <w:kern w:val="0"/>
          <w:sz w:val="20"/>
          <w:szCs w:val="20"/>
          <w14:ligatures w14:val="none"/>
        </w:rPr>
        <w:t>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11.110, de 25 de abril de 2005, passam a vigorar com a seguinte redação, renumerando-se o parágrafo único do art.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w:t>
      </w:r>
    </w:p>
    <w:p w14:paraId="614317F1"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309" w:anchor="art1%C2%A74" w:history="1">
        <w:r w:rsidRPr="00C22FC1">
          <w:rPr>
            <w:rFonts w:ascii="Arial" w:eastAsia="Times New Roman" w:hAnsi="Arial" w:cs="Arial"/>
            <w:color w:val="0000FF"/>
            <w:kern w:val="0"/>
            <w:sz w:val="20"/>
            <w:szCs w:val="20"/>
            <w:u w:val="single"/>
            <w14:ligatures w14:val="none"/>
          </w:rPr>
          <w:t>“Art. 1</w:t>
        </w:r>
        <w:r w:rsidRPr="00C22FC1">
          <w:rPr>
            <w:rFonts w:ascii="Arial" w:eastAsia="Times New Roman" w:hAnsi="Arial" w:cs="Arial"/>
            <w:color w:val="0000FF"/>
            <w:kern w:val="0"/>
            <w:sz w:val="20"/>
            <w:szCs w:val="20"/>
            <w:u w:val="single"/>
            <w:vertAlign w:val="superscript"/>
            <w14:ligatures w14:val="none"/>
          </w:rPr>
          <w:t>o</w:t>
        </w:r>
      </w:hyperlink>
      <w:r w:rsidRPr="00C22FC1">
        <w:rPr>
          <w:rFonts w:ascii="Arial" w:eastAsia="Times New Roman" w:hAnsi="Arial" w:cs="Arial"/>
          <w:color w:val="000000"/>
          <w:kern w:val="0"/>
          <w:sz w:val="20"/>
          <w:szCs w:val="20"/>
          <w14:ligatures w14:val="none"/>
        </w:rPr>
        <w:t>  .........................................................................</w:t>
      </w:r>
    </w:p>
    <w:p w14:paraId="65FA681E"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5279327F"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São recursos destinados ao Programa Nacional de Microcrédito Produtivo Orientado - PNMPO os provenientes:</w:t>
      </w:r>
    </w:p>
    <w:p w14:paraId="0E9305AF"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do Fundo de Amparo ao Trabalhador - FAT;</w:t>
      </w:r>
    </w:p>
    <w:p w14:paraId="394DD25B"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da parcela dos recursos de depósitos à vista destinados ao microcrédito, de que trata o art.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10.735, de 11 de setembro de 2003;</w:t>
      </w:r>
    </w:p>
    <w:p w14:paraId="798BC758"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do orçamento geral da União ou dos Fundos Constitucionais de Financiamento, somente quando forem alocados para operações de microcrédito produtivo rural efetuadas com agricultores familiares no âmbito do Programa Nacional de Fortalecimento da Agricultura Familiar - PRONAF;</w:t>
      </w:r>
    </w:p>
    <w:p w14:paraId="026B7674"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IV - de outras fontes alocadas para o PNMPO pelas instituições financeiras ou instituições de microcrédito produtivo orientado, de que tratam os §§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 respectivamente.</w:t>
      </w:r>
    </w:p>
    <w:p w14:paraId="6FAC00CD"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w:t>
      </w:r>
    </w:p>
    <w:p w14:paraId="34A7AF50"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1FFD5DC4"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310" w:anchor="art1%C2%A75iii" w:history="1">
        <w:r w:rsidRPr="00C22FC1">
          <w:rPr>
            <w:rFonts w:ascii="Arial" w:eastAsia="Times New Roman" w:hAnsi="Arial" w:cs="Arial"/>
            <w:color w:val="0000FF"/>
            <w:kern w:val="0"/>
            <w:sz w:val="20"/>
            <w:szCs w:val="20"/>
            <w:u w:val="single"/>
            <w14:ligatures w14:val="none"/>
          </w:rPr>
          <w:t>III -</w:t>
        </w:r>
      </w:hyperlink>
      <w:r w:rsidRPr="00C22FC1">
        <w:rPr>
          <w:rFonts w:ascii="Arial" w:eastAsia="Times New Roman" w:hAnsi="Arial" w:cs="Arial"/>
          <w:color w:val="000000"/>
          <w:kern w:val="0"/>
          <w:sz w:val="20"/>
          <w:szCs w:val="20"/>
          <w14:ligatures w14:val="none"/>
        </w:rPr>
        <w:t> com fontes alocadas para as operações de microcrédito produtivo rural efetuadas com agricultores familiares no âmbito do Pronaf, para as instituições autorizadas a operar com esta modalidade de crédito.</w:t>
      </w:r>
    </w:p>
    <w:p w14:paraId="5602E98A"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lang w:val="en-US"/>
          <w14:ligatures w14:val="none"/>
        </w:rPr>
        <w:t>...................................................................................” (NR)</w:t>
      </w:r>
    </w:p>
    <w:p w14:paraId="48C63BF5"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311" w:anchor="art2%C2%A71" w:history="1">
        <w:r w:rsidRPr="00C22FC1">
          <w:rPr>
            <w:rFonts w:ascii="Arial" w:eastAsia="Times New Roman" w:hAnsi="Arial" w:cs="Arial"/>
            <w:color w:val="0000FF"/>
            <w:kern w:val="0"/>
            <w:sz w:val="20"/>
            <w:szCs w:val="20"/>
            <w:u w:val="single"/>
            <w:lang w:val="en-US"/>
            <w14:ligatures w14:val="none"/>
          </w:rPr>
          <w:t>“Art. 2</w:t>
        </w:r>
        <w:r w:rsidRPr="00C22FC1">
          <w:rPr>
            <w:rFonts w:ascii="Arial" w:eastAsia="Times New Roman" w:hAnsi="Arial" w:cs="Arial"/>
            <w:color w:val="0000FF"/>
            <w:kern w:val="0"/>
            <w:sz w:val="20"/>
            <w:szCs w:val="20"/>
            <w:u w:val="single"/>
            <w:vertAlign w:val="superscript"/>
            <w:lang w:val="en-US"/>
            <w14:ligatures w14:val="none"/>
          </w:rPr>
          <w:t>o</w:t>
        </w:r>
      </w:hyperlink>
      <w:r w:rsidRPr="00C22FC1">
        <w:rPr>
          <w:rFonts w:ascii="Arial" w:eastAsia="Times New Roman" w:hAnsi="Arial" w:cs="Arial"/>
          <w:color w:val="000000"/>
          <w:kern w:val="0"/>
          <w:sz w:val="20"/>
          <w:szCs w:val="20"/>
          <w:lang w:val="en-US"/>
          <w14:ligatures w14:val="none"/>
        </w:rPr>
        <w:t>  .........................................................................</w:t>
      </w:r>
    </w:p>
    <w:p w14:paraId="77F70443"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w:t>
      </w:r>
    </w:p>
    <w:p w14:paraId="5A6B6B82"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As operações de microcrédito produtivo rural efetuadas no âmbito do Pronaf com agricultores familiares enquadrados na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11.326, de 24 de julho de 2006, desde que obedeçam à metodologia definida no §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do art.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desta Lei, podem ser consideradas como microcrédito produtivo orientado, integrante do PNMPO.</w:t>
      </w:r>
    </w:p>
    <w:p w14:paraId="66084D17"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Na operacionalização do microcrédito produtivo rural de que trata o §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 as instituições de microcrédito produtivo orientado, de que trata o §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do art.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desta Lei, poderão, sob responsabilidade da instituição financeira mandante, prestar os seguintes serviços:</w:t>
      </w:r>
    </w:p>
    <w:p w14:paraId="678256A7"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recepção e encaminhamento à instituição financeira de propostas de abertura de contas de depósitos à vista e de poupança;</w:t>
      </w:r>
    </w:p>
    <w:p w14:paraId="0E4322B5"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recepção e encaminhamento à instituição financeira de pedidos de empréstimos e de financiamentos;</w:t>
      </w:r>
    </w:p>
    <w:p w14:paraId="40972BA8"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análise da proposta de crédito e preenchimento de ficha cadastral;</w:t>
      </w:r>
    </w:p>
    <w:p w14:paraId="0272A4D3"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IV - execução de serviços de cobrança não judicial.” </w:t>
      </w:r>
      <w:r w:rsidRPr="00C22FC1">
        <w:rPr>
          <w:rFonts w:ascii="Arial" w:eastAsia="Times New Roman" w:hAnsi="Arial" w:cs="Arial"/>
          <w:color w:val="000000"/>
          <w:kern w:val="0"/>
          <w:sz w:val="20"/>
          <w:szCs w:val="20"/>
          <w:lang w:val="en-US"/>
          <w14:ligatures w14:val="none"/>
        </w:rPr>
        <w:t>(NR)</w:t>
      </w:r>
    </w:p>
    <w:p w14:paraId="0329EF8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57" w:name="art76"/>
      <w:bookmarkEnd w:id="157"/>
      <w:r w:rsidRPr="00C22FC1">
        <w:rPr>
          <w:rFonts w:ascii="Arial" w:eastAsia="Times New Roman" w:hAnsi="Arial" w:cs="Arial"/>
          <w:color w:val="000000"/>
          <w:kern w:val="0"/>
          <w:sz w:val="20"/>
          <w:szCs w:val="20"/>
          <w:lang w:val="en-US"/>
          <w14:ligatures w14:val="none"/>
        </w:rPr>
        <w:t>Art. 76.  Os arts. </w:t>
      </w:r>
      <w:r w:rsidRPr="00C22FC1">
        <w:rPr>
          <w:rFonts w:ascii="Arial" w:eastAsia="Times New Roman" w:hAnsi="Arial" w:cs="Arial"/>
          <w:color w:val="000000"/>
          <w:kern w:val="0"/>
          <w:sz w:val="20"/>
          <w:szCs w:val="20"/>
          <w14:ligatures w14:val="none"/>
        </w:rPr>
        <w:t>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12, 21, 22, 23 e 27 do Decreto-Lei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9.295, de 27 de maio de 1946, passam a vigorar com a seguinte redação, renumerado-se o parágrafo único do art. 12 para §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w:t>
      </w:r>
    </w:p>
    <w:p w14:paraId="7AD5A17E"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312" w:anchor="art2" w:history="1">
        <w:r w:rsidRPr="00C22FC1">
          <w:rPr>
            <w:rFonts w:ascii="Arial" w:eastAsia="Times New Roman" w:hAnsi="Arial" w:cs="Arial"/>
            <w:color w:val="0000FF"/>
            <w:kern w:val="0"/>
            <w:sz w:val="20"/>
            <w:szCs w:val="20"/>
            <w:u w:val="single"/>
            <w14:ligatures w14:val="none"/>
          </w:rPr>
          <w:t>“Art. 2</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w:t>
        </w:r>
      </w:hyperlink>
      <w:r w:rsidRPr="00C22FC1">
        <w:rPr>
          <w:rFonts w:ascii="Arial" w:eastAsia="Times New Roman" w:hAnsi="Arial" w:cs="Arial"/>
          <w:color w:val="000000"/>
          <w:kern w:val="0"/>
          <w:sz w:val="20"/>
          <w:szCs w:val="20"/>
          <w14:ligatures w14:val="none"/>
        </w:rPr>
        <w:t> A fiscalização do exercício da profissão contábil, assim entendendo-se os profissionais habilitados como contadores e técnicos em contabilidade, será exercida pelo Conselho Federal de Contabilidade e pelos Conselhos Regionais de Contabilidade a que se refere o art.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w:t>
      </w:r>
      <w:r w:rsidRPr="00C22FC1">
        <w:rPr>
          <w:rFonts w:ascii="Arial" w:eastAsia="Times New Roman" w:hAnsi="Arial" w:cs="Arial"/>
          <w:color w:val="000000"/>
          <w:kern w:val="0"/>
          <w:sz w:val="20"/>
          <w:szCs w:val="20"/>
          <w:lang w:val="en-US"/>
          <w14:ligatures w14:val="none"/>
        </w:rPr>
        <w:t>(NR)</w:t>
      </w:r>
    </w:p>
    <w:p w14:paraId="70A1651D"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313" w:anchor="art6f" w:history="1">
        <w:r w:rsidRPr="00C22FC1">
          <w:rPr>
            <w:rFonts w:ascii="Arial" w:eastAsia="Times New Roman" w:hAnsi="Arial" w:cs="Arial"/>
            <w:color w:val="0000FF"/>
            <w:kern w:val="0"/>
            <w:sz w:val="20"/>
            <w:szCs w:val="20"/>
            <w:u w:val="single"/>
            <w:lang w:val="en-US"/>
            <w14:ligatures w14:val="none"/>
          </w:rPr>
          <w:t>“Art. 6</w:t>
        </w:r>
        <w:r w:rsidRPr="00C22FC1">
          <w:rPr>
            <w:rFonts w:ascii="Arial" w:eastAsia="Times New Roman" w:hAnsi="Arial" w:cs="Arial"/>
            <w:color w:val="0000FF"/>
            <w:kern w:val="0"/>
            <w:sz w:val="20"/>
            <w:szCs w:val="20"/>
            <w:u w:val="single"/>
            <w:vertAlign w:val="superscript"/>
            <w:lang w:val="en-US"/>
            <w14:ligatures w14:val="none"/>
          </w:rPr>
          <w:t>o</w:t>
        </w:r>
        <w:r w:rsidRPr="00C22FC1">
          <w:rPr>
            <w:rFonts w:ascii="Arial" w:eastAsia="Times New Roman" w:hAnsi="Arial" w:cs="Arial"/>
            <w:color w:val="0000FF"/>
            <w:kern w:val="0"/>
            <w:sz w:val="20"/>
            <w:szCs w:val="20"/>
            <w:u w:val="single"/>
            <w:lang w:val="en-US"/>
            <w14:ligatures w14:val="none"/>
          </w:rPr>
          <w:t> </w:t>
        </w:r>
      </w:hyperlink>
      <w:r w:rsidRPr="00C22FC1">
        <w:rPr>
          <w:rFonts w:ascii="Arial" w:eastAsia="Times New Roman" w:hAnsi="Arial" w:cs="Arial"/>
          <w:color w:val="000000"/>
          <w:kern w:val="0"/>
          <w:sz w:val="20"/>
          <w:szCs w:val="20"/>
          <w:lang w:val="en-US"/>
          <w14:ligatures w14:val="none"/>
        </w:rPr>
        <w:t> ..........................................................................</w:t>
      </w:r>
    </w:p>
    <w:p w14:paraId="7AB0F5F4"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71D88B8C"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f) regular acerca dos princípios contábeis, do Exame de Suficiência, do cadastro de qualificação técnica e dos programas de educação continuada; e editar Normas Brasileiras de Contabilidade de natureza técnica e profissional.” (NR)</w:t>
      </w:r>
    </w:p>
    <w:p w14:paraId="1B6E6815"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314" w:anchor="art12" w:history="1">
        <w:r w:rsidRPr="00C22FC1">
          <w:rPr>
            <w:rFonts w:ascii="Arial" w:eastAsia="Times New Roman" w:hAnsi="Arial" w:cs="Arial"/>
            <w:color w:val="0000FF"/>
            <w:kern w:val="0"/>
            <w:sz w:val="20"/>
            <w:szCs w:val="20"/>
            <w:u w:val="single"/>
            <w14:ligatures w14:val="none"/>
          </w:rPr>
          <w:t>“Art. 12.</w:t>
        </w:r>
      </w:hyperlink>
      <w:r w:rsidRPr="00C22FC1">
        <w:rPr>
          <w:rFonts w:ascii="Arial" w:eastAsia="Times New Roman" w:hAnsi="Arial" w:cs="Arial"/>
          <w:color w:val="000000"/>
          <w:kern w:val="0"/>
          <w:sz w:val="20"/>
          <w:szCs w:val="20"/>
          <w14:ligatures w14:val="none"/>
        </w:rPr>
        <w:t>  Os profissionais a que se refere este Decreto-Lei somente poderão exercer a profissão após a regular conclusão do curso de Bacharelado em Ciências Contábeis, reconhecido pelo Ministério da Educação, aprovação em Exame de Suficiência e registro no Conselho Regional de Contabilidade a que estiverem sujeitos.</w:t>
      </w:r>
    </w:p>
    <w:p w14:paraId="759BA898"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w:t>
      </w:r>
    </w:p>
    <w:p w14:paraId="6F9FCD8C"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Os técnicos em contabilidade já registrados em Conselho Regional de Contabilidade e os que venham a fazê-lo até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 junho de 2015 têm assegurado o seu direito ao exercício da profissão.” (NR)</w:t>
      </w:r>
    </w:p>
    <w:p w14:paraId="609D574A"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315" w:anchor="art21." w:history="1">
        <w:r w:rsidRPr="00C22FC1">
          <w:rPr>
            <w:rFonts w:ascii="Arial" w:eastAsia="Times New Roman" w:hAnsi="Arial" w:cs="Arial"/>
            <w:color w:val="0000FF"/>
            <w:kern w:val="0"/>
            <w:sz w:val="20"/>
            <w:szCs w:val="20"/>
            <w:u w:val="single"/>
            <w14:ligatures w14:val="none"/>
          </w:rPr>
          <w:t>“Art. 21.</w:t>
        </w:r>
      </w:hyperlink>
      <w:r w:rsidRPr="00C22FC1">
        <w:rPr>
          <w:rFonts w:ascii="Arial" w:eastAsia="Times New Roman" w:hAnsi="Arial" w:cs="Arial"/>
          <w:color w:val="000000"/>
          <w:kern w:val="0"/>
          <w:sz w:val="20"/>
          <w:szCs w:val="20"/>
          <w14:ligatures w14:val="none"/>
        </w:rPr>
        <w:t>  Os profissionais registrados nos Conselhos Regionais de Contabilidade são obrigados ao pagamento da anuidade.</w:t>
      </w:r>
    </w:p>
    <w:p w14:paraId="0F2A8D39"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6E78874A"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316" w:anchor="art21%C2%A72" w:history="1">
        <w:r w:rsidRPr="00C22FC1">
          <w:rPr>
            <w:rFonts w:ascii="Arial" w:eastAsia="Times New Roman" w:hAnsi="Arial" w:cs="Arial"/>
            <w:color w:val="0000FF"/>
            <w:kern w:val="0"/>
            <w:sz w:val="20"/>
            <w:szCs w:val="20"/>
            <w:u w:val="single"/>
            <w14:ligatures w14:val="none"/>
          </w:rPr>
          <w:t>§ 2</w:t>
        </w:r>
        <w:r w:rsidRPr="00C22FC1">
          <w:rPr>
            <w:rFonts w:ascii="Arial" w:eastAsia="Times New Roman" w:hAnsi="Arial" w:cs="Arial"/>
            <w:color w:val="0000FF"/>
            <w:kern w:val="0"/>
            <w:sz w:val="20"/>
            <w:szCs w:val="20"/>
            <w:u w:val="single"/>
            <w:vertAlign w:val="superscript"/>
            <w14:ligatures w14:val="none"/>
          </w:rPr>
          <w:t>o</w:t>
        </w:r>
      </w:hyperlink>
      <w:r w:rsidRPr="00C22FC1">
        <w:rPr>
          <w:rFonts w:ascii="Arial" w:eastAsia="Times New Roman" w:hAnsi="Arial" w:cs="Arial"/>
          <w:color w:val="000000"/>
          <w:kern w:val="0"/>
          <w:sz w:val="20"/>
          <w:szCs w:val="20"/>
          <w14:ligatures w14:val="none"/>
        </w:rPr>
        <w:t>  As anuidades pagas após 31 de março serão acrescidas de multa, juros de mora e atualização monetária, nos termos da legislação vigente.</w:t>
      </w:r>
    </w:p>
    <w:p w14:paraId="20EB1BF1"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Na fixação do valor das anuidades devidas ao Conselho Federal e aos Conselhos Regionais de Contabilidade, serão observados os seguintes limites:</w:t>
      </w:r>
    </w:p>
    <w:p w14:paraId="769BC257"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R$ 380,00 (trezentos e oitenta reais), para pessoas físicas;</w:t>
      </w:r>
    </w:p>
    <w:p w14:paraId="507B82FC"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R$ 950,00 (novecentos e cinquenta reais), para pessoas jurídicas.</w:t>
      </w:r>
    </w:p>
    <w:p w14:paraId="2D5CCF4C"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Os valores fixados no §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 poderão ser corrigidos anualmente pelo Índice Nacional de Preços ao Consumidor Amplo - IPCA, calculado pela Fundação Instituto Brasileiro de Geografia e Estatística - IBGE.” (NR)</w:t>
      </w:r>
    </w:p>
    <w:p w14:paraId="5C89509A"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317" w:anchor="art22" w:history="1">
        <w:r w:rsidRPr="00C22FC1">
          <w:rPr>
            <w:rFonts w:ascii="Arial" w:eastAsia="Times New Roman" w:hAnsi="Arial" w:cs="Arial"/>
            <w:color w:val="0000FF"/>
            <w:kern w:val="0"/>
            <w:sz w:val="20"/>
            <w:szCs w:val="20"/>
            <w:u w:val="single"/>
            <w14:ligatures w14:val="none"/>
          </w:rPr>
          <w:t>“Art. 22</w:t>
        </w:r>
      </w:hyperlink>
      <w:r w:rsidRPr="00C22FC1">
        <w:rPr>
          <w:rFonts w:ascii="Arial" w:eastAsia="Times New Roman" w:hAnsi="Arial" w:cs="Arial"/>
          <w:color w:val="000000"/>
          <w:kern w:val="0"/>
          <w:sz w:val="20"/>
          <w:szCs w:val="20"/>
          <w14:ligatures w14:val="none"/>
        </w:rPr>
        <w:t>.  Às empresas ou a quaisquer organizações que explorem ramo dos serviços contábeis é obrigatório o pagamento de anuidade ao Conselho Regional da respectiva jurisdição.</w:t>
      </w:r>
    </w:p>
    <w:p w14:paraId="1AE6146A"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anuidade deverá ser paga até o dia 31 de março, aplicando-se, após essa data, a regra do §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do art. 21.</w:t>
      </w:r>
    </w:p>
    <w:p w14:paraId="07A9F2A4"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(NR)</w:t>
      </w:r>
    </w:p>
    <w:p w14:paraId="1DCE1FAC"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318" w:anchor="art23" w:history="1">
        <w:r w:rsidRPr="00C22FC1">
          <w:rPr>
            <w:rFonts w:ascii="Arial" w:eastAsia="Times New Roman" w:hAnsi="Arial" w:cs="Arial"/>
            <w:color w:val="0000FF"/>
            <w:kern w:val="0"/>
            <w:sz w:val="20"/>
            <w:szCs w:val="20"/>
            <w:u w:val="single"/>
            <w14:ligatures w14:val="none"/>
          </w:rPr>
          <w:t>“Art. 23.</w:t>
        </w:r>
      </w:hyperlink>
      <w:r w:rsidRPr="00C22FC1">
        <w:rPr>
          <w:rFonts w:ascii="Arial" w:eastAsia="Times New Roman" w:hAnsi="Arial" w:cs="Arial"/>
          <w:color w:val="000000"/>
          <w:kern w:val="0"/>
          <w:sz w:val="20"/>
          <w:szCs w:val="20"/>
          <w14:ligatures w14:val="none"/>
        </w:rPr>
        <w:t>  O profissional ou a organização contábil que executarem serviços contábeis em mais de um Estado são obrigados a comunicar previamente ao Conselho Regional de Contabilidade no qual são registrados o local onde serão executados os serviços.” (NR)</w:t>
      </w:r>
    </w:p>
    <w:p w14:paraId="07A1D5C4"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319" w:anchor="art27" w:history="1">
        <w:r w:rsidRPr="00C22FC1">
          <w:rPr>
            <w:rFonts w:ascii="Arial" w:eastAsia="Times New Roman" w:hAnsi="Arial" w:cs="Arial"/>
            <w:color w:val="0000FF"/>
            <w:kern w:val="0"/>
            <w:sz w:val="20"/>
            <w:szCs w:val="20"/>
            <w:u w:val="single"/>
            <w14:ligatures w14:val="none"/>
          </w:rPr>
          <w:t>“Art. 27.</w:t>
        </w:r>
      </w:hyperlink>
      <w:r w:rsidRPr="00C22FC1">
        <w:rPr>
          <w:rFonts w:ascii="Arial" w:eastAsia="Times New Roman" w:hAnsi="Arial" w:cs="Arial"/>
          <w:color w:val="000000"/>
          <w:kern w:val="0"/>
          <w:sz w:val="20"/>
          <w:szCs w:val="20"/>
          <w14:ligatures w14:val="none"/>
        </w:rPr>
        <w:t>  As penalidades ético-disciplinares aplicáveis por infração ao exercício legal da profissão são as seguintes:</w:t>
      </w:r>
    </w:p>
    <w:p w14:paraId="6692703B"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a) multa de 1 (uma) a 10 (dez) vezes o valor da anuidade do exercício em curso aos infratores dos arts. 12 e 26 deste Decreto-Lei;</w:t>
      </w:r>
    </w:p>
    <w:p w14:paraId="1AE871D6"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b) multa de 1 (uma) a 10 (dez) vezes aos profissionais e de 2 (duas) a 20 (vinte) vezes o valor da anuidade do exercício em curso às empresas ou a quaisquer organizações contábeis, quando se tratar de infração dos arts. 15 e 20 e seus respectivos parágrafos;</w:t>
      </w:r>
    </w:p>
    <w:p w14:paraId="6263CF85"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c) multa de 1 (uma) a 5 (cinco) vezes o valor da anuidade do exercício em curso aos infratores de dispositivos não mencionados nas alíneas </w:t>
      </w:r>
      <w:r w:rsidRPr="00C22FC1">
        <w:rPr>
          <w:rFonts w:ascii="Arial" w:eastAsia="Times New Roman" w:hAnsi="Arial" w:cs="Arial"/>
          <w:i/>
          <w:iCs/>
          <w:color w:val="000000"/>
          <w:kern w:val="0"/>
          <w:sz w:val="20"/>
          <w:szCs w:val="20"/>
          <w14:ligatures w14:val="none"/>
        </w:rPr>
        <w:t>a </w:t>
      </w:r>
      <w:r w:rsidRPr="00C22FC1">
        <w:rPr>
          <w:rFonts w:ascii="Arial" w:eastAsia="Times New Roman" w:hAnsi="Arial" w:cs="Arial"/>
          <w:color w:val="000000"/>
          <w:kern w:val="0"/>
          <w:sz w:val="20"/>
          <w:szCs w:val="20"/>
          <w14:ligatures w14:val="none"/>
        </w:rPr>
        <w:t>e </w:t>
      </w:r>
      <w:r w:rsidRPr="00C22FC1">
        <w:rPr>
          <w:rFonts w:ascii="Arial" w:eastAsia="Times New Roman" w:hAnsi="Arial" w:cs="Arial"/>
          <w:i/>
          <w:iCs/>
          <w:color w:val="000000"/>
          <w:kern w:val="0"/>
          <w:sz w:val="20"/>
          <w:szCs w:val="20"/>
          <w14:ligatures w14:val="none"/>
        </w:rPr>
        <w:t>b </w:t>
      </w:r>
      <w:r w:rsidRPr="00C22FC1">
        <w:rPr>
          <w:rFonts w:ascii="Arial" w:eastAsia="Times New Roman" w:hAnsi="Arial" w:cs="Arial"/>
          <w:color w:val="000000"/>
          <w:kern w:val="0"/>
          <w:sz w:val="20"/>
          <w:szCs w:val="20"/>
          <w14:ligatures w14:val="none"/>
        </w:rPr>
        <w:t>ou para os quais não haja indicação de penalidade especial;</w:t>
      </w:r>
    </w:p>
    <w:p w14:paraId="2A1D04AC"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 suspensão do exercício da profissão, pelo período de até 2 (dois) anos, aos profissionais que, dentro do âmbito de sua atuação e no que se referir à parte técnica, forem responsáveis por qualquer falsidade de documentos que assinarem e pelas irregularidades de escrituração praticadas no sentido de fraudar as rendas públicas;</w:t>
      </w:r>
    </w:p>
    <w:p w14:paraId="36490EC8"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xml:space="preserve">e) suspensão do exercício da profissão, pelo prazo de 6 (seis) meses a 1 (um) ano, ao profissional com comprovada incapacidade técnica no desempenho de suas funções, a critério </w:t>
      </w:r>
      <w:r w:rsidRPr="00C22FC1">
        <w:rPr>
          <w:rFonts w:ascii="Arial" w:eastAsia="Times New Roman" w:hAnsi="Arial" w:cs="Arial"/>
          <w:color w:val="000000"/>
          <w:kern w:val="0"/>
          <w:sz w:val="20"/>
          <w:szCs w:val="20"/>
          <w14:ligatures w14:val="none"/>
        </w:rPr>
        <w:lastRenderedPageBreak/>
        <w:t>do Conselho Regional de Contabilidade a que estiver sujeito, facultada, porém, ao interessado a mais ampla defesa; </w:t>
      </w:r>
    </w:p>
    <w:p w14:paraId="2BC8CF65"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f) cassação do exercício profissional quando comprovada incapacidade técnica de natureza grave, crime contra a ordem econômica e tributária, produção de falsa prova de qualquer dos requisitos para registro profissional e apropriação indevida de valores de clientes confiados a sua guarda, desde que homologada por 2/3 (dois terços) do Plenário do Tribunal Superior de Ética e Disciplina;</w:t>
      </w:r>
    </w:p>
    <w:p w14:paraId="51C92D22"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g) advertência reservada, censura reservada e censura pública nos casos previstos no Código de Ética Profissional dos Contabilistas elaborado e aprovado pelos Conselhos Federal e Regionais de Contabilidade, conforme previsão do art. 10 do Decreto-Lei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1.040, de 21 de outubro de 1969.” (NR)</w:t>
      </w:r>
    </w:p>
    <w:p w14:paraId="2DD54A3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58" w:name="art77"/>
      <w:bookmarkEnd w:id="158"/>
      <w:r w:rsidRPr="00C22FC1">
        <w:rPr>
          <w:rFonts w:ascii="Arial" w:eastAsia="Times New Roman" w:hAnsi="Arial" w:cs="Arial"/>
          <w:color w:val="000000"/>
          <w:kern w:val="0"/>
          <w:sz w:val="20"/>
          <w:szCs w:val="20"/>
          <w14:ligatures w14:val="none"/>
        </w:rPr>
        <w:t>Art. 77.  O Decreto-Lei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9.295, de 27 de maio de 1946, passa a vigorar acrescido do seguinte art. 36-A:</w:t>
      </w:r>
    </w:p>
    <w:p w14:paraId="6A8D0A27"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320" w:anchor="art36a" w:history="1">
        <w:r w:rsidRPr="00C22FC1">
          <w:rPr>
            <w:rFonts w:ascii="Arial" w:eastAsia="Times New Roman" w:hAnsi="Arial" w:cs="Arial"/>
            <w:color w:val="0000FF"/>
            <w:kern w:val="0"/>
            <w:sz w:val="20"/>
            <w:szCs w:val="20"/>
            <w:u w:val="single"/>
            <w14:ligatures w14:val="none"/>
          </w:rPr>
          <w:t>“Art. 36-A.</w:t>
        </w:r>
      </w:hyperlink>
      <w:r w:rsidRPr="00C22FC1">
        <w:rPr>
          <w:rFonts w:ascii="Arial" w:eastAsia="Times New Roman" w:hAnsi="Arial" w:cs="Arial"/>
          <w:color w:val="000000"/>
          <w:kern w:val="0"/>
          <w:sz w:val="20"/>
          <w:szCs w:val="20"/>
          <w14:ligatures w14:val="none"/>
        </w:rPr>
        <w:t>  Os Conselhos Federal e Regionais de Contabilidade apresentarão anualmente a prestação de suas contas aos seus registrados.”</w:t>
      </w:r>
    </w:p>
    <w:p w14:paraId="3FCB62C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59" w:name="art78"/>
      <w:bookmarkEnd w:id="159"/>
      <w:r w:rsidRPr="00C22FC1">
        <w:rPr>
          <w:rFonts w:ascii="Arial" w:eastAsia="Times New Roman" w:hAnsi="Arial" w:cs="Arial"/>
          <w:color w:val="000000"/>
          <w:kern w:val="0"/>
          <w:sz w:val="20"/>
          <w:szCs w:val="20"/>
          <w:lang w:val="en-US"/>
          <w14:ligatures w14:val="none"/>
        </w:rPr>
        <w:t>Art. 78.  </w:t>
      </w:r>
      <w:r w:rsidRPr="00C22FC1">
        <w:rPr>
          <w:rFonts w:ascii="Arial" w:eastAsia="Times New Roman" w:hAnsi="Arial" w:cs="Arial"/>
          <w:color w:val="000000"/>
          <w:kern w:val="0"/>
          <w:sz w:val="20"/>
          <w:szCs w:val="20"/>
          <w14:ligatures w14:val="none"/>
        </w:rPr>
        <w:t>(VETADO).</w:t>
      </w:r>
    </w:p>
    <w:p w14:paraId="7898E8E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60" w:name="art79"/>
      <w:bookmarkEnd w:id="160"/>
      <w:r w:rsidRPr="00C22FC1">
        <w:rPr>
          <w:rFonts w:ascii="Arial" w:eastAsia="Times New Roman" w:hAnsi="Arial" w:cs="Arial"/>
          <w:color w:val="000000"/>
          <w:kern w:val="0"/>
          <w:sz w:val="20"/>
          <w:szCs w:val="20"/>
          <w:lang w:val="en-US"/>
          <w14:ligatures w14:val="none"/>
        </w:rPr>
        <w:t>Art. 79.  </w:t>
      </w:r>
      <w:r w:rsidRPr="00C22FC1">
        <w:rPr>
          <w:rFonts w:ascii="Arial" w:eastAsia="Times New Roman" w:hAnsi="Arial" w:cs="Arial"/>
          <w:color w:val="000000"/>
          <w:kern w:val="0"/>
          <w:sz w:val="20"/>
          <w:szCs w:val="20"/>
          <w14:ligatures w14:val="none"/>
        </w:rPr>
        <w:t>O art. 28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10.865, de 30 de abril de 2004, passa a vigorar com a seguinte redação:</w:t>
      </w:r>
    </w:p>
    <w:p w14:paraId="1D2C78E8"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321" w:anchor="art28xviii" w:history="1">
        <w:r w:rsidRPr="00C22FC1">
          <w:rPr>
            <w:rFonts w:ascii="Arial" w:eastAsia="Times New Roman" w:hAnsi="Arial" w:cs="Arial"/>
            <w:color w:val="0000FF"/>
            <w:kern w:val="0"/>
            <w:sz w:val="20"/>
            <w:szCs w:val="20"/>
            <w:u w:val="single"/>
            <w14:ligatures w14:val="none"/>
          </w:rPr>
          <w:t>“Art. 28.</w:t>
        </w:r>
      </w:hyperlink>
      <w:r w:rsidRPr="00C22FC1">
        <w:rPr>
          <w:rFonts w:ascii="Arial" w:eastAsia="Times New Roman" w:hAnsi="Arial" w:cs="Arial"/>
          <w:color w:val="000000"/>
          <w:kern w:val="0"/>
          <w:sz w:val="20"/>
          <w:szCs w:val="20"/>
          <w14:ligatures w14:val="none"/>
        </w:rPr>
        <w:t>  ........................................................................</w:t>
      </w:r>
    </w:p>
    <w:p w14:paraId="4E2727BC"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4F2C2DC3"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XVIII - bens relacionados em ato do Poder Executivo para aplicação nas Unidades Modulares de Saúde de que trata o Convênio ICMS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114, de 11 de dezembro de 2009, quando adquiridos por órgãos da administração pública direta federal, estadual, distrital e municipal.</w:t>
      </w:r>
    </w:p>
    <w:p w14:paraId="6CE48334"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O Poder Executivo poderá regulamentar o disposto nos incisos IV, X e XIII a XVIII do caput deste artigo.” </w:t>
      </w:r>
      <w:r w:rsidRPr="00C22FC1">
        <w:rPr>
          <w:rFonts w:ascii="Arial" w:eastAsia="Times New Roman" w:hAnsi="Arial" w:cs="Arial"/>
          <w:color w:val="000000"/>
          <w:kern w:val="0"/>
          <w:sz w:val="20"/>
          <w:szCs w:val="20"/>
          <w:lang w:val="en-US"/>
          <w14:ligatures w14:val="none"/>
        </w:rPr>
        <w:t>(NR)</w:t>
      </w:r>
    </w:p>
    <w:p w14:paraId="158A5B4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61" w:name="art80"/>
      <w:bookmarkEnd w:id="161"/>
      <w:r w:rsidRPr="00C22FC1">
        <w:rPr>
          <w:rFonts w:ascii="Arial" w:eastAsia="Times New Roman" w:hAnsi="Arial" w:cs="Arial"/>
          <w:color w:val="000000"/>
          <w:kern w:val="0"/>
          <w:sz w:val="20"/>
          <w:szCs w:val="20"/>
          <w:lang w:val="en-US"/>
          <w14:ligatures w14:val="none"/>
        </w:rPr>
        <w:t>Art. 80.  </w:t>
      </w:r>
      <w:r w:rsidRPr="00C22FC1">
        <w:rPr>
          <w:rFonts w:ascii="Arial" w:eastAsia="Times New Roman" w:hAnsi="Arial" w:cs="Arial"/>
          <w:color w:val="000000"/>
          <w:kern w:val="0"/>
          <w:sz w:val="20"/>
          <w:szCs w:val="20"/>
          <w14:ligatures w14:val="none"/>
        </w:rPr>
        <w:t>(VETADO).</w:t>
      </w:r>
    </w:p>
    <w:p w14:paraId="77DC702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62" w:name="art81"/>
      <w:bookmarkEnd w:id="162"/>
      <w:r w:rsidRPr="00C22FC1">
        <w:rPr>
          <w:rFonts w:ascii="Arial" w:eastAsia="Times New Roman" w:hAnsi="Arial" w:cs="Arial"/>
          <w:color w:val="000000"/>
          <w:kern w:val="0"/>
          <w:sz w:val="20"/>
          <w:szCs w:val="20"/>
          <w14:ligatures w14:val="none"/>
        </w:rPr>
        <w:t>Art. 81.  As pessoas jurídicas que, no prazo estabelecido no </w:t>
      </w:r>
      <w:hyperlink r:id="rId322" w:anchor="art3" w:history="1">
        <w:r w:rsidRPr="00C22FC1">
          <w:rPr>
            <w:rFonts w:ascii="Arial" w:eastAsia="Times New Roman" w:hAnsi="Arial" w:cs="Arial"/>
            <w:color w:val="0000FF"/>
            <w:kern w:val="0"/>
            <w:sz w:val="20"/>
            <w:szCs w:val="20"/>
            <w:u w:val="single"/>
            <w14:ligatures w14:val="none"/>
          </w:rPr>
          <w:t>art. 3</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da Medida Provisória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470, de 13 de outubro de 2009</w:t>
        </w:r>
      </w:hyperlink>
      <w:r w:rsidRPr="00C22FC1">
        <w:rPr>
          <w:rFonts w:ascii="Arial" w:eastAsia="Times New Roman" w:hAnsi="Arial" w:cs="Arial"/>
          <w:color w:val="000000"/>
          <w:kern w:val="0"/>
          <w:sz w:val="20"/>
          <w:szCs w:val="20"/>
          <w14:ligatures w14:val="none"/>
        </w:rPr>
        <w:t>, optaram pelo parcelamento dos débitos decorrentes do aproveitamento indevido do incentivo fiscal setorial instituído pelo </w:t>
      </w:r>
      <w:hyperlink r:id="rId323" w:anchor="art1" w:history="1">
        <w:r w:rsidRPr="00C22FC1">
          <w:rPr>
            <w:rFonts w:ascii="Arial" w:eastAsia="Times New Roman" w:hAnsi="Arial" w:cs="Arial"/>
            <w:color w:val="0000FF"/>
            <w:kern w:val="0"/>
            <w:sz w:val="20"/>
            <w:szCs w:val="20"/>
            <w:u w:val="single"/>
            <w14:ligatures w14:val="none"/>
          </w:rPr>
          <w:t>art. 1</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do Decreto-Lei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491, de 5 de março de 1969</w:t>
        </w:r>
      </w:hyperlink>
      <w:r w:rsidRPr="00C22FC1">
        <w:rPr>
          <w:rFonts w:ascii="Arial" w:eastAsia="Times New Roman" w:hAnsi="Arial" w:cs="Arial"/>
          <w:color w:val="000000"/>
          <w:kern w:val="0"/>
          <w:sz w:val="20"/>
          <w:szCs w:val="20"/>
          <w14:ligatures w14:val="none"/>
        </w:rPr>
        <w:t>, e dos oriundos da aquisição de matérias-primas, material de embalagem e produtos intermediários relacionados na Tabela de Incidência do Imposto sobre Produtos Industrializados - TIPI, aprovada pelo </w:t>
      </w:r>
      <w:hyperlink r:id="rId324" w:history="1">
        <w:r w:rsidRPr="00C22FC1">
          <w:rPr>
            <w:rFonts w:ascii="Arial" w:eastAsia="Times New Roman" w:hAnsi="Arial" w:cs="Arial"/>
            <w:color w:val="0000FF"/>
            <w:kern w:val="0"/>
            <w:sz w:val="20"/>
            <w:szCs w:val="20"/>
            <w:u w:val="single"/>
            <w14:ligatures w14:val="none"/>
          </w:rPr>
          <w:t>Decreto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6.006, de 28 de dezembro de 2006</w:t>
        </w:r>
      </w:hyperlink>
      <w:r w:rsidRPr="00C22FC1">
        <w:rPr>
          <w:rFonts w:ascii="Arial" w:eastAsia="Times New Roman" w:hAnsi="Arial" w:cs="Arial"/>
          <w:color w:val="000000"/>
          <w:kern w:val="0"/>
          <w:sz w:val="20"/>
          <w:szCs w:val="20"/>
          <w14:ligatures w14:val="none"/>
        </w:rPr>
        <w:t>, com incidência de alíquota zero ou como não tributados - NT, poderão liquidar os valores correspondentes às prestações do parcelamento com a utilização de prejuízo fiscal e de base de cálculo negativa da Contribuição Social sobre o Lucro Líquido - CSLL relativos aos períodos de apuração encerrados até 31 de dezembro de 2009, desde que sejam:</w:t>
      </w:r>
    </w:p>
    <w:p w14:paraId="5EC7A5A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próprios;</w:t>
      </w:r>
    </w:p>
    <w:p w14:paraId="2C2B63C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passíveis de compensação, na forma da legislação vigente; e</w:t>
      </w:r>
    </w:p>
    <w:p w14:paraId="179F3D7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devidamente declarados, no tempo e forma determinados na legislação, à Secretaria da Receita Federal do Brasil.</w:t>
      </w:r>
    </w:p>
    <w:p w14:paraId="5305708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(VETADO).</w:t>
      </w:r>
    </w:p>
    <w:p w14:paraId="12BA6EF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valor a ser utilizado será determinado mediante a aplicação, sobre o montante do prejuízo fiscal e da base de cálculo negativa, das alíquotas de 25% (vinte e cinco por cento) e 9% (nove por cento), respectivamente.</w:t>
      </w:r>
    </w:p>
    <w:p w14:paraId="153ED81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As prestações a serem liquidadas devem obedecer à ordem decrescente do seu vencimento.</w:t>
      </w:r>
    </w:p>
    <w:p w14:paraId="26F58BB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os fins de utilização de prejuízo fiscal e de base de cálculo negativa da CSLL nos termos do caput deste artigo, não se aplica o limite de 30% (trinta por cento) do lucro líquido ajustado, previsto no </w:t>
      </w:r>
      <w:hyperlink r:id="rId325" w:anchor="art42" w:history="1">
        <w:r w:rsidRPr="00C22FC1">
          <w:rPr>
            <w:rFonts w:ascii="Arial" w:eastAsia="Times New Roman" w:hAnsi="Arial" w:cs="Arial"/>
            <w:color w:val="0000FF"/>
            <w:kern w:val="0"/>
            <w:sz w:val="20"/>
            <w:szCs w:val="20"/>
            <w:u w:val="single"/>
            <w14:ligatures w14:val="none"/>
          </w:rPr>
          <w:t>art. 42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8.981, de 20 de janeiro de 1995</w:t>
        </w:r>
      </w:hyperlink>
      <w:r w:rsidRPr="00C22FC1">
        <w:rPr>
          <w:rFonts w:ascii="Arial" w:eastAsia="Times New Roman" w:hAnsi="Arial" w:cs="Arial"/>
          <w:color w:val="000000"/>
          <w:kern w:val="0"/>
          <w:sz w:val="20"/>
          <w:szCs w:val="20"/>
          <w14:ligatures w14:val="none"/>
        </w:rPr>
        <w:t>, e no </w:t>
      </w:r>
      <w:hyperlink r:id="rId326" w:anchor="art15" w:history="1">
        <w:r w:rsidRPr="00C22FC1">
          <w:rPr>
            <w:rFonts w:ascii="Arial" w:eastAsia="Times New Roman" w:hAnsi="Arial" w:cs="Arial"/>
            <w:color w:val="0000FF"/>
            <w:kern w:val="0"/>
            <w:sz w:val="20"/>
            <w:szCs w:val="20"/>
            <w:u w:val="single"/>
            <w14:ligatures w14:val="none"/>
          </w:rPr>
          <w:t>art. 15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9.065, de 20 de junho de 1995.</w:t>
        </w:r>
      </w:hyperlink>
    </w:p>
    <w:p w14:paraId="34FE4B7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Procuradoria-Geral da Fazenda Nacional e a Secretaria da Receita Federal do Brasil editarão os atos necessários à execução do disposto neste artigo no prazo máximo de 30 (trinta) dias a partir da data de publicação desta Lei.</w:t>
      </w:r>
    </w:p>
    <w:p w14:paraId="1AA104F8"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63" w:name="art82"/>
      <w:bookmarkEnd w:id="163"/>
      <w:r w:rsidRPr="00C22FC1">
        <w:rPr>
          <w:rFonts w:ascii="Arial" w:eastAsia="Times New Roman" w:hAnsi="Arial" w:cs="Arial"/>
          <w:strike/>
          <w:color w:val="000000"/>
          <w:kern w:val="0"/>
          <w:sz w:val="20"/>
          <w:szCs w:val="20"/>
          <w14:ligatures w14:val="none"/>
        </w:rPr>
        <w:t>Art. 82.  O art. 3</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da Lei n</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7.940, de 20 de dezembro de 1989, passa a vigorar acrescido do seguinte parágrafo único:     </w:t>
      </w:r>
      <w:hyperlink r:id="rId327" w:anchor="art5" w:history="1">
        <w:r w:rsidRPr="00C22FC1">
          <w:rPr>
            <w:rFonts w:ascii="Arial" w:eastAsia="Times New Roman" w:hAnsi="Arial" w:cs="Arial"/>
            <w:strike/>
            <w:color w:val="0000FF"/>
            <w:kern w:val="0"/>
            <w:sz w:val="20"/>
            <w:szCs w:val="20"/>
            <w:u w:val="single"/>
            <w14:ligatures w14:val="none"/>
          </w:rPr>
          <w:t>(Revogado pela Medida Provisória nº 1.072, de 2021)</w:t>
        </w:r>
      </w:hyperlink>
      <w:r w:rsidRPr="00C22FC1">
        <w:rPr>
          <w:rFonts w:ascii="Arial" w:eastAsia="Times New Roman" w:hAnsi="Arial" w:cs="Arial"/>
          <w:strike/>
          <w:color w:val="000000"/>
          <w:kern w:val="0"/>
          <w:sz w:val="20"/>
          <w:szCs w:val="20"/>
          <w14:ligatures w14:val="none"/>
        </w:rPr>
        <w:t>     </w:t>
      </w:r>
      <w:hyperlink r:id="rId328" w:anchor="art6" w:history="1">
        <w:r w:rsidRPr="00C22FC1">
          <w:rPr>
            <w:rFonts w:ascii="Arial" w:eastAsia="Times New Roman" w:hAnsi="Arial" w:cs="Arial"/>
            <w:strike/>
            <w:color w:val="0000FF"/>
            <w:kern w:val="0"/>
            <w:sz w:val="20"/>
            <w:szCs w:val="20"/>
            <w:u w:val="single"/>
            <w14:ligatures w14:val="none"/>
          </w:rPr>
          <w:t>Produção de efeitos</w:t>
        </w:r>
      </w:hyperlink>
      <w:r w:rsidRPr="00C22FC1">
        <w:rPr>
          <w:rFonts w:ascii="Arial" w:eastAsia="Times New Roman" w:hAnsi="Arial" w:cs="Arial"/>
          <w:color w:val="000000"/>
          <w:kern w:val="0"/>
          <w:sz w:val="20"/>
          <w:szCs w:val="20"/>
          <w14:ligatures w14:val="none"/>
        </w:rPr>
        <w:t>        </w:t>
      </w:r>
      <w:hyperlink r:id="rId329" w:anchor="art5" w:history="1">
        <w:r w:rsidRPr="00C22FC1">
          <w:rPr>
            <w:rFonts w:ascii="Arial" w:eastAsia="Times New Roman" w:hAnsi="Arial" w:cs="Arial"/>
            <w:color w:val="0000FF"/>
            <w:kern w:val="0"/>
            <w:sz w:val="20"/>
            <w:szCs w:val="20"/>
            <w:u w:val="single"/>
            <w14:ligatures w14:val="none"/>
          </w:rPr>
          <w:t>(Revogado pela Lei nº 14.317, de 2022)</w:t>
        </w:r>
      </w:hyperlink>
      <w:r w:rsidRPr="00C22FC1">
        <w:rPr>
          <w:rFonts w:ascii="Arial" w:eastAsia="Times New Roman" w:hAnsi="Arial" w:cs="Arial"/>
          <w:color w:val="000000"/>
          <w:kern w:val="0"/>
          <w:sz w:val="20"/>
          <w:szCs w:val="20"/>
          <w14:ligatures w14:val="none"/>
        </w:rPr>
        <w:t>   </w:t>
      </w:r>
      <w:hyperlink r:id="rId330" w:anchor="art6" w:history="1">
        <w:r w:rsidRPr="00C22FC1">
          <w:rPr>
            <w:rFonts w:ascii="Arial" w:eastAsia="Times New Roman" w:hAnsi="Arial" w:cs="Arial"/>
            <w:color w:val="0000FF"/>
            <w:kern w:val="0"/>
            <w:sz w:val="20"/>
            <w:szCs w:val="20"/>
            <w:u w:val="single"/>
            <w14:ligatures w14:val="none"/>
          </w:rPr>
          <w:t>Produção de efeitos</w:t>
        </w:r>
      </w:hyperlink>
    </w:p>
    <w:p w14:paraId="2E486C8C" w14:textId="77777777" w:rsidR="00C22FC1" w:rsidRPr="00C22FC1" w:rsidRDefault="00C22FC1" w:rsidP="00C22FC1">
      <w:pPr>
        <w:spacing w:after="0" w:line="240" w:lineRule="auto"/>
        <w:rPr>
          <w:rFonts w:ascii="Arial" w:eastAsia="Times New Roman" w:hAnsi="Arial" w:cs="Arial"/>
          <w:color w:val="000000"/>
          <w:kern w:val="0"/>
          <w:sz w:val="20"/>
          <w:szCs w:val="20"/>
          <w14:ligatures w14:val="none"/>
        </w:rPr>
      </w:pPr>
      <w:hyperlink r:id="rId331" w:anchor="art3p" w:history="1">
        <w:r w:rsidRPr="00C22FC1">
          <w:rPr>
            <w:rFonts w:ascii="Arial" w:eastAsia="Times New Roman" w:hAnsi="Arial" w:cs="Arial"/>
            <w:strike/>
            <w:color w:val="0000FF"/>
            <w:kern w:val="0"/>
            <w:sz w:val="20"/>
            <w:szCs w:val="20"/>
            <w:u w:val="single"/>
            <w14:ligatures w14:val="none"/>
          </w:rPr>
          <w:t>“Art. 3</w:t>
        </w:r>
        <w:r w:rsidRPr="00C22FC1">
          <w:rPr>
            <w:rFonts w:ascii="Arial" w:eastAsia="Times New Roman" w:hAnsi="Arial" w:cs="Arial"/>
            <w:strike/>
            <w:color w:val="0000FF"/>
            <w:kern w:val="0"/>
            <w:sz w:val="20"/>
            <w:szCs w:val="20"/>
            <w:u w:val="single"/>
            <w:vertAlign w:val="superscript"/>
            <w14:ligatures w14:val="none"/>
          </w:rPr>
          <w:t>o</w:t>
        </w:r>
      </w:hyperlink>
      <w:r w:rsidRPr="00C22FC1">
        <w:rPr>
          <w:rFonts w:ascii="Arial" w:eastAsia="Times New Roman" w:hAnsi="Arial" w:cs="Arial"/>
          <w:strike/>
          <w:color w:val="000000"/>
          <w:kern w:val="0"/>
          <w:sz w:val="20"/>
          <w:szCs w:val="20"/>
          <w14:ligatures w14:val="none"/>
        </w:rPr>
        <w:t>  ........................................................................</w:t>
      </w:r>
    </w:p>
    <w:p w14:paraId="2B78F128" w14:textId="77777777" w:rsidR="00C22FC1" w:rsidRPr="00C22FC1" w:rsidRDefault="00C22FC1" w:rsidP="00C22FC1">
      <w:pPr>
        <w:spacing w:after="100" w:line="240" w:lineRule="auto"/>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Parágrafo único.  São isentos do pagamento da Taxa os analistas de valores mobiliários não sujeitos a registro na Comissão de Valores Mobiliários - CVM.” (NR)</w:t>
      </w:r>
    </w:p>
    <w:p w14:paraId="59C84B2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64" w:name="art83"/>
      <w:bookmarkEnd w:id="164"/>
      <w:r w:rsidRPr="00C22FC1">
        <w:rPr>
          <w:rFonts w:ascii="Arial" w:eastAsia="Times New Roman" w:hAnsi="Arial" w:cs="Arial"/>
          <w:color w:val="000000"/>
          <w:kern w:val="0"/>
          <w:sz w:val="20"/>
          <w:szCs w:val="20"/>
          <w14:ligatures w14:val="none"/>
        </w:rPr>
        <w:t>Art. 83.  Ficam excluídas as receitas provenientes das transferências obrigatórias de que tratam a </w:t>
      </w:r>
      <w:hyperlink r:id="rId332" w:history="1">
        <w:r w:rsidRPr="00C22FC1">
          <w:rPr>
            <w:rFonts w:ascii="Arial" w:eastAsia="Times New Roman" w:hAnsi="Arial" w:cs="Arial"/>
            <w:color w:val="0000FF"/>
            <w:kern w:val="0"/>
            <w:sz w:val="20"/>
            <w:szCs w:val="20"/>
            <w:u w:val="single"/>
            <w14:ligatures w14:val="none"/>
          </w:rPr>
          <w:t>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11.578, de 26 de novembro de 2007</w:t>
        </w:r>
      </w:hyperlink>
      <w:r w:rsidRPr="00C22FC1">
        <w:rPr>
          <w:rFonts w:ascii="Arial" w:eastAsia="Times New Roman" w:hAnsi="Arial" w:cs="Arial"/>
          <w:color w:val="000000"/>
          <w:kern w:val="0"/>
          <w:sz w:val="20"/>
          <w:szCs w:val="20"/>
          <w14:ligatures w14:val="none"/>
        </w:rPr>
        <w:t>, e o </w:t>
      </w:r>
      <w:hyperlink r:id="rId333" w:anchor="art51" w:history="1">
        <w:r w:rsidRPr="00C22FC1">
          <w:rPr>
            <w:rFonts w:ascii="Arial" w:eastAsia="Times New Roman" w:hAnsi="Arial" w:cs="Arial"/>
            <w:color w:val="0000FF"/>
            <w:kern w:val="0"/>
            <w:sz w:val="20"/>
            <w:szCs w:val="20"/>
            <w:u w:val="single"/>
            <w14:ligatures w14:val="none"/>
          </w:rPr>
          <w:t>art. 51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11.775, de 17 de setembro de 2008</w:t>
        </w:r>
      </w:hyperlink>
      <w:r w:rsidRPr="00C22FC1">
        <w:rPr>
          <w:rFonts w:ascii="Arial" w:eastAsia="Times New Roman" w:hAnsi="Arial" w:cs="Arial"/>
          <w:color w:val="000000"/>
          <w:kern w:val="0"/>
          <w:sz w:val="20"/>
          <w:szCs w:val="20"/>
          <w14:ligatures w14:val="none"/>
        </w:rPr>
        <w:t>, inclusive as já realizadas, para fins de cálculo da Receita Líquida Real prevista nas </w:t>
      </w:r>
      <w:hyperlink r:id="rId334" w:history="1">
        <w:r w:rsidRPr="00C22FC1">
          <w:rPr>
            <w:rFonts w:ascii="Arial" w:eastAsia="Times New Roman" w:hAnsi="Arial" w:cs="Arial"/>
            <w:color w:val="0000FF"/>
            <w:kern w:val="0"/>
            <w:sz w:val="20"/>
            <w:szCs w:val="20"/>
            <w:u w:val="single"/>
            <w14:ligatures w14:val="none"/>
          </w:rPr>
          <w:t>Leis n</w:t>
        </w:r>
        <w:r w:rsidRPr="00C22FC1">
          <w:rPr>
            <w:rFonts w:ascii="Arial" w:eastAsia="Times New Roman" w:hAnsi="Arial" w:cs="Arial"/>
            <w:color w:val="0000FF"/>
            <w:kern w:val="0"/>
            <w:sz w:val="20"/>
            <w:szCs w:val="20"/>
            <w:u w:val="single"/>
            <w:vertAlign w:val="superscript"/>
            <w14:ligatures w14:val="none"/>
          </w:rPr>
          <w:t>os</w:t>
        </w:r>
        <w:r w:rsidRPr="00C22FC1">
          <w:rPr>
            <w:rFonts w:ascii="Arial" w:eastAsia="Times New Roman" w:hAnsi="Arial" w:cs="Arial"/>
            <w:color w:val="0000FF"/>
            <w:kern w:val="0"/>
            <w:sz w:val="20"/>
            <w:szCs w:val="20"/>
            <w:u w:val="single"/>
            <w14:ligatures w14:val="none"/>
          </w:rPr>
          <w:t> 9.496, de 11 de setembro de 1997</w:t>
        </w:r>
      </w:hyperlink>
      <w:r w:rsidRPr="00C22FC1">
        <w:rPr>
          <w:rFonts w:ascii="Arial" w:eastAsia="Times New Roman" w:hAnsi="Arial" w:cs="Arial"/>
          <w:color w:val="000000"/>
          <w:kern w:val="0"/>
          <w:sz w:val="20"/>
          <w:szCs w:val="20"/>
          <w14:ligatures w14:val="none"/>
        </w:rPr>
        <w:t>, e </w:t>
      </w:r>
      <w:hyperlink r:id="rId335" w:history="1">
        <w:r w:rsidRPr="00C22FC1">
          <w:rPr>
            <w:rFonts w:ascii="Arial" w:eastAsia="Times New Roman" w:hAnsi="Arial" w:cs="Arial"/>
            <w:color w:val="0000FF"/>
            <w:kern w:val="0"/>
            <w:sz w:val="20"/>
            <w:szCs w:val="20"/>
            <w:u w:val="single"/>
            <w14:ligatures w14:val="none"/>
          </w:rPr>
          <w:t>8.727, de 5 de novembro de 1993</w:t>
        </w:r>
      </w:hyperlink>
      <w:r w:rsidRPr="00C22FC1">
        <w:rPr>
          <w:rFonts w:ascii="Arial" w:eastAsia="Times New Roman" w:hAnsi="Arial" w:cs="Arial"/>
          <w:color w:val="000000"/>
          <w:kern w:val="0"/>
          <w:sz w:val="20"/>
          <w:szCs w:val="20"/>
          <w14:ligatures w14:val="none"/>
        </w:rPr>
        <w:t>, e na </w:t>
      </w:r>
      <w:hyperlink r:id="rId336" w:history="1">
        <w:r w:rsidRPr="00C22FC1">
          <w:rPr>
            <w:rFonts w:ascii="Arial" w:eastAsia="Times New Roman" w:hAnsi="Arial" w:cs="Arial"/>
            <w:color w:val="0000FF"/>
            <w:kern w:val="0"/>
            <w:sz w:val="20"/>
            <w:szCs w:val="20"/>
            <w:u w:val="single"/>
            <w14:ligatures w14:val="none"/>
          </w:rPr>
          <w:t>Medida Provisória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2.185-35, de 24 de agosto de 2001</w:t>
        </w:r>
      </w:hyperlink>
      <w:r w:rsidRPr="00C22FC1">
        <w:rPr>
          <w:rFonts w:ascii="Arial" w:eastAsia="Times New Roman" w:hAnsi="Arial" w:cs="Arial"/>
          <w:color w:val="000000"/>
          <w:kern w:val="0"/>
          <w:sz w:val="20"/>
          <w:szCs w:val="20"/>
          <w14:ligatures w14:val="none"/>
        </w:rPr>
        <w:t>.</w:t>
      </w:r>
    </w:p>
    <w:p w14:paraId="73F7AC7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65" w:name="art84"/>
      <w:bookmarkEnd w:id="165"/>
      <w:r w:rsidRPr="00C22FC1">
        <w:rPr>
          <w:rFonts w:ascii="Arial" w:eastAsia="Times New Roman" w:hAnsi="Arial" w:cs="Arial"/>
          <w:color w:val="000000"/>
          <w:kern w:val="0"/>
          <w:sz w:val="20"/>
          <w:szCs w:val="20"/>
          <w14:ligatures w14:val="none"/>
        </w:rPr>
        <w:t>Art. 84.  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9.469, de 10 de julho de 1997, passa a vigorar acrescida do seguinte art.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-A:</w:t>
      </w:r>
    </w:p>
    <w:p w14:paraId="7F9F81BA"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337" w:anchor="art4a" w:history="1">
        <w:r w:rsidRPr="00C22FC1">
          <w:rPr>
            <w:rFonts w:ascii="Arial" w:eastAsia="Times New Roman" w:hAnsi="Arial" w:cs="Arial"/>
            <w:color w:val="0000FF"/>
            <w:kern w:val="0"/>
            <w:sz w:val="20"/>
            <w:szCs w:val="20"/>
            <w:u w:val="single"/>
            <w:lang w:val="en-US"/>
            <w14:ligatures w14:val="none"/>
          </w:rPr>
          <w:t>“Art. 4</w:t>
        </w:r>
        <w:r w:rsidRPr="00C22FC1">
          <w:rPr>
            <w:rFonts w:ascii="Arial" w:eastAsia="Times New Roman" w:hAnsi="Arial" w:cs="Arial"/>
            <w:color w:val="0000FF"/>
            <w:kern w:val="0"/>
            <w:sz w:val="20"/>
            <w:szCs w:val="20"/>
            <w:u w:val="single"/>
            <w:vertAlign w:val="superscript"/>
            <w:lang w:val="en-US"/>
            <w14:ligatures w14:val="none"/>
          </w:rPr>
          <w:t>o</w:t>
        </w:r>
        <w:r w:rsidRPr="00C22FC1">
          <w:rPr>
            <w:rFonts w:ascii="Arial" w:eastAsia="Times New Roman" w:hAnsi="Arial" w:cs="Arial"/>
            <w:color w:val="0000FF"/>
            <w:kern w:val="0"/>
            <w:sz w:val="20"/>
            <w:szCs w:val="20"/>
            <w:u w:val="single"/>
            <w:lang w:val="en-US"/>
            <w14:ligatures w14:val="none"/>
          </w:rPr>
          <w:t>-A.</w:t>
        </w:r>
      </w:hyperlink>
      <w:r w:rsidRPr="00C22FC1">
        <w:rPr>
          <w:rFonts w:ascii="Arial" w:eastAsia="Times New Roman" w:hAnsi="Arial" w:cs="Arial"/>
          <w:color w:val="000000"/>
          <w:kern w:val="0"/>
          <w:sz w:val="20"/>
          <w:szCs w:val="20"/>
          <w:lang w:val="en-US"/>
          <w14:ligatures w14:val="none"/>
        </w:rPr>
        <w:t>  </w:t>
      </w:r>
      <w:r w:rsidRPr="00C22FC1">
        <w:rPr>
          <w:rFonts w:ascii="Arial" w:eastAsia="Times New Roman" w:hAnsi="Arial" w:cs="Arial"/>
          <w:color w:val="000000"/>
          <w:kern w:val="0"/>
          <w:sz w:val="20"/>
          <w:szCs w:val="20"/>
          <w14:ligatures w14:val="none"/>
        </w:rPr>
        <w:t>O termo de ajustamento de conduta, para prevenir ou terminar litígios, nas hipóteses que envolvam interesse público da União, suas autarquias e fundações, firmado pela Advocacia-Geral da União, deverá conter:</w:t>
      </w:r>
    </w:p>
    <w:p w14:paraId="2540C790"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a descrição das obrigações assumidas;</w:t>
      </w:r>
    </w:p>
    <w:p w14:paraId="4134B70E"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o prazo e o modo para o cumprimento das obrigações;</w:t>
      </w:r>
    </w:p>
    <w:p w14:paraId="1E5F6277"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a forma de fiscalização da sua observância;</w:t>
      </w:r>
    </w:p>
    <w:p w14:paraId="4C51228E"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IV - os fundamentos de fato e de direito; e</w:t>
      </w:r>
    </w:p>
    <w:p w14:paraId="5FA78BAF"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 - a previsão de multa ou de sanção administrativa, no caso de seu descumprimento.</w:t>
      </w:r>
    </w:p>
    <w:p w14:paraId="39A69A35"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A Advocacia-Geral da União poderá solicitar aos órgãos e entidades públicas federais manifestação sobre a viabilidade técnica, operacional e financeira das obrigações a serem assumidas em termo de ajustamento de conduta, cabendo ao Advogado-Geral da União a decisão final quanto à sua celebração.”</w:t>
      </w:r>
    </w:p>
    <w:p w14:paraId="4776B0BB"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66" w:name="art85"/>
      <w:bookmarkEnd w:id="166"/>
      <w:r w:rsidRPr="00C22FC1">
        <w:rPr>
          <w:rFonts w:ascii="Arial" w:eastAsia="Times New Roman" w:hAnsi="Arial" w:cs="Arial"/>
          <w:strike/>
          <w:color w:val="000000"/>
          <w:kern w:val="0"/>
          <w:sz w:val="20"/>
          <w:szCs w:val="20"/>
          <w14:ligatures w14:val="none"/>
        </w:rPr>
        <w:t>Art. 85.  A inclusão em quadro em extinção da administração federal dos servidores civis e militares oriundos do ex-Território Federal de Rondônia e do Estado de Rondônia, de que trata o </w:t>
      </w:r>
      <w:hyperlink r:id="rId338" w:anchor="adctart89" w:history="1">
        <w:r w:rsidRPr="00C22FC1">
          <w:rPr>
            <w:rFonts w:ascii="Arial" w:eastAsia="Times New Roman" w:hAnsi="Arial" w:cs="Arial"/>
            <w:strike/>
            <w:color w:val="0000FF"/>
            <w:kern w:val="0"/>
            <w:sz w:val="20"/>
            <w:szCs w:val="20"/>
            <w:u w:val="single"/>
            <w14:ligatures w14:val="none"/>
          </w:rPr>
          <w:t>art. 89 do Ato das Disposições Constitucionais Transitórias - ADCT,</w:t>
        </w:r>
      </w:hyperlink>
      <w:r w:rsidRPr="00C22FC1">
        <w:rPr>
          <w:rFonts w:ascii="Arial" w:eastAsia="Times New Roman" w:hAnsi="Arial" w:cs="Arial"/>
          <w:strike/>
          <w:color w:val="000000"/>
          <w:kern w:val="0"/>
          <w:sz w:val="20"/>
          <w:szCs w:val="20"/>
          <w14:ligatures w14:val="none"/>
        </w:rPr>
        <w:t> com a redação dada pela </w:t>
      </w:r>
      <w:hyperlink r:id="rId339" w:history="1">
        <w:r w:rsidRPr="00C22FC1">
          <w:rPr>
            <w:rFonts w:ascii="Arial" w:eastAsia="Times New Roman" w:hAnsi="Arial" w:cs="Arial"/>
            <w:strike/>
            <w:color w:val="0000FF"/>
            <w:kern w:val="0"/>
            <w:sz w:val="20"/>
            <w:szCs w:val="20"/>
            <w:u w:val="single"/>
            <w14:ligatures w14:val="none"/>
          </w:rPr>
          <w:t>Emenda Constitucional n</w:t>
        </w:r>
        <w:r w:rsidRPr="00C22FC1">
          <w:rPr>
            <w:rFonts w:ascii="Arial" w:eastAsia="Times New Roman" w:hAnsi="Arial" w:cs="Arial"/>
            <w:strike/>
            <w:color w:val="0000FF"/>
            <w:kern w:val="0"/>
            <w:sz w:val="20"/>
            <w:szCs w:val="20"/>
            <w:u w:val="single"/>
            <w:vertAlign w:val="superscript"/>
            <w14:ligatures w14:val="none"/>
          </w:rPr>
          <w:t>o</w:t>
        </w:r>
        <w:r w:rsidRPr="00C22FC1">
          <w:rPr>
            <w:rFonts w:ascii="Arial" w:eastAsia="Times New Roman" w:hAnsi="Arial" w:cs="Arial"/>
            <w:strike/>
            <w:color w:val="0000FF"/>
            <w:kern w:val="0"/>
            <w:sz w:val="20"/>
            <w:szCs w:val="20"/>
            <w:u w:val="single"/>
            <w14:ligatures w14:val="none"/>
          </w:rPr>
          <w:t> 60, de 11 de novembro de 2009</w:t>
        </w:r>
      </w:hyperlink>
      <w:r w:rsidRPr="00C22FC1">
        <w:rPr>
          <w:rFonts w:ascii="Arial" w:eastAsia="Times New Roman" w:hAnsi="Arial" w:cs="Arial"/>
          <w:strike/>
          <w:color w:val="000000"/>
          <w:kern w:val="0"/>
          <w:sz w:val="20"/>
          <w:szCs w:val="20"/>
          <w14:ligatures w14:val="none"/>
        </w:rPr>
        <w:t>, observará as disposições e normas estabelecidas nos arts. 86 a 102.                    </w:t>
      </w:r>
      <w:hyperlink r:id="rId340" w:anchor="art1" w:history="1">
        <w:r w:rsidRPr="00C22FC1">
          <w:rPr>
            <w:rFonts w:ascii="Arial" w:eastAsia="Times New Roman" w:hAnsi="Arial" w:cs="Arial"/>
            <w:strike/>
            <w:color w:val="0000FF"/>
            <w:kern w:val="0"/>
            <w:sz w:val="20"/>
            <w:szCs w:val="20"/>
            <w:u w:val="single"/>
            <w14:ligatures w14:val="none"/>
          </w:rPr>
          <w:t>(Regulamento)</w:t>
        </w:r>
      </w:hyperlink>
      <w:r w:rsidRPr="00C22FC1">
        <w:rPr>
          <w:rFonts w:ascii="Arial" w:eastAsia="Times New Roman" w:hAnsi="Arial" w:cs="Arial"/>
          <w:strike/>
          <w:color w:val="000000"/>
          <w:kern w:val="0"/>
          <w:sz w:val="20"/>
          <w:szCs w:val="20"/>
          <w14:ligatures w14:val="none"/>
        </w:rPr>
        <w:t>          </w:t>
      </w:r>
      <w:hyperlink r:id="rId341" w:anchor="art10%C2%A75" w:history="1">
        <w:r w:rsidRPr="00C22FC1">
          <w:rPr>
            <w:rFonts w:ascii="Arial" w:eastAsia="Times New Roman" w:hAnsi="Arial" w:cs="Arial"/>
            <w:strike/>
            <w:color w:val="0000FF"/>
            <w:kern w:val="0"/>
            <w:sz w:val="20"/>
            <w:szCs w:val="20"/>
            <w:u w:val="single"/>
            <w14:ligatures w14:val="none"/>
          </w:rPr>
          <w:t>(Vide Lei nº 12.800, de 2013)</w:t>
        </w:r>
      </w:hyperlink>
      <w:r w:rsidRPr="00C22FC1">
        <w:rPr>
          <w:rFonts w:ascii="Arial" w:eastAsia="Times New Roman" w:hAnsi="Arial" w:cs="Arial"/>
          <w:strike/>
          <w:color w:val="000000"/>
          <w:kern w:val="0"/>
          <w:sz w:val="20"/>
          <w:szCs w:val="20"/>
          <w14:ligatures w14:val="none"/>
        </w:rPr>
        <w:t>                   </w:t>
      </w:r>
      <w:hyperlink r:id="rId342"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2F66C8B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67" w:name="art1335"/>
      <w:bookmarkEnd w:id="167"/>
      <w:r w:rsidRPr="00C22FC1">
        <w:rPr>
          <w:rFonts w:ascii="Arial" w:eastAsia="Times New Roman" w:hAnsi="Arial" w:cs="Arial"/>
          <w:color w:val="000000"/>
          <w:kern w:val="0"/>
          <w:sz w:val="20"/>
          <w:szCs w:val="20"/>
          <w14:ligatures w14:val="none"/>
        </w:rPr>
        <w:lastRenderedPageBreak/>
        <w:t>Art. 85.  A inclusão em quadro em extinção da administração federal dos servidores civis e militares oriundos do ex-Território Federal de Rondônia e do Estado de Rondônia, de que trata o </w:t>
      </w:r>
      <w:hyperlink r:id="rId343" w:anchor="adctart89" w:history="1">
        <w:r w:rsidRPr="00C22FC1">
          <w:rPr>
            <w:rFonts w:ascii="Arial" w:eastAsia="Times New Roman" w:hAnsi="Arial" w:cs="Arial"/>
            <w:color w:val="0000FF"/>
            <w:kern w:val="0"/>
            <w:sz w:val="20"/>
            <w:szCs w:val="20"/>
            <w:u w:val="single"/>
            <w14:ligatures w14:val="none"/>
          </w:rPr>
          <w:t>art. 89 do Ato das Disposições Constitucionais Transitórias - ADCT,</w:t>
        </w:r>
      </w:hyperlink>
      <w:r w:rsidRPr="00C22FC1">
        <w:rPr>
          <w:rFonts w:ascii="Arial" w:eastAsia="Times New Roman" w:hAnsi="Arial" w:cs="Arial"/>
          <w:color w:val="000000"/>
          <w:kern w:val="0"/>
          <w:sz w:val="20"/>
          <w:szCs w:val="20"/>
          <w14:ligatures w14:val="none"/>
        </w:rPr>
        <w:t> com a redação dada pela </w:t>
      </w:r>
      <w:hyperlink r:id="rId344" w:history="1">
        <w:r w:rsidRPr="00C22FC1">
          <w:rPr>
            <w:rFonts w:ascii="Arial" w:eastAsia="Times New Roman" w:hAnsi="Arial" w:cs="Arial"/>
            <w:color w:val="0000FF"/>
            <w:kern w:val="0"/>
            <w:sz w:val="20"/>
            <w:szCs w:val="20"/>
            <w:u w:val="single"/>
            <w14:ligatures w14:val="none"/>
          </w:rPr>
          <w:t>Emenda Constitucional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60, de 11 de novembro de 2009</w:t>
        </w:r>
      </w:hyperlink>
      <w:r w:rsidRPr="00C22FC1">
        <w:rPr>
          <w:rFonts w:ascii="Arial" w:eastAsia="Times New Roman" w:hAnsi="Arial" w:cs="Arial"/>
          <w:color w:val="000000"/>
          <w:kern w:val="0"/>
          <w:sz w:val="20"/>
          <w:szCs w:val="20"/>
          <w14:ligatures w14:val="none"/>
        </w:rPr>
        <w:t>, observará as disposições e normas estabelecidas nos arts. 86 a 102.             </w:t>
      </w:r>
      <w:hyperlink r:id="rId345" w:anchor="art1" w:history="1">
        <w:r w:rsidRPr="00C22FC1">
          <w:rPr>
            <w:rFonts w:ascii="Arial" w:eastAsia="Times New Roman" w:hAnsi="Arial" w:cs="Arial"/>
            <w:color w:val="0000FF"/>
            <w:kern w:val="0"/>
            <w:sz w:val="20"/>
            <w:szCs w:val="20"/>
            <w:u w:val="single"/>
            <w14:ligatures w14:val="none"/>
          </w:rPr>
          <w:t>(Regulamento)</w:t>
        </w:r>
      </w:hyperlink>
      <w:r w:rsidRPr="00C22FC1">
        <w:rPr>
          <w:rFonts w:ascii="Arial" w:eastAsia="Times New Roman" w:hAnsi="Arial" w:cs="Arial"/>
          <w:color w:val="000000"/>
          <w:kern w:val="0"/>
          <w:sz w:val="20"/>
          <w:szCs w:val="20"/>
          <w14:ligatures w14:val="none"/>
        </w:rPr>
        <w:t>                   </w:t>
      </w:r>
      <w:hyperlink r:id="rId346" w:anchor="art10%C2%A75" w:history="1">
        <w:r w:rsidRPr="00C22FC1">
          <w:rPr>
            <w:rFonts w:ascii="Arial" w:eastAsia="Times New Roman" w:hAnsi="Arial" w:cs="Arial"/>
            <w:color w:val="0000FF"/>
            <w:kern w:val="0"/>
            <w:sz w:val="20"/>
            <w:szCs w:val="20"/>
            <w:u w:val="single"/>
            <w14:ligatures w14:val="none"/>
          </w:rPr>
          <w:t>(Vide Lei nº 12.800, de 2013)</w:t>
        </w:r>
      </w:hyperlink>
      <w:r w:rsidRPr="00C22FC1">
        <w:rPr>
          <w:rFonts w:ascii="Arial" w:eastAsia="Times New Roman" w:hAnsi="Arial" w:cs="Arial"/>
          <w:color w:val="000000"/>
          <w:kern w:val="0"/>
          <w:sz w:val="20"/>
          <w:szCs w:val="20"/>
          <w14:ligatures w14:val="none"/>
        </w:rPr>
        <w:t>                  </w:t>
      </w:r>
    </w:p>
    <w:p w14:paraId="152F7CC3"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68" w:name="art86"/>
      <w:bookmarkEnd w:id="168"/>
      <w:r w:rsidRPr="00C22FC1">
        <w:rPr>
          <w:rFonts w:ascii="Arial" w:eastAsia="Times New Roman" w:hAnsi="Arial" w:cs="Arial"/>
          <w:strike/>
          <w:color w:val="000000"/>
          <w:kern w:val="0"/>
          <w:sz w:val="20"/>
          <w:szCs w:val="20"/>
          <w14:ligatures w14:val="none"/>
        </w:rPr>
        <w:t>Art. 86.  Constituirão, mediante opção, quadro em extinção da administração federal, assegurados os direitos e vantagens a eles inerentes:            </w:t>
      </w:r>
      <w:hyperlink r:id="rId347" w:anchor="art1" w:history="1">
        <w:r w:rsidRPr="00C22FC1">
          <w:rPr>
            <w:rFonts w:ascii="Arial" w:eastAsia="Times New Roman" w:hAnsi="Arial" w:cs="Arial"/>
            <w:strike/>
            <w:color w:val="0000FF"/>
            <w:kern w:val="0"/>
            <w:sz w:val="20"/>
            <w:szCs w:val="20"/>
            <w:u w:val="single"/>
            <w14:ligatures w14:val="none"/>
          </w:rPr>
          <w:t>(Regulamento)</w:t>
        </w:r>
      </w:hyperlink>
      <w:r w:rsidRPr="00C22FC1">
        <w:rPr>
          <w:rFonts w:ascii="Arial" w:eastAsia="Times New Roman" w:hAnsi="Arial" w:cs="Arial"/>
          <w:strike/>
          <w:color w:val="000000"/>
          <w:kern w:val="0"/>
          <w:sz w:val="20"/>
          <w:szCs w:val="20"/>
          <w14:ligatures w14:val="none"/>
        </w:rPr>
        <w:t>                </w:t>
      </w:r>
      <w:hyperlink r:id="rId348" w:anchor="art23" w:history="1">
        <w:r w:rsidRPr="00C22FC1">
          <w:rPr>
            <w:rFonts w:ascii="Arial" w:eastAsia="Times New Roman" w:hAnsi="Arial" w:cs="Arial"/>
            <w:strike/>
            <w:color w:val="0000FF"/>
            <w:kern w:val="0"/>
            <w:sz w:val="20"/>
            <w:szCs w:val="20"/>
            <w:u w:val="single"/>
            <w14:ligatures w14:val="none"/>
          </w:rPr>
          <w:t>(Vide Lei nº 12.800, de 2013)</w:t>
        </w:r>
      </w:hyperlink>
      <w:r w:rsidRPr="00C22FC1">
        <w:rPr>
          <w:rFonts w:ascii="Arial" w:eastAsia="Times New Roman" w:hAnsi="Arial" w:cs="Arial"/>
          <w:strike/>
          <w:color w:val="000000"/>
          <w:kern w:val="0"/>
          <w:sz w:val="20"/>
          <w:szCs w:val="20"/>
          <w14:ligatures w14:val="none"/>
        </w:rPr>
        <w:t>                </w:t>
      </w:r>
      <w:hyperlink r:id="rId349"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59D1FB9C"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 - os integrantes da Carreira Policial Militar e os servidores municipais do ex-Território de Rondônia que, comprovadamente, se encontravam no exercício regular de suas funções, prestando serviço àquele ex-Território, na data em que foi transformado em Estado;                 </w:t>
      </w:r>
      <w:hyperlink r:id="rId350"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67AE8768"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II - os servidores admitidos regularmente nos quadros do Estado de Rondônia até a data de posse do primeiro governador eleito - 15 de março de 1987; e                </w:t>
      </w:r>
      <w:hyperlink r:id="rId351"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2D8D84AA"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III - os servidores e os policiais militares alcançados pelos efeitos do </w:t>
      </w:r>
      <w:hyperlink r:id="rId352" w:anchor="art36" w:history="1">
        <w:r w:rsidRPr="00C22FC1">
          <w:rPr>
            <w:rFonts w:ascii="Arial" w:eastAsia="Times New Roman" w:hAnsi="Arial" w:cs="Arial"/>
            <w:strike/>
            <w:color w:val="0000FF"/>
            <w:kern w:val="0"/>
            <w:sz w:val="20"/>
            <w:szCs w:val="20"/>
            <w:u w:val="single"/>
            <w14:ligatures w14:val="none"/>
          </w:rPr>
          <w:t>art. 36 da Lei Complementar n</w:t>
        </w:r>
        <w:r w:rsidRPr="00C22FC1">
          <w:rPr>
            <w:rFonts w:ascii="Arial" w:eastAsia="Times New Roman" w:hAnsi="Arial" w:cs="Arial"/>
            <w:strike/>
            <w:color w:val="0000FF"/>
            <w:kern w:val="0"/>
            <w:sz w:val="20"/>
            <w:szCs w:val="20"/>
            <w:u w:val="single"/>
            <w:vertAlign w:val="superscript"/>
            <w14:ligatures w14:val="none"/>
          </w:rPr>
          <w:t>o</w:t>
        </w:r>
        <w:r w:rsidRPr="00C22FC1">
          <w:rPr>
            <w:rFonts w:ascii="Arial" w:eastAsia="Times New Roman" w:hAnsi="Arial" w:cs="Arial"/>
            <w:strike/>
            <w:color w:val="0000FF"/>
            <w:kern w:val="0"/>
            <w:sz w:val="20"/>
            <w:szCs w:val="20"/>
            <w:u w:val="single"/>
            <w14:ligatures w14:val="none"/>
          </w:rPr>
          <w:t> 41, de 22 de dezembro de 1981.</w:t>
        </w:r>
      </w:hyperlink>
      <w:r w:rsidRPr="00C22FC1">
        <w:rPr>
          <w:rFonts w:ascii="Arial" w:eastAsia="Times New Roman" w:hAnsi="Arial" w:cs="Arial"/>
          <w:strike/>
          <w:color w:val="000000"/>
          <w:kern w:val="0"/>
          <w:sz w:val="20"/>
          <w:szCs w:val="20"/>
          <w14:ligatures w14:val="none"/>
        </w:rPr>
        <w:t>                  </w:t>
      </w:r>
      <w:hyperlink r:id="rId353"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2927261B"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Parágrafo único.  É vedado o pagamento, a qualquer título, de diferenças remuneratórias.             </w:t>
      </w:r>
      <w:hyperlink r:id="rId354"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5DEDA41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69" w:name="art1336"/>
      <w:bookmarkEnd w:id="169"/>
      <w:r w:rsidRPr="00C22FC1">
        <w:rPr>
          <w:rFonts w:ascii="Arial" w:eastAsia="Times New Roman" w:hAnsi="Arial" w:cs="Arial"/>
          <w:color w:val="000000"/>
          <w:kern w:val="0"/>
          <w:sz w:val="20"/>
          <w:szCs w:val="20"/>
          <w14:ligatures w14:val="none"/>
        </w:rPr>
        <w:t>Art. 86.  Constituirão, mediante opção, quadro em extinção da administração federal, assegurados os direitos e vantagens a eles inerentes:                </w:t>
      </w:r>
      <w:hyperlink r:id="rId355" w:anchor="art1" w:history="1">
        <w:r w:rsidRPr="00C22FC1">
          <w:rPr>
            <w:rFonts w:ascii="Arial" w:eastAsia="Times New Roman" w:hAnsi="Arial" w:cs="Arial"/>
            <w:color w:val="0000FF"/>
            <w:kern w:val="0"/>
            <w:sz w:val="20"/>
            <w:szCs w:val="20"/>
            <w:u w:val="single"/>
            <w14:ligatures w14:val="none"/>
          </w:rPr>
          <w:t>(Regulamento)</w:t>
        </w:r>
      </w:hyperlink>
      <w:r w:rsidRPr="00C22FC1">
        <w:rPr>
          <w:rFonts w:ascii="Arial" w:eastAsia="Times New Roman" w:hAnsi="Arial" w:cs="Arial"/>
          <w:color w:val="000000"/>
          <w:kern w:val="0"/>
          <w:sz w:val="20"/>
          <w:szCs w:val="20"/>
          <w14:ligatures w14:val="none"/>
        </w:rPr>
        <w:t>                </w:t>
      </w:r>
      <w:hyperlink r:id="rId356" w:anchor="art23" w:history="1">
        <w:r w:rsidRPr="00C22FC1">
          <w:rPr>
            <w:rFonts w:ascii="Arial" w:eastAsia="Times New Roman" w:hAnsi="Arial" w:cs="Arial"/>
            <w:color w:val="0000FF"/>
            <w:kern w:val="0"/>
            <w:sz w:val="20"/>
            <w:szCs w:val="20"/>
            <w:u w:val="single"/>
            <w14:ligatures w14:val="none"/>
          </w:rPr>
          <w:t>(Vide Lei nº 12.800, de 2013)</w:t>
        </w:r>
      </w:hyperlink>
      <w:r w:rsidRPr="00C22FC1">
        <w:rPr>
          <w:rFonts w:ascii="Arial" w:eastAsia="Times New Roman" w:hAnsi="Arial" w:cs="Arial"/>
          <w:color w:val="000000"/>
          <w:kern w:val="0"/>
          <w:sz w:val="20"/>
          <w:szCs w:val="20"/>
          <w14:ligatures w14:val="none"/>
        </w:rPr>
        <w:t>              </w:t>
      </w:r>
    </w:p>
    <w:p w14:paraId="00BBD3E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os integrantes da Carreira Policial Militar e os servidores municipais do ex-Território de Rondônia que, comprovadamente, se encontravam no exercício regular de suas funções, prestando serviço àquele ex-Território, na data em que foi transformado em Estado;  </w:t>
      </w:r>
    </w:p>
    <w:p w14:paraId="40BC1EF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os servidores admitidos regularmente nos quadros do Estado de Rondônia até a data de posse do primeiro governador eleito - 15 de março de 1987; e  </w:t>
      </w:r>
    </w:p>
    <w:p w14:paraId="0BFC43A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os servidores e os policiais militares alcançados pelos efeitos do </w:t>
      </w:r>
      <w:hyperlink r:id="rId357" w:anchor="art36" w:history="1">
        <w:r w:rsidRPr="00C22FC1">
          <w:rPr>
            <w:rFonts w:ascii="Arial" w:eastAsia="Times New Roman" w:hAnsi="Arial" w:cs="Arial"/>
            <w:color w:val="0000FF"/>
            <w:kern w:val="0"/>
            <w:sz w:val="20"/>
            <w:szCs w:val="20"/>
            <w:u w:val="single"/>
            <w14:ligatures w14:val="none"/>
          </w:rPr>
          <w:t>art. 36 da Lei Complementar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41, de 22 de dezembro de 1981.</w:t>
        </w:r>
      </w:hyperlink>
      <w:r w:rsidRPr="00C22FC1">
        <w:rPr>
          <w:rFonts w:ascii="Arial" w:eastAsia="Times New Roman" w:hAnsi="Arial" w:cs="Arial"/>
          <w:color w:val="000000"/>
          <w:kern w:val="0"/>
          <w:sz w:val="20"/>
          <w:szCs w:val="20"/>
          <w14:ligatures w14:val="none"/>
        </w:rPr>
        <w:t>  </w:t>
      </w:r>
    </w:p>
    <w:p w14:paraId="67BCD1E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É vedado o pagamento, a qualquer título, de diferenças remuneratórias.  </w:t>
      </w:r>
    </w:p>
    <w:p w14:paraId="51CE9D5B"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70" w:name="art87"/>
      <w:bookmarkEnd w:id="170"/>
      <w:r w:rsidRPr="00C22FC1">
        <w:rPr>
          <w:rFonts w:ascii="Arial" w:eastAsia="Times New Roman" w:hAnsi="Arial" w:cs="Arial"/>
          <w:strike/>
          <w:color w:val="000000"/>
          <w:kern w:val="0"/>
          <w:sz w:val="20"/>
          <w:szCs w:val="20"/>
          <w:lang w:val="en-US"/>
          <w14:ligatures w14:val="none"/>
        </w:rPr>
        <w:t>Art. 87. </w:t>
      </w:r>
      <w:r w:rsidRPr="00C22FC1">
        <w:rPr>
          <w:rFonts w:ascii="Arial" w:eastAsia="Times New Roman" w:hAnsi="Arial" w:cs="Arial"/>
          <w:strike/>
          <w:color w:val="000000"/>
          <w:kern w:val="0"/>
          <w:sz w:val="20"/>
          <w:szCs w:val="20"/>
          <w14:ligatures w14:val="none"/>
        </w:rPr>
        <w:t> (VETADO).                </w:t>
      </w:r>
      <w:hyperlink r:id="rId358"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7E779C9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71" w:name="art1337"/>
      <w:bookmarkEnd w:id="171"/>
      <w:r w:rsidRPr="00C22FC1">
        <w:rPr>
          <w:rFonts w:ascii="Arial" w:eastAsia="Times New Roman" w:hAnsi="Arial" w:cs="Arial"/>
          <w:color w:val="000000"/>
          <w:kern w:val="0"/>
          <w:sz w:val="20"/>
          <w:szCs w:val="20"/>
          <w:lang w:val="en-US"/>
          <w14:ligatures w14:val="none"/>
        </w:rPr>
        <w:t>Art. 87. </w:t>
      </w:r>
      <w:r w:rsidRPr="00C22FC1">
        <w:rPr>
          <w:rFonts w:ascii="Arial" w:eastAsia="Times New Roman" w:hAnsi="Arial" w:cs="Arial"/>
          <w:color w:val="000000"/>
          <w:kern w:val="0"/>
          <w:sz w:val="20"/>
          <w:szCs w:val="20"/>
          <w14:ligatures w14:val="none"/>
        </w:rPr>
        <w:t> (VETADO).  </w:t>
      </w:r>
    </w:p>
    <w:p w14:paraId="4DBF930A"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72" w:name="art88"/>
      <w:bookmarkEnd w:id="172"/>
      <w:r w:rsidRPr="00C22FC1">
        <w:rPr>
          <w:rFonts w:ascii="Arial" w:eastAsia="Times New Roman" w:hAnsi="Arial" w:cs="Arial"/>
          <w:strike/>
          <w:color w:val="000000"/>
          <w:kern w:val="0"/>
          <w:sz w:val="20"/>
          <w:szCs w:val="20"/>
          <w:lang w:val="en-US"/>
          <w14:ligatures w14:val="none"/>
        </w:rPr>
        <w:t>Art. 88.  </w:t>
      </w:r>
      <w:r w:rsidRPr="00C22FC1">
        <w:rPr>
          <w:rFonts w:ascii="Arial" w:eastAsia="Times New Roman" w:hAnsi="Arial" w:cs="Arial"/>
          <w:strike/>
          <w:color w:val="000000"/>
          <w:kern w:val="0"/>
          <w:sz w:val="20"/>
          <w:szCs w:val="20"/>
          <w14:ligatures w14:val="none"/>
        </w:rPr>
        <w:t>Os servidores de que trata o art. 86 desta Lei somente farão jus à opção pela inclusão no quadro em extinção da administração federal se:                </w:t>
      </w:r>
      <w:hyperlink r:id="rId359" w:anchor="art1" w:history="1">
        <w:r w:rsidRPr="00C22FC1">
          <w:rPr>
            <w:rFonts w:ascii="Arial" w:eastAsia="Times New Roman" w:hAnsi="Arial" w:cs="Arial"/>
            <w:strike/>
            <w:color w:val="0000FF"/>
            <w:kern w:val="0"/>
            <w:sz w:val="20"/>
            <w:szCs w:val="20"/>
            <w:u w:val="single"/>
            <w14:ligatures w14:val="none"/>
          </w:rPr>
          <w:t>(Regulamento)</w:t>
        </w:r>
      </w:hyperlink>
      <w:r w:rsidRPr="00C22FC1">
        <w:rPr>
          <w:rFonts w:ascii="Arial" w:eastAsia="Times New Roman" w:hAnsi="Arial" w:cs="Arial"/>
          <w:strike/>
          <w:color w:val="000000"/>
          <w:kern w:val="0"/>
          <w:sz w:val="20"/>
          <w:szCs w:val="20"/>
          <w14:ligatures w14:val="none"/>
        </w:rPr>
        <w:t>                   </w:t>
      </w:r>
      <w:hyperlink r:id="rId360"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4978D168"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 – (VETADO);                 </w:t>
      </w:r>
      <w:hyperlink r:id="rId361"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3B065667"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II - comprovadamente, se encontravam:                  </w:t>
      </w:r>
      <w:hyperlink r:id="rId362"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7D2D7C2A"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a) no desempenho de suas funções no âmbito da administração do Estado de Rondônia ou de seus Municípios; ou                    </w:t>
      </w:r>
      <w:hyperlink r:id="rId363"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550153CA"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b) cedidos em conformidade com as disposições legais e regulamentares da época.                   </w:t>
      </w:r>
      <w:hyperlink r:id="rId364"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2EF84207"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Parágrafo único.  Para os fins desta Lei, não serão admitidos de forma regular nos quadros do ex-Território de Rondônia, do Estado de Rondônia ou dos respectivos Municípios:                     </w:t>
      </w:r>
      <w:hyperlink r:id="rId365"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0509D1A0"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lastRenderedPageBreak/>
        <w:t>I - os contratados como prestadores de serviços;                </w:t>
      </w:r>
      <w:hyperlink r:id="rId366"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64BB9AC0"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II - os terceirizados;                    </w:t>
      </w:r>
      <w:hyperlink r:id="rId367"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0C2C975D"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III - os que laboravam informalmente e eram pagos mediante recibo; e                  </w:t>
      </w:r>
      <w:hyperlink r:id="rId368"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25B77592"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IV - os ocupantes de cargos, empregos e funções de confiança ou em comissão, ou os que lei declare de livre nomeação e exoneração.                    </w:t>
      </w:r>
      <w:hyperlink r:id="rId369"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0A26310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73" w:name="art1338"/>
      <w:bookmarkEnd w:id="173"/>
      <w:r w:rsidRPr="00C22FC1">
        <w:rPr>
          <w:rFonts w:ascii="Arial" w:eastAsia="Times New Roman" w:hAnsi="Arial" w:cs="Arial"/>
          <w:color w:val="000000"/>
          <w:kern w:val="0"/>
          <w:sz w:val="20"/>
          <w:szCs w:val="20"/>
          <w:lang w:val="en-US"/>
          <w14:ligatures w14:val="none"/>
        </w:rPr>
        <w:t>Art. 88.  </w:t>
      </w:r>
      <w:r w:rsidRPr="00C22FC1">
        <w:rPr>
          <w:rFonts w:ascii="Arial" w:eastAsia="Times New Roman" w:hAnsi="Arial" w:cs="Arial"/>
          <w:color w:val="000000"/>
          <w:kern w:val="0"/>
          <w:sz w:val="20"/>
          <w:szCs w:val="20"/>
          <w14:ligatures w14:val="none"/>
        </w:rPr>
        <w:t>Os servidores de que trata o art. 86 desta Lei somente farão jus à opção pela inclusão no quadro em extinção da administração federal se:                 </w:t>
      </w:r>
      <w:hyperlink r:id="rId370" w:anchor="art1" w:history="1">
        <w:r w:rsidRPr="00C22FC1">
          <w:rPr>
            <w:rFonts w:ascii="Arial" w:eastAsia="Times New Roman" w:hAnsi="Arial" w:cs="Arial"/>
            <w:color w:val="0000FF"/>
            <w:kern w:val="0"/>
            <w:sz w:val="20"/>
            <w:szCs w:val="20"/>
            <w:u w:val="single"/>
            <w14:ligatures w14:val="none"/>
          </w:rPr>
          <w:t>(Regulamento)</w:t>
        </w:r>
      </w:hyperlink>
      <w:r w:rsidRPr="00C22FC1">
        <w:rPr>
          <w:rFonts w:ascii="Arial" w:eastAsia="Times New Roman" w:hAnsi="Arial" w:cs="Arial"/>
          <w:color w:val="000000"/>
          <w:kern w:val="0"/>
          <w:sz w:val="20"/>
          <w:szCs w:val="20"/>
          <w14:ligatures w14:val="none"/>
        </w:rPr>
        <w:t>  </w:t>
      </w:r>
    </w:p>
    <w:p w14:paraId="76332B2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(VETADO); </w:t>
      </w:r>
    </w:p>
    <w:p w14:paraId="240BB36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comprovadamente, se encontravam: </w:t>
      </w:r>
    </w:p>
    <w:p w14:paraId="6FEDC19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a) no desempenho de suas funções no âmbito da administração do Estado de Rondônia ou de seus Municípios; ou  </w:t>
      </w:r>
    </w:p>
    <w:p w14:paraId="0F28BBE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b) cedidos em conformidade com as disposições legais e regulamentares da época.</w:t>
      </w:r>
    </w:p>
    <w:p w14:paraId="28BCBB0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Para os fins desta Lei, não serão admitidos de forma regular nos quadros do ex-Território de Rondônia, do Estado de Rondônia ou dos respectivos Municípios: </w:t>
      </w:r>
    </w:p>
    <w:p w14:paraId="6B5F9A9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os contratados como prestadores de serviços;  </w:t>
      </w:r>
    </w:p>
    <w:p w14:paraId="4DB967C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os terceirizados;  </w:t>
      </w:r>
    </w:p>
    <w:p w14:paraId="5CCFBCB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os que laboravam informalmente e eram pagos mediante recibo; e  </w:t>
      </w:r>
    </w:p>
    <w:p w14:paraId="2887E73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IV - os ocupantes de cargos, empregos e funções de confiança ou em comissão, ou os que lei declare de livre nomeação e exoneração.  </w:t>
      </w:r>
    </w:p>
    <w:p w14:paraId="00BDF2F0"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74" w:name="art89"/>
      <w:bookmarkEnd w:id="174"/>
      <w:r w:rsidRPr="00C22FC1">
        <w:rPr>
          <w:rFonts w:ascii="Arial" w:eastAsia="Times New Roman" w:hAnsi="Arial" w:cs="Arial"/>
          <w:strike/>
          <w:color w:val="000000"/>
          <w:kern w:val="0"/>
          <w:sz w:val="20"/>
          <w:szCs w:val="20"/>
          <w14:ligatures w14:val="none"/>
        </w:rPr>
        <w:t>Art. 89.  Para fins da inclusão no quadro em extinção de que trata o art. 85 desta Lei, será considerado o cargo ou emprego ocupado pelo servidor na data da entrega do documento da opção pela inclusão em quadro em extinção da administração federal e documentação comprobatória dos requisitos estabelecidos por esta Lei, assegurados os direitos e vantagens a eles inerentes, inclusive as eventuais alterações remuneratórias decorrentes de decisões judiciais.                  </w:t>
      </w:r>
      <w:hyperlink r:id="rId371" w:anchor="art1" w:history="1">
        <w:r w:rsidRPr="00C22FC1">
          <w:rPr>
            <w:rFonts w:ascii="Arial" w:eastAsia="Times New Roman" w:hAnsi="Arial" w:cs="Arial"/>
            <w:strike/>
            <w:color w:val="0000FF"/>
            <w:kern w:val="0"/>
            <w:sz w:val="20"/>
            <w:szCs w:val="20"/>
            <w:u w:val="single"/>
            <w14:ligatures w14:val="none"/>
          </w:rPr>
          <w:t>(Regulamento)</w:t>
        </w:r>
      </w:hyperlink>
      <w:r w:rsidRPr="00C22FC1">
        <w:rPr>
          <w:rFonts w:ascii="Arial" w:eastAsia="Times New Roman" w:hAnsi="Arial" w:cs="Arial"/>
          <w:strike/>
          <w:color w:val="000000"/>
          <w:kern w:val="0"/>
          <w:sz w:val="20"/>
          <w:szCs w:val="20"/>
          <w14:ligatures w14:val="none"/>
        </w:rPr>
        <w:t>               </w:t>
      </w:r>
      <w:hyperlink r:id="rId372"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121D9F62"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1</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(VETADO).                 </w:t>
      </w:r>
      <w:hyperlink r:id="rId373"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15781CF1"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2</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(VETADO).                </w:t>
      </w:r>
      <w:hyperlink r:id="rId374"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3BFAFA3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75" w:name="art1339"/>
      <w:bookmarkEnd w:id="175"/>
      <w:r w:rsidRPr="00C22FC1">
        <w:rPr>
          <w:rFonts w:ascii="Arial" w:eastAsia="Times New Roman" w:hAnsi="Arial" w:cs="Arial"/>
          <w:color w:val="000000"/>
          <w:kern w:val="0"/>
          <w:sz w:val="20"/>
          <w:szCs w:val="20"/>
          <w14:ligatures w14:val="none"/>
        </w:rPr>
        <w:t>Art. 89.  Para fins da inclusão no quadro em extinção de que trata o art. 85 desta Lei, será considerado o cargo ou emprego ocupado pelo servidor na data da entrega do documento da opção pela inclusão em quadro em extinção da administração federal e documentação comprobatória dos requisitos estabelecidos por esta Lei, assegurados os direitos e vantagens a eles inerentes, inclusive as eventuais alterações remuneratórias decorrentes de decisões judiciais.     </w:t>
      </w:r>
      <w:hyperlink r:id="rId375" w:anchor="art1" w:history="1">
        <w:r w:rsidRPr="00C22FC1">
          <w:rPr>
            <w:rFonts w:ascii="Arial" w:eastAsia="Times New Roman" w:hAnsi="Arial" w:cs="Arial"/>
            <w:color w:val="0000FF"/>
            <w:kern w:val="0"/>
            <w:sz w:val="20"/>
            <w:szCs w:val="20"/>
            <w:u w:val="single"/>
            <w14:ligatures w14:val="none"/>
          </w:rPr>
          <w:t>(Regulamento)</w:t>
        </w:r>
      </w:hyperlink>
      <w:r w:rsidRPr="00C22FC1">
        <w:rPr>
          <w:rFonts w:ascii="Arial" w:eastAsia="Times New Roman" w:hAnsi="Arial" w:cs="Arial"/>
          <w:color w:val="000000"/>
          <w:kern w:val="0"/>
          <w:sz w:val="20"/>
          <w:szCs w:val="20"/>
          <w14:ligatures w14:val="none"/>
        </w:rPr>
        <w:t>  </w:t>
      </w:r>
    </w:p>
    <w:p w14:paraId="265DFC1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(VETADO).  </w:t>
      </w:r>
    </w:p>
    <w:p w14:paraId="7E9BDF8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(VETADO).  </w:t>
      </w:r>
    </w:p>
    <w:p w14:paraId="3CDA5512"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76" w:name="art90"/>
      <w:bookmarkEnd w:id="176"/>
      <w:r w:rsidRPr="00C22FC1">
        <w:rPr>
          <w:rFonts w:ascii="Arial" w:eastAsia="Times New Roman" w:hAnsi="Arial" w:cs="Arial"/>
          <w:strike/>
          <w:color w:val="000000"/>
          <w:kern w:val="0"/>
          <w:sz w:val="20"/>
          <w:szCs w:val="20"/>
          <w:lang w:val="en-US"/>
          <w14:ligatures w14:val="none"/>
        </w:rPr>
        <w:t>Art. 90.  </w:t>
      </w:r>
      <w:r w:rsidRPr="00C22FC1">
        <w:rPr>
          <w:rFonts w:ascii="Arial" w:eastAsia="Times New Roman" w:hAnsi="Arial" w:cs="Arial"/>
          <w:strike/>
          <w:color w:val="000000"/>
          <w:kern w:val="0"/>
          <w:sz w:val="20"/>
          <w:szCs w:val="20"/>
          <w14:ligatures w14:val="none"/>
        </w:rPr>
        <w:t>(VETADO).                 </w:t>
      </w:r>
      <w:hyperlink r:id="rId376" w:anchor="art1" w:history="1">
        <w:r w:rsidRPr="00C22FC1">
          <w:rPr>
            <w:rFonts w:ascii="Arial" w:eastAsia="Times New Roman" w:hAnsi="Arial" w:cs="Arial"/>
            <w:strike/>
            <w:color w:val="0000FF"/>
            <w:kern w:val="0"/>
            <w:sz w:val="20"/>
            <w:szCs w:val="20"/>
            <w:u w:val="single"/>
            <w14:ligatures w14:val="none"/>
          </w:rPr>
          <w:t>(Regulamento)</w:t>
        </w:r>
      </w:hyperlink>
      <w:r w:rsidRPr="00C22FC1">
        <w:rPr>
          <w:rFonts w:ascii="Arial" w:eastAsia="Times New Roman" w:hAnsi="Arial" w:cs="Arial"/>
          <w:strike/>
          <w:color w:val="000000"/>
          <w:kern w:val="0"/>
          <w:sz w:val="20"/>
          <w:szCs w:val="20"/>
          <w14:ligatures w14:val="none"/>
        </w:rPr>
        <w:t>               </w:t>
      </w:r>
      <w:hyperlink r:id="rId377"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1EFE5B1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77" w:name="art1340"/>
      <w:bookmarkEnd w:id="177"/>
      <w:r w:rsidRPr="00C22FC1">
        <w:rPr>
          <w:rFonts w:ascii="Arial" w:eastAsia="Times New Roman" w:hAnsi="Arial" w:cs="Arial"/>
          <w:color w:val="000000"/>
          <w:kern w:val="0"/>
          <w:sz w:val="20"/>
          <w:szCs w:val="20"/>
          <w:lang w:val="en-US"/>
          <w14:ligatures w14:val="none"/>
        </w:rPr>
        <w:t>Art. 90.  </w:t>
      </w:r>
      <w:r w:rsidRPr="00C22FC1">
        <w:rPr>
          <w:rFonts w:ascii="Arial" w:eastAsia="Times New Roman" w:hAnsi="Arial" w:cs="Arial"/>
          <w:color w:val="000000"/>
          <w:kern w:val="0"/>
          <w:sz w:val="20"/>
          <w:szCs w:val="20"/>
          <w14:ligatures w14:val="none"/>
        </w:rPr>
        <w:t>(VETADO).              </w:t>
      </w:r>
      <w:hyperlink r:id="rId378" w:anchor="art1" w:history="1">
        <w:r w:rsidRPr="00C22FC1">
          <w:rPr>
            <w:rFonts w:ascii="Arial" w:eastAsia="Times New Roman" w:hAnsi="Arial" w:cs="Arial"/>
            <w:color w:val="0000FF"/>
            <w:kern w:val="0"/>
            <w:sz w:val="20"/>
            <w:szCs w:val="20"/>
            <w:u w:val="single"/>
            <w14:ligatures w14:val="none"/>
          </w:rPr>
          <w:t>(Regulamento)</w:t>
        </w:r>
      </w:hyperlink>
      <w:r w:rsidRPr="00C22FC1">
        <w:rPr>
          <w:rFonts w:ascii="Arial" w:eastAsia="Times New Roman" w:hAnsi="Arial" w:cs="Arial"/>
          <w:color w:val="000000"/>
          <w:kern w:val="0"/>
          <w:sz w:val="20"/>
          <w:szCs w:val="20"/>
          <w14:ligatures w14:val="none"/>
        </w:rPr>
        <w:t>                </w:t>
      </w:r>
    </w:p>
    <w:p w14:paraId="1EF99378"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78" w:name="art91"/>
      <w:bookmarkEnd w:id="178"/>
      <w:r w:rsidRPr="00C22FC1">
        <w:rPr>
          <w:rFonts w:ascii="Arial" w:eastAsia="Times New Roman" w:hAnsi="Arial" w:cs="Arial"/>
          <w:strike/>
          <w:color w:val="000000"/>
          <w:kern w:val="0"/>
          <w:sz w:val="20"/>
          <w:szCs w:val="20"/>
          <w:lang w:val="en-US"/>
          <w14:ligatures w14:val="none"/>
        </w:rPr>
        <w:lastRenderedPageBreak/>
        <w:t>Art. 91.  </w:t>
      </w:r>
      <w:r w:rsidRPr="00C22FC1">
        <w:rPr>
          <w:rFonts w:ascii="Arial" w:eastAsia="Times New Roman" w:hAnsi="Arial" w:cs="Arial"/>
          <w:strike/>
          <w:color w:val="000000"/>
          <w:kern w:val="0"/>
          <w:sz w:val="20"/>
          <w:szCs w:val="20"/>
          <w14:ligatures w14:val="none"/>
        </w:rPr>
        <w:t>(VETADO).             </w:t>
      </w:r>
      <w:hyperlink r:id="rId379" w:anchor="art1" w:history="1">
        <w:r w:rsidRPr="00C22FC1">
          <w:rPr>
            <w:rFonts w:ascii="Arial" w:eastAsia="Times New Roman" w:hAnsi="Arial" w:cs="Arial"/>
            <w:strike/>
            <w:color w:val="0000FF"/>
            <w:kern w:val="0"/>
            <w:sz w:val="20"/>
            <w:szCs w:val="20"/>
            <w:u w:val="single"/>
            <w14:ligatures w14:val="none"/>
          </w:rPr>
          <w:t>(Regulamento)</w:t>
        </w:r>
      </w:hyperlink>
      <w:r w:rsidRPr="00C22FC1">
        <w:rPr>
          <w:rFonts w:ascii="Arial" w:eastAsia="Times New Roman" w:hAnsi="Arial" w:cs="Arial"/>
          <w:strike/>
          <w:color w:val="000000"/>
          <w:kern w:val="0"/>
          <w:sz w:val="20"/>
          <w:szCs w:val="20"/>
          <w14:ligatures w14:val="none"/>
        </w:rPr>
        <w:t>               </w:t>
      </w:r>
      <w:hyperlink r:id="rId380"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679B1DB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79" w:name="art1341"/>
      <w:bookmarkEnd w:id="179"/>
      <w:r w:rsidRPr="00C22FC1">
        <w:rPr>
          <w:rFonts w:ascii="Arial" w:eastAsia="Times New Roman" w:hAnsi="Arial" w:cs="Arial"/>
          <w:color w:val="000000"/>
          <w:kern w:val="0"/>
          <w:sz w:val="20"/>
          <w:szCs w:val="20"/>
          <w:lang w:val="en-US"/>
          <w14:ligatures w14:val="none"/>
        </w:rPr>
        <w:t>Art. 91.  </w:t>
      </w:r>
      <w:r w:rsidRPr="00C22FC1">
        <w:rPr>
          <w:rFonts w:ascii="Arial" w:eastAsia="Times New Roman" w:hAnsi="Arial" w:cs="Arial"/>
          <w:color w:val="000000"/>
          <w:kern w:val="0"/>
          <w:sz w:val="20"/>
          <w:szCs w:val="20"/>
          <w14:ligatures w14:val="none"/>
        </w:rPr>
        <w:t>(VETADO).              </w:t>
      </w:r>
      <w:hyperlink r:id="rId381" w:anchor="art1" w:history="1">
        <w:r w:rsidRPr="00C22FC1">
          <w:rPr>
            <w:rFonts w:ascii="Arial" w:eastAsia="Times New Roman" w:hAnsi="Arial" w:cs="Arial"/>
            <w:color w:val="0000FF"/>
            <w:kern w:val="0"/>
            <w:sz w:val="20"/>
            <w:szCs w:val="20"/>
            <w:u w:val="single"/>
            <w14:ligatures w14:val="none"/>
          </w:rPr>
          <w:t>(Regulamento)</w:t>
        </w:r>
      </w:hyperlink>
      <w:r w:rsidRPr="00C22FC1">
        <w:rPr>
          <w:rFonts w:ascii="Arial" w:eastAsia="Times New Roman" w:hAnsi="Arial" w:cs="Arial"/>
          <w:color w:val="000000"/>
          <w:kern w:val="0"/>
          <w:sz w:val="20"/>
          <w:szCs w:val="20"/>
          <w14:ligatures w14:val="none"/>
        </w:rPr>
        <w:t>              </w:t>
      </w:r>
    </w:p>
    <w:p w14:paraId="44CFB505"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80" w:name="art92"/>
      <w:bookmarkEnd w:id="180"/>
      <w:r w:rsidRPr="00C22FC1">
        <w:rPr>
          <w:rFonts w:ascii="Arial" w:eastAsia="Times New Roman" w:hAnsi="Arial" w:cs="Arial"/>
          <w:strike/>
          <w:color w:val="000000"/>
          <w:kern w:val="0"/>
          <w:sz w:val="20"/>
          <w:szCs w:val="20"/>
          <w14:ligatures w14:val="none"/>
        </w:rPr>
        <w:t>Art. 92.  (VETADO).                 </w:t>
      </w:r>
      <w:hyperlink r:id="rId382" w:anchor="art1" w:history="1">
        <w:r w:rsidRPr="00C22FC1">
          <w:rPr>
            <w:rFonts w:ascii="Arial" w:eastAsia="Times New Roman" w:hAnsi="Arial" w:cs="Arial"/>
            <w:strike/>
            <w:color w:val="0000FF"/>
            <w:kern w:val="0"/>
            <w:sz w:val="20"/>
            <w:szCs w:val="20"/>
            <w:u w:val="single"/>
            <w14:ligatures w14:val="none"/>
          </w:rPr>
          <w:t>(Regulamento)</w:t>
        </w:r>
      </w:hyperlink>
      <w:r w:rsidRPr="00C22FC1">
        <w:rPr>
          <w:rFonts w:ascii="Arial" w:eastAsia="Times New Roman" w:hAnsi="Arial" w:cs="Arial"/>
          <w:strike/>
          <w:color w:val="000000"/>
          <w:kern w:val="0"/>
          <w:sz w:val="20"/>
          <w:szCs w:val="20"/>
          <w14:ligatures w14:val="none"/>
        </w:rPr>
        <w:t>                </w:t>
      </w:r>
      <w:hyperlink r:id="rId383"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6F605BD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81" w:name="art1342"/>
      <w:bookmarkEnd w:id="181"/>
      <w:r w:rsidRPr="00C22FC1">
        <w:rPr>
          <w:rFonts w:ascii="Arial" w:eastAsia="Times New Roman" w:hAnsi="Arial" w:cs="Arial"/>
          <w:color w:val="000000"/>
          <w:kern w:val="0"/>
          <w:sz w:val="20"/>
          <w:szCs w:val="20"/>
          <w14:ligatures w14:val="none"/>
        </w:rPr>
        <w:t>Art. 92.  (VETADO).              </w:t>
      </w:r>
      <w:hyperlink r:id="rId384" w:anchor="art1" w:history="1">
        <w:r w:rsidRPr="00C22FC1">
          <w:rPr>
            <w:rFonts w:ascii="Arial" w:eastAsia="Times New Roman" w:hAnsi="Arial" w:cs="Arial"/>
            <w:color w:val="0000FF"/>
            <w:kern w:val="0"/>
            <w:sz w:val="20"/>
            <w:szCs w:val="20"/>
            <w:u w:val="single"/>
            <w14:ligatures w14:val="none"/>
          </w:rPr>
          <w:t>(Regulamento)</w:t>
        </w:r>
      </w:hyperlink>
      <w:r w:rsidRPr="00C22FC1">
        <w:rPr>
          <w:rFonts w:ascii="Arial" w:eastAsia="Times New Roman" w:hAnsi="Arial" w:cs="Arial"/>
          <w:color w:val="000000"/>
          <w:kern w:val="0"/>
          <w:sz w:val="20"/>
          <w:szCs w:val="20"/>
          <w14:ligatures w14:val="none"/>
        </w:rPr>
        <w:t>              </w:t>
      </w:r>
    </w:p>
    <w:p w14:paraId="5EB0AEA2"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82" w:name="art93"/>
      <w:bookmarkEnd w:id="182"/>
      <w:r w:rsidRPr="00C22FC1">
        <w:rPr>
          <w:rFonts w:ascii="Arial" w:eastAsia="Times New Roman" w:hAnsi="Arial" w:cs="Arial"/>
          <w:strike/>
          <w:color w:val="000000"/>
          <w:kern w:val="0"/>
          <w:sz w:val="20"/>
          <w:szCs w:val="20"/>
          <w:lang w:val="en-US"/>
          <w14:ligatures w14:val="none"/>
        </w:rPr>
        <w:t>Art. 93.  </w:t>
      </w:r>
      <w:r w:rsidRPr="00C22FC1">
        <w:rPr>
          <w:rFonts w:ascii="Arial" w:eastAsia="Times New Roman" w:hAnsi="Arial" w:cs="Arial"/>
          <w:strike/>
          <w:color w:val="000000"/>
          <w:kern w:val="0"/>
          <w:sz w:val="20"/>
          <w:szCs w:val="20"/>
          <w14:ligatures w14:val="none"/>
        </w:rPr>
        <w:t>(VETADO).               </w:t>
      </w:r>
      <w:hyperlink r:id="rId385" w:anchor="art1" w:history="1">
        <w:r w:rsidRPr="00C22FC1">
          <w:rPr>
            <w:rFonts w:ascii="Arial" w:eastAsia="Times New Roman" w:hAnsi="Arial" w:cs="Arial"/>
            <w:strike/>
            <w:color w:val="0000FF"/>
            <w:kern w:val="0"/>
            <w:sz w:val="20"/>
            <w:szCs w:val="20"/>
            <w:u w:val="single"/>
            <w14:ligatures w14:val="none"/>
          </w:rPr>
          <w:t>(Regulamento)</w:t>
        </w:r>
      </w:hyperlink>
      <w:r w:rsidRPr="00C22FC1">
        <w:rPr>
          <w:rFonts w:ascii="Arial" w:eastAsia="Times New Roman" w:hAnsi="Arial" w:cs="Arial"/>
          <w:strike/>
          <w:color w:val="000000"/>
          <w:kern w:val="0"/>
          <w:sz w:val="20"/>
          <w:szCs w:val="20"/>
          <w14:ligatures w14:val="none"/>
        </w:rPr>
        <w:t>                  </w:t>
      </w:r>
      <w:hyperlink r:id="rId386"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3B28612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83" w:name="art1343"/>
      <w:bookmarkEnd w:id="183"/>
      <w:r w:rsidRPr="00C22FC1">
        <w:rPr>
          <w:rFonts w:ascii="Arial" w:eastAsia="Times New Roman" w:hAnsi="Arial" w:cs="Arial"/>
          <w:color w:val="000000"/>
          <w:kern w:val="0"/>
          <w:sz w:val="20"/>
          <w:szCs w:val="20"/>
          <w:lang w:val="en-US"/>
          <w14:ligatures w14:val="none"/>
        </w:rPr>
        <w:t>Art. 93.  </w:t>
      </w:r>
      <w:r w:rsidRPr="00C22FC1">
        <w:rPr>
          <w:rFonts w:ascii="Arial" w:eastAsia="Times New Roman" w:hAnsi="Arial" w:cs="Arial"/>
          <w:color w:val="000000"/>
          <w:kern w:val="0"/>
          <w:sz w:val="20"/>
          <w:szCs w:val="20"/>
          <w14:ligatures w14:val="none"/>
        </w:rPr>
        <w:t>(VETADO).              </w:t>
      </w:r>
      <w:hyperlink r:id="rId387" w:anchor="art1" w:history="1">
        <w:r w:rsidRPr="00C22FC1">
          <w:rPr>
            <w:rFonts w:ascii="Arial" w:eastAsia="Times New Roman" w:hAnsi="Arial" w:cs="Arial"/>
            <w:color w:val="0000FF"/>
            <w:kern w:val="0"/>
            <w:sz w:val="20"/>
            <w:szCs w:val="20"/>
            <w:u w:val="single"/>
            <w14:ligatures w14:val="none"/>
          </w:rPr>
          <w:t>(Regulamento)</w:t>
        </w:r>
      </w:hyperlink>
      <w:r w:rsidRPr="00C22FC1">
        <w:rPr>
          <w:rFonts w:ascii="Arial" w:eastAsia="Times New Roman" w:hAnsi="Arial" w:cs="Arial"/>
          <w:color w:val="000000"/>
          <w:kern w:val="0"/>
          <w:sz w:val="20"/>
          <w:szCs w:val="20"/>
          <w14:ligatures w14:val="none"/>
        </w:rPr>
        <w:t>              </w:t>
      </w:r>
    </w:p>
    <w:p w14:paraId="172503DF"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84" w:name="art94"/>
      <w:bookmarkEnd w:id="184"/>
      <w:r w:rsidRPr="00C22FC1">
        <w:rPr>
          <w:rFonts w:ascii="Arial" w:eastAsia="Times New Roman" w:hAnsi="Arial" w:cs="Arial"/>
          <w:strike/>
          <w:color w:val="000000"/>
          <w:kern w:val="0"/>
          <w:sz w:val="20"/>
          <w:szCs w:val="20"/>
          <w:lang w:val="en-US"/>
          <w14:ligatures w14:val="none"/>
        </w:rPr>
        <w:t>Art. 94.  </w:t>
      </w:r>
      <w:r w:rsidRPr="00C22FC1">
        <w:rPr>
          <w:rFonts w:ascii="Arial" w:eastAsia="Times New Roman" w:hAnsi="Arial" w:cs="Arial"/>
          <w:strike/>
          <w:color w:val="000000"/>
          <w:kern w:val="0"/>
          <w:sz w:val="20"/>
          <w:szCs w:val="20"/>
          <w14:ligatures w14:val="none"/>
        </w:rPr>
        <w:t>(VETADO).                    </w:t>
      </w:r>
      <w:hyperlink r:id="rId388" w:anchor="art1" w:history="1">
        <w:r w:rsidRPr="00C22FC1">
          <w:rPr>
            <w:rFonts w:ascii="Arial" w:eastAsia="Times New Roman" w:hAnsi="Arial" w:cs="Arial"/>
            <w:strike/>
            <w:color w:val="0000FF"/>
            <w:kern w:val="0"/>
            <w:sz w:val="20"/>
            <w:szCs w:val="20"/>
            <w:u w:val="single"/>
            <w14:ligatures w14:val="none"/>
          </w:rPr>
          <w:t>(Regulamento)</w:t>
        </w:r>
      </w:hyperlink>
      <w:r w:rsidRPr="00C22FC1">
        <w:rPr>
          <w:rFonts w:ascii="Arial" w:eastAsia="Times New Roman" w:hAnsi="Arial" w:cs="Arial"/>
          <w:strike/>
          <w:color w:val="000000"/>
          <w:kern w:val="0"/>
          <w:sz w:val="20"/>
          <w:szCs w:val="20"/>
          <w14:ligatures w14:val="none"/>
        </w:rPr>
        <w:t>                 </w:t>
      </w:r>
      <w:hyperlink r:id="rId389"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0212338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85" w:name="art1344"/>
      <w:bookmarkEnd w:id="185"/>
      <w:r w:rsidRPr="00C22FC1">
        <w:rPr>
          <w:rFonts w:ascii="Arial" w:eastAsia="Times New Roman" w:hAnsi="Arial" w:cs="Arial"/>
          <w:color w:val="000000"/>
          <w:kern w:val="0"/>
          <w:sz w:val="20"/>
          <w:szCs w:val="20"/>
          <w:lang w:val="en-US"/>
          <w14:ligatures w14:val="none"/>
        </w:rPr>
        <w:t>Art. 94.  </w:t>
      </w:r>
      <w:r w:rsidRPr="00C22FC1">
        <w:rPr>
          <w:rFonts w:ascii="Arial" w:eastAsia="Times New Roman" w:hAnsi="Arial" w:cs="Arial"/>
          <w:color w:val="000000"/>
          <w:kern w:val="0"/>
          <w:sz w:val="20"/>
          <w:szCs w:val="20"/>
          <w14:ligatures w14:val="none"/>
        </w:rPr>
        <w:t>(VETADO).             </w:t>
      </w:r>
      <w:hyperlink r:id="rId390" w:anchor="art1" w:history="1">
        <w:r w:rsidRPr="00C22FC1">
          <w:rPr>
            <w:rFonts w:ascii="Arial" w:eastAsia="Times New Roman" w:hAnsi="Arial" w:cs="Arial"/>
            <w:color w:val="0000FF"/>
            <w:kern w:val="0"/>
            <w:sz w:val="20"/>
            <w:szCs w:val="20"/>
            <w:u w:val="single"/>
            <w14:ligatures w14:val="none"/>
          </w:rPr>
          <w:t>(Regulamento)</w:t>
        </w:r>
      </w:hyperlink>
      <w:r w:rsidRPr="00C22FC1">
        <w:rPr>
          <w:rFonts w:ascii="Arial" w:eastAsia="Times New Roman" w:hAnsi="Arial" w:cs="Arial"/>
          <w:color w:val="000000"/>
          <w:kern w:val="0"/>
          <w:sz w:val="20"/>
          <w:szCs w:val="20"/>
          <w14:ligatures w14:val="none"/>
        </w:rPr>
        <w:t>                </w:t>
      </w:r>
    </w:p>
    <w:p w14:paraId="0F501173"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86" w:name="art95"/>
      <w:bookmarkEnd w:id="186"/>
      <w:r w:rsidRPr="00C22FC1">
        <w:rPr>
          <w:rFonts w:ascii="Arial" w:eastAsia="Times New Roman" w:hAnsi="Arial" w:cs="Arial"/>
          <w:strike/>
          <w:color w:val="000000"/>
          <w:kern w:val="0"/>
          <w:sz w:val="20"/>
          <w:szCs w:val="20"/>
          <w14:ligatures w14:val="none"/>
        </w:rPr>
        <w:t>Art. 95.  (VETADO).                   </w:t>
      </w:r>
      <w:hyperlink r:id="rId391" w:anchor="art1" w:history="1">
        <w:r w:rsidRPr="00C22FC1">
          <w:rPr>
            <w:rFonts w:ascii="Arial" w:eastAsia="Times New Roman" w:hAnsi="Arial" w:cs="Arial"/>
            <w:strike/>
            <w:color w:val="0000FF"/>
            <w:kern w:val="0"/>
            <w:sz w:val="20"/>
            <w:szCs w:val="20"/>
            <w:u w:val="single"/>
            <w14:ligatures w14:val="none"/>
          </w:rPr>
          <w:t>(Regulamento)</w:t>
        </w:r>
      </w:hyperlink>
      <w:r w:rsidRPr="00C22FC1">
        <w:rPr>
          <w:rFonts w:ascii="Arial" w:eastAsia="Times New Roman" w:hAnsi="Arial" w:cs="Arial"/>
          <w:strike/>
          <w:color w:val="000000"/>
          <w:kern w:val="0"/>
          <w:sz w:val="20"/>
          <w:szCs w:val="20"/>
          <w14:ligatures w14:val="none"/>
        </w:rPr>
        <w:t>                 </w:t>
      </w:r>
      <w:hyperlink r:id="rId392"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0DBA13D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87" w:name="art1345"/>
      <w:bookmarkEnd w:id="187"/>
      <w:r w:rsidRPr="00C22FC1">
        <w:rPr>
          <w:rFonts w:ascii="Arial" w:eastAsia="Times New Roman" w:hAnsi="Arial" w:cs="Arial"/>
          <w:color w:val="000000"/>
          <w:kern w:val="0"/>
          <w:sz w:val="20"/>
          <w:szCs w:val="20"/>
          <w14:ligatures w14:val="none"/>
        </w:rPr>
        <w:t>Art. 95.  (VETADO).              </w:t>
      </w:r>
      <w:hyperlink r:id="rId393" w:anchor="art1" w:history="1">
        <w:r w:rsidRPr="00C22FC1">
          <w:rPr>
            <w:rFonts w:ascii="Arial" w:eastAsia="Times New Roman" w:hAnsi="Arial" w:cs="Arial"/>
            <w:color w:val="0000FF"/>
            <w:kern w:val="0"/>
            <w:sz w:val="20"/>
            <w:szCs w:val="20"/>
            <w:u w:val="single"/>
            <w14:ligatures w14:val="none"/>
          </w:rPr>
          <w:t>(Regulamento)</w:t>
        </w:r>
      </w:hyperlink>
      <w:r w:rsidRPr="00C22FC1">
        <w:rPr>
          <w:rFonts w:ascii="Arial" w:eastAsia="Times New Roman" w:hAnsi="Arial" w:cs="Arial"/>
          <w:color w:val="000000"/>
          <w:kern w:val="0"/>
          <w:sz w:val="20"/>
          <w:szCs w:val="20"/>
          <w14:ligatures w14:val="none"/>
        </w:rPr>
        <w:t>              </w:t>
      </w:r>
    </w:p>
    <w:p w14:paraId="3698E0C6"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88" w:name="art96"/>
      <w:bookmarkEnd w:id="188"/>
      <w:r w:rsidRPr="00C22FC1">
        <w:rPr>
          <w:rFonts w:ascii="Arial" w:eastAsia="Times New Roman" w:hAnsi="Arial" w:cs="Arial"/>
          <w:strike/>
          <w:color w:val="000000"/>
          <w:kern w:val="0"/>
          <w:sz w:val="20"/>
          <w:szCs w:val="20"/>
          <w:lang w:val="en-US"/>
          <w14:ligatures w14:val="none"/>
        </w:rPr>
        <w:t>Art. 96. </w:t>
      </w:r>
      <w:r w:rsidRPr="00C22FC1">
        <w:rPr>
          <w:rFonts w:ascii="Arial" w:eastAsia="Times New Roman" w:hAnsi="Arial" w:cs="Arial"/>
          <w:strike/>
          <w:color w:val="000000"/>
          <w:kern w:val="0"/>
          <w:sz w:val="20"/>
          <w:szCs w:val="20"/>
          <w14:ligatures w14:val="none"/>
        </w:rPr>
        <w:t> (VETADO).                  </w:t>
      </w:r>
      <w:hyperlink r:id="rId394" w:anchor="art1" w:history="1">
        <w:r w:rsidRPr="00C22FC1">
          <w:rPr>
            <w:rFonts w:ascii="Arial" w:eastAsia="Times New Roman" w:hAnsi="Arial" w:cs="Arial"/>
            <w:strike/>
            <w:color w:val="0000FF"/>
            <w:kern w:val="0"/>
            <w:sz w:val="20"/>
            <w:szCs w:val="20"/>
            <w:u w:val="single"/>
            <w14:ligatures w14:val="none"/>
          </w:rPr>
          <w:t>(Regulamento)</w:t>
        </w:r>
      </w:hyperlink>
      <w:r w:rsidRPr="00C22FC1">
        <w:rPr>
          <w:rFonts w:ascii="Arial" w:eastAsia="Times New Roman" w:hAnsi="Arial" w:cs="Arial"/>
          <w:strike/>
          <w:color w:val="000000"/>
          <w:kern w:val="0"/>
          <w:sz w:val="20"/>
          <w:szCs w:val="20"/>
          <w14:ligatures w14:val="none"/>
        </w:rPr>
        <w:t>                    </w:t>
      </w:r>
      <w:hyperlink r:id="rId395"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21F3DD7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89" w:name="art1346"/>
      <w:bookmarkEnd w:id="189"/>
      <w:r w:rsidRPr="00C22FC1">
        <w:rPr>
          <w:rFonts w:ascii="Arial" w:eastAsia="Times New Roman" w:hAnsi="Arial" w:cs="Arial"/>
          <w:color w:val="000000"/>
          <w:kern w:val="0"/>
          <w:sz w:val="20"/>
          <w:szCs w:val="20"/>
          <w:lang w:val="en-US"/>
          <w14:ligatures w14:val="none"/>
        </w:rPr>
        <w:t>Art. 96. </w:t>
      </w:r>
      <w:r w:rsidRPr="00C22FC1">
        <w:rPr>
          <w:rFonts w:ascii="Arial" w:eastAsia="Times New Roman" w:hAnsi="Arial" w:cs="Arial"/>
          <w:color w:val="000000"/>
          <w:kern w:val="0"/>
          <w:sz w:val="20"/>
          <w:szCs w:val="20"/>
          <w14:ligatures w14:val="none"/>
        </w:rPr>
        <w:t> (VETADO).             </w:t>
      </w:r>
      <w:hyperlink r:id="rId396" w:anchor="art1" w:history="1">
        <w:r w:rsidRPr="00C22FC1">
          <w:rPr>
            <w:rFonts w:ascii="Arial" w:eastAsia="Times New Roman" w:hAnsi="Arial" w:cs="Arial"/>
            <w:color w:val="0000FF"/>
            <w:kern w:val="0"/>
            <w:sz w:val="20"/>
            <w:szCs w:val="20"/>
            <w:u w:val="single"/>
            <w14:ligatures w14:val="none"/>
          </w:rPr>
          <w:t>(Regulamento)</w:t>
        </w:r>
      </w:hyperlink>
      <w:r w:rsidRPr="00C22FC1">
        <w:rPr>
          <w:rFonts w:ascii="Arial" w:eastAsia="Times New Roman" w:hAnsi="Arial" w:cs="Arial"/>
          <w:color w:val="000000"/>
          <w:kern w:val="0"/>
          <w:sz w:val="20"/>
          <w:szCs w:val="20"/>
          <w14:ligatures w14:val="none"/>
        </w:rPr>
        <w:t>               </w:t>
      </w:r>
    </w:p>
    <w:p w14:paraId="23837698"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90" w:name="art97"/>
      <w:bookmarkEnd w:id="190"/>
      <w:r w:rsidRPr="00C22FC1">
        <w:rPr>
          <w:rFonts w:ascii="Arial" w:eastAsia="Times New Roman" w:hAnsi="Arial" w:cs="Arial"/>
          <w:strike/>
          <w:color w:val="000000"/>
          <w:kern w:val="0"/>
          <w:sz w:val="20"/>
          <w:szCs w:val="20"/>
          <w:lang w:val="en-US"/>
          <w14:ligatures w14:val="none"/>
        </w:rPr>
        <w:t>Art. 97.  </w:t>
      </w:r>
      <w:r w:rsidRPr="00C22FC1">
        <w:rPr>
          <w:rFonts w:ascii="Arial" w:eastAsia="Times New Roman" w:hAnsi="Arial" w:cs="Arial"/>
          <w:strike/>
          <w:color w:val="000000"/>
          <w:kern w:val="0"/>
          <w:sz w:val="20"/>
          <w:szCs w:val="20"/>
          <w14:ligatures w14:val="none"/>
        </w:rPr>
        <w:t>A opção de que trata o art. 86 desta Lei será formalizada mediante Termo de Opção, na forma do regulamento.                  </w:t>
      </w:r>
      <w:hyperlink r:id="rId397" w:anchor="art1" w:history="1">
        <w:r w:rsidRPr="00C22FC1">
          <w:rPr>
            <w:rFonts w:ascii="Arial" w:eastAsia="Times New Roman" w:hAnsi="Arial" w:cs="Arial"/>
            <w:strike/>
            <w:color w:val="0000FF"/>
            <w:kern w:val="0"/>
            <w:sz w:val="20"/>
            <w:szCs w:val="20"/>
            <w:u w:val="single"/>
            <w14:ligatures w14:val="none"/>
          </w:rPr>
          <w:t>(Regulamento)</w:t>
        </w:r>
      </w:hyperlink>
      <w:r w:rsidRPr="00C22FC1">
        <w:rPr>
          <w:rFonts w:ascii="Arial" w:eastAsia="Times New Roman" w:hAnsi="Arial" w:cs="Arial"/>
          <w:strike/>
          <w:color w:val="000000"/>
          <w:kern w:val="0"/>
          <w:sz w:val="20"/>
          <w:szCs w:val="20"/>
          <w14:ligatures w14:val="none"/>
        </w:rPr>
        <w:t>                 </w:t>
      </w:r>
      <w:hyperlink r:id="rId398"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05697BB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91" w:name="art1347"/>
      <w:bookmarkEnd w:id="191"/>
      <w:r w:rsidRPr="00C22FC1">
        <w:rPr>
          <w:rFonts w:ascii="Arial" w:eastAsia="Times New Roman" w:hAnsi="Arial" w:cs="Arial"/>
          <w:color w:val="000000"/>
          <w:kern w:val="0"/>
          <w:sz w:val="20"/>
          <w:szCs w:val="20"/>
          <w:lang w:val="en-US"/>
          <w14:ligatures w14:val="none"/>
        </w:rPr>
        <w:t>Art. 97.  </w:t>
      </w:r>
      <w:r w:rsidRPr="00C22FC1">
        <w:rPr>
          <w:rFonts w:ascii="Arial" w:eastAsia="Times New Roman" w:hAnsi="Arial" w:cs="Arial"/>
          <w:color w:val="000000"/>
          <w:kern w:val="0"/>
          <w:sz w:val="20"/>
          <w:szCs w:val="20"/>
          <w14:ligatures w14:val="none"/>
        </w:rPr>
        <w:t>A opção de que trata o art. 86 desta Lei será formalizada mediante Termo de Opção, na forma do regulamento.         </w:t>
      </w:r>
      <w:hyperlink r:id="rId399" w:anchor="art1" w:history="1">
        <w:r w:rsidRPr="00C22FC1">
          <w:rPr>
            <w:rFonts w:ascii="Arial" w:eastAsia="Times New Roman" w:hAnsi="Arial" w:cs="Arial"/>
            <w:color w:val="0000FF"/>
            <w:kern w:val="0"/>
            <w:sz w:val="20"/>
            <w:szCs w:val="20"/>
            <w:u w:val="single"/>
            <w14:ligatures w14:val="none"/>
          </w:rPr>
          <w:t>(Regulamento)</w:t>
        </w:r>
      </w:hyperlink>
      <w:r w:rsidRPr="00C22FC1">
        <w:rPr>
          <w:rFonts w:ascii="Arial" w:eastAsia="Times New Roman" w:hAnsi="Arial" w:cs="Arial"/>
          <w:color w:val="000000"/>
          <w:kern w:val="0"/>
          <w:sz w:val="20"/>
          <w:szCs w:val="20"/>
          <w14:ligatures w14:val="none"/>
        </w:rPr>
        <w:t>               </w:t>
      </w:r>
    </w:p>
    <w:p w14:paraId="3ABAD9F1"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92" w:name="art98"/>
      <w:bookmarkEnd w:id="192"/>
      <w:r w:rsidRPr="00C22FC1">
        <w:rPr>
          <w:rFonts w:ascii="Arial" w:eastAsia="Times New Roman" w:hAnsi="Arial" w:cs="Arial"/>
          <w:strike/>
          <w:color w:val="000000"/>
          <w:kern w:val="0"/>
          <w:sz w:val="20"/>
          <w:szCs w:val="20"/>
          <w14:ligatures w14:val="none"/>
        </w:rPr>
        <w:t>Art. 98.  O Termo de Opção produzirá efeitos a partir da publicação do ato a que se refere o art. 97, quando será considerado ato irretratável.                    </w:t>
      </w:r>
      <w:hyperlink r:id="rId400" w:anchor="art1" w:history="1">
        <w:r w:rsidRPr="00C22FC1">
          <w:rPr>
            <w:rFonts w:ascii="Arial" w:eastAsia="Times New Roman" w:hAnsi="Arial" w:cs="Arial"/>
            <w:strike/>
            <w:color w:val="0000FF"/>
            <w:kern w:val="0"/>
            <w:sz w:val="20"/>
            <w:szCs w:val="20"/>
            <w:u w:val="single"/>
            <w14:ligatures w14:val="none"/>
          </w:rPr>
          <w:t>(Regulamento)</w:t>
        </w:r>
      </w:hyperlink>
      <w:r w:rsidRPr="00C22FC1">
        <w:rPr>
          <w:rFonts w:ascii="Arial" w:eastAsia="Times New Roman" w:hAnsi="Arial" w:cs="Arial"/>
          <w:strike/>
          <w:color w:val="000000"/>
          <w:kern w:val="0"/>
          <w:sz w:val="20"/>
          <w:szCs w:val="20"/>
          <w14:ligatures w14:val="none"/>
        </w:rPr>
        <w:t>                  </w:t>
      </w:r>
      <w:hyperlink r:id="rId401"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2D47C59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93" w:name="art1348"/>
      <w:bookmarkEnd w:id="193"/>
      <w:r w:rsidRPr="00C22FC1">
        <w:rPr>
          <w:rFonts w:ascii="Arial" w:eastAsia="Times New Roman" w:hAnsi="Arial" w:cs="Arial"/>
          <w:color w:val="000000"/>
          <w:kern w:val="0"/>
          <w:sz w:val="20"/>
          <w:szCs w:val="20"/>
          <w14:ligatures w14:val="none"/>
        </w:rPr>
        <w:t>Art. 98.  O Termo de Opção produzirá efeitos a partir da publicação do ato a que se refere o art. 97, quando será considerado ato irretratável.              </w:t>
      </w:r>
      <w:hyperlink r:id="rId402" w:anchor="art1" w:history="1">
        <w:r w:rsidRPr="00C22FC1">
          <w:rPr>
            <w:rFonts w:ascii="Arial" w:eastAsia="Times New Roman" w:hAnsi="Arial" w:cs="Arial"/>
            <w:color w:val="0000FF"/>
            <w:kern w:val="0"/>
            <w:sz w:val="20"/>
            <w:szCs w:val="20"/>
            <w:u w:val="single"/>
            <w14:ligatures w14:val="none"/>
          </w:rPr>
          <w:t>(Regulamento)</w:t>
        </w:r>
      </w:hyperlink>
      <w:r w:rsidRPr="00C22FC1">
        <w:rPr>
          <w:rFonts w:ascii="Arial" w:eastAsia="Times New Roman" w:hAnsi="Arial" w:cs="Arial"/>
          <w:color w:val="000000"/>
          <w:kern w:val="0"/>
          <w:sz w:val="20"/>
          <w:szCs w:val="20"/>
          <w14:ligatures w14:val="none"/>
        </w:rPr>
        <w:t>                </w:t>
      </w:r>
    </w:p>
    <w:p w14:paraId="357355C5"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94" w:name="art99"/>
      <w:bookmarkEnd w:id="194"/>
      <w:r w:rsidRPr="00C22FC1">
        <w:rPr>
          <w:rFonts w:ascii="Arial" w:eastAsia="Times New Roman" w:hAnsi="Arial" w:cs="Arial"/>
          <w:strike/>
          <w:color w:val="000000"/>
          <w:kern w:val="0"/>
          <w:sz w:val="20"/>
          <w:szCs w:val="20"/>
          <w:lang w:val="en-US"/>
          <w14:ligatures w14:val="none"/>
        </w:rPr>
        <w:t>Art. 99.  </w:t>
      </w:r>
      <w:r w:rsidRPr="00C22FC1">
        <w:rPr>
          <w:rFonts w:ascii="Arial" w:eastAsia="Times New Roman" w:hAnsi="Arial" w:cs="Arial"/>
          <w:strike/>
          <w:color w:val="000000"/>
          <w:kern w:val="0"/>
          <w:sz w:val="20"/>
          <w:szCs w:val="20"/>
          <w14:ligatures w14:val="none"/>
        </w:rPr>
        <w:t>(VETADO).                    </w:t>
      </w:r>
      <w:hyperlink r:id="rId403" w:anchor="art1" w:history="1">
        <w:r w:rsidRPr="00C22FC1">
          <w:rPr>
            <w:rFonts w:ascii="Arial" w:eastAsia="Times New Roman" w:hAnsi="Arial" w:cs="Arial"/>
            <w:strike/>
            <w:color w:val="0000FF"/>
            <w:kern w:val="0"/>
            <w:sz w:val="20"/>
            <w:szCs w:val="20"/>
            <w:u w:val="single"/>
            <w14:ligatures w14:val="none"/>
          </w:rPr>
          <w:t>(Regulamento)</w:t>
        </w:r>
      </w:hyperlink>
      <w:r w:rsidRPr="00C22FC1">
        <w:rPr>
          <w:rFonts w:ascii="Arial" w:eastAsia="Times New Roman" w:hAnsi="Arial" w:cs="Arial"/>
          <w:strike/>
          <w:color w:val="000000"/>
          <w:kern w:val="0"/>
          <w:sz w:val="20"/>
          <w:szCs w:val="20"/>
          <w14:ligatures w14:val="none"/>
        </w:rPr>
        <w:t>                  </w:t>
      </w:r>
      <w:hyperlink r:id="rId404"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24AE375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95" w:name="art1349"/>
      <w:bookmarkEnd w:id="195"/>
      <w:r w:rsidRPr="00C22FC1">
        <w:rPr>
          <w:rFonts w:ascii="Arial" w:eastAsia="Times New Roman" w:hAnsi="Arial" w:cs="Arial"/>
          <w:color w:val="000000"/>
          <w:kern w:val="0"/>
          <w:sz w:val="20"/>
          <w:szCs w:val="20"/>
          <w:lang w:val="en-US"/>
          <w14:ligatures w14:val="none"/>
        </w:rPr>
        <w:t>Art. 99.  </w:t>
      </w:r>
      <w:r w:rsidRPr="00C22FC1">
        <w:rPr>
          <w:rFonts w:ascii="Arial" w:eastAsia="Times New Roman" w:hAnsi="Arial" w:cs="Arial"/>
          <w:color w:val="000000"/>
          <w:kern w:val="0"/>
          <w:sz w:val="20"/>
          <w:szCs w:val="20"/>
          <w14:ligatures w14:val="none"/>
        </w:rPr>
        <w:t>(VETADO).       </w:t>
      </w:r>
      <w:hyperlink r:id="rId405" w:anchor="art1" w:history="1">
        <w:r w:rsidRPr="00C22FC1">
          <w:rPr>
            <w:rFonts w:ascii="Arial" w:eastAsia="Times New Roman" w:hAnsi="Arial" w:cs="Arial"/>
            <w:color w:val="0000FF"/>
            <w:kern w:val="0"/>
            <w:sz w:val="20"/>
            <w:szCs w:val="20"/>
            <w:u w:val="single"/>
            <w14:ligatures w14:val="none"/>
          </w:rPr>
          <w:t>(Regulamento)</w:t>
        </w:r>
      </w:hyperlink>
      <w:r w:rsidRPr="00C22FC1">
        <w:rPr>
          <w:rFonts w:ascii="Arial" w:eastAsia="Times New Roman" w:hAnsi="Arial" w:cs="Arial"/>
          <w:color w:val="000000"/>
          <w:kern w:val="0"/>
          <w:sz w:val="20"/>
          <w:szCs w:val="20"/>
          <w14:ligatures w14:val="none"/>
        </w:rPr>
        <w:t>                </w:t>
      </w:r>
    </w:p>
    <w:p w14:paraId="4A8DD71A"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96" w:name="art100"/>
      <w:bookmarkEnd w:id="196"/>
      <w:r w:rsidRPr="00C22FC1">
        <w:rPr>
          <w:rFonts w:ascii="Arial" w:eastAsia="Times New Roman" w:hAnsi="Arial" w:cs="Arial"/>
          <w:strike/>
          <w:color w:val="000000"/>
          <w:kern w:val="0"/>
          <w:sz w:val="20"/>
          <w:szCs w:val="20"/>
          <w:lang w:val="en-US"/>
          <w14:ligatures w14:val="none"/>
        </w:rPr>
        <w:t>Art. 100.  </w:t>
      </w:r>
      <w:r w:rsidRPr="00C22FC1">
        <w:rPr>
          <w:rFonts w:ascii="Arial" w:eastAsia="Times New Roman" w:hAnsi="Arial" w:cs="Arial"/>
          <w:strike/>
          <w:color w:val="000000"/>
          <w:kern w:val="0"/>
          <w:sz w:val="20"/>
          <w:szCs w:val="20"/>
          <w14:ligatures w14:val="none"/>
        </w:rPr>
        <w:t>Após a publicação do ato a que se refere o art. 98, os servidores continuarão prestando serviço ao governo do Estado de Rondônia, na condição de cedidos, sem ônus para o cessionário, até que sejam aproveitados em órgão ou entidade da administração federal direta, autárquica ou fundacional.                   </w:t>
      </w:r>
      <w:hyperlink r:id="rId406" w:anchor="art1" w:history="1">
        <w:r w:rsidRPr="00C22FC1">
          <w:rPr>
            <w:rFonts w:ascii="Arial" w:eastAsia="Times New Roman" w:hAnsi="Arial" w:cs="Arial"/>
            <w:strike/>
            <w:color w:val="0000FF"/>
            <w:kern w:val="0"/>
            <w:sz w:val="20"/>
            <w:szCs w:val="20"/>
            <w:u w:val="single"/>
            <w14:ligatures w14:val="none"/>
          </w:rPr>
          <w:t>(Regulamento)</w:t>
        </w:r>
      </w:hyperlink>
      <w:r w:rsidRPr="00C22FC1">
        <w:rPr>
          <w:rFonts w:ascii="Arial" w:eastAsia="Times New Roman" w:hAnsi="Arial" w:cs="Arial"/>
          <w:strike/>
          <w:color w:val="000000"/>
          <w:kern w:val="0"/>
          <w:sz w:val="20"/>
          <w:szCs w:val="20"/>
          <w14:ligatures w14:val="none"/>
        </w:rPr>
        <w:t>                  </w:t>
      </w:r>
      <w:hyperlink r:id="rId407"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3E81D9C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97" w:name="art1350"/>
      <w:bookmarkEnd w:id="197"/>
      <w:r w:rsidRPr="00C22FC1">
        <w:rPr>
          <w:rFonts w:ascii="Arial" w:eastAsia="Times New Roman" w:hAnsi="Arial" w:cs="Arial"/>
          <w:color w:val="000000"/>
          <w:kern w:val="0"/>
          <w:sz w:val="20"/>
          <w:szCs w:val="20"/>
          <w:lang w:val="en-US"/>
          <w14:ligatures w14:val="none"/>
        </w:rPr>
        <w:lastRenderedPageBreak/>
        <w:t>Art. 100.  </w:t>
      </w:r>
      <w:r w:rsidRPr="00C22FC1">
        <w:rPr>
          <w:rFonts w:ascii="Arial" w:eastAsia="Times New Roman" w:hAnsi="Arial" w:cs="Arial"/>
          <w:color w:val="000000"/>
          <w:kern w:val="0"/>
          <w:sz w:val="20"/>
          <w:szCs w:val="20"/>
          <w14:ligatures w14:val="none"/>
        </w:rPr>
        <w:t>Após a publicação do ato a que se refere o art. 98, os servidores continuarão prestando serviço ao governo do Estado de Rondônia, na condição de cedidos, sem ônus para o cessionário, até que sejam aproveitados em órgão ou entidade da administração federal direta, autárquica ou fundacional.            </w:t>
      </w:r>
      <w:hyperlink r:id="rId408" w:anchor="art1" w:history="1">
        <w:r w:rsidRPr="00C22FC1">
          <w:rPr>
            <w:rFonts w:ascii="Arial" w:eastAsia="Times New Roman" w:hAnsi="Arial" w:cs="Arial"/>
            <w:color w:val="0000FF"/>
            <w:kern w:val="0"/>
            <w:sz w:val="20"/>
            <w:szCs w:val="20"/>
            <w:u w:val="single"/>
            <w14:ligatures w14:val="none"/>
          </w:rPr>
          <w:t>(Regulamento)</w:t>
        </w:r>
      </w:hyperlink>
      <w:r w:rsidRPr="00C22FC1">
        <w:rPr>
          <w:rFonts w:ascii="Arial" w:eastAsia="Times New Roman" w:hAnsi="Arial" w:cs="Arial"/>
          <w:color w:val="000000"/>
          <w:kern w:val="0"/>
          <w:sz w:val="20"/>
          <w:szCs w:val="20"/>
          <w14:ligatures w14:val="none"/>
        </w:rPr>
        <w:t>                </w:t>
      </w:r>
    </w:p>
    <w:p w14:paraId="168BD519"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198" w:name="art101"/>
      <w:bookmarkEnd w:id="198"/>
      <w:r w:rsidRPr="00C22FC1">
        <w:rPr>
          <w:rFonts w:ascii="Arial" w:eastAsia="Times New Roman" w:hAnsi="Arial" w:cs="Arial"/>
          <w:strike/>
          <w:color w:val="000000"/>
          <w:kern w:val="0"/>
          <w:sz w:val="20"/>
          <w:szCs w:val="20"/>
          <w14:ligatures w14:val="none"/>
        </w:rPr>
        <w:t>Art. 101.  Haverá compensação financeira das contribuições previdenciárias entre o Instituto de Previdência dos Servidores Públicos do Estado de Rondônia - IPERON, criado pela Lei Estadual n</w:t>
      </w:r>
      <w:r w:rsidRPr="00C22FC1">
        <w:rPr>
          <w:rFonts w:ascii="Arial" w:eastAsia="Times New Roman" w:hAnsi="Arial" w:cs="Arial"/>
          <w:strike/>
          <w:color w:val="000000"/>
          <w:kern w:val="0"/>
          <w:sz w:val="20"/>
          <w:szCs w:val="20"/>
          <w:u w:val="single"/>
          <w:vertAlign w:val="superscript"/>
          <w14:ligatures w14:val="none"/>
        </w:rPr>
        <w:t>o</w:t>
      </w:r>
      <w:r w:rsidRPr="00C22FC1">
        <w:rPr>
          <w:rFonts w:ascii="Arial" w:eastAsia="Times New Roman" w:hAnsi="Arial" w:cs="Arial"/>
          <w:strike/>
          <w:color w:val="000000"/>
          <w:kern w:val="0"/>
          <w:sz w:val="20"/>
          <w:szCs w:val="20"/>
          <w14:ligatures w14:val="none"/>
        </w:rPr>
        <w:t> 20, de 13 de abril de 1984, e o Regime Próprio de Previdência Social dos Servidores da União, nos moldes definidos pela </w:t>
      </w:r>
      <w:hyperlink r:id="rId409" w:history="1">
        <w:r w:rsidRPr="00C22FC1">
          <w:rPr>
            <w:rFonts w:ascii="Arial" w:eastAsia="Times New Roman" w:hAnsi="Arial" w:cs="Arial"/>
            <w:strike/>
            <w:color w:val="0000FF"/>
            <w:kern w:val="0"/>
            <w:sz w:val="20"/>
            <w:szCs w:val="20"/>
            <w:u w:val="single"/>
            <w14:ligatures w14:val="none"/>
          </w:rPr>
          <w:t>Lei n</w:t>
        </w:r>
        <w:r w:rsidRPr="00C22FC1">
          <w:rPr>
            <w:rFonts w:ascii="Arial" w:eastAsia="Times New Roman" w:hAnsi="Arial" w:cs="Arial"/>
            <w:strike/>
            <w:color w:val="0000FF"/>
            <w:kern w:val="0"/>
            <w:sz w:val="20"/>
            <w:szCs w:val="20"/>
            <w:u w:val="single"/>
            <w:vertAlign w:val="superscript"/>
            <w14:ligatures w14:val="none"/>
          </w:rPr>
          <w:t>o</w:t>
        </w:r>
        <w:r w:rsidRPr="00C22FC1">
          <w:rPr>
            <w:rFonts w:ascii="Arial" w:eastAsia="Times New Roman" w:hAnsi="Arial" w:cs="Arial"/>
            <w:strike/>
            <w:color w:val="0000FF"/>
            <w:kern w:val="0"/>
            <w:sz w:val="20"/>
            <w:szCs w:val="20"/>
            <w:u w:val="single"/>
            <w14:ligatures w14:val="none"/>
          </w:rPr>
          <w:t> 9.796, de 5 de maio de 1999</w:t>
        </w:r>
      </w:hyperlink>
      <w:r w:rsidRPr="00C22FC1">
        <w:rPr>
          <w:rFonts w:ascii="Arial" w:eastAsia="Times New Roman" w:hAnsi="Arial" w:cs="Arial"/>
          <w:strike/>
          <w:color w:val="000000"/>
          <w:kern w:val="0"/>
          <w:sz w:val="20"/>
          <w:szCs w:val="20"/>
          <w14:ligatures w14:val="none"/>
        </w:rPr>
        <w:t>, e pelo </w:t>
      </w:r>
      <w:hyperlink r:id="rId410" w:history="1">
        <w:r w:rsidRPr="00C22FC1">
          <w:rPr>
            <w:rFonts w:ascii="Arial" w:eastAsia="Times New Roman" w:hAnsi="Arial" w:cs="Arial"/>
            <w:strike/>
            <w:color w:val="0000FF"/>
            <w:kern w:val="0"/>
            <w:sz w:val="20"/>
            <w:szCs w:val="20"/>
            <w:u w:val="single"/>
            <w14:ligatures w14:val="none"/>
          </w:rPr>
          <w:t>Decreto n</w:t>
        </w:r>
        <w:r w:rsidRPr="00C22FC1">
          <w:rPr>
            <w:rFonts w:ascii="Arial" w:eastAsia="Times New Roman" w:hAnsi="Arial" w:cs="Arial"/>
            <w:strike/>
            <w:color w:val="0000FF"/>
            <w:kern w:val="0"/>
            <w:sz w:val="20"/>
            <w:szCs w:val="20"/>
            <w:u w:val="single"/>
            <w:vertAlign w:val="superscript"/>
            <w14:ligatures w14:val="none"/>
          </w:rPr>
          <w:t>o</w:t>
        </w:r>
        <w:r w:rsidRPr="00C22FC1">
          <w:rPr>
            <w:rFonts w:ascii="Arial" w:eastAsia="Times New Roman" w:hAnsi="Arial" w:cs="Arial"/>
            <w:strike/>
            <w:color w:val="0000FF"/>
            <w:kern w:val="0"/>
            <w:sz w:val="20"/>
            <w:szCs w:val="20"/>
            <w:u w:val="single"/>
            <w14:ligatures w14:val="none"/>
          </w:rPr>
          <w:t> 3.112, de 6 de julho de 1999</w:t>
        </w:r>
      </w:hyperlink>
      <w:r w:rsidRPr="00C22FC1">
        <w:rPr>
          <w:rFonts w:ascii="Arial" w:eastAsia="Times New Roman" w:hAnsi="Arial" w:cs="Arial"/>
          <w:strike/>
          <w:color w:val="000000"/>
          <w:kern w:val="0"/>
          <w:sz w:val="20"/>
          <w:szCs w:val="20"/>
          <w14:ligatures w14:val="none"/>
        </w:rPr>
        <w:t>, no que se refere aos servidores e militares que formalizarem o Termo de Opção pela inclusão no referido quadro em extinção da administração federal.                      </w:t>
      </w:r>
      <w:hyperlink r:id="rId411"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0D7AEFF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99" w:name="art1351"/>
      <w:bookmarkEnd w:id="199"/>
      <w:r w:rsidRPr="00C22FC1">
        <w:rPr>
          <w:rFonts w:ascii="Arial" w:eastAsia="Times New Roman" w:hAnsi="Arial" w:cs="Arial"/>
          <w:color w:val="000000"/>
          <w:kern w:val="0"/>
          <w:sz w:val="20"/>
          <w:szCs w:val="20"/>
          <w14:ligatures w14:val="none"/>
        </w:rPr>
        <w:t>Art. 101.  Haverá compensação financeira das contribuições previdenciárias entre o Instituto de Previdência dos Servidores Públicos do Estado de Rondônia - IPERON, criado pela Lei Estadual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20, de 13 de abril de 1984, e o Regime Próprio de Previdência Social dos Servidores da União, nos moldes definidos pela </w:t>
      </w:r>
      <w:hyperlink r:id="rId412" w:history="1">
        <w:r w:rsidRPr="00C22FC1">
          <w:rPr>
            <w:rFonts w:ascii="Arial" w:eastAsia="Times New Roman" w:hAnsi="Arial" w:cs="Arial"/>
            <w:color w:val="0000FF"/>
            <w:kern w:val="0"/>
            <w:sz w:val="20"/>
            <w:szCs w:val="20"/>
            <w:u w:val="single"/>
            <w14:ligatures w14:val="none"/>
          </w:rPr>
          <w:t>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9.796, de 5 de maio de 1999</w:t>
        </w:r>
      </w:hyperlink>
      <w:r w:rsidRPr="00C22FC1">
        <w:rPr>
          <w:rFonts w:ascii="Arial" w:eastAsia="Times New Roman" w:hAnsi="Arial" w:cs="Arial"/>
          <w:color w:val="000000"/>
          <w:kern w:val="0"/>
          <w:sz w:val="20"/>
          <w:szCs w:val="20"/>
          <w14:ligatures w14:val="none"/>
        </w:rPr>
        <w:t>, e pelo </w:t>
      </w:r>
      <w:hyperlink r:id="rId413" w:history="1">
        <w:r w:rsidRPr="00C22FC1">
          <w:rPr>
            <w:rFonts w:ascii="Arial" w:eastAsia="Times New Roman" w:hAnsi="Arial" w:cs="Arial"/>
            <w:color w:val="0000FF"/>
            <w:kern w:val="0"/>
            <w:sz w:val="20"/>
            <w:szCs w:val="20"/>
            <w:u w:val="single"/>
            <w14:ligatures w14:val="none"/>
          </w:rPr>
          <w:t>Decreto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3.112, de 6 de julho de 1999</w:t>
        </w:r>
      </w:hyperlink>
      <w:r w:rsidRPr="00C22FC1">
        <w:rPr>
          <w:rFonts w:ascii="Arial" w:eastAsia="Times New Roman" w:hAnsi="Arial" w:cs="Arial"/>
          <w:color w:val="000000"/>
          <w:kern w:val="0"/>
          <w:sz w:val="20"/>
          <w:szCs w:val="20"/>
          <w14:ligatures w14:val="none"/>
        </w:rPr>
        <w:t>, no que se refere aos servidores e militares que formalizarem o Termo de Opção pela inclusão no referido quadro em extinção da administração federal.                 </w:t>
      </w:r>
    </w:p>
    <w:p w14:paraId="4054559B"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200" w:name="art102"/>
      <w:bookmarkEnd w:id="200"/>
      <w:r w:rsidRPr="00C22FC1">
        <w:rPr>
          <w:rFonts w:ascii="Arial" w:eastAsia="Times New Roman" w:hAnsi="Arial" w:cs="Arial"/>
          <w:strike/>
          <w:color w:val="000000"/>
          <w:kern w:val="0"/>
          <w:sz w:val="20"/>
          <w:szCs w:val="20"/>
          <w:lang w:val="en-US"/>
          <w14:ligatures w14:val="none"/>
        </w:rPr>
        <w:t>Art. 102.  </w:t>
      </w:r>
      <w:r w:rsidRPr="00C22FC1">
        <w:rPr>
          <w:rFonts w:ascii="Arial" w:eastAsia="Times New Roman" w:hAnsi="Arial" w:cs="Arial"/>
          <w:strike/>
          <w:color w:val="000000"/>
          <w:kern w:val="0"/>
          <w:sz w:val="20"/>
          <w:szCs w:val="20"/>
          <w14:ligatures w14:val="none"/>
        </w:rPr>
        <w:t>(VETADO).                      </w:t>
      </w:r>
      <w:hyperlink r:id="rId414" w:anchor="art36" w:history="1">
        <w:r w:rsidRPr="00C22FC1">
          <w:rPr>
            <w:rFonts w:ascii="Arial" w:eastAsia="Times New Roman" w:hAnsi="Arial" w:cs="Arial"/>
            <w:strike/>
            <w:color w:val="0000FF"/>
            <w:kern w:val="0"/>
            <w:sz w:val="20"/>
            <w:szCs w:val="20"/>
            <w:u w:val="single"/>
            <w14:ligatures w14:val="none"/>
          </w:rPr>
          <w:t>Revogado pela Medida Provisória nº 817, de 2018</w:t>
        </w:r>
      </w:hyperlink>
    </w:p>
    <w:p w14:paraId="7E64FFB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01" w:name="art1352"/>
      <w:bookmarkEnd w:id="201"/>
      <w:r w:rsidRPr="00C22FC1">
        <w:rPr>
          <w:rFonts w:ascii="Arial" w:eastAsia="Times New Roman" w:hAnsi="Arial" w:cs="Arial"/>
          <w:color w:val="000000"/>
          <w:kern w:val="0"/>
          <w:sz w:val="20"/>
          <w:szCs w:val="20"/>
          <w:lang w:val="en-US"/>
          <w14:ligatures w14:val="none"/>
        </w:rPr>
        <w:t>Art. 102.  </w:t>
      </w:r>
      <w:r w:rsidRPr="00C22FC1">
        <w:rPr>
          <w:rFonts w:ascii="Arial" w:eastAsia="Times New Roman" w:hAnsi="Arial" w:cs="Arial"/>
          <w:color w:val="000000"/>
          <w:kern w:val="0"/>
          <w:sz w:val="20"/>
          <w:szCs w:val="20"/>
          <w14:ligatures w14:val="none"/>
        </w:rPr>
        <w:t>(VETADO).               </w:t>
      </w:r>
    </w:p>
    <w:p w14:paraId="03B2D23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02" w:name="art103"/>
      <w:bookmarkEnd w:id="202"/>
      <w:r w:rsidRPr="00C22FC1">
        <w:rPr>
          <w:rFonts w:ascii="Arial" w:eastAsia="Times New Roman" w:hAnsi="Arial" w:cs="Arial"/>
          <w:color w:val="000000"/>
          <w:kern w:val="0"/>
          <w:sz w:val="20"/>
          <w:szCs w:val="20"/>
          <w:lang w:val="en-US"/>
          <w14:ligatures w14:val="none"/>
        </w:rPr>
        <w:t>Art. 103.  </w:t>
      </w:r>
      <w:r w:rsidRPr="00C22FC1">
        <w:rPr>
          <w:rFonts w:ascii="Arial" w:eastAsia="Times New Roman" w:hAnsi="Arial" w:cs="Arial"/>
          <w:color w:val="000000"/>
          <w:kern w:val="0"/>
          <w:sz w:val="20"/>
          <w:szCs w:val="20"/>
          <w14:ligatures w14:val="none"/>
        </w:rPr>
        <w:t>O ato de entrega dos recursos correntes e de capital a outro ente da Federação, a título de transferência voluntária, nos termos do </w:t>
      </w:r>
      <w:hyperlink r:id="rId415" w:anchor="art25" w:history="1">
        <w:r w:rsidRPr="00C22FC1">
          <w:rPr>
            <w:rFonts w:ascii="Arial" w:eastAsia="Times New Roman" w:hAnsi="Arial" w:cs="Arial"/>
            <w:color w:val="0000FF"/>
            <w:kern w:val="0"/>
            <w:sz w:val="20"/>
            <w:szCs w:val="20"/>
            <w:u w:val="single"/>
            <w14:ligatures w14:val="none"/>
          </w:rPr>
          <w:t>art. 25 da Lei Complementar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101, de 4 de maio de 2000</w:t>
        </w:r>
      </w:hyperlink>
      <w:r w:rsidRPr="00C22FC1">
        <w:rPr>
          <w:rFonts w:ascii="Arial" w:eastAsia="Times New Roman" w:hAnsi="Arial" w:cs="Arial"/>
          <w:color w:val="000000"/>
          <w:kern w:val="0"/>
          <w:sz w:val="20"/>
          <w:szCs w:val="20"/>
          <w14:ligatures w14:val="none"/>
        </w:rPr>
        <w:t>, é caracterizado no momento da assinatura do respectivo convênio ou contrato de repasse, bem como na assinatura dos correspondentes aditamentos de valor, e não se confunde com as liberações financeiras de recursos, que devem obedecer ao cronograma de desembolso previsto no convênio ou contrato de repasse.</w:t>
      </w:r>
    </w:p>
    <w:p w14:paraId="7E38685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03" w:name="art104"/>
      <w:bookmarkEnd w:id="203"/>
      <w:r w:rsidRPr="00C22FC1">
        <w:rPr>
          <w:rFonts w:ascii="Arial" w:eastAsia="Times New Roman" w:hAnsi="Arial" w:cs="Arial"/>
          <w:color w:val="000000"/>
          <w:kern w:val="0"/>
          <w:sz w:val="20"/>
          <w:szCs w:val="20"/>
          <w14:ligatures w14:val="none"/>
        </w:rPr>
        <w:t>Art. 104.  As transferências obrigatórias de recursos financeiros pelos órgãos e entidades da União aos órgãos e entidades dos Municípios para a execução de ações no âmbito do Programa Territórios da Cidadania - PTC, cuja execução por esses entes federados seja de interesse da União, observarão as disposições desta Lei.</w:t>
      </w:r>
    </w:p>
    <w:p w14:paraId="5508C1C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As transferências obrigatórias referidas no caput destinam-se exclusivamente aos Municípios com menos de 50.000 (cinquenta mil) habitantes.</w:t>
      </w:r>
    </w:p>
    <w:p w14:paraId="4BFFC5C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04" w:name="art105"/>
      <w:bookmarkEnd w:id="204"/>
      <w:r w:rsidRPr="00C22FC1">
        <w:rPr>
          <w:rFonts w:ascii="Arial" w:eastAsia="Times New Roman" w:hAnsi="Arial" w:cs="Arial"/>
          <w:color w:val="000000"/>
          <w:kern w:val="0"/>
          <w:sz w:val="20"/>
          <w:szCs w:val="20"/>
          <w14:ligatures w14:val="none"/>
        </w:rPr>
        <w:t>Art. 105.  O Poder Executivo, por proposta do Comitê Gestor Nacional do PTC, discriminará as programações do PTC a serem executadas por meio das transferências obrigatórias a que se refere o art. 104.</w:t>
      </w:r>
    </w:p>
    <w:p w14:paraId="2E53BAF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Caberá ao Comitê Gestor Nacional do PTC divulgar em sítio na internet a relação das programações de que trata o caput, bem como promover as atualizações devidas nessa relação, inclusive no que se refere a alterações nas classificações orçamentárias decorrentes de lei orçamentária anual e seus créditos adicionais.</w:t>
      </w:r>
    </w:p>
    <w:p w14:paraId="5D3759E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05" w:name="art106"/>
      <w:bookmarkEnd w:id="205"/>
      <w:r w:rsidRPr="00C22FC1">
        <w:rPr>
          <w:rFonts w:ascii="Arial" w:eastAsia="Times New Roman" w:hAnsi="Arial" w:cs="Arial"/>
          <w:color w:val="000000"/>
          <w:kern w:val="0"/>
          <w:sz w:val="20"/>
          <w:szCs w:val="20"/>
          <w14:ligatures w14:val="none"/>
        </w:rPr>
        <w:t>Art. 106.  As transferências obrigatórias para a execução das ações do PTC são condicionadas ao cumprimento dos seguintes requisitos pelos Municípios beneficiários, conforme constante em termo de compromisso:</w:t>
      </w:r>
    </w:p>
    <w:p w14:paraId="2F8024F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identificação do objeto a ser executado;</w:t>
      </w:r>
    </w:p>
    <w:p w14:paraId="621801B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metas a serem atingidas;</w:t>
      </w:r>
    </w:p>
    <w:p w14:paraId="4E066A0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etapas ou fases da execução;</w:t>
      </w:r>
    </w:p>
    <w:p w14:paraId="671D556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IV - plano de aplicação dos recursos financeiros;</w:t>
      </w:r>
    </w:p>
    <w:p w14:paraId="6B61E3E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 - cronograma de desembolso;</w:t>
      </w:r>
    </w:p>
    <w:p w14:paraId="2570D11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VI - previsão de início e fim da execução do objeto, bem como da conclusão das etapas ou fases programadas; e</w:t>
      </w:r>
    </w:p>
    <w:p w14:paraId="74120D6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VII - comprovação de que os recursos próprios para complementar a execução do objeto estão devidamente assegurados, salvo se o custo total do objeto a ser executado recair sobre a entidade ou órgão descentralizador.</w:t>
      </w:r>
    </w:p>
    <w:p w14:paraId="739A505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aprovação formal pela União do termo de compromisso de que trata o caput é condição prévia para a efetivação das transferências de recursos financeiros da União.</w:t>
      </w:r>
    </w:p>
    <w:p w14:paraId="0209CF2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Compete ao órgão ou entidade da administração pública federal ao qual estiver consignada a dotação orçamentária relativa à programação prevista no caput do art. 105 a análise e aprovação formal do termo de compromisso.</w:t>
      </w:r>
    </w:p>
    <w:p w14:paraId="4D5C32F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Na hipótese de as transferências obrigatórias serem efetivadas por intermédio de instituição ou agente financeiro público federal, atuando como mandatário da União, caberá a essas entidades a aprovação de que trata o §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w:t>
      </w:r>
    </w:p>
    <w:p w14:paraId="651C82A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06" w:name="art107"/>
      <w:bookmarkEnd w:id="206"/>
      <w:r w:rsidRPr="00C22FC1">
        <w:rPr>
          <w:rFonts w:ascii="Arial" w:eastAsia="Times New Roman" w:hAnsi="Arial" w:cs="Arial"/>
          <w:color w:val="000000"/>
          <w:kern w:val="0"/>
          <w:sz w:val="20"/>
          <w:szCs w:val="20"/>
          <w14:ligatures w14:val="none"/>
        </w:rPr>
        <w:t>Art. 107.  A União, por intermédio de suas unidades gestoras, deverá exigir da parte beneficiada pela transferência de recursos a comprovação da regularidade de utilização das parcelas liberadas anteriormente com base no termo de compromisso.</w:t>
      </w:r>
    </w:p>
    <w:p w14:paraId="11CE203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07" w:name="art108"/>
      <w:bookmarkEnd w:id="207"/>
      <w:r w:rsidRPr="00C22FC1">
        <w:rPr>
          <w:rFonts w:ascii="Arial" w:eastAsia="Times New Roman" w:hAnsi="Arial" w:cs="Arial"/>
          <w:color w:val="000000"/>
          <w:kern w:val="0"/>
          <w:sz w:val="20"/>
          <w:szCs w:val="20"/>
          <w14:ligatures w14:val="none"/>
        </w:rPr>
        <w:t>Art. 108.  No caso de irregularidades e descumprimento pelos Municípios das condições estabelecidas no termo de compromisso, a União, por intermédio de suas unidades gestoras, suspenderá a liberação das parcelas previstas, bem como determinará à instituição financeira oficial a suspensão do saque dos valores da conta vinculada do Município, até a regularização da pendência.</w:t>
      </w:r>
    </w:p>
    <w:p w14:paraId="2BB75B2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utilização dos recursos em desconformidade com o termo de compromisso ensejará obrigação de o Município beneficiado devolvê-los devidamente atualizados com base na variação da Taxa Referencial do Sistema Especial de Liquidação e de Custódia - SELIC, acumulada mensalmente, até o último dia do mês anterior ao da devolução dos recursos, acrescido esse montante de 1% (um por cento) no mês de efetivação da devolução dos recursos à Conta Única do Tesouro Nacional.</w:t>
      </w:r>
    </w:p>
    <w:p w14:paraId="34312B0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fins de efetivação da devolução dos recursos à União, a parcela de atualização referente à variação da Selic será calculada proporcionalmente à quantidade de dias compreendida entre a data da liberação da parcela para o beneficiário e a data de efetivo crédito, na Conta Única do Tesouro Nacional, do montante devido pelo Município.</w:t>
      </w:r>
    </w:p>
    <w:p w14:paraId="5D4CA46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União, por intermédio de suas unidades gestoras, notificará o Município cuja utilização dos recursos transferidos for considerada irregular para que apresente justificativa no prazo de 30 (trinta) dias.</w:t>
      </w:r>
    </w:p>
    <w:p w14:paraId="604BDCB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Caso não aceitas as razões apresentadas pelo Município, a unidade gestora concederá prazo de 30 (trinta) dias para a devolução dos recursos, findo o qual encaminhará denúncia ao Tribunal de Contas da União.</w:t>
      </w:r>
    </w:p>
    <w:p w14:paraId="595FDF8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08" w:name="art109"/>
      <w:bookmarkEnd w:id="208"/>
      <w:r w:rsidRPr="00C22FC1">
        <w:rPr>
          <w:rFonts w:ascii="Arial" w:eastAsia="Times New Roman" w:hAnsi="Arial" w:cs="Arial"/>
          <w:color w:val="000000"/>
          <w:kern w:val="0"/>
          <w:sz w:val="20"/>
          <w:szCs w:val="20"/>
          <w14:ligatures w14:val="none"/>
        </w:rPr>
        <w:t>Art. 109.  Sem prejuízo das atribuições do Tribunal de Contas da União, a fiscalização quanto à regularidade da aplicação dos recursos financeiros transferidos com base nesta Lei é de competência da Controladoria-Geral da União e das unidades gestoras da União perante as quais forem apresentados os termos de compromisso.</w:t>
      </w:r>
    </w:p>
    <w:p w14:paraId="4E101A7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09" w:name="art110"/>
      <w:bookmarkEnd w:id="209"/>
      <w:r w:rsidRPr="00C22FC1">
        <w:rPr>
          <w:rFonts w:ascii="Arial" w:eastAsia="Times New Roman" w:hAnsi="Arial" w:cs="Arial"/>
          <w:strike/>
          <w:color w:val="000000"/>
          <w:kern w:val="0"/>
          <w:sz w:val="20"/>
          <w:szCs w:val="20"/>
          <w14:ligatures w14:val="none"/>
        </w:rPr>
        <w:lastRenderedPageBreak/>
        <w:t>Art. 110.  As entidades da área de saúde certificadas até o dia imediatamente anterior ao da publicação da </w:t>
      </w:r>
      <w:hyperlink r:id="rId416" w:history="1">
        <w:r w:rsidRPr="00C22FC1">
          <w:rPr>
            <w:rFonts w:ascii="Arial" w:eastAsia="Times New Roman" w:hAnsi="Arial" w:cs="Arial"/>
            <w:strike/>
            <w:color w:val="0000FF"/>
            <w:kern w:val="0"/>
            <w:sz w:val="20"/>
            <w:szCs w:val="20"/>
            <w:u w:val="single"/>
            <w14:ligatures w14:val="none"/>
          </w:rPr>
          <w:t>Lei n</w:t>
        </w:r>
        <w:r w:rsidRPr="00C22FC1">
          <w:rPr>
            <w:rFonts w:ascii="Arial" w:eastAsia="Times New Roman" w:hAnsi="Arial" w:cs="Arial"/>
            <w:strike/>
            <w:color w:val="0000FF"/>
            <w:kern w:val="0"/>
            <w:sz w:val="20"/>
            <w:szCs w:val="20"/>
            <w:u w:val="single"/>
            <w:vertAlign w:val="superscript"/>
            <w14:ligatures w14:val="none"/>
          </w:rPr>
          <w:t>o</w:t>
        </w:r>
        <w:r w:rsidRPr="00C22FC1">
          <w:rPr>
            <w:rFonts w:ascii="Arial" w:eastAsia="Times New Roman" w:hAnsi="Arial" w:cs="Arial"/>
            <w:strike/>
            <w:color w:val="0000FF"/>
            <w:kern w:val="0"/>
            <w:sz w:val="20"/>
            <w:szCs w:val="20"/>
            <w:u w:val="single"/>
            <w14:ligatures w14:val="none"/>
          </w:rPr>
          <w:t> 12.101, de 27 de novembro de 2009,</w:t>
        </w:r>
      </w:hyperlink>
      <w:r w:rsidRPr="00C22FC1">
        <w:rPr>
          <w:rFonts w:ascii="Arial" w:eastAsia="Times New Roman" w:hAnsi="Arial" w:cs="Arial"/>
          <w:strike/>
          <w:color w:val="000000"/>
          <w:kern w:val="0"/>
          <w:sz w:val="20"/>
          <w:szCs w:val="20"/>
          <w14:ligatures w14:val="none"/>
        </w:rPr>
        <w:t> que prestam serviços assistenciais de saúde não remunerados pelo Sistema Único de Saúde - SUS a trabalhadores ativos e inativos e respectivos dependentes econômicos, decorrentes do estabelecido em Norma Coletiva de Trabalho, desde que, simultaneamente, destinem no mínimo 20% (vinte por cento) do valor total das isenções de suas contribuições sociais em serviços, com universalidade de atendimento, a beneficiários do SUS, mediante pacto do gestor do local, terão concedida a renovação, na forma do regulamento.      </w:t>
      </w:r>
      <w:hyperlink r:id="rId417" w:anchor="art1" w:history="1">
        <w:r w:rsidRPr="00C22FC1">
          <w:rPr>
            <w:rFonts w:ascii="Arial" w:eastAsia="Times New Roman" w:hAnsi="Arial" w:cs="Arial"/>
            <w:strike/>
            <w:color w:val="0000FF"/>
            <w:kern w:val="0"/>
            <w:sz w:val="20"/>
            <w:szCs w:val="20"/>
            <w:u w:val="single"/>
            <w14:ligatures w14:val="none"/>
          </w:rPr>
          <w:t>(Vide Decreto nº 7.300, de 2010)</w:t>
        </w:r>
      </w:hyperlink>
      <w:r w:rsidRPr="00C22FC1">
        <w:rPr>
          <w:rFonts w:ascii="Arial" w:eastAsia="Times New Roman" w:hAnsi="Arial" w:cs="Arial"/>
          <w:strike/>
          <w:color w:val="000000"/>
          <w:kern w:val="0"/>
          <w:sz w:val="20"/>
          <w:szCs w:val="20"/>
          <w14:ligatures w14:val="none"/>
        </w:rPr>
        <w:t> </w:t>
      </w:r>
      <w:r w:rsidRPr="00C22FC1">
        <w:rPr>
          <w:rFonts w:ascii="Arial" w:eastAsia="Times New Roman" w:hAnsi="Arial" w:cs="Arial"/>
          <w:color w:val="000000"/>
          <w:kern w:val="0"/>
          <w:sz w:val="20"/>
          <w:szCs w:val="20"/>
          <w14:ligatures w14:val="none"/>
        </w:rPr>
        <w:t>      </w:t>
      </w:r>
      <w:hyperlink r:id="rId418" w:anchor="art47" w:history="1">
        <w:r w:rsidRPr="00C22FC1">
          <w:rPr>
            <w:rFonts w:ascii="Arial" w:eastAsia="Times New Roman" w:hAnsi="Arial" w:cs="Arial"/>
            <w:color w:val="0000FF"/>
            <w:kern w:val="0"/>
            <w:sz w:val="20"/>
            <w:szCs w:val="20"/>
            <w:u w:val="single"/>
            <w14:ligatures w14:val="none"/>
          </w:rPr>
          <w:t>(Revogado pela Lei Complementar nº 187, de 2021)</w:t>
        </w:r>
      </w:hyperlink>
    </w:p>
    <w:p w14:paraId="5AD3EC7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10" w:name="art111"/>
      <w:bookmarkEnd w:id="210"/>
      <w:r w:rsidRPr="00C22FC1">
        <w:rPr>
          <w:rFonts w:ascii="Arial" w:eastAsia="Times New Roman" w:hAnsi="Arial" w:cs="Arial"/>
          <w:color w:val="000000"/>
          <w:kern w:val="0"/>
          <w:sz w:val="20"/>
          <w:szCs w:val="20"/>
          <w14:ligatures w14:val="none"/>
        </w:rPr>
        <w:t>Art. 111.  O parágrafo único do art.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12.029, de 15 de setembro de 2009, passa a vigorar com a seguinte redação:</w:t>
      </w:r>
    </w:p>
    <w:p w14:paraId="0F239C00"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419" w:anchor="art6p" w:history="1">
        <w:r w:rsidRPr="00C22FC1">
          <w:rPr>
            <w:rFonts w:ascii="Arial" w:eastAsia="Times New Roman" w:hAnsi="Arial" w:cs="Arial"/>
            <w:color w:val="0000FF"/>
            <w:kern w:val="0"/>
            <w:sz w:val="20"/>
            <w:szCs w:val="20"/>
            <w:u w:val="single"/>
            <w14:ligatures w14:val="none"/>
          </w:rPr>
          <w:t>“Art. 6</w:t>
        </w:r>
        <w:r w:rsidRPr="00C22FC1">
          <w:rPr>
            <w:rFonts w:ascii="Arial" w:eastAsia="Times New Roman" w:hAnsi="Arial" w:cs="Arial"/>
            <w:color w:val="0000FF"/>
            <w:kern w:val="0"/>
            <w:sz w:val="20"/>
            <w:szCs w:val="20"/>
            <w:u w:val="single"/>
            <w:vertAlign w:val="superscript"/>
            <w14:ligatures w14:val="none"/>
          </w:rPr>
          <w:t>o</w:t>
        </w:r>
      </w:hyperlink>
      <w:r w:rsidRPr="00C22FC1">
        <w:rPr>
          <w:rFonts w:ascii="Arial" w:eastAsia="Times New Roman" w:hAnsi="Arial" w:cs="Arial"/>
          <w:color w:val="000000"/>
          <w:kern w:val="0"/>
          <w:sz w:val="20"/>
          <w:szCs w:val="20"/>
          <w14:ligatures w14:val="none"/>
        </w:rPr>
        <w:t>  ........................................................................</w:t>
      </w:r>
    </w:p>
    <w:p w14:paraId="64246EC2"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A implantação da UFFS é sujeita à existência de dotação específica no orçamento da União, podendo o Poder Executivo, mediante decreto, transpor, remanejar, transferir, total ou parcialmente, dotações orçamentárias aprovadas na lei orçamentária de 2010 e em créditos adicionais da universidade tutora, mantida a estrutura programática, expressa por categoria de programação, conforme definido no §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do art.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12.017, de 12 de agosto de 2009, inclusive os títulos, descritores, metas e objetivos, assim como o respectivo detalhamento por esfera orçamentária, grupos de natureza de despesa, fontes de recursos, modalidades de aplicação e identificadores de uso e de resultado primário.” (NR)</w:t>
      </w:r>
    </w:p>
    <w:p w14:paraId="64BA029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11" w:name="art112"/>
      <w:bookmarkEnd w:id="211"/>
      <w:r w:rsidRPr="00C22FC1">
        <w:rPr>
          <w:rFonts w:ascii="Arial" w:eastAsia="Times New Roman" w:hAnsi="Arial" w:cs="Arial"/>
          <w:color w:val="000000"/>
          <w:kern w:val="0"/>
          <w:sz w:val="20"/>
          <w:szCs w:val="20"/>
          <w14:ligatures w14:val="none"/>
        </w:rPr>
        <w:t>Art. 112. O parágrafo único do art.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12.189, de 12 de janeiro de 2010, passa a vigorar com a seguinte redação:</w:t>
      </w:r>
    </w:p>
    <w:p w14:paraId="4F02F75C"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420" w:anchor="art6p" w:history="1">
        <w:r w:rsidRPr="00C22FC1">
          <w:rPr>
            <w:rFonts w:ascii="Arial" w:eastAsia="Times New Roman" w:hAnsi="Arial" w:cs="Arial"/>
            <w:color w:val="0000FF"/>
            <w:kern w:val="0"/>
            <w:sz w:val="20"/>
            <w:szCs w:val="20"/>
            <w:u w:val="single"/>
            <w14:ligatures w14:val="none"/>
          </w:rPr>
          <w:t>“Art. 6</w:t>
        </w:r>
        <w:r w:rsidRPr="00C22FC1">
          <w:rPr>
            <w:rFonts w:ascii="Arial" w:eastAsia="Times New Roman" w:hAnsi="Arial" w:cs="Arial"/>
            <w:color w:val="0000FF"/>
            <w:kern w:val="0"/>
            <w:sz w:val="20"/>
            <w:szCs w:val="20"/>
            <w:u w:val="single"/>
            <w:vertAlign w:val="superscript"/>
            <w14:ligatures w14:val="none"/>
          </w:rPr>
          <w:t>o</w:t>
        </w:r>
      </w:hyperlink>
      <w:r w:rsidRPr="00C22FC1">
        <w:rPr>
          <w:rFonts w:ascii="Arial" w:eastAsia="Times New Roman" w:hAnsi="Arial" w:cs="Arial"/>
          <w:color w:val="000000"/>
          <w:kern w:val="0"/>
          <w:sz w:val="20"/>
          <w:szCs w:val="20"/>
          <w14:ligatures w14:val="none"/>
        </w:rPr>
        <w:t>  ........................................................................</w:t>
      </w:r>
    </w:p>
    <w:p w14:paraId="3FD85259"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A implantação da Unila é sujeita à existência de dotação específica no orçamento da União, podendo o Poder Executivo, mediante decreto, transpor, remanejar, transferir, total ou parcialmente, dotações orçamentárias aprovadas na lei orçamentária de 2010 e em créditos adicionais da universidade tutora, mantida a estrutura programática, expressa por categoria de programação, conforme definido no §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do art.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12.017, de 12 de agosto de 2009, inclusive os títulos, descritores, metas e objetivos, assim como o respectivo detalhamento por esfera orçamentária, grupos de natureza de despesa, fontes de recursos, modalidades de aplicação e identificadores de uso e de resultado primário.” (NR)</w:t>
      </w:r>
    </w:p>
    <w:p w14:paraId="68DBF69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12" w:name="art113"/>
      <w:bookmarkEnd w:id="212"/>
      <w:r w:rsidRPr="00C22FC1">
        <w:rPr>
          <w:rFonts w:ascii="Arial" w:eastAsia="Times New Roman" w:hAnsi="Arial" w:cs="Arial"/>
          <w:color w:val="000000"/>
          <w:kern w:val="0"/>
          <w:sz w:val="20"/>
          <w:szCs w:val="20"/>
          <w14:ligatures w14:val="none"/>
        </w:rPr>
        <w:t>Art. 113.  São alterados os limites da Floresta Nacional do Bom Futuro, unidade de conservação federal criada pelo </w:t>
      </w:r>
      <w:hyperlink r:id="rId421" w:history="1">
        <w:r w:rsidRPr="00C22FC1">
          <w:rPr>
            <w:rFonts w:ascii="Arial" w:eastAsia="Times New Roman" w:hAnsi="Arial" w:cs="Arial"/>
            <w:color w:val="0000FF"/>
            <w:kern w:val="0"/>
            <w:sz w:val="20"/>
            <w:szCs w:val="20"/>
            <w:u w:val="single"/>
            <w14:ligatures w14:val="none"/>
          </w:rPr>
          <w:t>Decreto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96.188, de 21 de junho de 1988</w:t>
        </w:r>
      </w:hyperlink>
      <w:r w:rsidRPr="00C22FC1">
        <w:rPr>
          <w:rFonts w:ascii="Arial" w:eastAsia="Times New Roman" w:hAnsi="Arial" w:cs="Arial"/>
          <w:color w:val="000000"/>
          <w:kern w:val="0"/>
          <w:sz w:val="20"/>
          <w:szCs w:val="20"/>
          <w14:ligatures w14:val="none"/>
        </w:rPr>
        <w:t>, conforme o memorial descritivo previsto no art. 114 desta Lei, passando a área desta unidade de conservação dos atuais cerca de 280.000 ha (duzentos e oitenta mil hectares) para cerca de 97.357 ha (noventa e sete mil, trezentos e cinquenta e sete hectares).</w:t>
      </w:r>
    </w:p>
    <w:p w14:paraId="598F41D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É a União autorizada a doar ao Estado de Rondônia os imóveis rurais de sua propriedade inseridos na área originária e desafetada da Floresta Nacional do Bom Futuro, com exceção daqueles relacionados nos incisos II a XI do art. 20 da Constituição Federal, com a condição de que sejam criadas, no perímetro desafetado, uma Área de Proteção Ambiental - APA e uma Floresta Estadual.</w:t>
      </w:r>
    </w:p>
    <w:p w14:paraId="67DE9AA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Floresta Estadual de que trata o §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deste artigo deverá ser organizada de forma a conservar os fragmentos florestais existentes, admitindo-se sua divisão em blocos, com formação de corredores ecológicos que garantam a conservação da biodiversidade.</w:t>
      </w:r>
    </w:p>
    <w:p w14:paraId="61E074B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13" w:name="art114"/>
      <w:bookmarkEnd w:id="213"/>
      <w:r w:rsidRPr="00C22FC1">
        <w:rPr>
          <w:rFonts w:ascii="Arial" w:eastAsia="Times New Roman" w:hAnsi="Arial" w:cs="Arial"/>
          <w:color w:val="000000"/>
          <w:kern w:val="0"/>
          <w:sz w:val="20"/>
          <w:szCs w:val="20"/>
          <w14:ligatures w14:val="none"/>
        </w:rPr>
        <w:t xml:space="preserve">Art. 114.  A Floresta Nacional do Bom Futuro passa a ter seus limites descritos pelo seguinte memorial, produzido a partir da base de dados digital do Sistema de Proteção da Amazônia - SIPAM, em escala 1:20.000 - Estradas; e da Secretaria de Estado do Meio Ambiente de Rondônia - SEDAM, em escala 1:100.000 - Cursos d'água: Inicia-se no Ponto 1 </w:t>
      </w:r>
      <w:r w:rsidRPr="00C22FC1">
        <w:rPr>
          <w:rFonts w:ascii="Arial" w:eastAsia="Times New Roman" w:hAnsi="Arial" w:cs="Arial"/>
          <w:color w:val="000000"/>
          <w:kern w:val="0"/>
          <w:sz w:val="20"/>
          <w:szCs w:val="20"/>
          <w14:ligatures w14:val="none"/>
        </w:rPr>
        <w:lastRenderedPageBreak/>
        <w:t>(P1) de coordenadas geográficas aproximadas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26' 43,99"S e 64</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19' 07,53"W, localizado na margem direita do rio Branco; daí, segue em linha reta em sentido leste, com distância aproximada de 47.805 m, passando pelo limite sul da Terra Indígena Karitiana até P2,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26' 45,6"S e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58,8"W; daí segue por uma linha reta em sentido norte com distância aproximada de 14.852 m, pelo limite leste da Terra Indígena Karitiana até P3,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18' 45,5"S e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58,6"W; daí segue pelo limite leste da Terra Indígena Karitiana, conforme descrito no Decreto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93.068, de 6 de agosto de 1986, passando pelos pontos com as seguintes cga: P4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18' 39,6"S;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48"W), P5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18' 32,4"S;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48"W), P6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18' 28,8"S;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51,6"W), P7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18' 21,6"S;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48"W), P8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18' 18"S;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48"W), P9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18' 14,4"S;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51,6"W), P10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18' 07,2"S;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44,4"W), P11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18' 00"S;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44,4"W), P12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17' 56,4"S;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48"W), P13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17' 49,2"S;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48"W), P14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17' 45,6"S;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40,8"W), P15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17' 42"S;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33,6"W), P16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17' 31,2"S;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33,6"W), P17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17' 27,6"S;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30"W), P18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17' 20,4"S;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30"W), P19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17' 16,8"S;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26,4"W), P20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17' 06"S;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30"W), P21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16' 58,8"S;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26,4"W), P22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16' 58,8"S;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19,2"W), P23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16' 48"S;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19,2"W), P24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16' 40,8"S;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22,8"W), P25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16' 26,4"S;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26,4"W), P26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16' 15,6"S;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22,8"W), P27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16' 04,8"S;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19,2"W), P28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15' 50,4"S;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33,6"W), P29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15' 54"S;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40,8"W), P30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15' 50,4"S;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48"W), P31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15' 43,2"S;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55,2"W), P32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15' 35,6"S;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57,6"W); daí segue em linha reta em sentido norte, com distância aproximada de 4.261 m, pelo limite leste da Terra Indígena Karitiana até P33,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13' 19,2"S;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52' 57,2"W; daí segue em linha reta em sentido leste, com distância aproximada de 5.153 m até P34,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13' 20"S;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50' 08"W; daí segue em linha reta em sentido norte, com distância aproximada de 12.500 m até P35, situado na margem esquerda do Igarapé João Ramos,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06' 33"S;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50' 08"W; daí segue por este igarapé, em sua margem esquerda no sentido da montante, limite com a Gleba Baixo Candeias e Igarapé Três Casas até a sua nascente, no P36,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12' 16"S;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48' 29"W; daí segue em linha reta no sentido sudeste, com distância aproximada de 6.262 m até P37,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15' 33"S;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47' 40"W; daí segue em linha reta no sentido oeste, com distância aproximada de 3.614 m até P38,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15' 33"S;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49' 38"W; daí segue em linha reta em sentido sudeste, com distância aproximada de 13.261 m até P39,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22' 35"S;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48' 10"W; daí segue por linha reta em sentido sudeste, com distância aproximada de 6.916 m até P40,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25' 51"S;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46' 18"W; daí segue em linha reta em sentido sudeste, com distância aproximada de 9.117 m até P41,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28' 45"S;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42' 16"W; daí segue em linha reta em sentido nordeste, com distância aproximada de 4.187 m até P42,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27' 30"S;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40' 22"W; daí segue em linha reta em sentido leste, com distância aproximada de 7.886 m até P43,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27' 32,4"S;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36' 3,6"W; daí segue em linha reta em sentido sudeste, com distância aproximada de 2.874 m até P44,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29' 00"S;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35' 34"W; daí segue em linha reta em sentido sudoeste, com distância aproximada de 15.815 m até P45,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36' 38,6"S;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39' 29,69"W; daí segue em linha reta com distância aproximada de 1.454 m até P46, com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36' 30,07"S;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40' 16,62"W; daí segue em linha reta com distância aproximada de 318 m até P47 (cga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36' 39,7"S;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40' 20,48"W); daí segue em linha reta com distância aproximada de 1.554 m até P48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36' 39,8"S;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41' 11,46"W); daí segue em linha reta com distância aproximada de 2.599 m até P49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36' 48,45"S;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42' 36,28"W); daí segue em linha reta com distância aproximada de 1.883 m até P50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36' 35,07"S;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43' 36,56"W); daí segue em linha reta com distância aproximada de 2.347 m até P51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35' 44,55"S;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44' 34,32"W); daí segue em linha reta com distância aproximada de 1.586 m até P52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35' 03,1"S;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45' 05,39"W); daí segue em linha reta com distância aproximada de 8.250 m até P53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31' 08,29"S;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47' 16,82"W); daí segue em linha reta com distância aproximada de 5.580 m até P54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28' 58,77"S;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49' 25,11"W); daí segue em linha reta com distância aproximada de 19.904 m até P55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29' 12,44"S; 64</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00' 17,71"W); daí segue em linha reta com distância aproximada de 4.218 m até P56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31' 24,77"S; 64</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00' 54,66"W); daí segue em linha reta com distância aproximada de 13.089 m até P57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33' 06"S; 64</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07' 51,67"W); daí segue em linha reta com distância aproximada de 2.043 m até P58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34' 10,84"S; 64</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07' 36,66"W); daí segue em linha reta com distância aproximada de 956 m até P59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34' 03,38"S; 64</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07' 06,2"W); daí segue em linha reta com distância aproximada de 779 m até P60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33' 38,69"S; 64</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07' 00,25"W); daí segue em linha reta com distância aproximada de 4.583 m até P61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33' 19,14"S; 64</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04' 31,25"W); daí segue em linha reta com distância aproximada de 4.712 m até P62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35' 50,92"S; 64</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04' 08,8"W); daí segue em linha reta com distância aproximada de 788 m até P63 (9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35' 55,93"S; 64</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04' 34,12"W), daí segue pela margem direita do rio Branco até P1, ponto inicial da descrição deste perímetro.</w:t>
      </w:r>
    </w:p>
    <w:p w14:paraId="7AEADEE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Parágrafo único.  É excluída dos limites da Floresta Nacional do Bom Futuro a faixa de domínio da estrada que liga a vila de Rio Pardo à BR-364, conhecida como Linha do Caracol ou Estrada Km 67.</w:t>
      </w:r>
    </w:p>
    <w:p w14:paraId="1F76543B"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214" w:name="art115..."/>
      <w:bookmarkEnd w:id="214"/>
      <w:r w:rsidRPr="00C22FC1">
        <w:rPr>
          <w:rFonts w:ascii="Arial" w:eastAsia="Times New Roman" w:hAnsi="Arial" w:cs="Arial"/>
          <w:strike/>
          <w:color w:val="000000"/>
          <w:kern w:val="0"/>
          <w:sz w:val="20"/>
          <w:szCs w:val="20"/>
          <w14:ligatures w14:val="none"/>
        </w:rPr>
        <w:t>Art. 115.  É ampliado o Parque Nacional Mapinguari, criado pelo Decreto de 5 de junho de 2008, atualmente localizado no Estado do Amazonas, nos Municípios de Canutama e Lábrea, que passa a incluir em seus limites também a área de cerca de 180.900 ha (cento e oitenta mil e novecentos hectares) descrita em conformidade com os arts. 116 e 117 desta Lei, no Município de Porto Velho, Estado de Rondônia.</w:t>
      </w:r>
    </w:p>
    <w:p w14:paraId="198A2F48"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215" w:name="art115"/>
      <w:bookmarkEnd w:id="215"/>
      <w:r w:rsidRPr="00C22FC1">
        <w:rPr>
          <w:rFonts w:ascii="Arial" w:eastAsia="Times New Roman" w:hAnsi="Arial" w:cs="Arial"/>
          <w:strike/>
          <w:color w:val="000000"/>
          <w:kern w:val="0"/>
          <w:sz w:val="20"/>
          <w:szCs w:val="20"/>
          <w14:ligatures w14:val="none"/>
        </w:rPr>
        <w:t>Art. 115.  Ficam redefinidos os limites do Parque Nacional Mapinguari, criado pelo Decreto de 5 de junho de 2008, atualmente localizado no Estado do Amazonas, nos municípios de Canutama e Lábrea, que passa a incluir em seus limites a área de cerca de 172.430 ha (cento e setenta e dois mil, quatrocentos e trinta hectares) descrita em conformidade com os arts. 116 e 117, localizada no município de Porto Velho, Estado de Rondônia. </w:t>
      </w:r>
      <w:r w:rsidRPr="00C22FC1">
        <w:rPr>
          <w:rFonts w:ascii="Arial" w:eastAsia="Times New Roman" w:hAnsi="Arial" w:cs="Arial"/>
          <w:color w:val="000000"/>
          <w:kern w:val="0"/>
          <w:sz w:val="20"/>
          <w:szCs w:val="20"/>
          <w14:ligatures w14:val="none"/>
        </w:rPr>
        <w:t>                </w:t>
      </w:r>
      <w:hyperlink r:id="rId422" w:anchor="art9" w:history="1">
        <w:r w:rsidRPr="00C22FC1">
          <w:rPr>
            <w:rFonts w:ascii="Arial" w:eastAsia="Times New Roman" w:hAnsi="Arial" w:cs="Arial"/>
            <w:color w:val="0000FF"/>
            <w:kern w:val="0"/>
            <w:sz w:val="20"/>
            <w:szCs w:val="20"/>
            <w:u w:val="single"/>
            <w14:ligatures w14:val="none"/>
          </w:rPr>
          <w:t>(Redação dada pela Medida Provisória nº 542, de 2011)</w:t>
        </w:r>
      </w:hyperlink>
      <w:r w:rsidRPr="00C22FC1">
        <w:rPr>
          <w:rFonts w:ascii="Arial" w:eastAsia="Times New Roman" w:hAnsi="Arial" w:cs="Arial"/>
          <w:color w:val="000000"/>
          <w:kern w:val="0"/>
          <w:sz w:val="20"/>
          <w:szCs w:val="20"/>
          <w14:ligatures w14:val="none"/>
        </w:rPr>
        <w:t>       (</w:t>
      </w:r>
      <w:hyperlink r:id="rId423" w:history="1">
        <w:r w:rsidRPr="00C22FC1">
          <w:rPr>
            <w:rFonts w:ascii="Arial" w:eastAsia="Times New Roman" w:hAnsi="Arial" w:cs="Arial"/>
            <w:color w:val="0000FF"/>
            <w:kern w:val="0"/>
            <w:sz w:val="20"/>
            <w:szCs w:val="20"/>
            <w:u w:val="single"/>
            <w14:ligatures w14:val="none"/>
          </w:rPr>
          <w:t>Sem eficácia</w:t>
        </w:r>
      </w:hyperlink>
      <w:r w:rsidRPr="00C22FC1">
        <w:rPr>
          <w:rFonts w:ascii="Arial" w:eastAsia="Times New Roman" w:hAnsi="Arial" w:cs="Arial"/>
          <w:color w:val="000000"/>
          <w:kern w:val="0"/>
          <w:sz w:val="20"/>
          <w:szCs w:val="20"/>
          <w14:ligatures w14:val="none"/>
        </w:rPr>
        <w:t>)</w:t>
      </w:r>
    </w:p>
    <w:p w14:paraId="65449A72"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216" w:name="art115...."/>
      <w:bookmarkEnd w:id="216"/>
      <w:r w:rsidRPr="00C22FC1">
        <w:rPr>
          <w:rFonts w:ascii="Arial" w:eastAsia="Times New Roman" w:hAnsi="Arial" w:cs="Arial"/>
          <w:strike/>
          <w:color w:val="000000"/>
          <w:kern w:val="0"/>
          <w:sz w:val="20"/>
          <w:szCs w:val="20"/>
          <w14:ligatures w14:val="none"/>
        </w:rPr>
        <w:t>Art. 115.  É ampliado o Parque Nacional Mapinguari, criado pelo </w:t>
      </w:r>
      <w:hyperlink r:id="rId424" w:history="1">
        <w:r w:rsidRPr="00C22FC1">
          <w:rPr>
            <w:rFonts w:ascii="Arial" w:eastAsia="Times New Roman" w:hAnsi="Arial" w:cs="Arial"/>
            <w:strike/>
            <w:color w:val="0000FF"/>
            <w:kern w:val="0"/>
            <w:sz w:val="20"/>
            <w:szCs w:val="20"/>
            <w:u w:val="single"/>
            <w14:ligatures w14:val="none"/>
          </w:rPr>
          <w:t>Decreto de 5 de junho de 2008</w:t>
        </w:r>
      </w:hyperlink>
      <w:r w:rsidRPr="00C22FC1">
        <w:rPr>
          <w:rFonts w:ascii="Arial" w:eastAsia="Times New Roman" w:hAnsi="Arial" w:cs="Arial"/>
          <w:strike/>
          <w:color w:val="000000"/>
          <w:kern w:val="0"/>
          <w:sz w:val="20"/>
          <w:szCs w:val="20"/>
          <w14:ligatures w14:val="none"/>
        </w:rPr>
        <w:t>, atualmente localizado no Estado do Amazonas, nos Municípios de Canutama e Lábrea, que passa a incluir em seus limites também a área de cerca de 180.900 ha (cento e oitenta mil e novecentos hectares) descrita em conformidade com os arts. 116 e 117 desta Lei, no Município de Porto Velho, Estado de Rondônia.</w:t>
      </w:r>
    </w:p>
    <w:p w14:paraId="13E5F796"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217" w:name="art115."/>
      <w:bookmarkEnd w:id="217"/>
      <w:r w:rsidRPr="00C22FC1">
        <w:rPr>
          <w:rFonts w:ascii="Arial" w:eastAsia="Times New Roman" w:hAnsi="Arial" w:cs="Arial"/>
          <w:strike/>
          <w:color w:val="000000"/>
          <w:kern w:val="0"/>
          <w:sz w:val="20"/>
          <w:szCs w:val="20"/>
          <w14:ligatures w14:val="none"/>
        </w:rPr>
        <w:t>Art. 115. Ficam redefinidos os limites do Parque Nacional Mapinguari, criado pelo Decreto de 5 de junho de 2008, atualmente localizado no Estado do Amazonas, nos Municípios de Canutama e Lábrea, que passa a incluir em seus limites a área de cerca de 172.430 ha descrita em conformidade com os arts. 116 e 117, localizada no Município de Porto Velho, Estado de Rondônia.                    </w:t>
      </w:r>
      <w:hyperlink r:id="rId425" w:anchor="art9" w:history="1">
        <w:r w:rsidRPr="00C22FC1">
          <w:rPr>
            <w:rFonts w:ascii="Arial" w:eastAsia="Times New Roman" w:hAnsi="Arial" w:cs="Arial"/>
            <w:strike/>
            <w:color w:val="0000FF"/>
            <w:kern w:val="0"/>
            <w:sz w:val="20"/>
            <w:szCs w:val="20"/>
            <w:u w:val="single"/>
            <w14:ligatures w14:val="none"/>
          </w:rPr>
          <w:t>(Redação dada pela Medida Provisória nº 558, de 2012).</w:t>
        </w:r>
      </w:hyperlink>
    </w:p>
    <w:p w14:paraId="7857E5B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18" w:name="art115.."/>
      <w:bookmarkEnd w:id="218"/>
      <w:r w:rsidRPr="00C22FC1">
        <w:rPr>
          <w:rFonts w:ascii="Arial" w:eastAsia="Times New Roman" w:hAnsi="Arial" w:cs="Arial"/>
          <w:color w:val="000000"/>
          <w:kern w:val="0"/>
          <w:sz w:val="20"/>
          <w:szCs w:val="20"/>
          <w14:ligatures w14:val="none"/>
        </w:rPr>
        <w:t>Art. 115.  Ficam redefinidos os limites do Parque Nacional Mapinguari, criado pelo Decreto de 5 de junho de 2008, atualmente localizado no Estado do Amazonas, nos Municípios de Canutama e Lábrea, que passa a incluir em seus limites a área de cerca de 172.430 ha descrita em conformidade com os arts. 116 e 117, localizada no Município de Porto Velho, Estado de Rondônia.                      </w:t>
      </w:r>
      <w:hyperlink r:id="rId426" w:anchor="art9" w:history="1">
        <w:r w:rsidRPr="00C22FC1">
          <w:rPr>
            <w:rFonts w:ascii="Arial" w:eastAsia="Times New Roman" w:hAnsi="Arial" w:cs="Arial"/>
            <w:color w:val="0000FF"/>
            <w:kern w:val="0"/>
            <w:sz w:val="20"/>
            <w:szCs w:val="20"/>
            <w:u w:val="single"/>
            <w14:ligatures w14:val="none"/>
          </w:rPr>
          <w:t>(Redação dada pela Lei nº 12.678, de 2012).</w:t>
        </w:r>
      </w:hyperlink>
    </w:p>
    <w:p w14:paraId="5F15A95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19" w:name="art116"/>
      <w:bookmarkEnd w:id="219"/>
      <w:r w:rsidRPr="00C22FC1">
        <w:rPr>
          <w:rFonts w:ascii="Arial" w:eastAsia="Times New Roman" w:hAnsi="Arial" w:cs="Arial"/>
          <w:color w:val="000000"/>
          <w:kern w:val="0"/>
          <w:sz w:val="20"/>
          <w:szCs w:val="20"/>
          <w14:ligatures w14:val="none"/>
        </w:rPr>
        <w:t>Art. 116.  A área de ampliação do Parque Nacional Mapinguari tem seus limites descritos a partir das Cartas Topográficas MIR Folhas 1541, 1542, 1466 e 1467 em escala 1:100.000, todas editadas pela Diretoria do Serviço Geográfico do Exército - DSG, com o seguinte memorial descritivo: inicia-se no ponto 1, localizado sobre a divisa entre os Estados do Amazonas e de Rondônia, que coincide com o ponto 87 do memorial descritivo do Parque Nacional Mapinguari, constante do </w:t>
      </w:r>
      <w:hyperlink r:id="rId427" w:history="1">
        <w:r w:rsidRPr="00C22FC1">
          <w:rPr>
            <w:rFonts w:ascii="Arial" w:eastAsia="Times New Roman" w:hAnsi="Arial" w:cs="Arial"/>
            <w:color w:val="0000FF"/>
            <w:kern w:val="0"/>
            <w:sz w:val="20"/>
            <w:szCs w:val="20"/>
            <w:u w:val="single"/>
            <w14:ligatures w14:val="none"/>
          </w:rPr>
          <w:t>art. 2º do</w:t>
        </w:r>
      </w:hyperlink>
      <w:r w:rsidRPr="00C22FC1">
        <w:rPr>
          <w:rFonts w:ascii="Arial" w:eastAsia="Times New Roman" w:hAnsi="Arial" w:cs="Arial"/>
          <w:color w:val="000000"/>
          <w:kern w:val="0"/>
          <w:sz w:val="20"/>
          <w:szCs w:val="20"/>
          <w14:ligatures w14:val="none"/>
        </w:rPr>
        <w:t> </w:t>
      </w:r>
      <w:hyperlink r:id="rId428" w:history="1">
        <w:r w:rsidRPr="00C22FC1">
          <w:rPr>
            <w:rFonts w:ascii="Arial" w:eastAsia="Times New Roman" w:hAnsi="Arial" w:cs="Arial"/>
            <w:color w:val="0000FF"/>
            <w:kern w:val="0"/>
            <w:sz w:val="20"/>
            <w:szCs w:val="20"/>
            <w:u w:val="single"/>
            <w14:ligatures w14:val="none"/>
          </w:rPr>
          <w:t>Decreto de 5 de junho de 2008</w:t>
        </w:r>
      </w:hyperlink>
      <w:r w:rsidRPr="00C22FC1">
        <w:rPr>
          <w:rFonts w:ascii="Arial" w:eastAsia="Times New Roman" w:hAnsi="Arial" w:cs="Arial"/>
          <w:color w:val="000000"/>
          <w:kern w:val="0"/>
          <w:sz w:val="20"/>
          <w:szCs w:val="20"/>
          <w14:ligatures w14:val="none"/>
        </w:rPr>
        <w:t>, de coordenadas planas aproximadas (c.p.a.) 276092 E e 8964778 N; deste segue sempre pela divisa dos Estados do Amazonas e de Rondônia, em sentido predominante nordeste até o ponto 2, de c.p.a. 285396 E e 8974140 N, localizado sobre a divisa dos referidos Estados; deste segue em linha reta até o ponto 3, de c.p.a. 285690 E e 8974132 N, localizado na nascente do igarapé Tuxaua; deste segue a jusante pela margem esquerda do igarapé Tuxaua até o ponto 4, de c.p.a. 294201 E e 8965941 N, localizado na confluência do referido igarapé com o igarapé Caripuninhas; deste segue para a montante pela margem esquerda do igarapé Caripuninhas, pelo limite da Estação Ecológica Estadual Serra dos Três Irmãos - EEESTI até o ponto 5, de c.p.a. 297548 E e 8978890 N, localizado em frente à confluência do referido igarapé com um seu tributário sem denominação à margem direita; deste segue em linha reta, ainda pelo limite da EEESTI, até o ponto 6, de c.p.a. 305280 E e 8978751 N; deste segue em linha reta, ainda pelo limite da EEESTI, até o ponto 7, de c.p.a. 316374 E e 8988597 N, localizado na margem direita do rio Caripunás; deste segue em linha reta, ainda pelo limite da</w:t>
      </w:r>
      <w:r w:rsidRPr="00C22FC1">
        <w:rPr>
          <w:rFonts w:ascii="Arial" w:eastAsia="Times New Roman" w:hAnsi="Arial" w:cs="Arial"/>
          <w:color w:val="000000"/>
          <w:spacing w:val="-20"/>
          <w:kern w:val="0"/>
          <w:sz w:val="20"/>
          <w:szCs w:val="20"/>
          <w14:ligatures w14:val="none"/>
        </w:rPr>
        <w:t> </w:t>
      </w:r>
      <w:r w:rsidRPr="00C22FC1">
        <w:rPr>
          <w:rFonts w:ascii="Arial" w:eastAsia="Times New Roman" w:hAnsi="Arial" w:cs="Arial"/>
          <w:color w:val="000000"/>
          <w:kern w:val="0"/>
          <w:sz w:val="20"/>
          <w:szCs w:val="20"/>
          <w14:ligatures w14:val="none"/>
        </w:rPr>
        <w:t xml:space="preserve">EEESTI, até o ponto 8, de c.p.a. 320557 E e 8992885 N; deste segue em linha reta, ainda pelo limite da EEESTI, até o ponto 9, de c.p.a. 322821 E e 8987457 N; deste segue em linha reta, ainda pelo limite da EEESTI, até o ponto 10, de c.p.a. 332658 E e 8992629 N; deste segue em linha reta até o ponto 11, de c.p.a. 332944 E e 8992355 N, localizado na margem direita de um igarapé sem denominação, afluente do igarapé Marapaná; deste segue a jusante pelo referido igarapé até o ponto 12, de c.p.a. 331890 E e 8990388 N, localizado na sua confluência com o igarapé Marapaná; deste segue a jusante pela margem direita do igarapé Marapaná até o ponto 13, de c.p.a. 332490 E e 8989383 N, localizado em sua foz no rio Madeira; deste segue a montante </w:t>
      </w:r>
      <w:r w:rsidRPr="00C22FC1">
        <w:rPr>
          <w:rFonts w:ascii="Arial" w:eastAsia="Times New Roman" w:hAnsi="Arial" w:cs="Arial"/>
          <w:color w:val="000000"/>
          <w:kern w:val="0"/>
          <w:sz w:val="20"/>
          <w:szCs w:val="20"/>
          <w14:ligatures w14:val="none"/>
        </w:rPr>
        <w:lastRenderedPageBreak/>
        <w:t>pela margem esquerda do rio Madeira até o ponto 14, de c.p.a. 236491 E e 8936739 N, localizado na foz do igarapé do Ferreira; deste segue a montante pela margem esquerda do igarapé do Ferreira até o ponto 15, de c.p.a. 230721 E e 8951806 N, localizado em uma de suas nascentes; deste segue em linha reta até o ponto 16, de c.p.a. 230692 E e 8952242 N, localizado na divisa entre os Estados do Amazonas e de Rondônia; deste segue sempre pela divisa dos Estados até o ponto 17, de c.p.a. 247272 E e 8972157 N, que coincide com o ponto 92 do memorial descritivo do Parque Nacional Mapinguari, constante do </w:t>
      </w:r>
      <w:hyperlink r:id="rId429" w:history="1">
        <w:r w:rsidRPr="00C22FC1">
          <w:rPr>
            <w:rFonts w:ascii="Arial" w:eastAsia="Times New Roman" w:hAnsi="Arial" w:cs="Arial"/>
            <w:color w:val="0000FF"/>
            <w:kern w:val="0"/>
            <w:sz w:val="20"/>
            <w:szCs w:val="20"/>
            <w:u w:val="single"/>
            <w14:ligatures w14:val="none"/>
          </w:rPr>
          <w:t>art. 2º do Decreto de 5 de junho de 2008</w:t>
        </w:r>
      </w:hyperlink>
      <w:r w:rsidRPr="00C22FC1">
        <w:rPr>
          <w:rFonts w:ascii="Arial" w:eastAsia="Times New Roman" w:hAnsi="Arial" w:cs="Arial"/>
          <w:color w:val="000000"/>
          <w:kern w:val="0"/>
          <w:sz w:val="20"/>
          <w:szCs w:val="20"/>
          <w14:ligatures w14:val="none"/>
        </w:rPr>
        <w:t>, que o criou.</w:t>
      </w:r>
    </w:p>
    <w:p w14:paraId="5D0DC65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O subsolo da área descrita no caput deste artigo integra os limites do Parque Nacional Mapinguari.</w:t>
      </w:r>
    </w:p>
    <w:p w14:paraId="747FEF9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20" w:name="art117..."/>
      <w:bookmarkEnd w:id="220"/>
      <w:r w:rsidRPr="00C22FC1">
        <w:rPr>
          <w:rFonts w:ascii="Arial" w:eastAsia="Times New Roman" w:hAnsi="Arial" w:cs="Arial"/>
          <w:strike/>
          <w:color w:val="000000"/>
          <w:kern w:val="0"/>
          <w:sz w:val="20"/>
          <w:szCs w:val="20"/>
          <w14:ligatures w14:val="none"/>
        </w:rPr>
        <w:t>Art. 117.  É excluído da área de ampliação do Parque Nacional Mapinguari o polígono com a seguinte descrição: inicia-se no ponto 18, de c.p.a. 259763 E e 8958250 N, localizado sobre a divisa entre os Estados do Amazonas e de Rondônia; deste segue para o ponto 19, de c.p.a. 264103 E e 8955061 N, que coincide com o ponto 91 do memorial descritivo constante do </w:t>
      </w:r>
      <w:hyperlink r:id="rId430" w:history="1">
        <w:r w:rsidRPr="00C22FC1">
          <w:rPr>
            <w:rFonts w:ascii="Arial" w:eastAsia="Times New Roman" w:hAnsi="Arial" w:cs="Arial"/>
            <w:strike/>
            <w:color w:val="0000FF"/>
            <w:kern w:val="0"/>
            <w:sz w:val="20"/>
            <w:szCs w:val="20"/>
            <w:u w:val="single"/>
            <w14:ligatures w14:val="none"/>
          </w:rPr>
          <w:t>Decreto de 5 de junho de 2008</w:t>
        </w:r>
      </w:hyperlink>
      <w:r w:rsidRPr="00C22FC1">
        <w:rPr>
          <w:rFonts w:ascii="Arial" w:eastAsia="Times New Roman" w:hAnsi="Arial" w:cs="Arial"/>
          <w:strike/>
          <w:color w:val="000000"/>
          <w:kern w:val="0"/>
          <w:sz w:val="20"/>
          <w:szCs w:val="20"/>
          <w14:ligatures w14:val="none"/>
        </w:rPr>
        <w:t>, que criou o Parque Nacional Mapinguari; deste segue para o ponto 20, que coincide com o ponto 90 do memorial descritivo do Parque Nacional Mapinguari (Decreto de 5 de junho de 2008), localizado na nascente do Rio Coti, com c.p.a. 266000 E e 8956158 N; deste segue a montante pela margem esquerda do rio Coti para o ponto 21, que coincide com o ponto 89 do memorial descritivo do Parque Nacional Mapinguari, localizado na confluência do rio Coti com o igarapé Branco, com c.p.a. 268336 E e 8973087 N; deste segue a montante pela margem direita do igarapé Branco até o ponto 22, que coincide com o ponto 88 do memorial descritivo do Parque Nacional Mapinguari, de c.p.a. 273632 E e 8963034 N; deste segue em linha reta para o ponto 23, de c.p.a. 278170 E e 8958856 N; deste segue em linha reta para o ponto 24, de c.p.a. 279192 E e 8955010 N; deste segue em linha reta para o ponto 25, de c.p.a. 277575 E e 8950507 N; deste segue em linha reta para o ponto 26, de c.p.a. 277559 E e 8947119 N; deste segue em linha reta para o ponto 27, de c.p.a. 274278 E e 8947516 N; deste segue em linha reta para o ponto 28, de c.p.a. 271378 E e 8948477 N; deste segue em linha reta para o ponto 29, de c.p.a. 266234 E e 8947989 N; deste segue em linha reta para o ponto 30, de c.p.a. 262693 E e 8950980 N; deste segue em linha reta para o ponto 31, de c.p.a. 256665 E e 8951499 N; deste segue em linha reta para o ponto 32, de c.p.a. 256985 E e 8953483 N; deste segue em linha reta para o ponto 33, de c.p.a. 259510 E e 8956411 N; deste segue em linha reta para o ponto 18, ponto inicial desta descrição.</w:t>
      </w:r>
    </w:p>
    <w:p w14:paraId="6B178630"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221" w:name="art117"/>
      <w:bookmarkEnd w:id="221"/>
      <w:r w:rsidRPr="00C22FC1">
        <w:rPr>
          <w:rFonts w:ascii="Arial" w:eastAsia="Times New Roman" w:hAnsi="Arial" w:cs="Arial"/>
          <w:strike/>
          <w:color w:val="000000"/>
          <w:spacing w:val="-4"/>
          <w:kern w:val="0"/>
          <w:sz w:val="20"/>
          <w:szCs w:val="20"/>
          <w14:ligatures w14:val="none"/>
        </w:rPr>
        <w:t>Art. 117.  Ficam excluídos da área de ampliação do Parque Nacional Mapinguari, descrita no art. 116:                     </w:t>
      </w:r>
      <w:hyperlink r:id="rId431" w:anchor="art10" w:history="1">
        <w:r w:rsidRPr="00C22FC1">
          <w:rPr>
            <w:rFonts w:ascii="Arial" w:eastAsia="Times New Roman" w:hAnsi="Arial" w:cs="Arial"/>
            <w:strike/>
            <w:color w:val="0000FF"/>
            <w:kern w:val="0"/>
            <w:sz w:val="20"/>
            <w:szCs w:val="20"/>
            <w:u w:val="single"/>
            <w14:ligatures w14:val="none"/>
          </w:rPr>
          <w:t>(Redação dada pela Medida Provisória nº 542, de 2011).</w:t>
        </w:r>
      </w:hyperlink>
    </w:p>
    <w:p w14:paraId="0083D5E7"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spacing w:val="-6"/>
          <w:kern w:val="0"/>
          <w:sz w:val="20"/>
          <w:szCs w:val="20"/>
          <w14:ligatures w14:val="none"/>
        </w:rPr>
        <w:t>I - o polígono com a seguinte descrição: inicia-se no ponto 18, de c.p.a. 259763 E e 8958250 N, localizado sobre a divisa entre os Estados do Amazonas e de Rondônia; deste segue para o ponto 19, de c.p.a. 264103 E e 8955061 N, que coincide com o ponto 91 do memorial descritivo constante do Decreto de 5 de junho de 2008, que criou o Parque Nacional Mapinguari; deste segue para o ponto 20, que coincide com o ponto 90 do memorial descritivo do Parque Nacional Mapinguari (Decreto de 5 de junho de 2008), localizado na nascente do Rio Coti, com c.p.a. 266000 E e 8956158 N; deste segue a montante pela margem esquerda do rio Coti para o ponto 21, que coincide com o ponto 89 do memorial descritivo do Parque Nacional Mapinguari, localizado na confluência do rio Coti com o igarapé Branco, com c.p.a. 268336 E e 8973087 N; deste segue a montante pela margem direita do igarapé Branco até o ponto 22, que coincide com o ponto 88 do memorial descritivo do Parque Nacional Mapinguari, de c.p.a. 273632 E e 8963034 N; deste segue em linha reta para o ponto 23, de c.p.a. 278170 E e 8958856 N; deste segue em linha reta para o ponto 24, de c.p.a. 279192 E e 8955010 N; deste segue em linha reta para o ponto 25, de c.p.a. 277575 E e 8950507 N; deste segue em linha reta para o ponto 26, de c.p.a. 277559 E e 8947119 N; deste segue em linha reta para o ponto 27, de c.p.a. 274278 E e 8947516 N; deste segue em linha reta para o ponto 28, de c.p.a. 271378 E e 8948477 N; deste segue em linha reta para o ponto 29, de c.p.a. 266234 E e 8947989 N; deste segue em linha reta para o ponto 30, de c.p.a. 262693 E e 8950980 N; deste segue em linha reta para o ponto 31, de c.p.a. 256665 E e 8951499 N; deste segue em linha reta para o ponto 32, de c.p.a. 256985 E e 8953483 N; deste segue em linha reta para o ponto 33, de c.p.a. 259510 E e 8956411 N; deste segue em linha reta para o ponto 18, ponto inicial desta descrição;                       </w:t>
      </w:r>
      <w:hyperlink r:id="rId432" w:anchor="art10" w:history="1">
        <w:r w:rsidRPr="00C22FC1">
          <w:rPr>
            <w:rFonts w:ascii="Arial" w:eastAsia="Times New Roman" w:hAnsi="Arial" w:cs="Arial"/>
            <w:strike/>
            <w:color w:val="0000FF"/>
            <w:kern w:val="0"/>
            <w:sz w:val="20"/>
            <w:szCs w:val="20"/>
            <w:u w:val="single"/>
            <w14:ligatures w14:val="none"/>
          </w:rPr>
          <w:t>(Incluído pela Medida Provisória nº 542, de 2011).</w:t>
        </w:r>
      </w:hyperlink>
    </w:p>
    <w:p w14:paraId="5CB1B923"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spacing w:val="-4"/>
          <w:kern w:val="0"/>
          <w:sz w:val="20"/>
          <w:szCs w:val="20"/>
          <w14:ligatures w14:val="none"/>
        </w:rPr>
        <w:lastRenderedPageBreak/>
        <w:t>II - a área que será inundada pelo lago artificial a ser formado pela barragem da Usina Hidroelétrica (UHE) de Jirau, até a cota 90m (noventa metros), nível do barramento, e também a área acima desta cota a ser inundada em função do efeito remanso, cuja cota altimétrica limite aumenta gradativamente em direção a montante até a cota altimétrica aproximada 93,32 m (noventa e três metros e trinta e dois centímetros), atingida no ponto de coordenadas planas aproximadas (c.p.a.) 234.115 E e 8.938.992 N;                    </w:t>
      </w:r>
      <w:hyperlink r:id="rId433" w:anchor="art10" w:history="1">
        <w:r w:rsidRPr="00C22FC1">
          <w:rPr>
            <w:rFonts w:ascii="Arial" w:eastAsia="Times New Roman" w:hAnsi="Arial" w:cs="Arial"/>
            <w:strike/>
            <w:color w:val="0000FF"/>
            <w:kern w:val="0"/>
            <w:sz w:val="20"/>
            <w:szCs w:val="20"/>
            <w:u w:val="single"/>
            <w14:ligatures w14:val="none"/>
          </w:rPr>
          <w:t>(Incluído pela Medida Provisória nº 542, de 2011).</w:t>
        </w:r>
      </w:hyperlink>
    </w:p>
    <w:p w14:paraId="291852BA"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spacing w:val="-4"/>
          <w:kern w:val="0"/>
          <w:sz w:val="20"/>
          <w:szCs w:val="20"/>
          <w14:ligatures w14:val="none"/>
        </w:rPr>
        <w:t>III - a área que será inundada pelo lago artificial a ser formado pela barragem da UHE de Santo Antônio, que se inicia no ponto de c.p.a. 332.474 E e 8.992.048 N, de cota altimétrica aproximada 73,50 m (setenta e três metros e cinquenta centímetros) até o limite da área destinada ao canteiro de obras da UHE de Jirau, na cota altimétrica aproximada 74 m (setenta e quatro metros);                        </w:t>
      </w:r>
      <w:hyperlink r:id="rId434" w:anchor="art10" w:history="1">
        <w:r w:rsidRPr="00C22FC1">
          <w:rPr>
            <w:rFonts w:ascii="Arial" w:eastAsia="Times New Roman" w:hAnsi="Arial" w:cs="Arial"/>
            <w:strike/>
            <w:color w:val="0000FF"/>
            <w:kern w:val="0"/>
            <w:sz w:val="20"/>
            <w:szCs w:val="20"/>
            <w:u w:val="single"/>
            <w14:ligatures w14:val="none"/>
          </w:rPr>
          <w:t>(Incluído pela Medida Provisória nº 542, de 2011).</w:t>
        </w:r>
      </w:hyperlink>
    </w:p>
    <w:p w14:paraId="252A74CD"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spacing w:val="-4"/>
          <w:kern w:val="0"/>
          <w:sz w:val="20"/>
          <w:szCs w:val="20"/>
          <w14:ligatures w14:val="none"/>
        </w:rPr>
        <w:t>IV - o polígono de aproximadamente 163 ha (cento e sessenta e três hectares) com a seguinte descrição: inicia-se no ponto 1, localizado sobre o limite da Estação Ecológia Estadual da Serra dos Três Irmãos (EEESTI), de c.p.a. 330.556 E e 8.991.532 N; deste segue em linha reta, ainda confrontando com a EEESTI até o ponto 2, de c.p.a. 332.658 E e 8.992.629 N; deste segue em linha reta, com azimute 133</w:t>
      </w:r>
      <w:r w:rsidRPr="00C22FC1">
        <w:rPr>
          <w:rFonts w:ascii="Arial" w:eastAsia="Times New Roman" w:hAnsi="Arial" w:cs="Arial"/>
          <w:strike/>
          <w:color w:val="000000"/>
          <w:spacing w:val="-4"/>
          <w:kern w:val="0"/>
          <w:sz w:val="20"/>
          <w:szCs w:val="20"/>
          <w:u w:val="single"/>
          <w:vertAlign w:val="superscript"/>
          <w14:ligatures w14:val="none"/>
        </w:rPr>
        <w:t>o</w:t>
      </w:r>
      <w:r w:rsidRPr="00C22FC1">
        <w:rPr>
          <w:rFonts w:ascii="Arial" w:eastAsia="Times New Roman" w:hAnsi="Arial" w:cs="Arial"/>
          <w:strike/>
          <w:color w:val="000000"/>
          <w:spacing w:val="-4"/>
          <w:kern w:val="0"/>
          <w:sz w:val="20"/>
          <w:szCs w:val="20"/>
          <w14:ligatures w14:val="none"/>
        </w:rPr>
        <w:t> 47’ 9” por uma distância aproximada de 396,2 m até o ponto 3, de c.p.a. 332.944 E e 8.992.355 N; deste segue pela margem direita do igarapé sem denominação, afluente pela margem esquerda do igarapé Maparaná, até o ponto 4, de c.p.a. 332.474 E e 8.992.048 N; deste segue pela margem esquerda do futuro lago artificial da UHE Santo Antônio, que inundará neste trecho, em função do efeito remanso, as terras localizadas até a cota altimétrica aproximada 73,50 m (setenta e três metros e cinquenta centímetros), até o ponto 1, início da descrição deste polígono; e                         </w:t>
      </w:r>
      <w:hyperlink r:id="rId435" w:anchor="art10" w:history="1">
        <w:r w:rsidRPr="00C22FC1">
          <w:rPr>
            <w:rFonts w:ascii="Arial" w:eastAsia="Times New Roman" w:hAnsi="Arial" w:cs="Arial"/>
            <w:strike/>
            <w:color w:val="0000FF"/>
            <w:kern w:val="0"/>
            <w:sz w:val="20"/>
            <w:szCs w:val="20"/>
            <w:u w:val="single"/>
            <w14:ligatures w14:val="none"/>
          </w:rPr>
          <w:t>(Incluído pela Medida Provisória nº 542, de 2011).</w:t>
        </w:r>
      </w:hyperlink>
    </w:p>
    <w:p w14:paraId="68CF9E08"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V - o polígono de aproximadamente 1.055 ha (mil e cinquenta e cinco hectares) sobreposto à área declarada de utilidade pública destinada ao canteiro de obras da UHE de Jirau, com a seguinte descrição: inicia-se no ponto 1, localizado sobre o atual limite do Parque Nacional Mapinguari, na cota altimétrica aproximada 90 m (noventa metros), de c.p.a. 320.771 E e 8.979.846 N; daí segue confrontando com a área destinada ao canteiro de obras da UHE Jirau, com o azimute de 284°47’20” e distância de 44,07 m (quarenta e quatro metros e sete centímetros) até o ponto 2, de c.p.a. 320.728 E e 8.979.858 N; daí segue com a mesma confrontação, com o azimute de 270°53’5” e distância de 3.003,10 metros até o ponto 3, de c.p.a. 317.725 E e 8.979.902 N; deste segue em linha reta, ainda com a mesma confrontação, com o azimute de 204°55’35” e distância de 5.150,73 metros, até o ponto 4, de c.p.a. 315.550 E e 8.975.223 N; deste segue em direção a jusante, pela margem esquerda do futuro lago artificial da UHE Jirau, pela cota altimétrica aproximada 90 m (noventa metros) até o ponto 1, início desta descrição. </w:t>
      </w:r>
      <w:hyperlink r:id="rId436" w:anchor="art10" w:history="1">
        <w:r w:rsidRPr="00C22FC1">
          <w:rPr>
            <w:rFonts w:ascii="Arial" w:eastAsia="Times New Roman" w:hAnsi="Arial" w:cs="Arial"/>
            <w:strike/>
            <w:color w:val="0000FF"/>
            <w:kern w:val="0"/>
            <w:sz w:val="20"/>
            <w:szCs w:val="20"/>
            <w:u w:val="single"/>
            <w14:ligatures w14:val="none"/>
          </w:rPr>
          <w:t>(Incluído pela Medida Provisória nº 542, de 2011).</w:t>
        </w:r>
      </w:hyperlink>
    </w:p>
    <w:p w14:paraId="7FEE96A2"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Parágrafo único.  Nos momentos em que os níveis dos lagos das UHE Jirau e Santo Antônio estiverem abaixo das cotas altimétricas mencionadas nos incisos II e III do </w:t>
      </w:r>
      <w:r w:rsidRPr="00C22FC1">
        <w:rPr>
          <w:rFonts w:ascii="Arial" w:eastAsia="Times New Roman" w:hAnsi="Arial" w:cs="Arial"/>
          <w:b/>
          <w:bCs/>
          <w:strike/>
          <w:color w:val="000000"/>
          <w:kern w:val="0"/>
          <w:sz w:val="20"/>
          <w:szCs w:val="20"/>
          <w14:ligatures w14:val="none"/>
        </w:rPr>
        <w:t>caput</w:t>
      </w:r>
      <w:r w:rsidRPr="00C22FC1">
        <w:rPr>
          <w:rFonts w:ascii="Arial" w:eastAsia="Times New Roman" w:hAnsi="Arial" w:cs="Arial"/>
          <w:strike/>
          <w:color w:val="000000"/>
          <w:kern w:val="0"/>
          <w:sz w:val="20"/>
          <w:szCs w:val="20"/>
          <w14:ligatures w14:val="none"/>
        </w:rPr>
        <w:t>, ficam proibidas atividades agropecuárias, de mineração, edificações permanentes ou temporárias e quaisquer outros empreendimentos nestas faixas das margens esquerdas temporariamente emersas dos referidos lagos.                     </w:t>
      </w:r>
      <w:hyperlink r:id="rId437" w:anchor="art10" w:history="1">
        <w:r w:rsidRPr="00C22FC1">
          <w:rPr>
            <w:rFonts w:ascii="Arial" w:eastAsia="Times New Roman" w:hAnsi="Arial" w:cs="Arial"/>
            <w:strike/>
            <w:color w:val="0000FF"/>
            <w:kern w:val="0"/>
            <w:sz w:val="20"/>
            <w:szCs w:val="20"/>
            <w:u w:val="single"/>
            <w14:ligatures w14:val="none"/>
          </w:rPr>
          <w:t>(Incluído pela Medida Provisória nº 542, de 2011).</w:t>
        </w:r>
      </w:hyperlink>
    </w:p>
    <w:p w14:paraId="7F15BD1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22" w:name="art117...."/>
      <w:bookmarkEnd w:id="222"/>
      <w:r w:rsidRPr="00C22FC1">
        <w:rPr>
          <w:rFonts w:ascii="Arial" w:eastAsia="Times New Roman" w:hAnsi="Arial" w:cs="Arial"/>
          <w:strike/>
          <w:color w:val="000000"/>
          <w:kern w:val="0"/>
          <w:sz w:val="20"/>
          <w:szCs w:val="20"/>
          <w14:ligatures w14:val="none"/>
        </w:rPr>
        <w:t xml:space="preserve">Art. 117.  É excluído da área de ampliação do Parque Nacional Mapinguari o polígono com a seguinte descrição: inicia-se no ponto 18, de c.p.a. 259763 E e 8958250 N, localizado sobre a divisa entre os Estados do Amazonas e de Rondônia; deste segue para o ponto 19, de c.p.a. 264103 E e 8955061 N, que coincide com o ponto 91 do memorial descritivo constante do Decreto de 5 de junho de 2008, que criou o Parque Nacional Mapinguari; deste segue para o ponto 20, que coincide com o ponto 90 do memorial descritivo do Parque Nacional Mapinguari (Decreto de 5 de junho de 2008), localizado na nascente do Rio Coti, com c.p.a. 266000 E e 8956158 N; deste segue a montante pela margem esquerda do rio Coti para o ponto 21, que coincide com o ponto 89 do memorial descritivo do Parque Nacional Mapinguari, localizado na confluência do rio Coti com o igarapé Branco, com c.p.a. 268336 E e 8973087 N; deste segue a montante pela margem direita do igarapé Branco até o ponto 22, que coincide com o ponto 88 do memorial descritivo do Parque Nacional Mapinguari, de c.p.a. 273632 E e 8963034 N; deste segue em linha reta para o ponto 23, de c.p.a. 278170 E e 8958856 N; deste segue em linha reta para o ponto 24, de c.p.a. 279192 E e 8955010 N; deste segue em linha reta para o ponto 25, de c.p.a. 277575 E e 8950507 N; deste segue em linha reta para o ponto 26, de c.p.a. 277559 E e 8947119 N; deste segue em linha reta para o ponto 27, de c.p.a. 274278 E e 8947516 N; deste segue em linha reta para o ponto 28, de c.p.a. 271378 E e </w:t>
      </w:r>
      <w:r w:rsidRPr="00C22FC1">
        <w:rPr>
          <w:rFonts w:ascii="Arial" w:eastAsia="Times New Roman" w:hAnsi="Arial" w:cs="Arial"/>
          <w:strike/>
          <w:color w:val="000000"/>
          <w:kern w:val="0"/>
          <w:sz w:val="20"/>
          <w:szCs w:val="20"/>
          <w14:ligatures w14:val="none"/>
        </w:rPr>
        <w:lastRenderedPageBreak/>
        <w:t>8948477 N; deste segue em linha reta para o ponto 29, de c.p.a. 266234 E e 8947989 N; deste segue em linha reta para o ponto 30, de c.p.a. 262693 E e 8950980 N; deste segue em linha reta para o ponto 31, de c.p.a. 256665 E e 8951499 N; deste segue em linha reta para o ponto 32, de c.p.a. 256985 E e 8953483 N; deste segue em linha reta para o ponto 33, de c.p.a. 259510 E e 8956411 N; deste segue em linha reta para o ponto 18, ponto inicial desta descrição.</w:t>
      </w:r>
    </w:p>
    <w:p w14:paraId="0004C98C" w14:textId="77777777" w:rsidR="00C22FC1" w:rsidRPr="00C22FC1" w:rsidRDefault="00C22FC1" w:rsidP="00C22FC1">
      <w:pPr>
        <w:spacing w:after="0" w:line="240" w:lineRule="auto"/>
        <w:ind w:firstLine="567"/>
        <w:rPr>
          <w:rFonts w:ascii="Arial" w:eastAsia="Times New Roman" w:hAnsi="Arial" w:cs="Arial"/>
          <w:color w:val="000000"/>
          <w:kern w:val="0"/>
          <w:sz w:val="20"/>
          <w:szCs w:val="20"/>
          <w14:ligatures w14:val="none"/>
        </w:rPr>
      </w:pPr>
      <w:bookmarkStart w:id="223" w:name="art117."/>
      <w:bookmarkEnd w:id="223"/>
      <w:r w:rsidRPr="00C22FC1">
        <w:rPr>
          <w:rFonts w:ascii="Arial" w:eastAsia="Times New Roman" w:hAnsi="Arial" w:cs="Arial"/>
          <w:strike/>
          <w:color w:val="000000"/>
          <w:kern w:val="0"/>
          <w:sz w:val="20"/>
          <w:szCs w:val="20"/>
          <w14:ligatures w14:val="none"/>
        </w:rPr>
        <w:t>Art. 117.  Ficam excluídos da área de ampliação do Parque Nacional Mapinguari, descrita no art. 116:                         </w:t>
      </w:r>
      <w:hyperlink r:id="rId438" w:anchor="art10" w:history="1">
        <w:r w:rsidRPr="00C22FC1">
          <w:rPr>
            <w:rFonts w:ascii="Arial" w:eastAsia="Times New Roman" w:hAnsi="Arial" w:cs="Arial"/>
            <w:strike/>
            <w:color w:val="0000FF"/>
            <w:kern w:val="0"/>
            <w:sz w:val="20"/>
            <w:szCs w:val="20"/>
            <w:u w:val="single"/>
            <w14:ligatures w14:val="none"/>
          </w:rPr>
          <w:t>(Redação dada pela Medida Provisória nº 558, de 2012).</w:t>
        </w:r>
      </w:hyperlink>
    </w:p>
    <w:p w14:paraId="52B4A267" w14:textId="77777777" w:rsidR="00C22FC1" w:rsidRPr="00C22FC1" w:rsidRDefault="00C22FC1" w:rsidP="00C22FC1">
      <w:pPr>
        <w:spacing w:after="0" w:line="240" w:lineRule="auto"/>
        <w:ind w:firstLine="567"/>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 - o polígono com a seguinte descrição: inicia-se no Ponto 18, de c.p.a. 259763 E e 8958250 N, localizado sobre a divisa entre os Estados do Amazonas e de Rondônia; deste segue para o Ponto 19, de c.p.a. 264103 E e 8955061 N, que coincide com o Ponto 91 do memorial descritivo constante do </w:t>
      </w:r>
      <w:hyperlink r:id="rId439" w:history="1">
        <w:r w:rsidRPr="00C22FC1">
          <w:rPr>
            <w:rFonts w:ascii="Arial" w:eastAsia="Times New Roman" w:hAnsi="Arial" w:cs="Arial"/>
            <w:strike/>
            <w:color w:val="0000FF"/>
            <w:kern w:val="0"/>
            <w:sz w:val="20"/>
            <w:szCs w:val="20"/>
            <w:u w:val="single"/>
            <w14:ligatures w14:val="none"/>
          </w:rPr>
          <w:t>Decreto de 5 de junho de 2008</w:t>
        </w:r>
      </w:hyperlink>
      <w:r w:rsidRPr="00C22FC1">
        <w:rPr>
          <w:rFonts w:ascii="Arial" w:eastAsia="Times New Roman" w:hAnsi="Arial" w:cs="Arial"/>
          <w:strike/>
          <w:color w:val="000000"/>
          <w:kern w:val="0"/>
          <w:sz w:val="20"/>
          <w:szCs w:val="20"/>
          <w14:ligatures w14:val="none"/>
        </w:rPr>
        <w:t>, que criou o Parque Nacional Mapinguari; deste, segue para o Ponto 20, que coincide com o Ponto 90 do memorial descritivo do Parque Nacional Mapinguari (</w:t>
      </w:r>
      <w:hyperlink r:id="rId440" w:history="1">
        <w:r w:rsidRPr="00C22FC1">
          <w:rPr>
            <w:rFonts w:ascii="Arial" w:eastAsia="Times New Roman" w:hAnsi="Arial" w:cs="Arial"/>
            <w:strike/>
            <w:color w:val="0000FF"/>
            <w:kern w:val="0"/>
            <w:sz w:val="20"/>
            <w:szCs w:val="20"/>
            <w:u w:val="single"/>
            <w14:ligatures w14:val="none"/>
          </w:rPr>
          <w:t>Decreto de 5 de junho de 2008</w:t>
        </w:r>
      </w:hyperlink>
      <w:r w:rsidRPr="00C22FC1">
        <w:rPr>
          <w:rFonts w:ascii="Arial" w:eastAsia="Times New Roman" w:hAnsi="Arial" w:cs="Arial"/>
          <w:strike/>
          <w:color w:val="000000"/>
          <w:kern w:val="0"/>
          <w:sz w:val="20"/>
          <w:szCs w:val="20"/>
          <w14:ligatures w14:val="none"/>
        </w:rPr>
        <w:t>), localizado na nascente do Rio Coti, com c.p.a. 266000 E e 8956158 N; deste, segue a montante pela margem esquerda do Rio Coti para o Ponto 21, que coincide com o Ponto 89 do memorial descritivo do Parque Nacional Mapinguari, localizado na confluência do Rio Coti com o Igarapé Branco, com c.p.a. 268336 E e 8973087 N; deste, segue a montante pela margem direita do Igarapé Branco até o ponto 22, que coincide com o Ponto 88 do memorial descritivo do Parque Nacional Mapinguari, de c.p.a. 273632 E e 8963034 N; deste, segue em linha reta para o Ponto 23, de c.p.a. 278170 E e 8958856 N; deste, segue em linha reta para o Ponto 24, de c.p.a. 279192 E e 8955010 N; deste, segue em linha reta para o Ponto 25, de c.p.a. 277575 E e 8950507 N; deste, segue em linha reta para o Ponto 26, de c.p.a. 277559 E e 8947119 N; deste, segue em linha reta para o Ponto 27, de c.p.a. 274278 E e 8947516 N; deste, segue em linha reta para o Ponto 28, de c.p.a. 271378 E e 8948477 N; deste, segue em linha reta para o Ponto 29, de c.p.a. 266234 E e 8947989 N; deste, segue em linha reta para o Ponto 30, de c.p.a. 262693 E e 8950980 N; deste, segue em linha reta para o Ponto 31, de c.p.a. 256665 E e 8951499 N; deste, segue em linha reta para o Ponto 32, de c.p.a. 256985 E e 8953483 N; deste, segue em linha reta para o Ponto 33, de c.p.a. 259510 E e 8956411 N; deste, segue em linha reta para o Ponto 18, ponto inicial desta descrição;                       </w:t>
      </w:r>
      <w:hyperlink r:id="rId441" w:anchor="art10" w:history="1">
        <w:r w:rsidRPr="00C22FC1">
          <w:rPr>
            <w:rFonts w:ascii="Arial" w:eastAsia="Times New Roman" w:hAnsi="Arial" w:cs="Arial"/>
            <w:strike/>
            <w:color w:val="0000FF"/>
            <w:kern w:val="0"/>
            <w:sz w:val="20"/>
            <w:szCs w:val="20"/>
            <w:u w:val="single"/>
            <w14:ligatures w14:val="none"/>
          </w:rPr>
          <w:t>(Incluído pela Medida Provisória nº 558, de 2012).</w:t>
        </w:r>
      </w:hyperlink>
    </w:p>
    <w:p w14:paraId="76C71924" w14:textId="77777777" w:rsidR="00C22FC1" w:rsidRPr="00C22FC1" w:rsidRDefault="00C22FC1" w:rsidP="00C22FC1">
      <w:pPr>
        <w:spacing w:after="0" w:line="240" w:lineRule="auto"/>
        <w:ind w:firstLine="567"/>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II - a área que será inundada pelo lago artificial a ser formado pela barragem da Usina Hidroelétrica (UHE) de Jirau, até a cota noventa metros, nível do barramento, e também a área acima desta cota a ser inundada em função do efeito remanso, cuja cota altimétrica limite aumenta gradativamente em direção a montante até a cota altimétrica aproximada noventa e três metros e trinta e dois centímetros, atingida no ponto de coordenadas planas aproximadas (c.p.a.) 234.115 E e 8.938.992 N;</w:t>
      </w:r>
    </w:p>
    <w:p w14:paraId="4F1C6BF8" w14:textId="77777777" w:rsidR="00C22FC1" w:rsidRPr="00C22FC1" w:rsidRDefault="00C22FC1" w:rsidP="00C22FC1">
      <w:pPr>
        <w:spacing w:after="0" w:line="240" w:lineRule="auto"/>
        <w:ind w:firstLine="567"/>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III - a área que será inundada pelo lago artificial a ser formado pela barragem da UHE de Santo Antônio, que se inicia no ponto de c.p.a. 332.474 E e 8.992.048 N, de cota altimétrica aproximada setenta e três metros e cinquenta centímetros até o limite da área destinada ao canteiro de obras da UHE de Jirau, na cota altimétrica aproximada setenta e quatro metros;                       </w:t>
      </w:r>
      <w:hyperlink r:id="rId442" w:anchor="art10" w:history="1">
        <w:r w:rsidRPr="00C22FC1">
          <w:rPr>
            <w:rFonts w:ascii="Arial" w:eastAsia="Times New Roman" w:hAnsi="Arial" w:cs="Arial"/>
            <w:strike/>
            <w:color w:val="0000FF"/>
            <w:kern w:val="0"/>
            <w:sz w:val="20"/>
            <w:szCs w:val="20"/>
            <w:u w:val="single"/>
            <w14:ligatures w14:val="none"/>
          </w:rPr>
          <w:t>(Incluído pela Medida Provisória nº 558, de 2012).</w:t>
        </w:r>
      </w:hyperlink>
    </w:p>
    <w:p w14:paraId="1066E688" w14:textId="77777777" w:rsidR="00C22FC1" w:rsidRPr="00C22FC1" w:rsidRDefault="00C22FC1" w:rsidP="00C22FC1">
      <w:pPr>
        <w:spacing w:after="0" w:line="240" w:lineRule="auto"/>
        <w:ind w:firstLine="567"/>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IV - o polígono de aproximadamente 163 ha com a seguinte descrição: inicia-se no Ponto 1, localizado sobre o limite da Estação Ecológica Estadual da Serra dos Três Irmãos (EEESTI), de c.p.a. 330.556 E e 8.991.532 N; deste, segue em linha reta, ainda confrontando com a EEESTI até o Ponto 2, de c.p.a. 332.658 E e 8.992.629 N; deste, segue em linha reta, com azimute 133</w:t>
      </w:r>
      <w:r w:rsidRPr="00C22FC1">
        <w:rPr>
          <w:rFonts w:ascii="Arial" w:eastAsia="Times New Roman" w:hAnsi="Arial" w:cs="Arial"/>
          <w:strike/>
          <w:color w:val="000000"/>
          <w:kern w:val="0"/>
          <w:sz w:val="20"/>
          <w:szCs w:val="20"/>
          <w:vertAlign w:val="superscript"/>
          <w14:ligatures w14:val="none"/>
        </w:rPr>
        <w:t>o</w:t>
      </w:r>
      <w:r w:rsidRPr="00C22FC1">
        <w:rPr>
          <w:rFonts w:ascii="Arial" w:eastAsia="Times New Roman" w:hAnsi="Arial" w:cs="Arial"/>
          <w:strike/>
          <w:color w:val="000000"/>
          <w:kern w:val="0"/>
          <w:sz w:val="20"/>
          <w:szCs w:val="20"/>
          <w14:ligatures w14:val="none"/>
        </w:rPr>
        <w:t> 47’ 9” por uma distância aproximada de 396,2 m até o Ponto 3, de c.p.a. 332.944 E e 8.992.355 N; deste, segue pela margem direita do igarapé sem denominação, afluente pela margem esquerda do Igarapé Maparaná, até o Ponto 4, de c.p.a. 332.474 E e 8.992.048 N; deste, segue pela margem esquerda do futuro lago artificial da UHE Santo Antônio, que inundará neste trecho, em função do efeito remanso, as terras localizadas até a cota altimétrica aproximada setenta e três metros e cinquenta centímetros, até o Ponto 1, início da descrição deste polígono; e                         </w:t>
      </w:r>
      <w:hyperlink r:id="rId443" w:anchor="art10" w:history="1">
        <w:r w:rsidRPr="00C22FC1">
          <w:rPr>
            <w:rFonts w:ascii="Arial" w:eastAsia="Times New Roman" w:hAnsi="Arial" w:cs="Arial"/>
            <w:strike/>
            <w:color w:val="0000FF"/>
            <w:kern w:val="0"/>
            <w:sz w:val="20"/>
            <w:szCs w:val="20"/>
            <w:u w:val="single"/>
            <w14:ligatures w14:val="none"/>
          </w:rPr>
          <w:t>(Incluído pela Medida Provisória nº 558, de 2012).</w:t>
        </w:r>
      </w:hyperlink>
    </w:p>
    <w:p w14:paraId="56A6B64A" w14:textId="77777777" w:rsidR="00C22FC1" w:rsidRPr="00C22FC1" w:rsidRDefault="00C22FC1" w:rsidP="00C22FC1">
      <w:pPr>
        <w:spacing w:after="0" w:line="240" w:lineRule="auto"/>
        <w:ind w:firstLine="567"/>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 xml:space="preserve">V - o polígono de aproximadamente 1.055 ha sobreposto à área declarada de utilidade pública destinada ao canteiro de obras da UHE de Jirau, com a seguinte descrição: inicia-se no Ponto 1, localizado sobre o atual limite do Parque Nacional Mapinguari, na cota altimétrica aproximada noventa metros, de c.p.a. 320.771 E e 8.979.846 N; daí segue confrontando com a área destinada ao canteiro de obras da UHE Jirau, com o azimute de 284°47’20” e distância de 44,07 m até o Ponto 2, de c.p.a. 320.728 E e 8.979.858 N; daí, segue com a mesma confrontação, com o azimute de 270°53’5” e distância de 3.003,10 m até o Ponto 3, de c.p.a. </w:t>
      </w:r>
      <w:r w:rsidRPr="00C22FC1">
        <w:rPr>
          <w:rFonts w:ascii="Arial" w:eastAsia="Times New Roman" w:hAnsi="Arial" w:cs="Arial"/>
          <w:strike/>
          <w:color w:val="000000"/>
          <w:kern w:val="0"/>
          <w:sz w:val="20"/>
          <w:szCs w:val="20"/>
          <w14:ligatures w14:val="none"/>
        </w:rPr>
        <w:lastRenderedPageBreak/>
        <w:t>317.725 E e 8.979.902 N; deste, segue em linha reta, ainda com a mesma confrontação, com o azimute de 204°55’35” e distância de 5.150,73 m, até o Ponto 4, de c.p.a. 315.550 E e 8.975.223 N; deste, segue em direção a jusante, pela margem esquerda do futuro lago artificial da UHE Jirau, pela cota altimétrica aproximada noventa metros até o Ponto 1, início desta descrição.                     </w:t>
      </w:r>
      <w:hyperlink r:id="rId444" w:anchor="art10" w:history="1">
        <w:r w:rsidRPr="00C22FC1">
          <w:rPr>
            <w:rFonts w:ascii="Arial" w:eastAsia="Times New Roman" w:hAnsi="Arial" w:cs="Arial"/>
            <w:strike/>
            <w:color w:val="0000FF"/>
            <w:kern w:val="0"/>
            <w:sz w:val="20"/>
            <w:szCs w:val="20"/>
            <w:u w:val="single"/>
            <w14:ligatures w14:val="none"/>
          </w:rPr>
          <w:t>(Incluído pela Medida Provisória nº 558, de 2012).</w:t>
        </w:r>
      </w:hyperlink>
    </w:p>
    <w:p w14:paraId="54AC0847" w14:textId="77777777" w:rsidR="00C22FC1" w:rsidRPr="00C22FC1" w:rsidRDefault="00C22FC1" w:rsidP="00C22FC1">
      <w:pPr>
        <w:spacing w:after="0" w:line="240" w:lineRule="auto"/>
        <w:ind w:firstLine="567"/>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Parágrafo único.  Nos momentos em que os níveis dos lagos das UHE Jirau e Santo Antônio estiverem abaixo das cotas altimétricas mencionadas nos incisos II e III do </w:t>
      </w:r>
      <w:r w:rsidRPr="00C22FC1">
        <w:rPr>
          <w:rFonts w:ascii="Arial" w:eastAsia="Times New Roman" w:hAnsi="Arial" w:cs="Arial"/>
          <w:b/>
          <w:bCs/>
          <w:strike/>
          <w:color w:val="000000"/>
          <w:kern w:val="0"/>
          <w:sz w:val="20"/>
          <w:szCs w:val="20"/>
          <w14:ligatures w14:val="none"/>
        </w:rPr>
        <w:t>caput</w:t>
      </w:r>
      <w:r w:rsidRPr="00C22FC1">
        <w:rPr>
          <w:rFonts w:ascii="Arial" w:eastAsia="Times New Roman" w:hAnsi="Arial" w:cs="Arial"/>
          <w:strike/>
          <w:color w:val="000000"/>
          <w:kern w:val="0"/>
          <w:sz w:val="20"/>
          <w:szCs w:val="20"/>
          <w14:ligatures w14:val="none"/>
        </w:rPr>
        <w:t>, ficam proibidas atividades agropecuárias, de mineração, edificações permanentes ou temporárias e quaisquer outros empreendimentos nestas faixas das margens esquerdas temporariamente emersas dos referidos lagos.                       </w:t>
      </w:r>
      <w:hyperlink r:id="rId445" w:anchor="art10" w:history="1">
        <w:r w:rsidRPr="00C22FC1">
          <w:rPr>
            <w:rFonts w:ascii="Arial" w:eastAsia="Times New Roman" w:hAnsi="Arial" w:cs="Arial"/>
            <w:strike/>
            <w:color w:val="0000FF"/>
            <w:kern w:val="0"/>
            <w:sz w:val="20"/>
            <w:szCs w:val="20"/>
            <w:u w:val="single"/>
            <w14:ligatures w14:val="none"/>
          </w:rPr>
          <w:t>(Incluído pela Medida Provisória nº 558, de 2012).</w:t>
        </w:r>
      </w:hyperlink>
    </w:p>
    <w:p w14:paraId="66C66C00" w14:textId="77777777" w:rsidR="00C22FC1" w:rsidRPr="00C22FC1" w:rsidRDefault="00C22FC1" w:rsidP="00C22FC1">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224" w:name="art117.."/>
      <w:bookmarkEnd w:id="224"/>
      <w:r w:rsidRPr="00C22FC1">
        <w:rPr>
          <w:rFonts w:ascii="Arial" w:eastAsia="Times New Roman" w:hAnsi="Arial" w:cs="Arial"/>
          <w:color w:val="000000"/>
          <w:kern w:val="0"/>
          <w:sz w:val="20"/>
          <w:szCs w:val="20"/>
          <w14:ligatures w14:val="none"/>
        </w:rPr>
        <w:t>Art. 117.  Ficam excluídos da área de ampliação do Parque Nacional Mapinguari, descrita no art. 116:                        </w:t>
      </w:r>
      <w:hyperlink r:id="rId446" w:anchor="art9" w:history="1">
        <w:r w:rsidRPr="00C22FC1">
          <w:rPr>
            <w:rFonts w:ascii="Arial" w:eastAsia="Times New Roman" w:hAnsi="Arial" w:cs="Arial"/>
            <w:color w:val="0000FF"/>
            <w:kern w:val="0"/>
            <w:sz w:val="20"/>
            <w:szCs w:val="20"/>
            <w:u w:val="single"/>
            <w14:ligatures w14:val="none"/>
          </w:rPr>
          <w:t>(Redação dada pela Lei nº 12.678, de 2012).</w:t>
        </w:r>
      </w:hyperlink>
    </w:p>
    <w:p w14:paraId="652A1E87" w14:textId="77777777" w:rsidR="00C22FC1" w:rsidRPr="00C22FC1" w:rsidRDefault="00C22FC1" w:rsidP="00C22FC1">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o polígono com a seguinte descrição: inicia-se no Ponto 18, de c.p.a. 259763 E e 8958250 N, localizado sobre a divisa entre os Estados do Amazonas e de Rondônia; deste, segue para o Ponto 19, de c.p.a. 264103 E e 8955061 N, que coincide com o Ponto 91 do memorial descritivo constante do Decreto de 5 de junho de 2008, que criou o Parque Nacional Mapinguari; deste, segue para o Ponto 20, que coincide com o Ponto 90 do memorial descritivo do Parque Nacional Mapinguari (Decreto de 5 de junho de 2008), localizado na nascente do rio Coti, com c.p.a. 266000 E e 8956158 N; deste, segue a montante pela margem esquerda do rio Coti para o Ponto 21, que coincide com o Ponto 89 do memorial descritivo do Parque Nacional Mapinguari, localizado na confluência do rio Coti com o igarapé Branco, com c.p.a. 268336 E e 8973087 N; deste, segue a montante pela margem direita do igarapé Branco até o Ponto 22, que coincide com o Ponto 88 do memorial descritivo do Parque Nacional Mapinguari, de c.p.a. 273632 E e 8963034 N; deste, segue em linha reta para o Ponto 23, de c.p.a. 278170 E e 8958856 N; deste, segue em linha reta para o Ponto 24, de c.p.a. 279192 E e 8955010 N; deste, segue em linha reta para o Ponto 25, de c.p.a. 277575 E e 8950507 N; deste, segue em linha reta para o Ponto 26, de c.p.a. 277559 E e 8947119 N; deste, segue em linha reta para o Ponto 27, de c.p.a. 274278 E e 8947516 N; deste, segue em linha reta para o Ponto 28, de c.p.a. 271378 E e 8948477 N; deste, segue em linha reta para o Ponto 29, de c.p.a. 266234 E e 8947989 N; deste, segue em linha reta para o Ponto 30, de c.p.a. 262693 E e 8950980 N; deste, segue em linha reta para o Ponto 31, de c.p.a. 256665 E e 8951499 N; deste, segue em linha reta para o Ponto 32, de c.p.a. 256985 E e 8953483 N; deste, segue em linha reta para o Ponto 33, de c.p.a. 259510 E e 8956411 N; deste, segue em linha reta para o Ponto 18, ponto inicial desta descrição;                    </w:t>
      </w:r>
      <w:hyperlink r:id="rId447" w:anchor="art9" w:history="1">
        <w:r w:rsidRPr="00C22FC1">
          <w:rPr>
            <w:rFonts w:ascii="Arial" w:eastAsia="Times New Roman" w:hAnsi="Arial" w:cs="Arial"/>
            <w:color w:val="0000FF"/>
            <w:kern w:val="0"/>
            <w:sz w:val="20"/>
            <w:szCs w:val="20"/>
            <w:u w:val="single"/>
            <w14:ligatures w14:val="none"/>
          </w:rPr>
          <w:t>(Incluído pela Lei nº 12.678, de 2012).</w:t>
        </w:r>
      </w:hyperlink>
    </w:p>
    <w:p w14:paraId="1BE21BC7" w14:textId="77777777" w:rsidR="00C22FC1" w:rsidRPr="00C22FC1" w:rsidRDefault="00C22FC1" w:rsidP="00C22FC1">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a área que será inundada pelo lago artificial a ser formado pela barragem da Usina Hidroelétrica - UHE de Jirau, até a cota noventa metros, nível do barramento, e também a área acima desta cota a ser inundada em função do efeito remanso, cuja cota altimétrica limite aumenta gradativamente em direção a montante até a cota altimétrica aproximada noventa e três metros e trinta e dois centímetros, atingida no ponto de coordenadas planas aproximadas - c.p.a. 234.115 E e 8.938.992 N;                     </w:t>
      </w:r>
      <w:hyperlink r:id="rId448" w:anchor="art9" w:history="1">
        <w:r w:rsidRPr="00C22FC1">
          <w:rPr>
            <w:rFonts w:ascii="Arial" w:eastAsia="Times New Roman" w:hAnsi="Arial" w:cs="Arial"/>
            <w:color w:val="0000FF"/>
            <w:kern w:val="0"/>
            <w:sz w:val="20"/>
            <w:szCs w:val="20"/>
            <w:u w:val="single"/>
            <w14:ligatures w14:val="none"/>
          </w:rPr>
          <w:t>(Incluído pela Lei nº 12.678, de 2012).</w:t>
        </w:r>
      </w:hyperlink>
    </w:p>
    <w:p w14:paraId="4C506900" w14:textId="77777777" w:rsidR="00C22FC1" w:rsidRPr="00C22FC1" w:rsidRDefault="00C22FC1" w:rsidP="00C22FC1">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a área que será inundada pelo lago artificial a ser formado pela barragem da UHE de Santo Antônio, que se inicia no ponto de c.p.a. 332.474 E e 8.992.048 N, de cota altimétrica aproximada setenta e três metros e cinquenta centímetros até o limite da área destinada ao canteiro de obras da UHE de Jirau, na cota altimétrica aproximada setenta e quatro metros;                 </w:t>
      </w:r>
      <w:hyperlink r:id="rId449" w:anchor="art9" w:history="1">
        <w:r w:rsidRPr="00C22FC1">
          <w:rPr>
            <w:rFonts w:ascii="Arial" w:eastAsia="Times New Roman" w:hAnsi="Arial" w:cs="Arial"/>
            <w:color w:val="0000FF"/>
            <w:kern w:val="0"/>
            <w:sz w:val="20"/>
            <w:szCs w:val="20"/>
            <w:u w:val="single"/>
            <w14:ligatures w14:val="none"/>
          </w:rPr>
          <w:t>(Incluído pela Lei nº 12.678, de 2012).</w:t>
        </w:r>
      </w:hyperlink>
    </w:p>
    <w:p w14:paraId="43D8F852" w14:textId="77777777" w:rsidR="00C22FC1" w:rsidRPr="00C22FC1" w:rsidRDefault="00C22FC1" w:rsidP="00C22FC1">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IV - o polígono de aproximadamente 163 ha com a seguinte descrição: inicia-se no Ponto 1, localizado sobre o limite da Estação Ecológica Estadual da Serra dos Três Irmãos - EEESTI, de c.p.a. 330.556 E e 8.991.532 N; deste, segue em linha reta, ainda confrontando com a EEESTI até o Ponto 2, de c.p.a. 332.658 E e 8.992.629 N; deste, segue em linha reta, com azimute 133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xml:space="preserve">47’9” por uma distância aproximada de 396,2 m até o Ponto 3, de c.p.a. 332.944 E e 8.992.355 N; deste, segue pela margem direita do igarapé sem denominação, afluente pela margem esquerda do igarapé Maparaná, até o Ponto 4, de c.p.a. 332.474 E e 8.992.048 N; deste, segue pela margem esquerda do futuro lago artificial da UHE Santo Antônio, que </w:t>
      </w:r>
      <w:r w:rsidRPr="00C22FC1">
        <w:rPr>
          <w:rFonts w:ascii="Arial" w:eastAsia="Times New Roman" w:hAnsi="Arial" w:cs="Arial"/>
          <w:color w:val="000000"/>
          <w:kern w:val="0"/>
          <w:sz w:val="20"/>
          <w:szCs w:val="20"/>
          <w14:ligatures w14:val="none"/>
        </w:rPr>
        <w:lastRenderedPageBreak/>
        <w:t>inundará neste trecho, em função do efeito remanso, as terras localizadas até a cota altimétrica aproximada setenta e três metros e cinquenta centímetros, até o Ponto 1, início da descrição deste polígono; e                     </w:t>
      </w:r>
      <w:hyperlink r:id="rId450" w:anchor="art9" w:history="1">
        <w:r w:rsidRPr="00C22FC1">
          <w:rPr>
            <w:rFonts w:ascii="Arial" w:eastAsia="Times New Roman" w:hAnsi="Arial" w:cs="Arial"/>
            <w:color w:val="0000FF"/>
            <w:kern w:val="0"/>
            <w:sz w:val="20"/>
            <w:szCs w:val="20"/>
            <w:u w:val="single"/>
            <w14:ligatures w14:val="none"/>
          </w:rPr>
          <w:t>(Incluído pela Lei nº 12.678, de 2012).</w:t>
        </w:r>
      </w:hyperlink>
    </w:p>
    <w:p w14:paraId="75BB3B07" w14:textId="77777777" w:rsidR="00C22FC1" w:rsidRPr="00C22FC1" w:rsidRDefault="00C22FC1" w:rsidP="00C22FC1">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 - o polígono de aproximadamente 1.055 ha sobreposto à área declarada de utilidade pública destinada ao canteiro de obras da UHE de Jirau, com a seguinte descrição: inicia-se no Ponto 1, localizado sobre o atual limite do Parque Nacional Mapinguari, na cota altimétrica aproximada noventa metros, de c.p.a. 320.771 E e 8.979.846 N; daí segue confrontando com a área destinada ao canteiro de obras da UHE Jirau, com o azimute de 284°47’20” e distância de 44,07 m até o Ponto 2, de c.p.a. 320.728 E e 8.979.858 N; daí, segue com a mesma confrontação, com o azimute de 270°53’5” e distância de 3.003,10 m até o Ponto 3, de c.p.a. 317.725 E e 8.979.902 N; deste, segue em linha reta, ainda com a mesma confrontação, com o azimute de 204°55’35” e distância de 5.150.73 m, até o Ponto 4, de c.p.a. 315.550 E e 8.975.223 N; deste, segue em direção a jusante, pela margem esquerda do futuro lago artificial da UHE Jirau, pela cota altimétrica aproximada noventa metros até o Ponto 1, início desta descrição.                     </w:t>
      </w:r>
      <w:hyperlink r:id="rId451" w:anchor="art9" w:history="1">
        <w:r w:rsidRPr="00C22FC1">
          <w:rPr>
            <w:rFonts w:ascii="Arial" w:eastAsia="Times New Roman" w:hAnsi="Arial" w:cs="Arial"/>
            <w:color w:val="0000FF"/>
            <w:kern w:val="0"/>
            <w:sz w:val="20"/>
            <w:szCs w:val="20"/>
            <w:u w:val="single"/>
            <w14:ligatures w14:val="none"/>
          </w:rPr>
          <w:t>(Incluído pela Lei nº 12.678, de 2012).</w:t>
        </w:r>
      </w:hyperlink>
    </w:p>
    <w:p w14:paraId="2AD46232" w14:textId="77777777" w:rsidR="00C22FC1" w:rsidRPr="00C22FC1" w:rsidRDefault="00C22FC1" w:rsidP="00C22FC1">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Nos momentos em que os níveis dos lagos das UHE Jirau e Santo Antônio estiverem abaixo das cotas altimétricas mencionadas nos incisos II e III do caput, ficam proibidas atividades agropecuárias, de mineração, edificações permanentes ou temporárias e quaisquer outros empreendimentos nestas faixas das margens esquerdas temporariamente emersas dos referidos lagos.                     </w:t>
      </w:r>
      <w:hyperlink r:id="rId452" w:anchor="art9" w:history="1">
        <w:r w:rsidRPr="00C22FC1">
          <w:rPr>
            <w:rFonts w:ascii="Arial" w:eastAsia="Times New Roman" w:hAnsi="Arial" w:cs="Arial"/>
            <w:color w:val="0000FF"/>
            <w:kern w:val="0"/>
            <w:sz w:val="20"/>
            <w:szCs w:val="20"/>
            <w:u w:val="single"/>
            <w14:ligatures w14:val="none"/>
          </w:rPr>
          <w:t>(Incluído pela Lei nº 12.678, de 2012).</w:t>
        </w:r>
      </w:hyperlink>
    </w:p>
    <w:p w14:paraId="30C7EC4F"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225" w:name="art118"/>
      <w:bookmarkEnd w:id="225"/>
      <w:r w:rsidRPr="00C22FC1">
        <w:rPr>
          <w:rFonts w:ascii="Arial" w:eastAsia="Times New Roman" w:hAnsi="Arial" w:cs="Arial"/>
          <w:strike/>
          <w:color w:val="000000"/>
          <w:kern w:val="0"/>
          <w:sz w:val="20"/>
          <w:szCs w:val="20"/>
          <w14:ligatures w14:val="none"/>
        </w:rPr>
        <w:t>Art. 118.  É excluída do Parque Nacional Mapinguari a área do polígono descrito no art. 116 desta Lei que será inundada pelo lago artificial a ser formado pela barragem da Usina Hidroelétrica de Jirau, até a cota 90 m (noventa metros).       </w:t>
      </w:r>
      <w:hyperlink r:id="rId453" w:anchor="art13" w:history="1">
        <w:r w:rsidRPr="00C22FC1">
          <w:rPr>
            <w:rFonts w:ascii="Arial" w:eastAsia="Times New Roman" w:hAnsi="Arial" w:cs="Arial"/>
            <w:strike/>
            <w:color w:val="0000FF"/>
            <w:kern w:val="0"/>
            <w:sz w:val="20"/>
            <w:szCs w:val="20"/>
            <w:u w:val="single"/>
            <w14:ligatures w14:val="none"/>
          </w:rPr>
          <w:t>(Revogado pela Medida Provisória nº 542, de 2011)</w:t>
        </w:r>
      </w:hyperlink>
      <w:r w:rsidRPr="00C22FC1">
        <w:rPr>
          <w:rFonts w:ascii="Arial" w:eastAsia="Times New Roman" w:hAnsi="Arial" w:cs="Arial"/>
          <w:color w:val="000000"/>
          <w:kern w:val="0"/>
          <w:sz w:val="20"/>
          <w:szCs w:val="20"/>
          <w14:ligatures w14:val="none"/>
        </w:rPr>
        <w:t>         </w:t>
      </w:r>
      <w:hyperlink r:id="rId454" w:anchor="art19" w:history="1">
        <w:r w:rsidRPr="00C22FC1">
          <w:rPr>
            <w:rFonts w:ascii="Arial" w:eastAsia="Times New Roman" w:hAnsi="Arial" w:cs="Arial"/>
            <w:color w:val="0000FF"/>
            <w:kern w:val="0"/>
            <w:sz w:val="20"/>
            <w:szCs w:val="20"/>
            <w:u w:val="single"/>
            <w14:ligatures w14:val="none"/>
          </w:rPr>
          <w:t>(Revogado pela Medida Provisória nº 558, de 2012)</w:t>
        </w:r>
      </w:hyperlink>
      <w:r w:rsidRPr="00C22FC1">
        <w:rPr>
          <w:rFonts w:ascii="Arial" w:eastAsia="Times New Roman" w:hAnsi="Arial" w:cs="Arial"/>
          <w:color w:val="000000"/>
          <w:kern w:val="0"/>
          <w:sz w:val="20"/>
          <w:szCs w:val="20"/>
          <w14:ligatures w14:val="none"/>
        </w:rPr>
        <w:t>                        </w:t>
      </w:r>
      <w:hyperlink r:id="rId455" w:anchor="art22" w:history="1">
        <w:r w:rsidRPr="00C22FC1">
          <w:rPr>
            <w:rFonts w:ascii="Arial" w:eastAsia="Times New Roman" w:hAnsi="Arial" w:cs="Arial"/>
            <w:color w:val="0000FF"/>
            <w:kern w:val="0"/>
            <w:sz w:val="20"/>
            <w:szCs w:val="20"/>
            <w:u w:val="single"/>
            <w14:ligatures w14:val="none"/>
          </w:rPr>
          <w:t>(Revogado pela Lei nº 12.678, de 2012).</w:t>
        </w:r>
      </w:hyperlink>
    </w:p>
    <w:p w14:paraId="00C16BDE"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Parágrafo único.  No período do ano em que o nível do lago estiver abaixo da cota 90 m (noventa metros), ficam proibidas atividades agropecuárias na faixa da sua margem esquerda.</w:t>
      </w:r>
    </w:p>
    <w:p w14:paraId="1753DCF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26" w:name="art119"/>
      <w:bookmarkEnd w:id="226"/>
      <w:r w:rsidRPr="00C22FC1">
        <w:rPr>
          <w:rFonts w:ascii="Arial" w:eastAsia="Times New Roman" w:hAnsi="Arial" w:cs="Arial"/>
          <w:color w:val="000000"/>
          <w:kern w:val="0"/>
          <w:sz w:val="20"/>
          <w:szCs w:val="20"/>
          <w14:ligatures w14:val="none"/>
        </w:rPr>
        <w:t>Art. 119.  É estabelecida como limite da zona de amortecimento do Parque Nacional Mapinguari a faixa de 10 km (dez quilômetros) em projeção horizontal, a partir do seu novo perímetro.</w:t>
      </w:r>
    </w:p>
    <w:p w14:paraId="0750EE37"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227" w:name="art119p"/>
      <w:bookmarkEnd w:id="227"/>
      <w:r w:rsidRPr="00C22FC1">
        <w:rPr>
          <w:rFonts w:ascii="Arial" w:eastAsia="Times New Roman" w:hAnsi="Arial" w:cs="Arial"/>
          <w:strike/>
          <w:color w:val="000000"/>
          <w:kern w:val="0"/>
          <w:sz w:val="20"/>
          <w:szCs w:val="20"/>
          <w14:ligatures w14:val="none"/>
        </w:rPr>
        <w:t>Parágrafo único.  Ficam permitidas, dentro dos limites da zona de amortecimento do Parque Nacional Mapinguari, atividades minerárias autorizadas pelo Departamento Nacional de Produção Mineral - DNPM e licenciadas pelo órgão ambiental competente, respeitadas as disposições do plano de manejo da unidade de conservação.                     </w:t>
      </w:r>
      <w:hyperlink r:id="rId456" w:anchor="art11" w:history="1">
        <w:r w:rsidRPr="00C22FC1">
          <w:rPr>
            <w:rFonts w:ascii="Arial" w:eastAsia="Times New Roman" w:hAnsi="Arial" w:cs="Arial"/>
            <w:strike/>
            <w:color w:val="0000FF"/>
            <w:kern w:val="0"/>
            <w:sz w:val="20"/>
            <w:szCs w:val="20"/>
            <w:u w:val="single"/>
            <w14:ligatures w14:val="none"/>
          </w:rPr>
          <w:t>(Incluído pela Medida Provisória nº 542, de 2011).</w:t>
        </w:r>
      </w:hyperlink>
    </w:p>
    <w:p w14:paraId="46CF63F9" w14:textId="77777777" w:rsidR="00C22FC1" w:rsidRPr="00C22FC1" w:rsidRDefault="00C22FC1" w:rsidP="00C22FC1">
      <w:pPr>
        <w:spacing w:after="0" w:line="240" w:lineRule="auto"/>
        <w:ind w:firstLine="525"/>
        <w:rPr>
          <w:rFonts w:ascii="Arial" w:eastAsia="Times New Roman" w:hAnsi="Arial" w:cs="Arial"/>
          <w:color w:val="000000"/>
          <w:kern w:val="0"/>
          <w:sz w:val="20"/>
          <w:szCs w:val="20"/>
          <w14:ligatures w14:val="none"/>
        </w:rPr>
      </w:pPr>
      <w:bookmarkStart w:id="228" w:name="art119p."/>
      <w:bookmarkEnd w:id="228"/>
      <w:r w:rsidRPr="00C22FC1">
        <w:rPr>
          <w:rFonts w:ascii="Arial" w:eastAsia="Times New Roman" w:hAnsi="Arial" w:cs="Arial"/>
          <w:strike/>
          <w:color w:val="000000"/>
          <w:kern w:val="0"/>
          <w:sz w:val="20"/>
          <w:szCs w:val="20"/>
          <w14:ligatures w14:val="none"/>
        </w:rPr>
        <w:t>Parágrafo único.  Ficam permitidas, dentro dos limites da zona de amortecimento do Parque Nacional Mapinguari, atividades minerárias autorizadas pelo Departamento Nacional de Produção Mineral - DNPM e licenciadas pelo órgão ambiental competente, respeitadas as disposições do plano de manejo da unidade de conservação.                       </w:t>
      </w:r>
      <w:hyperlink r:id="rId457" w:anchor="art10" w:history="1">
        <w:r w:rsidRPr="00C22FC1">
          <w:rPr>
            <w:rFonts w:ascii="Arial" w:eastAsia="Times New Roman" w:hAnsi="Arial" w:cs="Arial"/>
            <w:strike/>
            <w:color w:val="0000FF"/>
            <w:kern w:val="0"/>
            <w:sz w:val="20"/>
            <w:szCs w:val="20"/>
            <w:u w:val="single"/>
            <w14:ligatures w14:val="none"/>
          </w:rPr>
          <w:t>(Incluído pela Medida Provisória nº 558, de 2012).</w:t>
        </w:r>
      </w:hyperlink>
    </w:p>
    <w:p w14:paraId="1D3B1B3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29" w:name="art120"/>
      <w:bookmarkEnd w:id="229"/>
      <w:r w:rsidRPr="00C22FC1">
        <w:rPr>
          <w:rFonts w:ascii="Arial" w:eastAsia="Times New Roman" w:hAnsi="Arial" w:cs="Arial"/>
          <w:color w:val="000000"/>
          <w:kern w:val="0"/>
          <w:sz w:val="20"/>
          <w:szCs w:val="20"/>
          <w14:ligatures w14:val="none"/>
        </w:rPr>
        <w:t>Art. 120.  É permitido no Parque Nacional Mapinguari o deslocamento de veículos envolvidos em atividades de mineração ou de transporte do seu produto pela estrada já existente no momento da publicação desta Lei e que passa pela área descrita no art. 116, dando acesso às áreas de mineração São Lourenço e Macisa, desde que devidamente licenciadas, exclusivamente pelo trecho já existente no momento da publicação desta Lei, entre os pontos de c.p.a. 277975 E e 8941724 N, localizado às margens do rio Madeira, e de c.p.a. 275739 E e 8947339 N, localizado sobre o limite sul do polígono descrito no art. 117 desta Lei.</w:t>
      </w:r>
    </w:p>
    <w:p w14:paraId="7F8EECC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30" w:name="art121"/>
      <w:bookmarkEnd w:id="230"/>
      <w:r w:rsidRPr="00C22FC1">
        <w:rPr>
          <w:rFonts w:ascii="Arial" w:eastAsia="Times New Roman" w:hAnsi="Arial" w:cs="Arial"/>
          <w:color w:val="000000"/>
          <w:kern w:val="0"/>
          <w:sz w:val="20"/>
          <w:szCs w:val="20"/>
          <w14:ligatures w14:val="none"/>
        </w:rPr>
        <w:t>Art. 121.  Na elaboração do Plano de Manejo do Parque Nacional Mapinguari, o Conselho de Defesa Nacional, por meio de sua Secretaria Executiva, e o Ministério da Defesa serão ouvidos, devendo se manifestar sobre as questões pertinentes às suas atribuições legais.</w:t>
      </w:r>
    </w:p>
    <w:p w14:paraId="291EA78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31" w:name="art122"/>
      <w:bookmarkEnd w:id="231"/>
      <w:r w:rsidRPr="00C22FC1">
        <w:rPr>
          <w:rFonts w:ascii="Arial" w:eastAsia="Times New Roman" w:hAnsi="Arial" w:cs="Arial"/>
          <w:color w:val="000000"/>
          <w:kern w:val="0"/>
          <w:sz w:val="20"/>
          <w:szCs w:val="20"/>
          <w14:ligatures w14:val="none"/>
        </w:rPr>
        <w:lastRenderedPageBreak/>
        <w:t>Art. 122.  No exercício das atribuições constitucionais e legais das Forças Armadas e da Polícia Federal na área de ampliação do Parque Nacional Mapinguari, estão compreendidas:</w:t>
      </w:r>
    </w:p>
    <w:p w14:paraId="180D84B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a liberdade de trânsito e acesso, por via aquática, aérea ou terrestre, de militares e policiais para a realização de deslocamento, estacionamentos, patrulhamento e demais operações ou atividades indispensáveis à segurança e integridade do território nacional;</w:t>
      </w:r>
    </w:p>
    <w:p w14:paraId="59A838F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a instalação e a manutenção de unidades militares e policiais, de equipamentos para fiscalização e apoio à navegação aérea e marítima, bem como das vias de acesso e demais medidas de infraestrutura e logística necessárias, compatibilizadas com o Plano de Manejo da Unidade, quando fora da faixa de fronteira; e</w:t>
      </w:r>
    </w:p>
    <w:p w14:paraId="259D49B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a implantação de programas e projetos de controle e ocupação da fronteira.</w:t>
      </w:r>
    </w:p>
    <w:p w14:paraId="1E210AD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32" w:name="art123"/>
      <w:bookmarkEnd w:id="232"/>
      <w:r w:rsidRPr="00C22FC1">
        <w:rPr>
          <w:rFonts w:ascii="Arial" w:eastAsia="Times New Roman" w:hAnsi="Arial" w:cs="Arial"/>
          <w:color w:val="000000"/>
          <w:kern w:val="0"/>
          <w:sz w:val="20"/>
          <w:szCs w:val="20"/>
          <w14:ligatures w14:val="none"/>
        </w:rPr>
        <w:t>Art. 123.  É ampliada a Estação Ecológica de Cuniã, estabelecida pelo </w:t>
      </w:r>
      <w:hyperlink r:id="rId458" w:history="1">
        <w:r w:rsidRPr="00C22FC1">
          <w:rPr>
            <w:rFonts w:ascii="Arial" w:eastAsia="Times New Roman" w:hAnsi="Arial" w:cs="Arial"/>
            <w:color w:val="0000FF"/>
            <w:kern w:val="0"/>
            <w:sz w:val="20"/>
            <w:szCs w:val="20"/>
            <w:u w:val="single"/>
            <w14:ligatures w14:val="none"/>
          </w:rPr>
          <w:t>Decreto de 27 de setembro de 2001</w:t>
        </w:r>
      </w:hyperlink>
      <w:r w:rsidRPr="00C22FC1">
        <w:rPr>
          <w:rFonts w:ascii="Arial" w:eastAsia="Times New Roman" w:hAnsi="Arial" w:cs="Arial"/>
          <w:color w:val="000000"/>
          <w:kern w:val="0"/>
          <w:sz w:val="20"/>
          <w:szCs w:val="20"/>
          <w14:ligatures w14:val="none"/>
        </w:rPr>
        <w:t> e pelo </w:t>
      </w:r>
      <w:hyperlink r:id="rId459" w:history="1">
        <w:r w:rsidRPr="00C22FC1">
          <w:rPr>
            <w:rFonts w:ascii="Arial" w:eastAsia="Times New Roman" w:hAnsi="Arial" w:cs="Arial"/>
            <w:color w:val="0000FF"/>
            <w:kern w:val="0"/>
            <w:sz w:val="20"/>
            <w:szCs w:val="20"/>
            <w:u w:val="single"/>
            <w14:ligatures w14:val="none"/>
          </w:rPr>
          <w:t>Decreto de 21 de dezembro de 2007</w:t>
        </w:r>
      </w:hyperlink>
      <w:r w:rsidRPr="00C22FC1">
        <w:rPr>
          <w:rFonts w:ascii="Arial" w:eastAsia="Times New Roman" w:hAnsi="Arial" w:cs="Arial"/>
          <w:color w:val="000000"/>
          <w:kern w:val="0"/>
          <w:sz w:val="20"/>
          <w:szCs w:val="20"/>
          <w14:ligatures w14:val="none"/>
        </w:rPr>
        <w:t>, atualmente localizada nos Estados de Rondônia e do Amazonas, respectivamente nos Municípios de Porto Velho e Canutama, que passa a incluir em seus limites a área de cerca de 63.812 ha (sessenta e três mil, oitocentos e doze hectares) relativa à Floresta Estadual de Rendimento Sustentável Rio Madeira “A”, unidade de conservação criada pelo Decreto Estadual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4.574, de 23 de março de 1990, no Município de Porto Velho, Estado de Rondônia.</w:t>
      </w:r>
    </w:p>
    <w:p w14:paraId="74A946B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33" w:name="art124"/>
      <w:bookmarkEnd w:id="233"/>
      <w:r w:rsidRPr="00C22FC1">
        <w:rPr>
          <w:rFonts w:ascii="Arial" w:eastAsia="Times New Roman" w:hAnsi="Arial" w:cs="Arial"/>
          <w:color w:val="000000"/>
          <w:kern w:val="0"/>
          <w:sz w:val="20"/>
          <w:szCs w:val="20"/>
          <w14:ligatures w14:val="none"/>
        </w:rPr>
        <w:t>Art. 124.  A área de ampliação da Estação Ecológica de Cuniã tem as seguintes características e confrontações: a descrição do perímetro inicia no ponto "P-01", de coordenadas geográficas aproximadas latitude 08</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07'31"S e longitude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03'03"WGR, situado ao norte da linha divisória das terras pertencentes aos Títulos Definitivos Nova Esperança e Assunção; deste, segue pela divisa do Título Definitivo Nova Esperança com um rumo aproximado de 65</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00'SW, percorrendo uma distância aproximada de 13.011,00 m (treze mil e onze metros), até o ponto "P-02", de coordenadas geográficas aproximadas latitude 08</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10'31"S e longitude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09'29"WGR, situado no canto comum aos Títulos Definitivos Nova Esperança e Espírito Santo; deste, segue pela divisa do Título Definitivo Espírito Santo com um rumo aproximado de 72</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20'SW, percorrendo uma distância de 4.328,00 m (quatro mil, trezentos e vinte e oito metros), até o ponto "P-03", de coordenadas geográficas aproximadas latitude 08</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11'14"S e longitude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11'44"WGR, situado no canto comum aos Títulos Definitivos Espírito Santo e Cunacho; deste, segue pela divisa do Título Definitivo Cunacho com um rumo aproximado de 87</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00'SW, percorrendo uma distância aproximada de 4.099,00 m (quatro mil e noventa e nove metros), até o ponto "P-04", de coordenadas geográficas aproximadas latitude 08</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11'21"S e longitude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13'58"WGR, situado na divisa dos Títulos Definitivos Cunacho e Tira Fogo; deste, segue pela lateral do Título Definitivo Tira Fogo com um rumo aproximado de 0</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03'NW, percorrendo uma distância aproximada de 1.222,00 m (mil, duzentos e vinte e dois metros), até o ponto "P-05", de coordenadas geográficas aproximadas latitude 08</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10'41"S e longitude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13'58"WGR; deste, segue pela divisa fundiária do Título Definitivo Tira Fogo com um rumo aproximado de 66</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34'NW, percorrendo uma distância aproximada de 2.996,00 m (dois mil, novecentos e noventa e seis metros), até o ponto "P-06", de coordenadas geográficas aproximadas latitude 08</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10'02"S e longitude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15'28WGR, situado na divisa da Reserva Biológica do Lago do Cuniã; deste, segue pela citada divisa com um rumo aproximado de 39</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00'NE, percorrendo uma distância aproximada de 11.990,00 m (onze mil, novecentos e noventa metros), até o ponto "P-07", de coordenadas geográficas aproximadas latitude 08</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04'57"S e longitude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11'21"WGR; deste, segue pela lateral da citada reserva com um rumo aproximado de 45</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24'NW, percorrendo uma distância aproximada de 18.319,00 m (dezoito mil, trezentos e dezenove metros), até o ponto "P-08", de coordenadas geográficas aproximadas latitude 07</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57'56"S e longitude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18'28"S, situado na linha divisória interestadual - Rondônia e Amazonas; deste, segue pela citada linha com um rumo aproximado de 90</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00'NE, percorrendo uma distância aproximada de 45.061,00 m (quarenta e cinco mil e sessenta e um metros), até o ponto "P-09", de coordenadas geográficas aproximadas latitude 07</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57'56"S e longitude 62</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53'53"WGR; deste, segue com um rumo aproximado de 21</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08'SW, confrontando com terras matriculadas em nome da União, numa distância aproximada de 7.795,00 m (sete mil, setecentos e noventa e cinco metros), até o ponto "P-10", de coordenadas geográficas aproximadas latitude 08</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01'54"S e longitude 62</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 xml:space="preserve">55'25"WGR, situado </w:t>
      </w:r>
      <w:r w:rsidRPr="00C22FC1">
        <w:rPr>
          <w:rFonts w:ascii="Arial" w:eastAsia="Times New Roman" w:hAnsi="Arial" w:cs="Arial"/>
          <w:color w:val="000000"/>
          <w:kern w:val="0"/>
          <w:sz w:val="20"/>
          <w:szCs w:val="20"/>
          <w14:ligatures w14:val="none"/>
        </w:rPr>
        <w:lastRenderedPageBreak/>
        <w:t>na divisa do Título Definitivo Firmeza; deste, segue pela linha fundiária do cito Título Definitivo com um rumo aproximado de 50</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11'SW, percorrendo uma distância aproximada de 5.488,00 m (cinco mil, quatrocentos e oitenta e oito metros), até o ponto "P-11", de coordenadas geográficas aproximadas latitude 08</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03'49"S e longitude 62</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57'43"WGR; deste, segue com um rumo aproximado de 60</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12'SW, confrontando com terras matriculadas em nome da União, numa distância aproximada de 7.252,00 m (sete mil, duzentos e cinquenta e dois metros), até o ponto "P-12", de coordenadas geográficas aproximadas latitude 08</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05'47"S e longitude 63</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01'09"WGR, situado na divisa do Título Definitivo Assunção; deste, segue pela citada divisa com um rumo de 47</w:t>
      </w:r>
      <w:r w:rsidRPr="00C22FC1">
        <w:rPr>
          <w:rFonts w:ascii="Arial" w:eastAsia="Times New Roman" w:hAnsi="Arial" w:cs="Arial"/>
          <w:color w:val="000000"/>
          <w:kern w:val="0"/>
          <w:sz w:val="20"/>
          <w:szCs w:val="20"/>
          <w:vertAlign w:val="superscript"/>
          <w14:ligatures w14:val="none"/>
        </w:rPr>
        <w:t>o</w:t>
      </w:r>
      <w:r w:rsidRPr="00C22FC1">
        <w:rPr>
          <w:rFonts w:ascii="Arial" w:eastAsia="Times New Roman" w:hAnsi="Arial" w:cs="Arial"/>
          <w:color w:val="000000"/>
          <w:kern w:val="0"/>
          <w:sz w:val="20"/>
          <w:szCs w:val="20"/>
          <w14:ligatures w14:val="none"/>
        </w:rPr>
        <w:t>37'SW, percorrendo uma distância aproximada de 4.714,00 m (quatro mil, setecentos e quatorze metros), até o ponto "P-01", ponto de partida e fechamento da descrição deste perímetro.</w:t>
      </w:r>
    </w:p>
    <w:p w14:paraId="1D0A192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34" w:name="art125"/>
      <w:bookmarkEnd w:id="234"/>
      <w:r w:rsidRPr="00C22FC1">
        <w:rPr>
          <w:rFonts w:ascii="Arial" w:eastAsia="Times New Roman" w:hAnsi="Arial" w:cs="Arial"/>
          <w:color w:val="000000"/>
          <w:kern w:val="0"/>
          <w:sz w:val="20"/>
          <w:szCs w:val="20"/>
          <w14:ligatures w14:val="none"/>
        </w:rPr>
        <w:t>Art. 125.  As terras da União contidas nos novos limites do Parque Nacional Mapinguari e da Estação Ecológica de Cuniã serão doadas ao Instituto Chico Mendes de Conservação da Biodiversidade pelos órgãos e entidades federais que as detenham.</w:t>
      </w:r>
    </w:p>
    <w:p w14:paraId="27736B4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35" w:name="art126"/>
      <w:bookmarkEnd w:id="235"/>
      <w:r w:rsidRPr="00C22FC1">
        <w:rPr>
          <w:rFonts w:ascii="Arial" w:eastAsia="Times New Roman" w:hAnsi="Arial" w:cs="Arial"/>
          <w:color w:val="000000"/>
          <w:kern w:val="0"/>
          <w:sz w:val="20"/>
          <w:szCs w:val="20"/>
          <w14:ligatures w14:val="none"/>
        </w:rPr>
        <w:t>Art. 126.  São declarados de utilidade pública, para fins de desapropriação, pelo Instituto Chico Mendes de Conservação da Biodiversidade os imóveis rurais privados existentes nas áreas de ampliação do Parque Nacional Mapinguari e da Estação Ecológica de Cuniã, nos termos da </w:t>
      </w:r>
      <w:hyperlink r:id="rId460" w:anchor="art5k" w:history="1">
        <w:r w:rsidRPr="00C22FC1">
          <w:rPr>
            <w:rFonts w:ascii="Arial" w:eastAsia="Times New Roman" w:hAnsi="Arial" w:cs="Arial"/>
            <w:color w:val="0000FF"/>
            <w:kern w:val="0"/>
            <w:sz w:val="20"/>
            <w:szCs w:val="20"/>
            <w:u w:val="single"/>
            <w14:ligatures w14:val="none"/>
          </w:rPr>
          <w:t>alínea </w:t>
        </w:r>
        <w:r w:rsidRPr="00C22FC1">
          <w:rPr>
            <w:rFonts w:ascii="Arial" w:eastAsia="Times New Roman" w:hAnsi="Arial" w:cs="Arial"/>
            <w:i/>
            <w:iCs/>
            <w:color w:val="0000FF"/>
            <w:kern w:val="0"/>
            <w:sz w:val="20"/>
            <w:szCs w:val="20"/>
            <w:u w:val="single"/>
            <w14:ligatures w14:val="none"/>
          </w:rPr>
          <w:t>k</w:t>
        </w:r>
        <w:r w:rsidRPr="00C22FC1">
          <w:rPr>
            <w:rFonts w:ascii="Arial" w:eastAsia="Times New Roman" w:hAnsi="Arial" w:cs="Arial"/>
            <w:color w:val="0000FF"/>
            <w:kern w:val="0"/>
            <w:sz w:val="20"/>
            <w:szCs w:val="20"/>
            <w:u w:val="single"/>
            <w14:ligatures w14:val="none"/>
          </w:rPr>
          <w:t> do art. 5</w:t>
        </w:r>
        <w:r w:rsidRPr="00C22FC1">
          <w:rPr>
            <w:rFonts w:ascii="Arial" w:eastAsia="Times New Roman" w:hAnsi="Arial" w:cs="Arial"/>
            <w:color w:val="0000FF"/>
            <w:kern w:val="0"/>
            <w:sz w:val="20"/>
            <w:szCs w:val="20"/>
            <w:u w:val="single"/>
            <w:vertAlign w:val="superscript"/>
            <w14:ligatures w14:val="none"/>
          </w:rPr>
          <w:t>o</w:t>
        </w:r>
      </w:hyperlink>
      <w:r w:rsidRPr="00C22FC1">
        <w:rPr>
          <w:rFonts w:ascii="Arial" w:eastAsia="Times New Roman" w:hAnsi="Arial" w:cs="Arial"/>
          <w:color w:val="000000"/>
          <w:kern w:val="0"/>
          <w:sz w:val="20"/>
          <w:szCs w:val="20"/>
          <w14:ligatures w14:val="none"/>
        </w:rPr>
        <w:t> e do a</w:t>
      </w:r>
      <w:hyperlink r:id="rId461" w:anchor="art6" w:history="1">
        <w:r w:rsidRPr="00C22FC1">
          <w:rPr>
            <w:rFonts w:ascii="Arial" w:eastAsia="Times New Roman" w:hAnsi="Arial" w:cs="Arial"/>
            <w:color w:val="0000FF"/>
            <w:kern w:val="0"/>
            <w:sz w:val="20"/>
            <w:szCs w:val="20"/>
            <w:u w:val="single"/>
            <w14:ligatures w14:val="none"/>
          </w:rPr>
          <w:t>rt. 6</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do Decreto-Lei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3.365, de 21 de junho de 1941.</w:t>
        </w:r>
      </w:hyperlink>
    </w:p>
    <w:p w14:paraId="11E807B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A Procuradoria-Geral Federal, órgão da Advocacia-Geral da União, por intermédio de sua unidade jurídica de execução no Instituto Chico Mendes de Conservação da Biodiversidade, é autorizada a promover as medidas administrativas e judiciais pertinentes, visando à declaração de nulidade de eventuais títulos de propriedade e respectivos registros imobiliários considerados irregulares, incidentes nas áreas de ampliação do Parque Nacional Mapinguari e da Estação Ecológica de Cuniã.</w:t>
      </w:r>
    </w:p>
    <w:p w14:paraId="0D7BFD4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36" w:name="art127"/>
      <w:bookmarkEnd w:id="236"/>
      <w:r w:rsidRPr="00C22FC1">
        <w:rPr>
          <w:rFonts w:ascii="Arial" w:eastAsia="Times New Roman" w:hAnsi="Arial" w:cs="Arial"/>
          <w:strike/>
          <w:color w:val="000000"/>
          <w:kern w:val="0"/>
          <w:sz w:val="20"/>
          <w:szCs w:val="20"/>
          <w14:ligatures w14:val="none"/>
        </w:rPr>
        <w:t>Art. 127.  Até que ocorra a indicação de que trata o </w:t>
      </w:r>
      <w:hyperlink r:id="rId462" w:anchor="art5" w:history="1">
        <w:r w:rsidRPr="00C22FC1">
          <w:rPr>
            <w:rFonts w:ascii="Arial" w:eastAsia="Times New Roman" w:hAnsi="Arial" w:cs="Arial"/>
            <w:strike/>
            <w:color w:val="0000FF"/>
            <w:kern w:val="0"/>
            <w:sz w:val="20"/>
            <w:szCs w:val="20"/>
            <w:u w:val="single"/>
            <w14:ligatures w14:val="none"/>
          </w:rPr>
          <w:t>art. 5</w:t>
        </w:r>
        <w:r w:rsidRPr="00C22FC1">
          <w:rPr>
            <w:rFonts w:ascii="Arial" w:eastAsia="Times New Roman" w:hAnsi="Arial" w:cs="Arial"/>
            <w:strike/>
            <w:color w:val="0000FF"/>
            <w:kern w:val="0"/>
            <w:sz w:val="20"/>
            <w:szCs w:val="20"/>
            <w:u w:val="single"/>
            <w:vertAlign w:val="superscript"/>
            <w14:ligatures w14:val="none"/>
          </w:rPr>
          <w:t>o</w:t>
        </w:r>
        <w:r w:rsidRPr="00C22FC1">
          <w:rPr>
            <w:rFonts w:ascii="Arial" w:eastAsia="Times New Roman" w:hAnsi="Arial" w:cs="Arial"/>
            <w:strike/>
            <w:color w:val="0000FF"/>
            <w:kern w:val="0"/>
            <w:sz w:val="20"/>
            <w:szCs w:val="20"/>
            <w:u w:val="single"/>
            <w14:ligatures w14:val="none"/>
          </w:rPr>
          <w:t> da Lei n</w:t>
        </w:r>
        <w:r w:rsidRPr="00C22FC1">
          <w:rPr>
            <w:rFonts w:ascii="Arial" w:eastAsia="Times New Roman" w:hAnsi="Arial" w:cs="Arial"/>
            <w:strike/>
            <w:color w:val="0000FF"/>
            <w:kern w:val="0"/>
            <w:sz w:val="20"/>
            <w:szCs w:val="20"/>
            <w:u w:val="single"/>
            <w:vertAlign w:val="superscript"/>
            <w14:ligatures w14:val="none"/>
          </w:rPr>
          <w:t>o</w:t>
        </w:r>
        <w:r w:rsidRPr="00C22FC1">
          <w:rPr>
            <w:rFonts w:ascii="Arial" w:eastAsia="Times New Roman" w:hAnsi="Arial" w:cs="Arial"/>
            <w:strike/>
            <w:color w:val="0000FF"/>
            <w:kern w:val="0"/>
            <w:sz w:val="20"/>
            <w:szCs w:val="20"/>
            <w:u w:val="single"/>
            <w14:ligatures w14:val="none"/>
          </w:rPr>
          <w:t> 11.941, de 27 de maio de 2009,</w:t>
        </w:r>
      </w:hyperlink>
      <w:r w:rsidRPr="00C22FC1">
        <w:rPr>
          <w:rFonts w:ascii="Arial" w:eastAsia="Times New Roman" w:hAnsi="Arial" w:cs="Arial"/>
          <w:strike/>
          <w:color w:val="000000"/>
          <w:kern w:val="0"/>
          <w:sz w:val="20"/>
          <w:szCs w:val="20"/>
          <w14:ligatures w14:val="none"/>
        </w:rPr>
        <w:t> os débitos de devedores que apresentaram pedidos de parcelamentos previstos nos </w:t>
      </w:r>
      <w:hyperlink r:id="rId463" w:anchor="art5" w:history="1">
        <w:r w:rsidRPr="00C22FC1">
          <w:rPr>
            <w:rFonts w:ascii="Arial" w:eastAsia="Times New Roman" w:hAnsi="Arial" w:cs="Arial"/>
            <w:strike/>
            <w:color w:val="0000FF"/>
            <w:kern w:val="0"/>
            <w:sz w:val="20"/>
            <w:szCs w:val="20"/>
            <w:u w:val="single"/>
            <w14:ligatures w14:val="none"/>
          </w:rPr>
          <w:t>arts. 1º, 2º e 3º da Lei nº 11.941, de 27 de maio de 2009,</w:t>
        </w:r>
      </w:hyperlink>
      <w:r w:rsidRPr="00C22FC1">
        <w:rPr>
          <w:rFonts w:ascii="Arial" w:eastAsia="Times New Roman" w:hAnsi="Arial" w:cs="Arial"/>
          <w:strike/>
          <w:color w:val="000000"/>
          <w:kern w:val="0"/>
          <w:sz w:val="20"/>
          <w:szCs w:val="20"/>
          <w14:ligatures w14:val="none"/>
        </w:rPr>
        <w:t> vencidos até 30 de novembro de 2008, que tenham sido deferidos pela administração tributária devem ser considerados parcelados para os fins do </w:t>
      </w:r>
      <w:hyperlink r:id="rId464" w:anchor="art151vi" w:history="1">
        <w:r w:rsidRPr="00C22FC1">
          <w:rPr>
            <w:rFonts w:ascii="Arial" w:eastAsia="Times New Roman" w:hAnsi="Arial" w:cs="Arial"/>
            <w:strike/>
            <w:color w:val="0000FF"/>
            <w:kern w:val="0"/>
            <w:sz w:val="20"/>
            <w:szCs w:val="20"/>
            <w:u w:val="single"/>
            <w14:ligatures w14:val="none"/>
          </w:rPr>
          <w:t>inciso VI do art. 151 da Lei n</w:t>
        </w:r>
        <w:r w:rsidRPr="00C22FC1">
          <w:rPr>
            <w:rFonts w:ascii="Arial" w:eastAsia="Times New Roman" w:hAnsi="Arial" w:cs="Arial"/>
            <w:strike/>
            <w:color w:val="0000FF"/>
            <w:kern w:val="0"/>
            <w:sz w:val="20"/>
            <w:szCs w:val="20"/>
            <w:u w:val="single"/>
            <w:vertAlign w:val="superscript"/>
            <w14:ligatures w14:val="none"/>
          </w:rPr>
          <w:t>o</w:t>
        </w:r>
        <w:r w:rsidRPr="00C22FC1">
          <w:rPr>
            <w:rFonts w:ascii="Arial" w:eastAsia="Times New Roman" w:hAnsi="Arial" w:cs="Arial"/>
            <w:strike/>
            <w:color w:val="0000FF"/>
            <w:kern w:val="0"/>
            <w:sz w:val="20"/>
            <w:szCs w:val="20"/>
            <w:u w:val="single"/>
            <w14:ligatures w14:val="none"/>
          </w:rPr>
          <w:t> 5.172, de 25 de outubro de 1966</w:t>
        </w:r>
      </w:hyperlink>
      <w:r w:rsidRPr="00C22FC1">
        <w:rPr>
          <w:rFonts w:ascii="Arial" w:eastAsia="Times New Roman" w:hAnsi="Arial" w:cs="Arial"/>
          <w:strike/>
          <w:color w:val="000000"/>
          <w:kern w:val="0"/>
          <w:sz w:val="20"/>
          <w:szCs w:val="20"/>
          <w14:ligatures w14:val="none"/>
        </w:rPr>
        <w:t> - Código Tributário Nacional.</w:t>
      </w:r>
    </w:p>
    <w:p w14:paraId="68B0367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37" w:name="art127."/>
      <w:bookmarkEnd w:id="237"/>
      <w:r w:rsidRPr="00C22FC1">
        <w:rPr>
          <w:rFonts w:ascii="Arial" w:eastAsia="Times New Roman" w:hAnsi="Arial" w:cs="Arial"/>
          <w:color w:val="000000"/>
          <w:kern w:val="0"/>
          <w:sz w:val="20"/>
          <w:szCs w:val="20"/>
          <w14:ligatures w14:val="none"/>
        </w:rPr>
        <w:t>Art. 127.  Até que ocorra a indicação de que trata o </w:t>
      </w:r>
      <w:hyperlink r:id="rId465" w:anchor="art5" w:history="1">
        <w:r w:rsidRPr="00C22FC1">
          <w:rPr>
            <w:rFonts w:ascii="Arial" w:eastAsia="Times New Roman" w:hAnsi="Arial" w:cs="Arial"/>
            <w:color w:val="0000FF"/>
            <w:kern w:val="0"/>
            <w:sz w:val="20"/>
            <w:szCs w:val="20"/>
            <w:u w:val="single"/>
            <w14:ligatures w14:val="none"/>
          </w:rPr>
          <w:t>art. 5º da Lei nº 11.941, de 27 de maio de 2009,</w:t>
        </w:r>
      </w:hyperlink>
      <w:r w:rsidRPr="00C22FC1">
        <w:rPr>
          <w:rFonts w:ascii="Arial" w:eastAsia="Times New Roman" w:hAnsi="Arial" w:cs="Arial"/>
          <w:color w:val="000000"/>
          <w:kern w:val="0"/>
          <w:sz w:val="20"/>
          <w:szCs w:val="20"/>
          <w14:ligatures w14:val="none"/>
        </w:rPr>
        <w:t> os débitos de devedores que apresentaram pedidos de parcelamentos previstos nos </w:t>
      </w:r>
      <w:hyperlink r:id="rId466" w:anchor="art5" w:history="1">
        <w:r w:rsidRPr="00C22FC1">
          <w:rPr>
            <w:rFonts w:ascii="Arial" w:eastAsia="Times New Roman" w:hAnsi="Arial" w:cs="Arial"/>
            <w:color w:val="0000FF"/>
            <w:kern w:val="0"/>
            <w:sz w:val="20"/>
            <w:szCs w:val="20"/>
            <w:u w:val="single"/>
            <w14:ligatures w14:val="none"/>
          </w:rPr>
          <w:t>arts. 1º, 2º e 3º da Lei nº 11.941, de 27 de maio de 2009</w:t>
        </w:r>
      </w:hyperlink>
      <w:r w:rsidRPr="00C22FC1">
        <w:rPr>
          <w:rFonts w:ascii="Arial" w:eastAsia="Times New Roman" w:hAnsi="Arial" w:cs="Arial"/>
          <w:color w:val="000000"/>
          <w:kern w:val="0"/>
          <w:sz w:val="20"/>
          <w:szCs w:val="20"/>
          <w14:ligatures w14:val="none"/>
        </w:rPr>
        <w:t>, inclusive nas reaberturas de prazo operadas pelo disposto no </w:t>
      </w:r>
      <w:hyperlink r:id="rId467" w:anchor="art17" w:history="1">
        <w:r w:rsidRPr="00C22FC1">
          <w:rPr>
            <w:rFonts w:ascii="Arial" w:eastAsia="Times New Roman" w:hAnsi="Arial" w:cs="Arial"/>
            <w:color w:val="0000FF"/>
            <w:kern w:val="0"/>
            <w:sz w:val="20"/>
            <w:szCs w:val="20"/>
            <w:u w:val="single"/>
            <w14:ligatures w14:val="none"/>
          </w:rPr>
          <w:t>art. 17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12.865, de 9 de outubro de 2013,</w:t>
        </w:r>
      </w:hyperlink>
      <w:r w:rsidRPr="00C22FC1">
        <w:rPr>
          <w:rFonts w:ascii="Arial" w:eastAsia="Times New Roman" w:hAnsi="Arial" w:cs="Arial"/>
          <w:color w:val="000000"/>
          <w:kern w:val="0"/>
          <w:sz w:val="20"/>
          <w:szCs w:val="20"/>
          <w14:ligatures w14:val="none"/>
        </w:rPr>
        <w:t> no </w:t>
      </w:r>
      <w:hyperlink r:id="rId468" w:anchor="art93" w:history="1">
        <w:r w:rsidRPr="00C22FC1">
          <w:rPr>
            <w:rFonts w:ascii="Arial" w:eastAsia="Times New Roman" w:hAnsi="Arial" w:cs="Arial"/>
            <w:color w:val="0000FF"/>
            <w:kern w:val="0"/>
            <w:sz w:val="20"/>
            <w:szCs w:val="20"/>
            <w:u w:val="single"/>
            <w14:ligatures w14:val="none"/>
          </w:rPr>
          <w:t>art. 93 da Lei nº 12.973, de 13 de maio de 2014</w:t>
        </w:r>
      </w:hyperlink>
      <w:r w:rsidRPr="00C22FC1">
        <w:rPr>
          <w:rFonts w:ascii="Arial" w:eastAsia="Times New Roman" w:hAnsi="Arial" w:cs="Arial"/>
          <w:color w:val="000000"/>
          <w:kern w:val="0"/>
          <w:sz w:val="20"/>
          <w:szCs w:val="20"/>
          <w14:ligatures w14:val="none"/>
        </w:rPr>
        <w:t>, e no </w:t>
      </w:r>
      <w:hyperlink r:id="rId469" w:anchor="art2.." w:history="1">
        <w:r w:rsidRPr="00C22FC1">
          <w:rPr>
            <w:rFonts w:ascii="Arial" w:eastAsia="Times New Roman" w:hAnsi="Arial" w:cs="Arial"/>
            <w:color w:val="0000FF"/>
            <w:kern w:val="0"/>
            <w:sz w:val="20"/>
            <w:szCs w:val="20"/>
            <w:u w:val="single"/>
            <w14:ligatures w14:val="none"/>
          </w:rPr>
          <w:t>art. 2</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12.996, de 18 de junho de 2014</w:t>
        </w:r>
      </w:hyperlink>
      <w:r w:rsidRPr="00C22FC1">
        <w:rPr>
          <w:rFonts w:ascii="Arial" w:eastAsia="Times New Roman" w:hAnsi="Arial" w:cs="Arial"/>
          <w:color w:val="000000"/>
          <w:kern w:val="0"/>
          <w:sz w:val="20"/>
          <w:szCs w:val="20"/>
          <w14:ligatures w14:val="none"/>
        </w:rPr>
        <w:t>, que tenham sido deferidos pela administração tributária devem ser considerados parcelados para os fins do </w:t>
      </w:r>
      <w:hyperlink r:id="rId470" w:anchor="art151vi" w:history="1">
        <w:r w:rsidRPr="00C22FC1">
          <w:rPr>
            <w:rFonts w:ascii="Arial" w:eastAsia="Times New Roman" w:hAnsi="Arial" w:cs="Arial"/>
            <w:color w:val="0000FF"/>
            <w:kern w:val="0"/>
            <w:sz w:val="20"/>
            <w:szCs w:val="20"/>
            <w:u w:val="single"/>
            <w14:ligatures w14:val="none"/>
          </w:rPr>
          <w:t>inciso VI do art. 151 da Lei nº 5.172, de 25 de outubro de 1966</w:t>
        </w:r>
      </w:hyperlink>
      <w:r w:rsidRPr="00C22FC1">
        <w:rPr>
          <w:rFonts w:ascii="Arial" w:eastAsia="Times New Roman" w:hAnsi="Arial" w:cs="Arial"/>
          <w:color w:val="000000"/>
          <w:kern w:val="0"/>
          <w:sz w:val="20"/>
          <w:szCs w:val="20"/>
          <w14:ligatures w14:val="none"/>
        </w:rPr>
        <w:t> - Código Tributário Nacional.                   </w:t>
      </w:r>
      <w:hyperlink r:id="rId471" w:anchor="art40" w:history="1">
        <w:r w:rsidRPr="00C22FC1">
          <w:rPr>
            <w:rFonts w:ascii="Arial" w:eastAsia="Times New Roman" w:hAnsi="Arial" w:cs="Arial"/>
            <w:color w:val="0000FF"/>
            <w:kern w:val="0"/>
            <w:sz w:val="20"/>
            <w:szCs w:val="20"/>
            <w:u w:val="single"/>
            <w14:ligatures w14:val="none"/>
          </w:rPr>
          <w:t>(Redação dada pela Lei nº 13.043, de 2014)</w:t>
        </w:r>
      </w:hyperlink>
    </w:p>
    <w:p w14:paraId="4B25D9A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Parágrafo único.  A indicação de que trata o </w:t>
      </w:r>
      <w:hyperlink r:id="rId472" w:anchor="art5" w:history="1">
        <w:r w:rsidRPr="00C22FC1">
          <w:rPr>
            <w:rFonts w:ascii="Arial" w:eastAsia="Times New Roman" w:hAnsi="Arial" w:cs="Arial"/>
            <w:color w:val="0000FF"/>
            <w:kern w:val="0"/>
            <w:sz w:val="20"/>
            <w:szCs w:val="20"/>
            <w:u w:val="single"/>
            <w14:ligatures w14:val="none"/>
          </w:rPr>
          <w:t>art. 5º da Lei nº 11.941, de 27 de maio de 2009,</w:t>
        </w:r>
      </w:hyperlink>
      <w:r w:rsidRPr="00C22FC1">
        <w:rPr>
          <w:rFonts w:ascii="Arial" w:eastAsia="Times New Roman" w:hAnsi="Arial" w:cs="Arial"/>
          <w:color w:val="000000"/>
          <w:kern w:val="0"/>
          <w:sz w:val="20"/>
          <w:szCs w:val="20"/>
          <w14:ligatures w14:val="none"/>
        </w:rPr>
        <w:t> poderá ser instada a qualquer tempo pela administração tributária.</w:t>
      </w:r>
    </w:p>
    <w:p w14:paraId="061CC46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38" w:name="art128"/>
      <w:bookmarkEnd w:id="238"/>
      <w:r w:rsidRPr="00C22FC1">
        <w:rPr>
          <w:rFonts w:ascii="Arial" w:eastAsia="Times New Roman" w:hAnsi="Arial" w:cs="Arial"/>
          <w:color w:val="000000"/>
          <w:kern w:val="0"/>
          <w:sz w:val="20"/>
          <w:szCs w:val="20"/>
          <w14:ligatures w14:val="none"/>
        </w:rPr>
        <w:t>Art. 128.  A Lei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11.442, de 5 de janeiro de 2007, passa a vigorar acrescida do seguinte art.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-A:</w:t>
      </w:r>
    </w:p>
    <w:p w14:paraId="18A65A63"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473" w:anchor="art5a" w:history="1">
        <w:r w:rsidRPr="00C22FC1">
          <w:rPr>
            <w:rFonts w:ascii="Arial" w:eastAsia="Times New Roman" w:hAnsi="Arial" w:cs="Arial"/>
            <w:color w:val="0000FF"/>
            <w:kern w:val="0"/>
            <w:sz w:val="20"/>
            <w:szCs w:val="20"/>
            <w:u w:val="single"/>
            <w:lang w:val="en-US"/>
            <w14:ligatures w14:val="none"/>
          </w:rPr>
          <w:t>“Art. 5</w:t>
        </w:r>
        <w:r w:rsidRPr="00C22FC1">
          <w:rPr>
            <w:rFonts w:ascii="Arial" w:eastAsia="Times New Roman" w:hAnsi="Arial" w:cs="Arial"/>
            <w:color w:val="0000FF"/>
            <w:kern w:val="0"/>
            <w:sz w:val="20"/>
            <w:szCs w:val="20"/>
            <w:u w:val="single"/>
            <w:vertAlign w:val="superscript"/>
            <w:lang w:val="en-US"/>
            <w14:ligatures w14:val="none"/>
          </w:rPr>
          <w:t>o</w:t>
        </w:r>
        <w:r w:rsidRPr="00C22FC1">
          <w:rPr>
            <w:rFonts w:ascii="Arial" w:eastAsia="Times New Roman" w:hAnsi="Arial" w:cs="Arial"/>
            <w:color w:val="0000FF"/>
            <w:kern w:val="0"/>
            <w:sz w:val="20"/>
            <w:szCs w:val="20"/>
            <w:u w:val="single"/>
            <w:lang w:val="en-US"/>
            <w14:ligatures w14:val="none"/>
          </w:rPr>
          <w:t>-A.</w:t>
        </w:r>
      </w:hyperlink>
      <w:r w:rsidRPr="00C22FC1">
        <w:rPr>
          <w:rFonts w:ascii="Arial" w:eastAsia="Times New Roman" w:hAnsi="Arial" w:cs="Arial"/>
          <w:color w:val="000000"/>
          <w:kern w:val="0"/>
          <w:sz w:val="20"/>
          <w:szCs w:val="20"/>
          <w:lang w:val="en-US"/>
          <w14:ligatures w14:val="none"/>
        </w:rPr>
        <w:t>  </w:t>
      </w:r>
      <w:r w:rsidRPr="00C22FC1">
        <w:rPr>
          <w:rFonts w:ascii="Arial" w:eastAsia="Times New Roman" w:hAnsi="Arial" w:cs="Arial"/>
          <w:color w:val="000000"/>
          <w:kern w:val="0"/>
          <w:sz w:val="20"/>
          <w:szCs w:val="20"/>
          <w14:ligatures w14:val="none"/>
        </w:rPr>
        <w:t>O pagamento do frete do transporte rodoviário de cargas ao Transportador Autônomo de Cargas - TAC deverá ser efetuado por meio de crédito em conta de depósitos mantida em instituição bancária ou por outro meio de pagamento regulamentado pela Agência Nacional de Transportes Terrestres - ANTT.</w:t>
      </w:r>
    </w:p>
    <w:p w14:paraId="40E654B1"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conta de depósitos ou o outro meio de pagamento deverá ser de titularidade do TAC e identificado no conhecimento de transporte.</w:t>
      </w:r>
    </w:p>
    <w:p w14:paraId="5F4BE423"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contratante e o subcontratante dos serviços de transporte rodoviário de cargas, assim como o cossignatário e o proprietário da carga, são solidariamente responsáveis pela obrigação prevista no caput</w:t>
      </w:r>
      <w:r w:rsidRPr="00C22FC1">
        <w:rPr>
          <w:rFonts w:ascii="Arial" w:eastAsia="Times New Roman" w:hAnsi="Arial" w:cs="Arial"/>
          <w:i/>
          <w:iCs/>
          <w:color w:val="000000"/>
          <w:kern w:val="0"/>
          <w:sz w:val="20"/>
          <w:szCs w:val="20"/>
          <w14:ligatures w14:val="none"/>
        </w:rPr>
        <w:t> </w:t>
      </w:r>
      <w:r w:rsidRPr="00C22FC1">
        <w:rPr>
          <w:rFonts w:ascii="Arial" w:eastAsia="Times New Roman" w:hAnsi="Arial" w:cs="Arial"/>
          <w:color w:val="000000"/>
          <w:kern w:val="0"/>
          <w:sz w:val="20"/>
          <w:szCs w:val="20"/>
          <w14:ligatures w14:val="none"/>
        </w:rPr>
        <w:t>deste artigo, resguardado o direito de regresso destes contra os primeiros.</w:t>
      </w:r>
    </w:p>
    <w:p w14:paraId="7D7C0ABF"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Para os fins deste artigo, equiparam-se ao TAC a Empresa de Transporte Rodoviário de Cargas - ETC que possuir, em sua frota, até 3 (três) veículos registrados no Registro Nacional de Transportadores Rodoviários de Cargas - RNTRC e as Cooperativas de Transporte de Cargas.</w:t>
      </w:r>
    </w:p>
    <w:p w14:paraId="1AB54124"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As Cooperativas de Transporte de Cargas deverão efetuar o pagamento aos seus cooperados na forma do caput</w:t>
      </w:r>
      <w:r w:rsidRPr="00C22FC1">
        <w:rPr>
          <w:rFonts w:ascii="Arial" w:eastAsia="Times New Roman" w:hAnsi="Arial" w:cs="Arial"/>
          <w:i/>
          <w:iCs/>
          <w:color w:val="000000"/>
          <w:kern w:val="0"/>
          <w:sz w:val="20"/>
          <w:szCs w:val="20"/>
          <w14:ligatures w14:val="none"/>
        </w:rPr>
        <w:t> </w:t>
      </w:r>
      <w:r w:rsidRPr="00C22FC1">
        <w:rPr>
          <w:rFonts w:ascii="Arial" w:eastAsia="Times New Roman" w:hAnsi="Arial" w:cs="Arial"/>
          <w:color w:val="000000"/>
          <w:kern w:val="0"/>
          <w:sz w:val="20"/>
          <w:szCs w:val="20"/>
          <w14:ligatures w14:val="none"/>
        </w:rPr>
        <w:t>deste artigo.</w:t>
      </w:r>
    </w:p>
    <w:p w14:paraId="3690D061"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 registro das movimentações da conta de depósitos ou do meio de pagamento de que trata o caput deste artigo servirá como comprovante de rendimento do TAC.</w:t>
      </w:r>
    </w:p>
    <w:p w14:paraId="6C96EBF5"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É vedado o pagamento do frete por qualquer outro meio ou forma diverso do previsto no caput deste artigo ou em seu regulamento.”</w:t>
      </w:r>
    </w:p>
    <w:p w14:paraId="74E7043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39" w:name="art129"/>
      <w:bookmarkEnd w:id="239"/>
      <w:r w:rsidRPr="00C22FC1">
        <w:rPr>
          <w:rFonts w:ascii="Arial" w:eastAsia="Times New Roman" w:hAnsi="Arial" w:cs="Arial"/>
          <w:color w:val="000000"/>
          <w:kern w:val="0"/>
          <w:sz w:val="20"/>
          <w:szCs w:val="20"/>
          <w:lang w:val="en-US"/>
          <w14:ligatures w14:val="none"/>
        </w:rPr>
        <w:t>Art. 129.  </w:t>
      </w:r>
      <w:r w:rsidRPr="00C22FC1">
        <w:rPr>
          <w:rFonts w:ascii="Arial" w:eastAsia="Times New Roman" w:hAnsi="Arial" w:cs="Arial"/>
          <w:color w:val="000000"/>
          <w:kern w:val="0"/>
          <w:sz w:val="20"/>
          <w:szCs w:val="20"/>
          <w14:ligatures w14:val="none"/>
        </w:rPr>
        <w:t>(VETADO).</w:t>
      </w:r>
    </w:p>
    <w:p w14:paraId="5D99E00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40" w:name="art130"/>
      <w:bookmarkEnd w:id="240"/>
      <w:r w:rsidRPr="00C22FC1">
        <w:rPr>
          <w:rFonts w:ascii="Arial" w:eastAsia="Times New Roman" w:hAnsi="Arial" w:cs="Arial"/>
          <w:color w:val="000000"/>
          <w:kern w:val="0"/>
          <w:sz w:val="20"/>
          <w:szCs w:val="20"/>
          <w:lang w:val="en-US"/>
          <w14:ligatures w14:val="none"/>
        </w:rPr>
        <w:t>Art. 130.  </w:t>
      </w:r>
      <w:r w:rsidRPr="00C22FC1">
        <w:rPr>
          <w:rFonts w:ascii="Arial" w:eastAsia="Times New Roman" w:hAnsi="Arial" w:cs="Arial"/>
          <w:color w:val="000000"/>
          <w:kern w:val="0"/>
          <w:sz w:val="20"/>
          <w:szCs w:val="20"/>
          <w14:ligatures w14:val="none"/>
        </w:rPr>
        <w:t>(VETADO).</w:t>
      </w:r>
    </w:p>
    <w:p w14:paraId="7334B7A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41" w:name="art131"/>
      <w:bookmarkEnd w:id="241"/>
      <w:r w:rsidRPr="00C22FC1">
        <w:rPr>
          <w:rFonts w:ascii="Arial" w:eastAsia="Times New Roman" w:hAnsi="Arial" w:cs="Arial"/>
          <w:color w:val="000000"/>
          <w:kern w:val="0"/>
          <w:sz w:val="20"/>
          <w:szCs w:val="20"/>
          <w14:ligatures w14:val="none"/>
        </w:rPr>
        <w:t>Art. 131.  É a União autorizada a conceder subvenção extraordinária para os produtores independentes de cana-de-açúcar na região Nordeste, referente à safra 2009/2010.</w:t>
      </w:r>
    </w:p>
    <w:p w14:paraId="48772BBC"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Os Ministérios da Agricultura, Pecuária e Abastecimento e da Fazenda estabelecerão, em ato conjunto, as condições operacionais para implementação, execução, pagamento, controle e fiscalização da subvenção prevista no caput deste artigo, devendo observar que:</w:t>
      </w:r>
    </w:p>
    <w:p w14:paraId="1ED594A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strike/>
          <w:color w:val="000000"/>
          <w:kern w:val="0"/>
          <w:sz w:val="20"/>
          <w:szCs w:val="20"/>
          <w14:ligatures w14:val="none"/>
        </w:rPr>
        <w:t>I - a subvenção será concedida aos produtores, diretamente ou por meio de suas cooperativas, em função da quantidade de cana-de-açúcar efetivamente vendida às usinas de açúcar e álcool da região Nordeste, excluindo-se a produção própria das unidades agroindustriais, bem como a produção dos respectivos sócios ou acionistas;</w:t>
      </w:r>
    </w:p>
    <w:p w14:paraId="02B49DD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42" w:name="art131§1i"/>
      <w:bookmarkEnd w:id="242"/>
      <w:r w:rsidRPr="00C22FC1">
        <w:rPr>
          <w:rFonts w:ascii="Arial" w:eastAsia="Times New Roman" w:hAnsi="Arial" w:cs="Arial"/>
          <w:color w:val="000000"/>
          <w:kern w:val="0"/>
          <w:sz w:val="20"/>
          <w:szCs w:val="20"/>
          <w14:ligatures w14:val="none"/>
        </w:rPr>
        <w:t>I - a subvenção será concedida aos produtores, diretamente ou por meio de suas cooperativas, em função da quantidade de cana-de-açúcar efetivamente vendida às usinas e destilarias da Região Nordeste, excluindo-se a produção própria das unidades agroindustriais, bem como a produção dos respectivos sócios ou acionistas;                        </w:t>
      </w:r>
      <w:hyperlink r:id="rId474" w:anchor="art8" w:history="1">
        <w:r w:rsidRPr="00C22FC1">
          <w:rPr>
            <w:rFonts w:ascii="Arial" w:eastAsia="Times New Roman" w:hAnsi="Arial" w:cs="Arial"/>
            <w:color w:val="0000FF"/>
            <w:kern w:val="0"/>
            <w:sz w:val="20"/>
            <w:szCs w:val="20"/>
            <w:u w:val="single"/>
            <w14:ligatures w14:val="none"/>
          </w:rPr>
          <w:t>(Redação dada pela Lei nº 12.490, de 2011)</w:t>
        </w:r>
      </w:hyperlink>
    </w:p>
    <w:p w14:paraId="66180C6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a subvenção será de R$ 5,00 (cinco reais) por tonelada de cana-de-açúcar e limitada a 10.000 (dez mil) toneladas por produtor em toda a safra 2009/2010;</w:t>
      </w:r>
    </w:p>
    <w:p w14:paraId="43A0E0A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III - o pagamento será realizado em 2010 e 2011, referente à produção da safra 2009/2010 efetivamente entregue a partir de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 agosto de 2009, observados os limites estabelecidos nos incisos I e II deste parágrafo.</w:t>
      </w:r>
    </w:p>
    <w:p w14:paraId="0DD8371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Os custos decorrentes da subvenção prevista neste artigo serão suportados pela ação correspondente à Garantia e Sustentação de Preços na Comercialização de Produtos Agropecuários, do Orçamento das Operações Oficiais de Crédito, sob a coordenação do Ministério da Fazenda.</w:t>
      </w:r>
    </w:p>
    <w:p w14:paraId="3AC6834A"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43" w:name="art132"/>
      <w:bookmarkEnd w:id="243"/>
      <w:r w:rsidRPr="00C22FC1">
        <w:rPr>
          <w:rFonts w:ascii="Arial" w:eastAsia="Times New Roman" w:hAnsi="Arial" w:cs="Arial"/>
          <w:color w:val="000000"/>
          <w:kern w:val="0"/>
          <w:sz w:val="20"/>
          <w:szCs w:val="20"/>
          <w14:ligatures w14:val="none"/>
        </w:rPr>
        <w:t>Art. 132.  O pagamento da subvenção deverá ser realizado diretamente aos produtores, mediante apresentação da nota fiscal à Companhia Nacional de Abastecimento - CONAB, comprovando a venda da cana-de-açúcar às unidades agroindustriais da região Nordeste.</w:t>
      </w:r>
    </w:p>
    <w:p w14:paraId="6CA7731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44" w:name="art133"/>
      <w:bookmarkEnd w:id="244"/>
      <w:r w:rsidRPr="00C22FC1">
        <w:rPr>
          <w:rFonts w:ascii="Arial" w:eastAsia="Times New Roman" w:hAnsi="Arial" w:cs="Arial"/>
          <w:color w:val="000000"/>
          <w:kern w:val="0"/>
          <w:sz w:val="20"/>
          <w:szCs w:val="20"/>
          <w:lang w:val="en-US"/>
          <w14:ligatures w14:val="none"/>
        </w:rPr>
        <w:lastRenderedPageBreak/>
        <w:t>Art. 133.  </w:t>
      </w:r>
      <w:r w:rsidRPr="00C22FC1">
        <w:rPr>
          <w:rFonts w:ascii="Arial" w:eastAsia="Times New Roman" w:hAnsi="Arial" w:cs="Arial"/>
          <w:color w:val="000000"/>
          <w:kern w:val="0"/>
          <w:sz w:val="20"/>
          <w:szCs w:val="20"/>
          <w14:ligatures w14:val="none"/>
        </w:rPr>
        <w:t>(VETADO).</w:t>
      </w:r>
    </w:p>
    <w:p w14:paraId="6EF8197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45" w:name="art1334"/>
      <w:bookmarkEnd w:id="245"/>
      <w:r w:rsidRPr="00C22FC1">
        <w:rPr>
          <w:rFonts w:ascii="Arial" w:eastAsia="Times New Roman" w:hAnsi="Arial" w:cs="Arial"/>
          <w:color w:val="000000"/>
          <w:kern w:val="0"/>
          <w:sz w:val="20"/>
          <w:szCs w:val="20"/>
          <w:lang w:val="en-US"/>
          <w14:ligatures w14:val="none"/>
        </w:rPr>
        <w:t>Art. 134.  </w:t>
      </w:r>
      <w:r w:rsidRPr="00C22FC1">
        <w:rPr>
          <w:rFonts w:ascii="Arial" w:eastAsia="Times New Roman" w:hAnsi="Arial" w:cs="Arial"/>
          <w:color w:val="000000"/>
          <w:kern w:val="0"/>
          <w:sz w:val="20"/>
          <w:szCs w:val="20"/>
          <w14:ligatures w14:val="none"/>
        </w:rPr>
        <w:t>(VETADO).</w:t>
      </w:r>
    </w:p>
    <w:p w14:paraId="3EF4F24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46" w:name="art135"/>
      <w:bookmarkEnd w:id="246"/>
      <w:r w:rsidRPr="00C22FC1">
        <w:rPr>
          <w:rFonts w:ascii="Arial" w:eastAsia="Times New Roman" w:hAnsi="Arial" w:cs="Arial"/>
          <w:color w:val="000000"/>
          <w:kern w:val="0"/>
          <w:sz w:val="20"/>
          <w:szCs w:val="20"/>
          <w14:ligatures w14:val="none"/>
        </w:rPr>
        <w:t>Art. 135.  (VETADO).</w:t>
      </w:r>
    </w:p>
    <w:p w14:paraId="55FF2266"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47" w:name="art136"/>
      <w:bookmarkEnd w:id="247"/>
      <w:r w:rsidRPr="00C22FC1">
        <w:rPr>
          <w:rFonts w:ascii="Arial" w:eastAsia="Times New Roman" w:hAnsi="Arial" w:cs="Arial"/>
          <w:color w:val="000000"/>
          <w:kern w:val="0"/>
          <w:sz w:val="20"/>
          <w:szCs w:val="20"/>
          <w14:ligatures w14:val="none"/>
        </w:rPr>
        <w:t>Art. 136.  O Poder Executivo poderá indicar representantes da administração pública federal para participar de órgãos colegiados de pessoa jurídica de direito privado, sem fins lucrativos, designada para receber recursos de governos estrangeiros em decorrência de acordos negociados para a solução de controvérsias no âmbito da Organização Mundial do Comércio - OMC.</w:t>
      </w:r>
    </w:p>
    <w:p w14:paraId="37D77B0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pessoa jurídica de direito privado referida no caput deste artigo deve, além de cumprir outros requisitos previstos na legislação civil, dispor de um conselho de administração, de um conselho fiscal e de uma diretoria, definidos nos termos do estatuto, assegurada a participação de representantes da administração pública federal nesses conselhos.</w:t>
      </w:r>
    </w:p>
    <w:p w14:paraId="6097521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Os representantes da administração pública federal no conselho de administração e no conselho fiscal da entidade referida no caput deste artigo serão indicados por meio de ato do Poder Executivo e, posteriormente, nomeados nos termos do estatuto.</w:t>
      </w:r>
    </w:p>
    <w:p w14:paraId="2835566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É vedada a percepção de remuneração ou de subsídio, a qualquer título, pelos representantes da administração pública federal em razão da participação na pessoa jurídica de direito privado mencionada no caput deste artigo.</w:t>
      </w:r>
    </w:p>
    <w:p w14:paraId="2140BF01"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48" w:name="art137"/>
      <w:bookmarkEnd w:id="248"/>
      <w:r w:rsidRPr="00C22FC1">
        <w:rPr>
          <w:rFonts w:ascii="Arial" w:eastAsia="Times New Roman" w:hAnsi="Arial" w:cs="Arial"/>
          <w:color w:val="000000"/>
          <w:kern w:val="0"/>
          <w:sz w:val="20"/>
          <w:szCs w:val="20"/>
          <w14:ligatures w14:val="none"/>
        </w:rPr>
        <w:t>Art. 137.  O art. 30 da Medida Provisória n</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2.158-35, de 24 de agosto de 2001, passa a vigorar com a seguinte redação:</w:t>
      </w:r>
    </w:p>
    <w:p w14:paraId="4BEC606E"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475" w:anchor="art30%C2%A74" w:history="1">
        <w:r w:rsidRPr="00C22FC1">
          <w:rPr>
            <w:rFonts w:ascii="Arial" w:eastAsia="Times New Roman" w:hAnsi="Arial" w:cs="Arial"/>
            <w:color w:val="0000FF"/>
            <w:kern w:val="0"/>
            <w:sz w:val="20"/>
            <w:szCs w:val="20"/>
            <w:u w:val="single"/>
            <w14:ligatures w14:val="none"/>
          </w:rPr>
          <w:t>“Art. 30.</w:t>
        </w:r>
      </w:hyperlink>
      <w:r w:rsidRPr="00C22FC1">
        <w:rPr>
          <w:rFonts w:ascii="Arial" w:eastAsia="Times New Roman" w:hAnsi="Arial" w:cs="Arial"/>
          <w:color w:val="000000"/>
          <w:kern w:val="0"/>
          <w:sz w:val="20"/>
          <w:szCs w:val="20"/>
          <w14:ligatures w14:val="none"/>
        </w:rPr>
        <w:t>  ........................................................................</w:t>
      </w:r>
    </w:p>
    <w:p w14:paraId="463C3859"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0F4A86C0" w14:textId="77777777" w:rsidR="00C22FC1" w:rsidRPr="00C22FC1" w:rsidRDefault="00C22FC1" w:rsidP="00C22FC1">
      <w:pPr>
        <w:spacing w:before="100" w:beforeAutospacing="1" w:after="100" w:afterAutospacing="1" w:line="240" w:lineRule="auto"/>
        <w:ind w:left="1380"/>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partir do ano-calendário de 2011:</w:t>
      </w:r>
    </w:p>
    <w:p w14:paraId="3920341D" w14:textId="77777777" w:rsidR="00C22FC1" w:rsidRPr="00C22FC1" w:rsidRDefault="00C22FC1" w:rsidP="00C22FC1">
      <w:pPr>
        <w:spacing w:before="100" w:beforeAutospacing="1" w:after="100" w:afterAutospacing="1" w:line="240" w:lineRule="auto"/>
        <w:ind w:left="1380"/>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o direito de efetuar a opção pelo regime de competência de que trata o §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somente poderá ser exercido no mês de janeiro; e</w:t>
      </w:r>
    </w:p>
    <w:p w14:paraId="237C1780" w14:textId="77777777" w:rsidR="00C22FC1" w:rsidRPr="00C22FC1" w:rsidRDefault="00C22FC1" w:rsidP="00C22FC1">
      <w:pPr>
        <w:spacing w:before="100" w:beforeAutospacing="1" w:after="100" w:afterAutospacing="1" w:line="240" w:lineRule="auto"/>
        <w:ind w:left="1380"/>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o direito de alterar o regime adotado na forma do inciso I, no decorrer do ano-calendário, é restrito aos casos em que ocorra elevada oscilação da taxa de câmbio.</w:t>
      </w:r>
    </w:p>
    <w:p w14:paraId="6A9E509B" w14:textId="77777777" w:rsidR="00C22FC1" w:rsidRPr="00C22FC1" w:rsidRDefault="00C22FC1" w:rsidP="00C22FC1">
      <w:pPr>
        <w:spacing w:before="100" w:beforeAutospacing="1" w:after="100" w:afterAutospacing="1" w:line="240" w:lineRule="auto"/>
        <w:ind w:left="1380"/>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5</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Considera-se elevada oscilação da taxa de câmbio, para efeito de aplicação do inciso II do §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aquela superior a percentual determinado pelo Poder Executivo.</w:t>
      </w:r>
    </w:p>
    <w:p w14:paraId="5687329C" w14:textId="77777777" w:rsidR="00C22FC1" w:rsidRPr="00C22FC1" w:rsidRDefault="00C22FC1" w:rsidP="00C22FC1">
      <w:pPr>
        <w:spacing w:before="100" w:beforeAutospacing="1" w:after="100" w:afterAutospacing="1" w:line="240" w:lineRule="auto"/>
        <w:ind w:left="1380"/>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opção ou sua alteração, efetuada na forma do §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deverá ser comunicada à Secretaria da Receita Federal do Brasil:</w:t>
      </w:r>
    </w:p>
    <w:p w14:paraId="1BAD5E85" w14:textId="77777777" w:rsidR="00C22FC1" w:rsidRPr="00C22FC1" w:rsidRDefault="00C22FC1" w:rsidP="00C22FC1">
      <w:pPr>
        <w:spacing w:before="100" w:beforeAutospacing="1" w:after="100" w:afterAutospacing="1" w:line="240" w:lineRule="auto"/>
        <w:ind w:left="1380"/>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no mês de janeiro de cada ano-calendário, no caso do inciso I do §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ou</w:t>
      </w:r>
    </w:p>
    <w:p w14:paraId="650FD19B" w14:textId="77777777" w:rsidR="00C22FC1" w:rsidRPr="00C22FC1" w:rsidRDefault="00C22FC1" w:rsidP="00C22FC1">
      <w:pPr>
        <w:spacing w:before="100" w:beforeAutospacing="1" w:after="100" w:afterAutospacing="1" w:line="240" w:lineRule="auto"/>
        <w:ind w:left="1380"/>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no mês posterior ao de sua ocorrência, no caso do inciso II do § 4</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w:t>
      </w:r>
    </w:p>
    <w:p w14:paraId="2AE9177A"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A Secretaria da Receita Federal do Brasil disciplinará o disposto no §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w:t>
      </w:r>
      <w:r w:rsidRPr="00C22FC1">
        <w:rPr>
          <w:rFonts w:ascii="Arial" w:eastAsia="Times New Roman" w:hAnsi="Arial" w:cs="Arial"/>
          <w:color w:val="000000"/>
          <w:kern w:val="0"/>
          <w:sz w:val="20"/>
          <w:szCs w:val="20"/>
          <w:lang w:val="en-US"/>
          <w14:ligatures w14:val="none"/>
        </w:rPr>
        <w:t>(NR)</w:t>
      </w:r>
    </w:p>
    <w:p w14:paraId="4B3679F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49" w:name="art138"/>
      <w:bookmarkEnd w:id="249"/>
      <w:r w:rsidRPr="00C22FC1">
        <w:rPr>
          <w:rFonts w:ascii="Arial" w:eastAsia="Times New Roman" w:hAnsi="Arial" w:cs="Arial"/>
          <w:color w:val="000000"/>
          <w:kern w:val="0"/>
          <w:sz w:val="20"/>
          <w:szCs w:val="20"/>
          <w:lang w:val="en-US"/>
          <w14:ligatures w14:val="none"/>
        </w:rPr>
        <w:t>Art. 138.  Os arts. </w:t>
      </w:r>
      <w:r w:rsidRPr="00C22FC1">
        <w:rPr>
          <w:rFonts w:ascii="Arial" w:eastAsia="Times New Roman" w:hAnsi="Arial" w:cs="Arial"/>
          <w:color w:val="000000"/>
          <w:kern w:val="0"/>
          <w:sz w:val="20"/>
          <w:szCs w:val="20"/>
          <w14:ligatures w14:val="none"/>
        </w:rPr>
        <w:t>3</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7</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 8</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e os </w:t>
      </w:r>
      <w:hyperlink r:id="rId476" w:anchor="anexoiii" w:history="1">
        <w:r w:rsidRPr="00C22FC1">
          <w:rPr>
            <w:rFonts w:ascii="Arial" w:eastAsia="Times New Roman" w:hAnsi="Arial" w:cs="Arial"/>
            <w:color w:val="0000FF"/>
            <w:kern w:val="0"/>
            <w:sz w:val="20"/>
            <w:szCs w:val="20"/>
            <w:u w:val="single"/>
            <w14:ligatures w14:val="none"/>
          </w:rPr>
          <w:t>Anexos III a IX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11.775, de 17 de setembro de 2008</w:t>
        </w:r>
      </w:hyperlink>
      <w:r w:rsidRPr="00C22FC1">
        <w:rPr>
          <w:rFonts w:ascii="Arial" w:eastAsia="Times New Roman" w:hAnsi="Arial" w:cs="Arial"/>
          <w:color w:val="000000"/>
          <w:kern w:val="0"/>
          <w:sz w:val="20"/>
          <w:szCs w:val="20"/>
          <w14:ligatures w14:val="none"/>
        </w:rPr>
        <w:t>, passam a vigorar com a seguinte redação:</w:t>
      </w:r>
    </w:p>
    <w:p w14:paraId="03F0C522" w14:textId="77777777" w:rsidR="00C22FC1" w:rsidRPr="00C22FC1" w:rsidRDefault="00C22FC1" w:rsidP="00C22FC1">
      <w:pPr>
        <w:spacing w:beforeAutospacing="1" w:after="100" w:afterAutospacing="1" w:line="240" w:lineRule="auto"/>
        <w:rPr>
          <w:rFonts w:ascii="Arial" w:eastAsia="Times New Roman" w:hAnsi="Arial" w:cs="Arial"/>
          <w:color w:val="000000"/>
          <w:kern w:val="0"/>
          <w:sz w:val="20"/>
          <w:szCs w:val="20"/>
          <w14:ligatures w14:val="none"/>
        </w:rPr>
      </w:pPr>
      <w:hyperlink r:id="rId477" w:anchor="art3%C2%A72." w:history="1">
        <w:r w:rsidRPr="00C22FC1">
          <w:rPr>
            <w:rFonts w:ascii="Arial" w:eastAsia="Times New Roman" w:hAnsi="Arial" w:cs="Arial"/>
            <w:color w:val="0000FF"/>
            <w:kern w:val="0"/>
            <w:sz w:val="20"/>
            <w:szCs w:val="20"/>
            <w:u w:val="single"/>
            <w14:ligatures w14:val="none"/>
          </w:rPr>
          <w:t>“Art. 3</w:t>
        </w:r>
        <w:r w:rsidRPr="00C22FC1">
          <w:rPr>
            <w:rFonts w:ascii="Arial" w:eastAsia="Times New Roman" w:hAnsi="Arial" w:cs="Arial"/>
            <w:color w:val="0000FF"/>
            <w:kern w:val="0"/>
            <w:sz w:val="20"/>
            <w:szCs w:val="20"/>
            <w:u w:val="single"/>
            <w:vertAlign w:val="superscript"/>
            <w14:ligatures w14:val="none"/>
          </w:rPr>
          <w:t>o</w:t>
        </w:r>
      </w:hyperlink>
      <w:r w:rsidRPr="00C22FC1">
        <w:rPr>
          <w:rFonts w:ascii="Arial" w:eastAsia="Times New Roman" w:hAnsi="Arial" w:cs="Arial"/>
          <w:color w:val="000000"/>
          <w:kern w:val="0"/>
          <w:sz w:val="20"/>
          <w:szCs w:val="20"/>
          <w14:ligatures w14:val="none"/>
        </w:rPr>
        <w:t>  .........................................................................</w:t>
      </w:r>
    </w:p>
    <w:p w14:paraId="46C74DC4"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66FF3CAE"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É autorizado para os mutuários de operações de que trata o caput deste artigo e que possuam parcelas de juros inadimplidas de anos anteriores a 2010, inclusive para aqueles com saldos devedores inscritos ou passíveis de inscrição na Dívida Ativa da União - DAU:</w:t>
      </w:r>
    </w:p>
    <w:p w14:paraId="68C7CF4D"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o pagamento das parcelas de juros com vencimento em 2010 efetuado até a data do respectivo vencimento, considerados os prazos adicionais concedidos pelo Conselho Monetário Nacional - CMN, com direito às condições e aos bônus contratuais de adimplência;</w:t>
      </w:r>
    </w:p>
    <w:p w14:paraId="5468B2FC"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lang w:val="en-US"/>
          <w14:ligatures w14:val="none"/>
        </w:rPr>
        <w:t>...................................................................................” (NR) </w:t>
      </w:r>
    </w:p>
    <w:p w14:paraId="4FA74A9B"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478" w:anchor="art7%C2%A76" w:history="1">
        <w:r w:rsidRPr="00C22FC1">
          <w:rPr>
            <w:rFonts w:ascii="Arial" w:eastAsia="Times New Roman" w:hAnsi="Arial" w:cs="Arial"/>
            <w:color w:val="0000FF"/>
            <w:kern w:val="0"/>
            <w:sz w:val="20"/>
            <w:szCs w:val="20"/>
            <w:u w:val="single"/>
            <w:lang w:val="en-US"/>
            <w14:ligatures w14:val="none"/>
          </w:rPr>
          <w:t>“Art. 7</w:t>
        </w:r>
        <w:r w:rsidRPr="00C22FC1">
          <w:rPr>
            <w:rFonts w:ascii="Arial" w:eastAsia="Times New Roman" w:hAnsi="Arial" w:cs="Arial"/>
            <w:color w:val="0000FF"/>
            <w:kern w:val="0"/>
            <w:sz w:val="20"/>
            <w:szCs w:val="20"/>
            <w:u w:val="single"/>
            <w:vertAlign w:val="superscript"/>
            <w:lang w:val="en-US"/>
            <w14:ligatures w14:val="none"/>
          </w:rPr>
          <w:t>o</w:t>
        </w:r>
      </w:hyperlink>
      <w:r w:rsidRPr="00C22FC1">
        <w:rPr>
          <w:rFonts w:ascii="Arial" w:eastAsia="Times New Roman" w:hAnsi="Arial" w:cs="Arial"/>
          <w:color w:val="000000"/>
          <w:kern w:val="0"/>
          <w:sz w:val="20"/>
          <w:szCs w:val="20"/>
          <w:lang w:val="en-US"/>
          <w14:ligatures w14:val="none"/>
        </w:rPr>
        <w:t>  .........................................................................</w:t>
      </w:r>
    </w:p>
    <w:p w14:paraId="5FE60D13"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179079E8"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6</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(VETADO).” (NR)</w:t>
      </w:r>
    </w:p>
    <w:p w14:paraId="1CA17141"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479" w:anchor="art8." w:history="1">
        <w:r w:rsidRPr="00C22FC1">
          <w:rPr>
            <w:rFonts w:ascii="Arial" w:eastAsia="Times New Roman" w:hAnsi="Arial" w:cs="Arial"/>
            <w:color w:val="0000FF"/>
            <w:kern w:val="0"/>
            <w:sz w:val="20"/>
            <w:szCs w:val="20"/>
            <w:u w:val="single"/>
            <w14:ligatures w14:val="none"/>
          </w:rPr>
          <w:t>“Art. 8</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w:t>
        </w:r>
      </w:hyperlink>
      <w:r w:rsidRPr="00C22FC1">
        <w:rPr>
          <w:rFonts w:ascii="Arial" w:eastAsia="Times New Roman" w:hAnsi="Arial" w:cs="Arial"/>
          <w:color w:val="000000"/>
          <w:kern w:val="0"/>
          <w:sz w:val="20"/>
          <w:szCs w:val="20"/>
          <w14:ligatures w14:val="none"/>
        </w:rPr>
        <w:t> É autorizada a adoção das seguintes medidas de estímulo à liquidação ou à renegociação de dívidas originárias de operações de crédito rural inscritas na DAU ou que venham a ser incluídas até 31 de outubro de 2010:</w:t>
      </w:r>
    </w:p>
    <w:p w14:paraId="78829863"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concessão de descontos, conforme quadro constante do anexo IX desta Lei, para a liquidação da dívida até 30 de novembro de 2010, devendo incidir o desconto percentual sobre a soma dos saldos devedores por mutuário na data da renegociação, observado o disposto no § 10 deste artigo, e, em seguida, ser aplicado o respectivo desconto de valor fixo por faixa de saldo devedor;</w:t>
      </w:r>
    </w:p>
    <w:p w14:paraId="451CFCA2"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permissão da renegociação do total dos saldos devedores das operações até 30 de novembro de 2010, mantendo-as na DAU, observadas as seguintes condições:</w:t>
      </w:r>
    </w:p>
    <w:p w14:paraId="0414B7A2"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29D58118"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480" w:anchor="art8%C2%A73." w:history="1">
        <w:r w:rsidRPr="00C22FC1">
          <w:rPr>
            <w:rFonts w:ascii="Arial" w:eastAsia="Times New Roman" w:hAnsi="Arial" w:cs="Arial"/>
            <w:color w:val="0000FF"/>
            <w:kern w:val="0"/>
            <w:sz w:val="20"/>
            <w:szCs w:val="20"/>
            <w:u w:val="single"/>
            <w14:ligatures w14:val="none"/>
          </w:rPr>
          <w:t>§ 3</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w:t>
        </w:r>
      </w:hyperlink>
      <w:r w:rsidRPr="00C22FC1">
        <w:rPr>
          <w:rFonts w:ascii="Arial" w:eastAsia="Times New Roman" w:hAnsi="Arial" w:cs="Arial"/>
          <w:color w:val="000000"/>
          <w:kern w:val="0"/>
          <w:sz w:val="20"/>
          <w:szCs w:val="20"/>
          <w14:ligatures w14:val="none"/>
        </w:rPr>
        <w:t> Ficam suspensas até 30 de novembro de 2010 as execuções fiscais e os respectivos prazos processuais, cujo objeto seja a cobrança de crédito rural de que trata este artigo.</w:t>
      </w:r>
    </w:p>
    <w:p w14:paraId="7EC634E1" w14:textId="77777777" w:rsidR="00C22FC1" w:rsidRPr="00C22FC1" w:rsidRDefault="00C22FC1" w:rsidP="00C22FC1">
      <w:pPr>
        <w:spacing w:before="100" w:beforeAutospacing="1" w:after="100" w:afterAutospacing="1" w:line="240" w:lineRule="auto"/>
        <w:ind w:firstLine="16"/>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w:t>
      </w:r>
    </w:p>
    <w:p w14:paraId="14E7A0AA"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hyperlink r:id="rId481" w:anchor="art8%C2%A75." w:history="1">
        <w:r w:rsidRPr="00C22FC1">
          <w:rPr>
            <w:rFonts w:ascii="Arial" w:eastAsia="Times New Roman" w:hAnsi="Arial" w:cs="Arial"/>
            <w:color w:val="0000FF"/>
            <w:kern w:val="0"/>
            <w:sz w:val="20"/>
            <w:szCs w:val="20"/>
            <w:u w:val="single"/>
            <w14:ligatures w14:val="none"/>
          </w:rPr>
          <w:t>§ 5</w:t>
        </w:r>
        <w:r w:rsidRPr="00C22FC1">
          <w:rPr>
            <w:rFonts w:ascii="Arial" w:eastAsia="Times New Roman" w:hAnsi="Arial" w:cs="Arial"/>
            <w:color w:val="0000FF"/>
            <w:kern w:val="0"/>
            <w:sz w:val="20"/>
            <w:szCs w:val="20"/>
            <w:u w:val="single"/>
            <w:vertAlign w:val="superscript"/>
            <w14:ligatures w14:val="none"/>
          </w:rPr>
          <w:t>o</w:t>
        </w:r>
      </w:hyperlink>
      <w:r w:rsidRPr="00C22FC1">
        <w:rPr>
          <w:rFonts w:ascii="Arial" w:eastAsia="Times New Roman" w:hAnsi="Arial" w:cs="Arial"/>
          <w:color w:val="000000"/>
          <w:kern w:val="0"/>
          <w:sz w:val="20"/>
          <w:szCs w:val="20"/>
          <w14:ligatures w14:val="none"/>
        </w:rPr>
        <w:t>  O prazo de prescrição das dívidas de crédito rural de que trata este artigo fica suspenso a partir da data de publicação desta Lei até 30 de novembro de 2010.</w:t>
      </w:r>
    </w:p>
    <w:p w14:paraId="150B563A" w14:textId="77777777" w:rsidR="00C22FC1" w:rsidRPr="00C22FC1" w:rsidRDefault="00C22FC1" w:rsidP="00C22FC1">
      <w:pPr>
        <w:spacing w:before="100" w:beforeAutospacing="1" w:after="100" w:afterAutospacing="1" w:line="240" w:lineRule="auto"/>
        <w:ind w:firstLine="16"/>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(NR)</w:t>
      </w:r>
    </w:p>
    <w:p w14:paraId="6EF7B8F2" w14:textId="77777777" w:rsidR="00C22FC1" w:rsidRPr="00C22FC1" w:rsidRDefault="00C22FC1" w:rsidP="00C22FC1">
      <w:pPr>
        <w:spacing w:before="100" w:beforeAutospacing="1" w:after="100" w:afterAutospacing="1" w:line="240" w:lineRule="auto"/>
        <w:ind w:left="284" w:firstLine="284"/>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CAPÍTULO VII</w:t>
      </w:r>
    </w:p>
    <w:p w14:paraId="307F1FDD" w14:textId="77777777" w:rsidR="00C22FC1" w:rsidRPr="00C22FC1" w:rsidRDefault="00C22FC1" w:rsidP="00C22FC1">
      <w:pPr>
        <w:spacing w:before="100" w:beforeAutospacing="1" w:after="100" w:afterAutospacing="1" w:line="240" w:lineRule="auto"/>
        <w:ind w:left="284" w:firstLine="284"/>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DISPOSIÇÕES FINAIS</w:t>
      </w:r>
    </w:p>
    <w:p w14:paraId="17F6362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50" w:name="art139"/>
      <w:bookmarkEnd w:id="250"/>
      <w:r w:rsidRPr="00C22FC1">
        <w:rPr>
          <w:rFonts w:ascii="Arial" w:eastAsia="Times New Roman" w:hAnsi="Arial" w:cs="Arial"/>
          <w:color w:val="000000"/>
          <w:kern w:val="0"/>
          <w:sz w:val="20"/>
          <w:szCs w:val="20"/>
          <w14:ligatures w14:val="none"/>
        </w:rPr>
        <w:t>Art. 139.  Esta Lei entra em vigor:</w:t>
      </w:r>
    </w:p>
    <w:p w14:paraId="5B8954D5"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na data de sua publicação, produzindo efeitos:</w:t>
      </w:r>
    </w:p>
    <w:p w14:paraId="3E884C3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a) a partir da regulamentação e até 31 de dezembro de 2011, em relação ao disposto nos </w:t>
      </w:r>
      <w:hyperlink r:id="rId482" w:anchor="art6" w:history="1">
        <w:r w:rsidRPr="00C22FC1">
          <w:rPr>
            <w:rFonts w:ascii="Arial" w:eastAsia="Times New Roman" w:hAnsi="Arial" w:cs="Arial"/>
            <w:color w:val="0000FF"/>
            <w:kern w:val="0"/>
            <w:sz w:val="20"/>
            <w:szCs w:val="20"/>
            <w:u w:val="single"/>
            <w14:ligatures w14:val="none"/>
          </w:rPr>
          <w:t>arts. 6</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a 14;</w:t>
        </w:r>
      </w:hyperlink>
    </w:p>
    <w:p w14:paraId="0DE0B5D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lastRenderedPageBreak/>
        <w:t>b) a partir de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 janeiro de 2010, em relação ao disposto nos </w:t>
      </w:r>
      <w:hyperlink r:id="rId483" w:anchor="art15" w:history="1">
        <w:r w:rsidRPr="00C22FC1">
          <w:rPr>
            <w:rFonts w:ascii="Arial" w:eastAsia="Times New Roman" w:hAnsi="Arial" w:cs="Arial"/>
            <w:color w:val="0000FF"/>
            <w:kern w:val="0"/>
            <w:sz w:val="20"/>
            <w:szCs w:val="20"/>
            <w:u w:val="single"/>
            <w14:ligatures w14:val="none"/>
          </w:rPr>
          <w:t>arts. 15 a 17;</w:t>
        </w:r>
      </w:hyperlink>
    </w:p>
    <w:p w14:paraId="00ACED79"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c) a partir de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 abril de 2010, em relação aos </w:t>
      </w:r>
      <w:hyperlink r:id="rId484" w:anchor="art28" w:history="1">
        <w:r w:rsidRPr="00C22FC1">
          <w:rPr>
            <w:rFonts w:ascii="Arial" w:eastAsia="Times New Roman" w:hAnsi="Arial" w:cs="Arial"/>
            <w:color w:val="0000FF"/>
            <w:kern w:val="0"/>
            <w:sz w:val="20"/>
            <w:szCs w:val="20"/>
            <w:u w:val="single"/>
            <w14:ligatures w14:val="none"/>
          </w:rPr>
          <w:t>arts. 28 e 59;</w:t>
        </w:r>
      </w:hyperlink>
      <w:r w:rsidRPr="00C22FC1">
        <w:rPr>
          <w:rFonts w:ascii="Arial" w:eastAsia="Times New Roman" w:hAnsi="Arial" w:cs="Arial"/>
          <w:color w:val="000000"/>
          <w:kern w:val="0"/>
          <w:sz w:val="20"/>
          <w:szCs w:val="20"/>
          <w14:ligatures w14:val="none"/>
        </w:rPr>
        <w:t> e</w:t>
      </w:r>
    </w:p>
    <w:p w14:paraId="051EF1CF"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 a partir de 16 de dezembro de 2009, em relação aos demais dispositivos;</w:t>
      </w:r>
    </w:p>
    <w:p w14:paraId="0F2F442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em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 janeiro de 2010, produzindo efeitos a partir de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 abril de 2010, em relação ao disposto nos </w:t>
      </w:r>
      <w:hyperlink r:id="rId485" w:anchor="art48" w:history="1">
        <w:r w:rsidRPr="00C22FC1">
          <w:rPr>
            <w:rFonts w:ascii="Arial" w:eastAsia="Times New Roman" w:hAnsi="Arial" w:cs="Arial"/>
            <w:color w:val="0000FF"/>
            <w:kern w:val="0"/>
            <w:sz w:val="20"/>
            <w:szCs w:val="20"/>
            <w:u w:val="single"/>
            <w14:ligatures w14:val="none"/>
          </w:rPr>
          <w:t>arts. 48 a 58.</w:t>
        </w:r>
      </w:hyperlink>
    </w:p>
    <w:p w14:paraId="23575D9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51" w:name="art140"/>
      <w:bookmarkEnd w:id="251"/>
      <w:r w:rsidRPr="00C22FC1">
        <w:rPr>
          <w:rFonts w:ascii="Arial" w:eastAsia="Times New Roman" w:hAnsi="Arial" w:cs="Arial"/>
          <w:color w:val="000000"/>
          <w:kern w:val="0"/>
          <w:sz w:val="20"/>
          <w:szCs w:val="20"/>
          <w14:ligatures w14:val="none"/>
        </w:rPr>
        <w:t>Art. 140.  Ficam revogados:</w:t>
      </w:r>
    </w:p>
    <w:p w14:paraId="69AEC30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 - a partir de 1</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de abril de 2010:</w:t>
      </w:r>
    </w:p>
    <w:p w14:paraId="707DC188"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a) a </w:t>
      </w:r>
      <w:hyperlink r:id="rId486" w:history="1">
        <w:r w:rsidRPr="00C22FC1">
          <w:rPr>
            <w:rFonts w:ascii="Arial" w:eastAsia="Times New Roman" w:hAnsi="Arial" w:cs="Arial"/>
            <w:color w:val="0000FF"/>
            <w:kern w:val="0"/>
            <w:sz w:val="20"/>
            <w:szCs w:val="20"/>
            <w:u w:val="single"/>
            <w14:ligatures w14:val="none"/>
          </w:rPr>
          <w:t>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7.944, de 20 de dezembro de 1989;</w:t>
        </w:r>
      </w:hyperlink>
    </w:p>
    <w:p w14:paraId="2376694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b) o </w:t>
      </w:r>
      <w:hyperlink r:id="rId487" w:anchor="art2" w:history="1">
        <w:r w:rsidRPr="00C22FC1">
          <w:rPr>
            <w:rFonts w:ascii="Arial" w:eastAsia="Times New Roman" w:hAnsi="Arial" w:cs="Arial"/>
            <w:color w:val="0000FF"/>
            <w:kern w:val="0"/>
            <w:sz w:val="20"/>
            <w:szCs w:val="20"/>
            <w:u w:val="single"/>
            <w14:ligatures w14:val="none"/>
          </w:rPr>
          <w:t>art. 2</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8.003, de 14 de março de 1990;</w:t>
        </w:r>
      </w:hyperlink>
    </w:p>
    <w:p w14:paraId="10B0BD5B"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c) o </w:t>
      </w:r>
      <w:hyperlink r:id="rId488" w:anchor="art112" w:history="1">
        <w:r w:rsidRPr="00C22FC1">
          <w:rPr>
            <w:rFonts w:ascii="Arial" w:eastAsia="Times New Roman" w:hAnsi="Arial" w:cs="Arial"/>
            <w:color w:val="0000FF"/>
            <w:kern w:val="0"/>
            <w:sz w:val="20"/>
            <w:szCs w:val="20"/>
            <w:u w:val="single"/>
            <w14:ligatures w14:val="none"/>
          </w:rPr>
          <w:t>art. 112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8.981, de 20 de janeiro de 1995;</w:t>
        </w:r>
      </w:hyperlink>
      <w:r w:rsidRPr="00C22FC1">
        <w:rPr>
          <w:rFonts w:ascii="Arial" w:eastAsia="Times New Roman" w:hAnsi="Arial" w:cs="Arial"/>
          <w:color w:val="000000"/>
          <w:kern w:val="0"/>
          <w:sz w:val="20"/>
          <w:szCs w:val="20"/>
          <w14:ligatures w14:val="none"/>
        </w:rPr>
        <w:t> e</w:t>
      </w:r>
    </w:p>
    <w:p w14:paraId="675CFE42"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 a </w:t>
      </w:r>
      <w:hyperlink r:id="rId489" w:history="1">
        <w:r w:rsidRPr="00C22FC1">
          <w:rPr>
            <w:rFonts w:ascii="Arial" w:eastAsia="Times New Roman" w:hAnsi="Arial" w:cs="Arial"/>
            <w:color w:val="0000FF"/>
            <w:kern w:val="0"/>
            <w:sz w:val="20"/>
            <w:szCs w:val="20"/>
            <w:u w:val="single"/>
            <w14:ligatures w14:val="none"/>
          </w:rPr>
          <w:t>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10.829, de 23 de dezembro de 2003;</w:t>
        </w:r>
      </w:hyperlink>
    </w:p>
    <w:p w14:paraId="75931EA3"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II - a partir da publicação desta Lei:</w:t>
      </w:r>
    </w:p>
    <w:p w14:paraId="280B4C4D"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a) o </w:t>
      </w:r>
      <w:hyperlink r:id="rId490" w:anchor="art74p" w:history="1">
        <w:r w:rsidRPr="00C22FC1">
          <w:rPr>
            <w:rFonts w:ascii="Arial" w:eastAsia="Times New Roman" w:hAnsi="Arial" w:cs="Arial"/>
            <w:color w:val="0000FF"/>
            <w:kern w:val="0"/>
            <w:sz w:val="20"/>
            <w:szCs w:val="20"/>
            <w:u w:val="single"/>
            <w14:ligatures w14:val="none"/>
          </w:rPr>
          <w:t>parágrafo único do art. 74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5.025, de 10 de junho de 1966;</w:t>
        </w:r>
      </w:hyperlink>
    </w:p>
    <w:p w14:paraId="547AEDD4"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b) o </w:t>
      </w:r>
      <w:hyperlink r:id="rId491" w:anchor="art2" w:history="1">
        <w:r w:rsidRPr="00C22FC1">
          <w:rPr>
            <w:rFonts w:ascii="Arial" w:eastAsia="Times New Roman" w:hAnsi="Arial" w:cs="Arial"/>
            <w:color w:val="0000FF"/>
            <w:kern w:val="0"/>
            <w:sz w:val="20"/>
            <w:szCs w:val="20"/>
            <w:u w:val="single"/>
            <w14:ligatures w14:val="none"/>
          </w:rPr>
          <w:t>art. 2</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6.704, de 26 de outubro de 1979;</w:t>
        </w:r>
      </w:hyperlink>
    </w:p>
    <w:p w14:paraId="0B02BF47"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c) o </w:t>
      </w:r>
      <w:hyperlink r:id="rId492" w:history="1">
        <w:r w:rsidRPr="00C22FC1">
          <w:rPr>
            <w:rFonts w:ascii="Arial" w:eastAsia="Times New Roman" w:hAnsi="Arial" w:cs="Arial"/>
            <w:color w:val="0000FF"/>
            <w:kern w:val="0"/>
            <w:sz w:val="20"/>
            <w:szCs w:val="20"/>
            <w:u w:val="single"/>
            <w14:ligatures w14:val="none"/>
          </w:rPr>
          <w:t>Decreto-Lei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423, de 21 de janeiro de 1969;</w:t>
        </w:r>
      </w:hyperlink>
    </w:p>
    <w:p w14:paraId="0370B16E"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 o </w:t>
      </w:r>
      <w:hyperlink r:id="rId493" w:anchor="art288%C2%A72" w:history="1">
        <w:r w:rsidRPr="00C22FC1">
          <w:rPr>
            <w:rFonts w:ascii="Arial" w:eastAsia="Times New Roman" w:hAnsi="Arial" w:cs="Arial"/>
            <w:color w:val="0000FF"/>
            <w:kern w:val="0"/>
            <w:sz w:val="20"/>
            <w:szCs w:val="20"/>
            <w:u w:val="single"/>
            <w14:ligatures w14:val="none"/>
          </w:rPr>
          <w:t>§ 2</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do art. 288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9.503, de 23 de setembro de 1997 </w:t>
        </w:r>
      </w:hyperlink>
      <w:r w:rsidRPr="00C22FC1">
        <w:rPr>
          <w:rFonts w:ascii="Arial" w:eastAsia="Times New Roman" w:hAnsi="Arial" w:cs="Arial"/>
          <w:color w:val="000000"/>
          <w:kern w:val="0"/>
          <w:sz w:val="20"/>
          <w:szCs w:val="20"/>
          <w14:ligatures w14:val="none"/>
        </w:rPr>
        <w:t>- Código de Trânsito Brasileiro; e</w:t>
      </w:r>
    </w:p>
    <w:p w14:paraId="15538A00" w14:textId="77777777" w:rsidR="00C22FC1" w:rsidRPr="00C22FC1" w:rsidRDefault="00C22FC1" w:rsidP="00C22FC1">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e) o </w:t>
      </w:r>
      <w:hyperlink r:id="rId494" w:anchor="art15" w:history="1">
        <w:r w:rsidRPr="00C22FC1">
          <w:rPr>
            <w:rFonts w:ascii="Arial" w:eastAsia="Times New Roman" w:hAnsi="Arial" w:cs="Arial"/>
            <w:color w:val="0000FF"/>
            <w:kern w:val="0"/>
            <w:sz w:val="20"/>
            <w:szCs w:val="20"/>
            <w:u w:val="single"/>
            <w14:ligatures w14:val="none"/>
          </w:rPr>
          <w:t>art. 15 da 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12.189, de 12 de janeiro de 2010.</w:t>
        </w:r>
      </w:hyperlink>
    </w:p>
    <w:p w14:paraId="40E1EEF4" w14:textId="77777777" w:rsidR="00C22FC1" w:rsidRPr="00C22FC1" w:rsidRDefault="00C22FC1" w:rsidP="00C22FC1">
      <w:pPr>
        <w:spacing w:before="100" w:beforeAutospacing="1" w:after="100" w:afterAutospacing="1" w:line="240" w:lineRule="auto"/>
        <w:ind w:firstLine="525"/>
        <w:jc w:val="both"/>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Brasília, 11  de  junho  de 2010; 189</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Independência e 122</w:t>
      </w:r>
      <w:r w:rsidRPr="00C22FC1">
        <w:rPr>
          <w:rFonts w:ascii="Arial" w:eastAsia="Times New Roman" w:hAnsi="Arial" w:cs="Arial"/>
          <w:color w:val="000000"/>
          <w:kern w:val="0"/>
          <w:sz w:val="20"/>
          <w:szCs w:val="20"/>
          <w:u w:val="single"/>
          <w:vertAlign w:val="superscript"/>
          <w14:ligatures w14:val="none"/>
        </w:rPr>
        <w:t>o</w:t>
      </w:r>
      <w:r w:rsidRPr="00C22FC1">
        <w:rPr>
          <w:rFonts w:ascii="Arial" w:eastAsia="Times New Roman" w:hAnsi="Arial" w:cs="Arial"/>
          <w:color w:val="000000"/>
          <w:kern w:val="0"/>
          <w:sz w:val="20"/>
          <w:szCs w:val="20"/>
          <w14:ligatures w14:val="none"/>
        </w:rPr>
        <w:t> da República.</w:t>
      </w:r>
    </w:p>
    <w:p w14:paraId="3698CF06" w14:textId="77777777" w:rsidR="00C22FC1" w:rsidRPr="00C22FC1" w:rsidRDefault="00C22FC1" w:rsidP="00C22FC1">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LUIZ INÁCIO LULA DA SILVA[</w:t>
      </w:r>
      <w:r w:rsidRPr="00C22FC1">
        <w:rPr>
          <w:rFonts w:ascii="Arial" w:eastAsia="Times New Roman" w:hAnsi="Arial" w:cs="Arial"/>
          <w:color w:val="000000"/>
          <w:kern w:val="0"/>
          <w:sz w:val="20"/>
          <w:szCs w:val="20"/>
          <w14:ligatures w14:val="none"/>
        </w:rPr>
        <w:br/>
      </w:r>
      <w:r w:rsidRPr="00C22FC1">
        <w:rPr>
          <w:rFonts w:ascii="Arial" w:eastAsia="Times New Roman" w:hAnsi="Arial" w:cs="Arial"/>
          <w:i/>
          <w:iCs/>
          <w:color w:val="000000"/>
          <w:kern w:val="0"/>
          <w:sz w:val="20"/>
          <w:szCs w:val="20"/>
          <w14:ligatures w14:val="none"/>
        </w:rPr>
        <w:t>Luiz Paulo Teles Ferreira Barreto</w:t>
      </w:r>
      <w:r w:rsidRPr="00C22FC1">
        <w:rPr>
          <w:rFonts w:ascii="Arial" w:eastAsia="Times New Roman" w:hAnsi="Arial" w:cs="Arial"/>
          <w:i/>
          <w:iCs/>
          <w:color w:val="000000"/>
          <w:kern w:val="0"/>
          <w:sz w:val="20"/>
          <w:szCs w:val="20"/>
          <w14:ligatures w14:val="none"/>
        </w:rPr>
        <w:br/>
        <w:t>Guido Mantega</w:t>
      </w:r>
      <w:r w:rsidRPr="00C22FC1">
        <w:rPr>
          <w:rFonts w:ascii="Arial" w:eastAsia="Times New Roman" w:hAnsi="Arial" w:cs="Arial"/>
          <w:i/>
          <w:iCs/>
          <w:color w:val="000000"/>
          <w:kern w:val="0"/>
          <w:sz w:val="20"/>
          <w:szCs w:val="20"/>
          <w14:ligatures w14:val="none"/>
        </w:rPr>
        <w:br/>
        <w:t>Miguel Jorge</w:t>
      </w:r>
      <w:r w:rsidRPr="00C22FC1">
        <w:rPr>
          <w:rFonts w:ascii="Arial" w:eastAsia="Times New Roman" w:hAnsi="Arial" w:cs="Arial"/>
          <w:i/>
          <w:iCs/>
          <w:color w:val="000000"/>
          <w:kern w:val="0"/>
          <w:sz w:val="20"/>
          <w:szCs w:val="20"/>
          <w14:ligatures w14:val="none"/>
        </w:rPr>
        <w:br/>
        <w:t>Paulo Bernardo Silva</w:t>
      </w:r>
      <w:r w:rsidRPr="00C22FC1">
        <w:rPr>
          <w:rFonts w:ascii="Arial" w:eastAsia="Times New Roman" w:hAnsi="Arial" w:cs="Arial"/>
          <w:i/>
          <w:iCs/>
          <w:color w:val="000000"/>
          <w:kern w:val="0"/>
          <w:sz w:val="20"/>
          <w:szCs w:val="20"/>
          <w14:ligatures w14:val="none"/>
        </w:rPr>
        <w:br/>
        <w:t>Luis Inácio Lucena Adams</w:t>
      </w:r>
    </w:p>
    <w:p w14:paraId="1F4ADE7E" w14:textId="77777777" w:rsidR="00C22FC1" w:rsidRPr="00C22FC1" w:rsidRDefault="00C22FC1" w:rsidP="00C22FC1">
      <w:pPr>
        <w:spacing w:before="100" w:beforeAutospacing="1" w:after="100" w:afterAutospacing="1" w:line="240" w:lineRule="auto"/>
        <w:rPr>
          <w:rFonts w:ascii="Arial" w:eastAsia="Times New Roman" w:hAnsi="Arial" w:cs="Arial"/>
          <w:color w:val="000000"/>
          <w:kern w:val="0"/>
          <w:sz w:val="20"/>
          <w:szCs w:val="20"/>
          <w14:ligatures w14:val="none"/>
        </w:rPr>
      </w:pPr>
      <w:r w:rsidRPr="00C22FC1">
        <w:rPr>
          <w:rFonts w:ascii="Arial" w:eastAsia="Times New Roman" w:hAnsi="Arial" w:cs="Arial"/>
          <w:color w:val="FF0000"/>
          <w:kern w:val="0"/>
          <w:sz w:val="20"/>
          <w:szCs w:val="20"/>
          <w14:ligatures w14:val="none"/>
        </w:rPr>
        <w:t>Este texto não substitui o publicado no DOU de 14.6.2010</w:t>
      </w:r>
    </w:p>
    <w:p w14:paraId="16463BED"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bookmarkStart w:id="252" w:name="anexoi"/>
      <w:bookmarkEnd w:id="252"/>
      <w:r w:rsidRPr="00C22FC1">
        <w:rPr>
          <w:rFonts w:ascii="Arial" w:eastAsia="Times New Roman" w:hAnsi="Arial" w:cs="Arial"/>
          <w:color w:val="000000"/>
          <w:kern w:val="0"/>
          <w:sz w:val="20"/>
          <w:szCs w:val="20"/>
          <w14:ligatures w14:val="none"/>
        </w:rPr>
        <w:t> </w:t>
      </w:r>
      <w:bookmarkStart w:id="253" w:name="anexo1"/>
      <w:bookmarkEnd w:id="253"/>
      <w:r w:rsidRPr="00C22FC1">
        <w:rPr>
          <w:rFonts w:ascii="Arial" w:eastAsia="Times New Roman" w:hAnsi="Arial" w:cs="Arial"/>
          <w:color w:val="000000"/>
          <w:kern w:val="0"/>
          <w:sz w:val="20"/>
          <w:szCs w:val="20"/>
          <w14:ligatures w14:val="none"/>
        </w:rPr>
        <w:t>ANEXO I</w:t>
      </w:r>
    </w:p>
    <w:tbl>
      <w:tblPr>
        <w:tblW w:w="5000" w:type="pct"/>
        <w:jc w:val="center"/>
        <w:tblCellMar>
          <w:left w:w="0" w:type="dxa"/>
          <w:right w:w="0" w:type="dxa"/>
        </w:tblCellMar>
        <w:tblLook w:val="04A0" w:firstRow="1" w:lastRow="0" w:firstColumn="1" w:lastColumn="0" w:noHBand="0" w:noVBand="1"/>
      </w:tblPr>
      <w:tblGrid>
        <w:gridCol w:w="2003"/>
        <w:gridCol w:w="2584"/>
        <w:gridCol w:w="1769"/>
        <w:gridCol w:w="2138"/>
      </w:tblGrid>
      <w:tr w:rsidR="00C22FC1" w:rsidRPr="00C22FC1" w14:paraId="01F10B25" w14:textId="77777777" w:rsidTr="00C22FC1">
        <w:trPr>
          <w:trHeight w:val="245"/>
          <w:jc w:val="center"/>
        </w:trPr>
        <w:tc>
          <w:tcPr>
            <w:tcW w:w="10330" w:type="dxa"/>
            <w:gridSpan w:val="4"/>
            <w:tcBorders>
              <w:top w:val="single" w:sz="4" w:space="0" w:color="auto"/>
              <w:left w:val="single" w:sz="4" w:space="0" w:color="auto"/>
              <w:bottom w:val="nil"/>
              <w:right w:val="single" w:sz="4" w:space="0" w:color="auto"/>
            </w:tcBorders>
            <w:vAlign w:val="center"/>
            <w:hideMark/>
          </w:tcPr>
          <w:p w14:paraId="1F75B6C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TABELA DE ENQUADRAMENTO DA TAXA DE FISCALIZAÇÃO</w:t>
            </w:r>
          </w:p>
        </w:tc>
      </w:tr>
      <w:tr w:rsidR="00C22FC1" w:rsidRPr="00C22FC1" w14:paraId="08400B30" w14:textId="77777777" w:rsidTr="00C22FC1">
        <w:trPr>
          <w:trHeight w:val="245"/>
          <w:jc w:val="center"/>
        </w:trPr>
        <w:tc>
          <w:tcPr>
            <w:tcW w:w="2410" w:type="dxa"/>
            <w:vMerge w:val="restart"/>
            <w:tcBorders>
              <w:top w:val="single" w:sz="4" w:space="0" w:color="auto"/>
              <w:left w:val="single" w:sz="4" w:space="0" w:color="auto"/>
              <w:bottom w:val="nil"/>
              <w:right w:val="single" w:sz="4" w:space="0" w:color="auto"/>
            </w:tcBorders>
            <w:vAlign w:val="center"/>
            <w:hideMark/>
          </w:tcPr>
          <w:p w14:paraId="174535A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RAMO E/OU ATIVIDADE</w:t>
            </w:r>
          </w:p>
        </w:tc>
        <w:tc>
          <w:tcPr>
            <w:tcW w:w="3240" w:type="dxa"/>
            <w:vMerge w:val="restart"/>
            <w:tcBorders>
              <w:top w:val="single" w:sz="4" w:space="0" w:color="auto"/>
              <w:left w:val="nil"/>
              <w:bottom w:val="nil"/>
              <w:right w:val="single" w:sz="4" w:space="0" w:color="auto"/>
            </w:tcBorders>
            <w:vAlign w:val="center"/>
            <w:hideMark/>
          </w:tcPr>
          <w:p w14:paraId="55290045"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FAIXAS DE MARGEM DE SOLVÊNCIA</w:t>
            </w:r>
          </w:p>
        </w:tc>
        <w:tc>
          <w:tcPr>
            <w:tcW w:w="4680" w:type="dxa"/>
            <w:gridSpan w:val="2"/>
            <w:tcBorders>
              <w:top w:val="single" w:sz="4" w:space="0" w:color="auto"/>
              <w:left w:val="nil"/>
              <w:bottom w:val="single" w:sz="4" w:space="0" w:color="auto"/>
              <w:right w:val="single" w:sz="4" w:space="0" w:color="auto"/>
            </w:tcBorders>
            <w:vAlign w:val="center"/>
            <w:hideMark/>
          </w:tcPr>
          <w:p w14:paraId="20FC406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TAXA DE FISCALIZAÇÃO</w:t>
            </w:r>
          </w:p>
        </w:tc>
      </w:tr>
      <w:tr w:rsidR="00C22FC1" w:rsidRPr="00C22FC1" w14:paraId="1A7FAEE1" w14:textId="77777777" w:rsidTr="00C22FC1">
        <w:trPr>
          <w:trHeight w:val="795"/>
          <w:jc w:val="center"/>
        </w:trPr>
        <w:tc>
          <w:tcPr>
            <w:tcW w:w="0" w:type="auto"/>
            <w:vMerge/>
            <w:tcBorders>
              <w:top w:val="single" w:sz="4" w:space="0" w:color="auto"/>
              <w:left w:val="single" w:sz="4" w:space="0" w:color="auto"/>
              <w:bottom w:val="nil"/>
              <w:right w:val="single" w:sz="4" w:space="0" w:color="auto"/>
            </w:tcBorders>
            <w:vAlign w:val="center"/>
            <w:hideMark/>
          </w:tcPr>
          <w:p w14:paraId="1BF9DA66"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0" w:type="auto"/>
            <w:vMerge/>
            <w:tcBorders>
              <w:top w:val="single" w:sz="4" w:space="0" w:color="auto"/>
              <w:left w:val="nil"/>
              <w:bottom w:val="nil"/>
              <w:right w:val="single" w:sz="4" w:space="0" w:color="auto"/>
            </w:tcBorders>
            <w:vAlign w:val="center"/>
            <w:hideMark/>
          </w:tcPr>
          <w:p w14:paraId="5B3C4A1A"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2160" w:type="dxa"/>
            <w:tcBorders>
              <w:top w:val="nil"/>
              <w:left w:val="nil"/>
              <w:bottom w:val="nil"/>
              <w:right w:val="single" w:sz="4" w:space="0" w:color="auto"/>
            </w:tcBorders>
            <w:vAlign w:val="center"/>
            <w:hideMark/>
          </w:tcPr>
          <w:p w14:paraId="32F3B97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MATRIZ</w:t>
            </w:r>
          </w:p>
        </w:tc>
        <w:tc>
          <w:tcPr>
            <w:tcW w:w="2520" w:type="dxa"/>
            <w:tcBorders>
              <w:top w:val="nil"/>
              <w:left w:val="nil"/>
              <w:bottom w:val="nil"/>
              <w:right w:val="single" w:sz="4" w:space="0" w:color="auto"/>
            </w:tcBorders>
            <w:vAlign w:val="center"/>
            <w:hideMark/>
          </w:tcPr>
          <w:p w14:paraId="4B1FB56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POR UF</w:t>
            </w:r>
            <w:r w:rsidRPr="00C22FC1">
              <w:rPr>
                <w:rFonts w:ascii="Times New Roman" w:eastAsia="Times New Roman" w:hAnsi="Times New Roman" w:cs="Times New Roman"/>
                <w:color w:val="000000"/>
                <w:kern w:val="0"/>
                <w:sz w:val="20"/>
                <w:szCs w:val="20"/>
                <w14:ligatures w14:val="none"/>
              </w:rPr>
              <w:br/>
              <w:t>em que o estabelecimento opere adicionalmente</w:t>
            </w:r>
          </w:p>
        </w:tc>
      </w:tr>
      <w:tr w:rsidR="00C22FC1" w:rsidRPr="00C22FC1" w14:paraId="40F91D8F" w14:textId="77777777" w:rsidTr="00C22FC1">
        <w:trPr>
          <w:trHeight w:val="245"/>
          <w:jc w:val="center"/>
        </w:trPr>
        <w:tc>
          <w:tcPr>
            <w:tcW w:w="2410" w:type="dxa"/>
            <w:vMerge w:val="restart"/>
            <w:tcBorders>
              <w:top w:val="single" w:sz="4" w:space="0" w:color="auto"/>
              <w:left w:val="single" w:sz="4" w:space="0" w:color="auto"/>
              <w:bottom w:val="nil"/>
              <w:right w:val="single" w:sz="4" w:space="0" w:color="auto"/>
            </w:tcBorders>
            <w:vAlign w:val="center"/>
            <w:hideMark/>
          </w:tcPr>
          <w:p w14:paraId="2F649B8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Pessoas</w:t>
            </w:r>
          </w:p>
        </w:tc>
        <w:tc>
          <w:tcPr>
            <w:tcW w:w="3240" w:type="dxa"/>
            <w:tcBorders>
              <w:top w:val="single" w:sz="4" w:space="0" w:color="auto"/>
              <w:left w:val="nil"/>
              <w:bottom w:val="nil"/>
              <w:right w:val="single" w:sz="4" w:space="0" w:color="auto"/>
            </w:tcBorders>
            <w:vAlign w:val="center"/>
            <w:hideMark/>
          </w:tcPr>
          <w:p w14:paraId="41AF167B"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Abaixo de 4.143.500</w:t>
            </w:r>
          </w:p>
        </w:tc>
        <w:tc>
          <w:tcPr>
            <w:tcW w:w="2160" w:type="dxa"/>
            <w:tcBorders>
              <w:top w:val="single" w:sz="4" w:space="0" w:color="auto"/>
              <w:left w:val="nil"/>
              <w:bottom w:val="nil"/>
              <w:right w:val="single" w:sz="4" w:space="0" w:color="auto"/>
            </w:tcBorders>
            <w:vAlign w:val="center"/>
            <w:hideMark/>
          </w:tcPr>
          <w:p w14:paraId="74FE4C5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10.557,64</w:t>
            </w:r>
          </w:p>
        </w:tc>
        <w:tc>
          <w:tcPr>
            <w:tcW w:w="2520" w:type="dxa"/>
            <w:tcBorders>
              <w:top w:val="single" w:sz="4" w:space="0" w:color="auto"/>
              <w:left w:val="nil"/>
              <w:bottom w:val="nil"/>
              <w:right w:val="single" w:sz="4" w:space="0" w:color="auto"/>
            </w:tcBorders>
            <w:vAlign w:val="center"/>
            <w:hideMark/>
          </w:tcPr>
          <w:p w14:paraId="5AC48A4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527,89</w:t>
            </w:r>
          </w:p>
        </w:tc>
      </w:tr>
      <w:tr w:rsidR="00C22FC1" w:rsidRPr="00C22FC1" w14:paraId="0256007B" w14:textId="77777777" w:rsidTr="00C22FC1">
        <w:trPr>
          <w:trHeight w:val="245"/>
          <w:jc w:val="center"/>
        </w:trPr>
        <w:tc>
          <w:tcPr>
            <w:tcW w:w="0" w:type="auto"/>
            <w:vMerge/>
            <w:tcBorders>
              <w:top w:val="single" w:sz="4" w:space="0" w:color="auto"/>
              <w:left w:val="single" w:sz="4" w:space="0" w:color="auto"/>
              <w:bottom w:val="nil"/>
              <w:right w:val="single" w:sz="4" w:space="0" w:color="auto"/>
            </w:tcBorders>
            <w:vAlign w:val="center"/>
            <w:hideMark/>
          </w:tcPr>
          <w:p w14:paraId="2FEFBC09"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1B0D6AE1"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4.143.500 a 16.574.000</w:t>
            </w:r>
          </w:p>
        </w:tc>
        <w:tc>
          <w:tcPr>
            <w:tcW w:w="2160" w:type="dxa"/>
            <w:tcBorders>
              <w:top w:val="nil"/>
              <w:left w:val="nil"/>
              <w:bottom w:val="nil"/>
              <w:right w:val="single" w:sz="4" w:space="0" w:color="auto"/>
            </w:tcBorders>
            <w:vAlign w:val="center"/>
            <w:hideMark/>
          </w:tcPr>
          <w:p w14:paraId="6CCA09C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22.739,53</w:t>
            </w:r>
          </w:p>
        </w:tc>
        <w:tc>
          <w:tcPr>
            <w:tcW w:w="2520" w:type="dxa"/>
            <w:tcBorders>
              <w:top w:val="nil"/>
              <w:left w:val="nil"/>
              <w:bottom w:val="nil"/>
              <w:right w:val="single" w:sz="4" w:space="0" w:color="auto"/>
            </w:tcBorders>
            <w:vAlign w:val="center"/>
            <w:hideMark/>
          </w:tcPr>
          <w:p w14:paraId="1DE5576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1.136,98</w:t>
            </w:r>
          </w:p>
        </w:tc>
      </w:tr>
      <w:tr w:rsidR="00C22FC1" w:rsidRPr="00C22FC1" w14:paraId="3E6036F6" w14:textId="77777777" w:rsidTr="00C22FC1">
        <w:trPr>
          <w:trHeight w:val="245"/>
          <w:jc w:val="center"/>
        </w:trPr>
        <w:tc>
          <w:tcPr>
            <w:tcW w:w="0" w:type="auto"/>
            <w:vMerge/>
            <w:tcBorders>
              <w:top w:val="single" w:sz="4" w:space="0" w:color="auto"/>
              <w:left w:val="single" w:sz="4" w:space="0" w:color="auto"/>
              <w:bottom w:val="nil"/>
              <w:right w:val="single" w:sz="4" w:space="0" w:color="auto"/>
            </w:tcBorders>
            <w:vAlign w:val="center"/>
            <w:hideMark/>
          </w:tcPr>
          <w:p w14:paraId="385D12CD"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65A70B14"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16.574.000 a 82.700.000</w:t>
            </w:r>
          </w:p>
        </w:tc>
        <w:tc>
          <w:tcPr>
            <w:tcW w:w="2160" w:type="dxa"/>
            <w:tcBorders>
              <w:top w:val="nil"/>
              <w:left w:val="nil"/>
              <w:bottom w:val="nil"/>
              <w:right w:val="single" w:sz="4" w:space="0" w:color="auto"/>
            </w:tcBorders>
            <w:vAlign w:val="center"/>
            <w:hideMark/>
          </w:tcPr>
          <w:p w14:paraId="5460EF7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48.727,56</w:t>
            </w:r>
          </w:p>
        </w:tc>
        <w:tc>
          <w:tcPr>
            <w:tcW w:w="2520" w:type="dxa"/>
            <w:tcBorders>
              <w:top w:val="nil"/>
              <w:left w:val="nil"/>
              <w:bottom w:val="nil"/>
              <w:right w:val="single" w:sz="4" w:space="0" w:color="auto"/>
            </w:tcBorders>
            <w:vAlign w:val="center"/>
            <w:hideMark/>
          </w:tcPr>
          <w:p w14:paraId="25D02D2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2.436,38</w:t>
            </w:r>
          </w:p>
        </w:tc>
      </w:tr>
      <w:tr w:rsidR="00C22FC1" w:rsidRPr="00C22FC1" w14:paraId="042CFCA2" w14:textId="77777777" w:rsidTr="00C22FC1">
        <w:trPr>
          <w:trHeight w:val="245"/>
          <w:jc w:val="center"/>
        </w:trPr>
        <w:tc>
          <w:tcPr>
            <w:tcW w:w="0" w:type="auto"/>
            <w:vMerge/>
            <w:tcBorders>
              <w:top w:val="single" w:sz="4" w:space="0" w:color="auto"/>
              <w:left w:val="single" w:sz="4" w:space="0" w:color="auto"/>
              <w:bottom w:val="nil"/>
              <w:right w:val="single" w:sz="4" w:space="0" w:color="auto"/>
            </w:tcBorders>
            <w:vAlign w:val="center"/>
            <w:hideMark/>
          </w:tcPr>
          <w:p w14:paraId="0C294B65"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273E14DF"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82.700.000 a 248.610.000</w:t>
            </w:r>
          </w:p>
        </w:tc>
        <w:tc>
          <w:tcPr>
            <w:tcW w:w="2160" w:type="dxa"/>
            <w:tcBorders>
              <w:top w:val="nil"/>
              <w:left w:val="nil"/>
              <w:bottom w:val="nil"/>
              <w:right w:val="single" w:sz="4" w:space="0" w:color="auto"/>
            </w:tcBorders>
            <w:vAlign w:val="center"/>
            <w:hideMark/>
          </w:tcPr>
          <w:p w14:paraId="13B364D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103.952,13</w:t>
            </w:r>
          </w:p>
        </w:tc>
        <w:tc>
          <w:tcPr>
            <w:tcW w:w="2520" w:type="dxa"/>
            <w:tcBorders>
              <w:top w:val="nil"/>
              <w:left w:val="nil"/>
              <w:bottom w:val="nil"/>
              <w:right w:val="single" w:sz="4" w:space="0" w:color="auto"/>
            </w:tcBorders>
            <w:vAlign w:val="center"/>
            <w:hideMark/>
          </w:tcPr>
          <w:p w14:paraId="642F431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5.197,61</w:t>
            </w:r>
          </w:p>
        </w:tc>
      </w:tr>
      <w:tr w:rsidR="00C22FC1" w:rsidRPr="00C22FC1" w14:paraId="2D74A526" w14:textId="77777777" w:rsidTr="00C22FC1">
        <w:trPr>
          <w:trHeight w:val="245"/>
          <w:jc w:val="center"/>
        </w:trPr>
        <w:tc>
          <w:tcPr>
            <w:tcW w:w="0" w:type="auto"/>
            <w:vMerge/>
            <w:tcBorders>
              <w:top w:val="single" w:sz="4" w:space="0" w:color="auto"/>
              <w:left w:val="single" w:sz="4" w:space="0" w:color="auto"/>
              <w:bottom w:val="nil"/>
              <w:right w:val="single" w:sz="4" w:space="0" w:color="auto"/>
            </w:tcBorders>
            <w:vAlign w:val="center"/>
            <w:hideMark/>
          </w:tcPr>
          <w:p w14:paraId="4CE48654"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7602162F"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248.610.000 a 745.830.000</w:t>
            </w:r>
          </w:p>
        </w:tc>
        <w:tc>
          <w:tcPr>
            <w:tcW w:w="2160" w:type="dxa"/>
            <w:tcBorders>
              <w:top w:val="nil"/>
              <w:left w:val="nil"/>
              <w:bottom w:val="nil"/>
              <w:right w:val="single" w:sz="4" w:space="0" w:color="auto"/>
            </w:tcBorders>
            <w:vAlign w:val="center"/>
            <w:hideMark/>
          </w:tcPr>
          <w:p w14:paraId="491A08D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153.143,76</w:t>
            </w:r>
          </w:p>
        </w:tc>
        <w:tc>
          <w:tcPr>
            <w:tcW w:w="2520" w:type="dxa"/>
            <w:tcBorders>
              <w:top w:val="nil"/>
              <w:left w:val="nil"/>
              <w:bottom w:val="nil"/>
              <w:right w:val="single" w:sz="4" w:space="0" w:color="auto"/>
            </w:tcBorders>
            <w:vAlign w:val="center"/>
            <w:hideMark/>
          </w:tcPr>
          <w:p w14:paraId="06D17B5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7.657,19</w:t>
            </w:r>
          </w:p>
        </w:tc>
      </w:tr>
      <w:tr w:rsidR="00C22FC1" w:rsidRPr="00C22FC1" w14:paraId="79B35FA0" w14:textId="77777777" w:rsidTr="00C22FC1">
        <w:trPr>
          <w:trHeight w:val="245"/>
          <w:jc w:val="center"/>
        </w:trPr>
        <w:tc>
          <w:tcPr>
            <w:tcW w:w="0" w:type="auto"/>
            <w:vMerge/>
            <w:tcBorders>
              <w:top w:val="single" w:sz="4" w:space="0" w:color="auto"/>
              <w:left w:val="single" w:sz="4" w:space="0" w:color="auto"/>
              <w:bottom w:val="nil"/>
              <w:right w:val="single" w:sz="4" w:space="0" w:color="auto"/>
            </w:tcBorders>
            <w:vAlign w:val="center"/>
            <w:hideMark/>
          </w:tcPr>
          <w:p w14:paraId="6EF06AA9"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1838B6A7"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745.830.000</w:t>
            </w:r>
          </w:p>
        </w:tc>
        <w:tc>
          <w:tcPr>
            <w:tcW w:w="2160" w:type="dxa"/>
            <w:tcBorders>
              <w:top w:val="nil"/>
              <w:left w:val="nil"/>
              <w:bottom w:val="nil"/>
              <w:right w:val="single" w:sz="4" w:space="0" w:color="auto"/>
            </w:tcBorders>
            <w:vAlign w:val="center"/>
            <w:hideMark/>
          </w:tcPr>
          <w:p w14:paraId="52C3F5D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176.347,36</w:t>
            </w:r>
          </w:p>
        </w:tc>
        <w:tc>
          <w:tcPr>
            <w:tcW w:w="2520" w:type="dxa"/>
            <w:tcBorders>
              <w:top w:val="nil"/>
              <w:left w:val="nil"/>
              <w:bottom w:val="nil"/>
              <w:right w:val="single" w:sz="4" w:space="0" w:color="auto"/>
            </w:tcBorders>
            <w:vAlign w:val="center"/>
            <w:hideMark/>
          </w:tcPr>
          <w:p w14:paraId="42BA21E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8.817,37</w:t>
            </w:r>
          </w:p>
        </w:tc>
      </w:tr>
      <w:tr w:rsidR="00C22FC1" w:rsidRPr="00C22FC1" w14:paraId="1DBA3AE2" w14:textId="77777777" w:rsidTr="00C22FC1">
        <w:trPr>
          <w:trHeight w:val="245"/>
          <w:jc w:val="center"/>
        </w:trPr>
        <w:tc>
          <w:tcPr>
            <w:tcW w:w="2410" w:type="dxa"/>
            <w:tcBorders>
              <w:top w:val="nil"/>
              <w:left w:val="single" w:sz="4" w:space="0" w:color="auto"/>
              <w:bottom w:val="nil"/>
              <w:right w:val="single" w:sz="4" w:space="0" w:color="auto"/>
            </w:tcBorders>
            <w:vAlign w:val="center"/>
            <w:hideMark/>
          </w:tcPr>
          <w:p w14:paraId="71686C9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3240" w:type="dxa"/>
            <w:tcBorders>
              <w:top w:val="nil"/>
              <w:left w:val="nil"/>
              <w:bottom w:val="nil"/>
              <w:right w:val="single" w:sz="4" w:space="0" w:color="auto"/>
            </w:tcBorders>
            <w:vAlign w:val="center"/>
            <w:hideMark/>
          </w:tcPr>
          <w:p w14:paraId="4E1BCE07"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2160" w:type="dxa"/>
            <w:tcBorders>
              <w:top w:val="nil"/>
              <w:left w:val="nil"/>
              <w:bottom w:val="nil"/>
              <w:right w:val="single" w:sz="4" w:space="0" w:color="auto"/>
            </w:tcBorders>
            <w:vAlign w:val="center"/>
            <w:hideMark/>
          </w:tcPr>
          <w:p w14:paraId="1BBBBA4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2520" w:type="dxa"/>
            <w:tcBorders>
              <w:top w:val="nil"/>
              <w:left w:val="nil"/>
              <w:bottom w:val="nil"/>
              <w:right w:val="single" w:sz="4" w:space="0" w:color="auto"/>
            </w:tcBorders>
            <w:vAlign w:val="center"/>
            <w:hideMark/>
          </w:tcPr>
          <w:p w14:paraId="0BE650E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r>
      <w:tr w:rsidR="00C22FC1" w:rsidRPr="00C22FC1" w14:paraId="3CC20110" w14:textId="77777777" w:rsidTr="00C22FC1">
        <w:trPr>
          <w:trHeight w:val="245"/>
          <w:jc w:val="center"/>
        </w:trPr>
        <w:tc>
          <w:tcPr>
            <w:tcW w:w="2410" w:type="dxa"/>
            <w:vMerge w:val="restart"/>
            <w:tcBorders>
              <w:top w:val="nil"/>
              <w:left w:val="single" w:sz="4" w:space="0" w:color="auto"/>
              <w:bottom w:val="nil"/>
              <w:right w:val="single" w:sz="4" w:space="0" w:color="auto"/>
            </w:tcBorders>
            <w:vAlign w:val="center"/>
            <w:hideMark/>
          </w:tcPr>
          <w:p w14:paraId="0C71B3D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Danos</w:t>
            </w:r>
          </w:p>
        </w:tc>
        <w:tc>
          <w:tcPr>
            <w:tcW w:w="3240" w:type="dxa"/>
            <w:tcBorders>
              <w:top w:val="nil"/>
              <w:left w:val="nil"/>
              <w:bottom w:val="nil"/>
              <w:right w:val="single" w:sz="4" w:space="0" w:color="auto"/>
            </w:tcBorders>
            <w:vAlign w:val="center"/>
            <w:hideMark/>
          </w:tcPr>
          <w:p w14:paraId="010CFA61"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Abaixo de 4.143.500</w:t>
            </w:r>
          </w:p>
        </w:tc>
        <w:tc>
          <w:tcPr>
            <w:tcW w:w="2160" w:type="dxa"/>
            <w:tcBorders>
              <w:top w:val="nil"/>
              <w:left w:val="nil"/>
              <w:bottom w:val="nil"/>
              <w:right w:val="single" w:sz="4" w:space="0" w:color="auto"/>
            </w:tcBorders>
            <w:vAlign w:val="center"/>
            <w:hideMark/>
          </w:tcPr>
          <w:p w14:paraId="69EE025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16.242,52</w:t>
            </w:r>
          </w:p>
        </w:tc>
        <w:tc>
          <w:tcPr>
            <w:tcW w:w="2520" w:type="dxa"/>
            <w:tcBorders>
              <w:top w:val="nil"/>
              <w:left w:val="nil"/>
              <w:bottom w:val="nil"/>
              <w:right w:val="single" w:sz="4" w:space="0" w:color="auto"/>
            </w:tcBorders>
            <w:vAlign w:val="center"/>
            <w:hideMark/>
          </w:tcPr>
          <w:p w14:paraId="6ADD097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812,14</w:t>
            </w:r>
          </w:p>
        </w:tc>
      </w:tr>
      <w:tr w:rsidR="00C22FC1" w:rsidRPr="00C22FC1" w14:paraId="16263B50" w14:textId="77777777" w:rsidTr="00C22FC1">
        <w:trPr>
          <w:trHeight w:val="245"/>
          <w:jc w:val="center"/>
        </w:trPr>
        <w:tc>
          <w:tcPr>
            <w:tcW w:w="0" w:type="auto"/>
            <w:vMerge/>
            <w:tcBorders>
              <w:top w:val="nil"/>
              <w:left w:val="single" w:sz="4" w:space="0" w:color="auto"/>
              <w:bottom w:val="nil"/>
              <w:right w:val="single" w:sz="4" w:space="0" w:color="auto"/>
            </w:tcBorders>
            <w:vAlign w:val="center"/>
            <w:hideMark/>
          </w:tcPr>
          <w:p w14:paraId="79AF9801"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60674C5B"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4.143.500 a 16.574.000</w:t>
            </w:r>
          </w:p>
        </w:tc>
        <w:tc>
          <w:tcPr>
            <w:tcW w:w="2160" w:type="dxa"/>
            <w:tcBorders>
              <w:top w:val="nil"/>
              <w:left w:val="nil"/>
              <w:bottom w:val="nil"/>
              <w:right w:val="single" w:sz="4" w:space="0" w:color="auto"/>
            </w:tcBorders>
            <w:vAlign w:val="center"/>
            <w:hideMark/>
          </w:tcPr>
          <w:p w14:paraId="75E931C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32.485,04</w:t>
            </w:r>
          </w:p>
        </w:tc>
        <w:tc>
          <w:tcPr>
            <w:tcW w:w="2520" w:type="dxa"/>
            <w:tcBorders>
              <w:top w:val="nil"/>
              <w:left w:val="nil"/>
              <w:bottom w:val="nil"/>
              <w:right w:val="single" w:sz="4" w:space="0" w:color="auto"/>
            </w:tcBorders>
            <w:vAlign w:val="center"/>
            <w:hideMark/>
          </w:tcPr>
          <w:p w14:paraId="0E27564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1.624,25</w:t>
            </w:r>
          </w:p>
        </w:tc>
      </w:tr>
      <w:tr w:rsidR="00C22FC1" w:rsidRPr="00C22FC1" w14:paraId="26DEFAA2" w14:textId="77777777" w:rsidTr="00C22FC1">
        <w:trPr>
          <w:trHeight w:val="245"/>
          <w:jc w:val="center"/>
        </w:trPr>
        <w:tc>
          <w:tcPr>
            <w:tcW w:w="0" w:type="auto"/>
            <w:vMerge/>
            <w:tcBorders>
              <w:top w:val="nil"/>
              <w:left w:val="single" w:sz="4" w:space="0" w:color="auto"/>
              <w:bottom w:val="nil"/>
              <w:right w:val="single" w:sz="4" w:space="0" w:color="auto"/>
            </w:tcBorders>
            <w:vAlign w:val="center"/>
            <w:hideMark/>
          </w:tcPr>
          <w:p w14:paraId="53BE2B27"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418A4EC2"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16.574.000 a 82.700.000</w:t>
            </w:r>
          </w:p>
        </w:tc>
        <w:tc>
          <w:tcPr>
            <w:tcW w:w="2160" w:type="dxa"/>
            <w:tcBorders>
              <w:top w:val="nil"/>
              <w:left w:val="nil"/>
              <w:bottom w:val="nil"/>
              <w:right w:val="single" w:sz="4" w:space="0" w:color="auto"/>
            </w:tcBorders>
            <w:vAlign w:val="center"/>
            <w:hideMark/>
          </w:tcPr>
          <w:p w14:paraId="71FC4F4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64.970,08</w:t>
            </w:r>
          </w:p>
        </w:tc>
        <w:tc>
          <w:tcPr>
            <w:tcW w:w="2520" w:type="dxa"/>
            <w:tcBorders>
              <w:top w:val="nil"/>
              <w:left w:val="nil"/>
              <w:bottom w:val="nil"/>
              <w:right w:val="single" w:sz="4" w:space="0" w:color="auto"/>
            </w:tcBorders>
            <w:vAlign w:val="center"/>
            <w:hideMark/>
          </w:tcPr>
          <w:p w14:paraId="777A38B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3.248,50</w:t>
            </w:r>
          </w:p>
        </w:tc>
      </w:tr>
      <w:tr w:rsidR="00C22FC1" w:rsidRPr="00C22FC1" w14:paraId="36379306" w14:textId="77777777" w:rsidTr="00C22FC1">
        <w:trPr>
          <w:trHeight w:val="245"/>
          <w:jc w:val="center"/>
        </w:trPr>
        <w:tc>
          <w:tcPr>
            <w:tcW w:w="0" w:type="auto"/>
            <w:vMerge/>
            <w:tcBorders>
              <w:top w:val="nil"/>
              <w:left w:val="single" w:sz="4" w:space="0" w:color="auto"/>
              <w:bottom w:val="nil"/>
              <w:right w:val="single" w:sz="4" w:space="0" w:color="auto"/>
            </w:tcBorders>
            <w:vAlign w:val="center"/>
            <w:hideMark/>
          </w:tcPr>
          <w:p w14:paraId="5341E235"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218FDE6D"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82.700.000 a 248.610.000</w:t>
            </w:r>
          </w:p>
        </w:tc>
        <w:tc>
          <w:tcPr>
            <w:tcW w:w="2160" w:type="dxa"/>
            <w:tcBorders>
              <w:top w:val="nil"/>
              <w:left w:val="nil"/>
              <w:bottom w:val="nil"/>
              <w:right w:val="single" w:sz="4" w:space="0" w:color="auto"/>
            </w:tcBorders>
            <w:vAlign w:val="center"/>
            <w:hideMark/>
          </w:tcPr>
          <w:p w14:paraId="2754C6E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129.940,16</w:t>
            </w:r>
          </w:p>
        </w:tc>
        <w:tc>
          <w:tcPr>
            <w:tcW w:w="2520" w:type="dxa"/>
            <w:tcBorders>
              <w:top w:val="nil"/>
              <w:left w:val="nil"/>
              <w:bottom w:val="nil"/>
              <w:right w:val="single" w:sz="4" w:space="0" w:color="auto"/>
            </w:tcBorders>
            <w:vAlign w:val="center"/>
            <w:hideMark/>
          </w:tcPr>
          <w:p w14:paraId="7A5F547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6.497,01</w:t>
            </w:r>
          </w:p>
        </w:tc>
      </w:tr>
      <w:tr w:rsidR="00C22FC1" w:rsidRPr="00C22FC1" w14:paraId="0E830BE2" w14:textId="77777777" w:rsidTr="00C22FC1">
        <w:trPr>
          <w:trHeight w:val="245"/>
          <w:jc w:val="center"/>
        </w:trPr>
        <w:tc>
          <w:tcPr>
            <w:tcW w:w="0" w:type="auto"/>
            <w:vMerge/>
            <w:tcBorders>
              <w:top w:val="nil"/>
              <w:left w:val="single" w:sz="4" w:space="0" w:color="auto"/>
              <w:bottom w:val="nil"/>
              <w:right w:val="single" w:sz="4" w:space="0" w:color="auto"/>
            </w:tcBorders>
            <w:vAlign w:val="center"/>
            <w:hideMark/>
          </w:tcPr>
          <w:p w14:paraId="0D101F88"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3E96496C"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248.610.000 a 745.830.000</w:t>
            </w:r>
          </w:p>
        </w:tc>
        <w:tc>
          <w:tcPr>
            <w:tcW w:w="2160" w:type="dxa"/>
            <w:tcBorders>
              <w:top w:val="nil"/>
              <w:left w:val="nil"/>
              <w:bottom w:val="nil"/>
              <w:right w:val="single" w:sz="4" w:space="0" w:color="auto"/>
            </w:tcBorders>
            <w:vAlign w:val="center"/>
            <w:hideMark/>
          </w:tcPr>
          <w:p w14:paraId="268B83B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153.143,76</w:t>
            </w:r>
          </w:p>
        </w:tc>
        <w:tc>
          <w:tcPr>
            <w:tcW w:w="2520" w:type="dxa"/>
            <w:tcBorders>
              <w:top w:val="nil"/>
              <w:left w:val="nil"/>
              <w:bottom w:val="nil"/>
              <w:right w:val="single" w:sz="4" w:space="0" w:color="auto"/>
            </w:tcBorders>
            <w:vAlign w:val="center"/>
            <w:hideMark/>
          </w:tcPr>
          <w:p w14:paraId="5149926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7.657,19</w:t>
            </w:r>
          </w:p>
        </w:tc>
      </w:tr>
      <w:tr w:rsidR="00C22FC1" w:rsidRPr="00C22FC1" w14:paraId="32477A94" w14:textId="77777777" w:rsidTr="00C22FC1">
        <w:trPr>
          <w:trHeight w:val="245"/>
          <w:jc w:val="center"/>
        </w:trPr>
        <w:tc>
          <w:tcPr>
            <w:tcW w:w="0" w:type="auto"/>
            <w:vMerge/>
            <w:tcBorders>
              <w:top w:val="nil"/>
              <w:left w:val="single" w:sz="4" w:space="0" w:color="auto"/>
              <w:bottom w:val="nil"/>
              <w:right w:val="single" w:sz="4" w:space="0" w:color="auto"/>
            </w:tcBorders>
            <w:vAlign w:val="center"/>
            <w:hideMark/>
          </w:tcPr>
          <w:p w14:paraId="546B9DFD"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3F98D84A"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745.830.000</w:t>
            </w:r>
          </w:p>
        </w:tc>
        <w:tc>
          <w:tcPr>
            <w:tcW w:w="2160" w:type="dxa"/>
            <w:tcBorders>
              <w:top w:val="nil"/>
              <w:left w:val="nil"/>
              <w:bottom w:val="nil"/>
              <w:right w:val="single" w:sz="4" w:space="0" w:color="auto"/>
            </w:tcBorders>
            <w:vAlign w:val="center"/>
            <w:hideMark/>
          </w:tcPr>
          <w:p w14:paraId="65AE5F8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176.347,36</w:t>
            </w:r>
          </w:p>
        </w:tc>
        <w:tc>
          <w:tcPr>
            <w:tcW w:w="2520" w:type="dxa"/>
            <w:tcBorders>
              <w:top w:val="nil"/>
              <w:left w:val="nil"/>
              <w:bottom w:val="nil"/>
              <w:right w:val="single" w:sz="4" w:space="0" w:color="auto"/>
            </w:tcBorders>
            <w:vAlign w:val="center"/>
            <w:hideMark/>
          </w:tcPr>
          <w:p w14:paraId="6D92C2C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8.817,37</w:t>
            </w:r>
          </w:p>
        </w:tc>
      </w:tr>
      <w:tr w:rsidR="00C22FC1" w:rsidRPr="00C22FC1" w14:paraId="5A59286E" w14:textId="77777777" w:rsidTr="00C22FC1">
        <w:trPr>
          <w:trHeight w:val="245"/>
          <w:jc w:val="center"/>
        </w:trPr>
        <w:tc>
          <w:tcPr>
            <w:tcW w:w="2410" w:type="dxa"/>
            <w:tcBorders>
              <w:top w:val="nil"/>
              <w:left w:val="single" w:sz="4" w:space="0" w:color="auto"/>
              <w:bottom w:val="nil"/>
              <w:right w:val="single" w:sz="4" w:space="0" w:color="auto"/>
            </w:tcBorders>
            <w:vAlign w:val="center"/>
            <w:hideMark/>
          </w:tcPr>
          <w:p w14:paraId="7B36466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3240" w:type="dxa"/>
            <w:tcBorders>
              <w:top w:val="nil"/>
              <w:left w:val="nil"/>
              <w:bottom w:val="nil"/>
              <w:right w:val="single" w:sz="4" w:space="0" w:color="auto"/>
            </w:tcBorders>
            <w:vAlign w:val="center"/>
            <w:hideMark/>
          </w:tcPr>
          <w:p w14:paraId="6C388216"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2160" w:type="dxa"/>
            <w:tcBorders>
              <w:top w:val="nil"/>
              <w:left w:val="nil"/>
              <w:bottom w:val="nil"/>
              <w:right w:val="single" w:sz="4" w:space="0" w:color="auto"/>
            </w:tcBorders>
            <w:vAlign w:val="center"/>
            <w:hideMark/>
          </w:tcPr>
          <w:p w14:paraId="4EE372B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2520" w:type="dxa"/>
            <w:tcBorders>
              <w:top w:val="nil"/>
              <w:left w:val="nil"/>
              <w:bottom w:val="nil"/>
              <w:right w:val="single" w:sz="4" w:space="0" w:color="auto"/>
            </w:tcBorders>
            <w:vAlign w:val="center"/>
            <w:hideMark/>
          </w:tcPr>
          <w:p w14:paraId="06B49F8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r>
      <w:tr w:rsidR="00C22FC1" w:rsidRPr="00C22FC1" w14:paraId="632CBDA7" w14:textId="77777777" w:rsidTr="00C22FC1">
        <w:trPr>
          <w:trHeight w:val="245"/>
          <w:jc w:val="center"/>
        </w:trPr>
        <w:tc>
          <w:tcPr>
            <w:tcW w:w="2410" w:type="dxa"/>
            <w:vMerge w:val="restart"/>
            <w:tcBorders>
              <w:top w:val="nil"/>
              <w:left w:val="single" w:sz="4" w:space="0" w:color="auto"/>
              <w:bottom w:val="nil"/>
              <w:right w:val="single" w:sz="4" w:space="0" w:color="auto"/>
            </w:tcBorders>
            <w:vAlign w:val="center"/>
            <w:hideMark/>
          </w:tcPr>
          <w:p w14:paraId="2970DFC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Todos os Ramos</w:t>
            </w:r>
          </w:p>
        </w:tc>
        <w:tc>
          <w:tcPr>
            <w:tcW w:w="3240" w:type="dxa"/>
            <w:tcBorders>
              <w:top w:val="nil"/>
              <w:left w:val="nil"/>
              <w:bottom w:val="nil"/>
              <w:right w:val="single" w:sz="4" w:space="0" w:color="auto"/>
            </w:tcBorders>
            <w:vAlign w:val="center"/>
            <w:hideMark/>
          </w:tcPr>
          <w:p w14:paraId="6A448FC8"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Abaixo de 4.143.500</w:t>
            </w:r>
          </w:p>
        </w:tc>
        <w:tc>
          <w:tcPr>
            <w:tcW w:w="2160" w:type="dxa"/>
            <w:tcBorders>
              <w:top w:val="nil"/>
              <w:left w:val="nil"/>
              <w:bottom w:val="nil"/>
              <w:right w:val="single" w:sz="4" w:space="0" w:color="auto"/>
            </w:tcBorders>
            <w:vAlign w:val="center"/>
            <w:hideMark/>
          </w:tcPr>
          <w:p w14:paraId="634CCCF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32.485,04</w:t>
            </w:r>
          </w:p>
        </w:tc>
        <w:tc>
          <w:tcPr>
            <w:tcW w:w="2520" w:type="dxa"/>
            <w:tcBorders>
              <w:top w:val="nil"/>
              <w:left w:val="nil"/>
              <w:bottom w:val="nil"/>
              <w:right w:val="single" w:sz="4" w:space="0" w:color="auto"/>
            </w:tcBorders>
            <w:vAlign w:val="center"/>
            <w:hideMark/>
          </w:tcPr>
          <w:p w14:paraId="1460DDE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1.624,28</w:t>
            </w:r>
          </w:p>
        </w:tc>
      </w:tr>
      <w:tr w:rsidR="00C22FC1" w:rsidRPr="00C22FC1" w14:paraId="18CE1E36" w14:textId="77777777" w:rsidTr="00C22FC1">
        <w:trPr>
          <w:trHeight w:val="245"/>
          <w:jc w:val="center"/>
        </w:trPr>
        <w:tc>
          <w:tcPr>
            <w:tcW w:w="0" w:type="auto"/>
            <w:vMerge/>
            <w:tcBorders>
              <w:top w:val="nil"/>
              <w:left w:val="single" w:sz="4" w:space="0" w:color="auto"/>
              <w:bottom w:val="nil"/>
              <w:right w:val="single" w:sz="4" w:space="0" w:color="auto"/>
            </w:tcBorders>
            <w:vAlign w:val="center"/>
            <w:hideMark/>
          </w:tcPr>
          <w:p w14:paraId="4674A35B"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03ABC549"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4.143.500 a 16.574.000</w:t>
            </w:r>
          </w:p>
        </w:tc>
        <w:tc>
          <w:tcPr>
            <w:tcW w:w="2160" w:type="dxa"/>
            <w:tcBorders>
              <w:top w:val="nil"/>
              <w:left w:val="nil"/>
              <w:bottom w:val="nil"/>
              <w:right w:val="single" w:sz="4" w:space="0" w:color="auto"/>
            </w:tcBorders>
            <w:vAlign w:val="center"/>
            <w:hideMark/>
          </w:tcPr>
          <w:p w14:paraId="6FBC323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64.970,08</w:t>
            </w:r>
          </w:p>
        </w:tc>
        <w:tc>
          <w:tcPr>
            <w:tcW w:w="2520" w:type="dxa"/>
            <w:tcBorders>
              <w:top w:val="nil"/>
              <w:left w:val="nil"/>
              <w:bottom w:val="nil"/>
              <w:right w:val="single" w:sz="4" w:space="0" w:color="auto"/>
            </w:tcBorders>
            <w:vAlign w:val="center"/>
            <w:hideMark/>
          </w:tcPr>
          <w:p w14:paraId="21DF911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3.248,50</w:t>
            </w:r>
          </w:p>
        </w:tc>
      </w:tr>
      <w:tr w:rsidR="00C22FC1" w:rsidRPr="00C22FC1" w14:paraId="5E5D7C13" w14:textId="77777777" w:rsidTr="00C22FC1">
        <w:trPr>
          <w:trHeight w:val="245"/>
          <w:jc w:val="center"/>
        </w:trPr>
        <w:tc>
          <w:tcPr>
            <w:tcW w:w="0" w:type="auto"/>
            <w:vMerge/>
            <w:tcBorders>
              <w:top w:val="nil"/>
              <w:left w:val="single" w:sz="4" w:space="0" w:color="auto"/>
              <w:bottom w:val="nil"/>
              <w:right w:val="single" w:sz="4" w:space="0" w:color="auto"/>
            </w:tcBorders>
            <w:vAlign w:val="center"/>
            <w:hideMark/>
          </w:tcPr>
          <w:p w14:paraId="3669C4F3"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12B5751F"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16.574.000 a 82.700.000</w:t>
            </w:r>
          </w:p>
        </w:tc>
        <w:tc>
          <w:tcPr>
            <w:tcW w:w="2160" w:type="dxa"/>
            <w:tcBorders>
              <w:top w:val="nil"/>
              <w:left w:val="nil"/>
              <w:bottom w:val="nil"/>
              <w:right w:val="single" w:sz="4" w:space="0" w:color="auto"/>
            </w:tcBorders>
            <w:vAlign w:val="center"/>
            <w:hideMark/>
          </w:tcPr>
          <w:p w14:paraId="565AEDB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129.940,16</w:t>
            </w:r>
          </w:p>
        </w:tc>
        <w:tc>
          <w:tcPr>
            <w:tcW w:w="2520" w:type="dxa"/>
            <w:tcBorders>
              <w:top w:val="nil"/>
              <w:left w:val="nil"/>
              <w:bottom w:val="nil"/>
              <w:right w:val="single" w:sz="4" w:space="0" w:color="auto"/>
            </w:tcBorders>
            <w:vAlign w:val="center"/>
            <w:hideMark/>
          </w:tcPr>
          <w:p w14:paraId="795F76C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6.497,01</w:t>
            </w:r>
          </w:p>
        </w:tc>
      </w:tr>
      <w:tr w:rsidR="00C22FC1" w:rsidRPr="00C22FC1" w14:paraId="656EB760" w14:textId="77777777" w:rsidTr="00C22FC1">
        <w:trPr>
          <w:trHeight w:val="245"/>
          <w:jc w:val="center"/>
        </w:trPr>
        <w:tc>
          <w:tcPr>
            <w:tcW w:w="0" w:type="auto"/>
            <w:vMerge/>
            <w:tcBorders>
              <w:top w:val="nil"/>
              <w:left w:val="single" w:sz="4" w:space="0" w:color="auto"/>
              <w:bottom w:val="nil"/>
              <w:right w:val="single" w:sz="4" w:space="0" w:color="auto"/>
            </w:tcBorders>
            <w:vAlign w:val="center"/>
            <w:hideMark/>
          </w:tcPr>
          <w:p w14:paraId="436DCA6E"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65FBBC85"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82.700.000 a 248.610.000</w:t>
            </w:r>
          </w:p>
        </w:tc>
        <w:tc>
          <w:tcPr>
            <w:tcW w:w="2160" w:type="dxa"/>
            <w:tcBorders>
              <w:top w:val="nil"/>
              <w:left w:val="nil"/>
              <w:bottom w:val="nil"/>
              <w:right w:val="single" w:sz="4" w:space="0" w:color="auto"/>
            </w:tcBorders>
            <w:vAlign w:val="center"/>
            <w:hideMark/>
          </w:tcPr>
          <w:p w14:paraId="057C1D0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258.880,32</w:t>
            </w:r>
          </w:p>
        </w:tc>
        <w:tc>
          <w:tcPr>
            <w:tcW w:w="2520" w:type="dxa"/>
            <w:tcBorders>
              <w:top w:val="nil"/>
              <w:left w:val="nil"/>
              <w:bottom w:val="nil"/>
              <w:right w:val="single" w:sz="4" w:space="0" w:color="auto"/>
            </w:tcBorders>
            <w:vAlign w:val="center"/>
            <w:hideMark/>
          </w:tcPr>
          <w:p w14:paraId="057144F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12.994,02</w:t>
            </w:r>
          </w:p>
        </w:tc>
      </w:tr>
      <w:tr w:rsidR="00C22FC1" w:rsidRPr="00C22FC1" w14:paraId="2C8FE19D" w14:textId="77777777" w:rsidTr="00C22FC1">
        <w:trPr>
          <w:trHeight w:val="245"/>
          <w:jc w:val="center"/>
        </w:trPr>
        <w:tc>
          <w:tcPr>
            <w:tcW w:w="0" w:type="auto"/>
            <w:vMerge/>
            <w:tcBorders>
              <w:top w:val="nil"/>
              <w:left w:val="single" w:sz="4" w:space="0" w:color="auto"/>
              <w:bottom w:val="nil"/>
              <w:right w:val="single" w:sz="4" w:space="0" w:color="auto"/>
            </w:tcBorders>
            <w:vAlign w:val="center"/>
            <w:hideMark/>
          </w:tcPr>
          <w:p w14:paraId="637DD84E"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6DE020E5"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248.610.000 a 745.830.000</w:t>
            </w:r>
          </w:p>
        </w:tc>
        <w:tc>
          <w:tcPr>
            <w:tcW w:w="2160" w:type="dxa"/>
            <w:tcBorders>
              <w:top w:val="nil"/>
              <w:left w:val="nil"/>
              <w:bottom w:val="nil"/>
              <w:right w:val="single" w:sz="4" w:space="0" w:color="auto"/>
            </w:tcBorders>
            <w:vAlign w:val="center"/>
            <w:hideMark/>
          </w:tcPr>
          <w:p w14:paraId="4A5AD4F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306.287,52</w:t>
            </w:r>
          </w:p>
        </w:tc>
        <w:tc>
          <w:tcPr>
            <w:tcW w:w="2520" w:type="dxa"/>
            <w:tcBorders>
              <w:top w:val="nil"/>
              <w:left w:val="nil"/>
              <w:bottom w:val="nil"/>
              <w:right w:val="single" w:sz="4" w:space="0" w:color="auto"/>
            </w:tcBorders>
            <w:vAlign w:val="center"/>
            <w:hideMark/>
          </w:tcPr>
          <w:p w14:paraId="19AA126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15.314,38</w:t>
            </w:r>
          </w:p>
        </w:tc>
      </w:tr>
      <w:tr w:rsidR="00C22FC1" w:rsidRPr="00C22FC1" w14:paraId="433203B5" w14:textId="77777777" w:rsidTr="00C22FC1">
        <w:trPr>
          <w:trHeight w:val="245"/>
          <w:jc w:val="center"/>
        </w:trPr>
        <w:tc>
          <w:tcPr>
            <w:tcW w:w="0" w:type="auto"/>
            <w:vMerge/>
            <w:tcBorders>
              <w:top w:val="nil"/>
              <w:left w:val="single" w:sz="4" w:space="0" w:color="auto"/>
              <w:bottom w:val="nil"/>
              <w:right w:val="single" w:sz="4" w:space="0" w:color="auto"/>
            </w:tcBorders>
            <w:vAlign w:val="center"/>
            <w:hideMark/>
          </w:tcPr>
          <w:p w14:paraId="26CF1DBA"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72B42C4D"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745.830.000</w:t>
            </w:r>
          </w:p>
        </w:tc>
        <w:tc>
          <w:tcPr>
            <w:tcW w:w="2160" w:type="dxa"/>
            <w:tcBorders>
              <w:top w:val="nil"/>
              <w:left w:val="nil"/>
              <w:bottom w:val="nil"/>
              <w:right w:val="single" w:sz="4" w:space="0" w:color="auto"/>
            </w:tcBorders>
            <w:vAlign w:val="center"/>
            <w:hideMark/>
          </w:tcPr>
          <w:p w14:paraId="05148DF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352.694,72</w:t>
            </w:r>
          </w:p>
        </w:tc>
        <w:tc>
          <w:tcPr>
            <w:tcW w:w="2520" w:type="dxa"/>
            <w:tcBorders>
              <w:top w:val="nil"/>
              <w:left w:val="nil"/>
              <w:bottom w:val="nil"/>
              <w:right w:val="single" w:sz="4" w:space="0" w:color="auto"/>
            </w:tcBorders>
            <w:vAlign w:val="center"/>
            <w:hideMark/>
          </w:tcPr>
          <w:p w14:paraId="009730A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17.634,74</w:t>
            </w:r>
          </w:p>
        </w:tc>
      </w:tr>
      <w:tr w:rsidR="00C22FC1" w:rsidRPr="00C22FC1" w14:paraId="45DC6B2B" w14:textId="77777777" w:rsidTr="00C22FC1">
        <w:trPr>
          <w:trHeight w:val="245"/>
          <w:jc w:val="center"/>
        </w:trPr>
        <w:tc>
          <w:tcPr>
            <w:tcW w:w="2410" w:type="dxa"/>
            <w:tcBorders>
              <w:top w:val="nil"/>
              <w:left w:val="single" w:sz="4" w:space="0" w:color="auto"/>
              <w:bottom w:val="nil"/>
              <w:right w:val="single" w:sz="4" w:space="0" w:color="auto"/>
            </w:tcBorders>
            <w:vAlign w:val="center"/>
            <w:hideMark/>
          </w:tcPr>
          <w:p w14:paraId="70C5017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3240" w:type="dxa"/>
            <w:tcBorders>
              <w:top w:val="nil"/>
              <w:left w:val="nil"/>
              <w:bottom w:val="nil"/>
              <w:right w:val="single" w:sz="4" w:space="0" w:color="auto"/>
            </w:tcBorders>
            <w:vAlign w:val="center"/>
            <w:hideMark/>
          </w:tcPr>
          <w:p w14:paraId="50D5CE7A"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2160" w:type="dxa"/>
            <w:tcBorders>
              <w:top w:val="nil"/>
              <w:left w:val="nil"/>
              <w:bottom w:val="nil"/>
              <w:right w:val="single" w:sz="4" w:space="0" w:color="auto"/>
            </w:tcBorders>
            <w:vAlign w:val="center"/>
            <w:hideMark/>
          </w:tcPr>
          <w:p w14:paraId="355F0A9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2520" w:type="dxa"/>
            <w:tcBorders>
              <w:top w:val="nil"/>
              <w:left w:val="nil"/>
              <w:bottom w:val="nil"/>
              <w:right w:val="single" w:sz="4" w:space="0" w:color="auto"/>
            </w:tcBorders>
            <w:vAlign w:val="center"/>
            <w:hideMark/>
          </w:tcPr>
          <w:p w14:paraId="1A262EC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r>
      <w:tr w:rsidR="00C22FC1" w:rsidRPr="00C22FC1" w14:paraId="4FDF5ADA" w14:textId="77777777" w:rsidTr="00C22FC1">
        <w:trPr>
          <w:trHeight w:val="245"/>
          <w:jc w:val="center"/>
        </w:trPr>
        <w:tc>
          <w:tcPr>
            <w:tcW w:w="2410" w:type="dxa"/>
            <w:vMerge w:val="restart"/>
            <w:tcBorders>
              <w:top w:val="nil"/>
              <w:left w:val="single" w:sz="4" w:space="0" w:color="auto"/>
              <w:bottom w:val="nil"/>
              <w:right w:val="single" w:sz="4" w:space="0" w:color="auto"/>
            </w:tcBorders>
            <w:vAlign w:val="center"/>
            <w:hideMark/>
          </w:tcPr>
          <w:p w14:paraId="34082E4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Previdência Privada Aberta</w:t>
            </w:r>
          </w:p>
        </w:tc>
        <w:tc>
          <w:tcPr>
            <w:tcW w:w="3240" w:type="dxa"/>
            <w:tcBorders>
              <w:top w:val="nil"/>
              <w:left w:val="nil"/>
              <w:bottom w:val="nil"/>
              <w:right w:val="single" w:sz="4" w:space="0" w:color="auto"/>
            </w:tcBorders>
            <w:vAlign w:val="center"/>
            <w:hideMark/>
          </w:tcPr>
          <w:p w14:paraId="38E45BF2"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Abaixo de 4.143.500</w:t>
            </w:r>
          </w:p>
        </w:tc>
        <w:tc>
          <w:tcPr>
            <w:tcW w:w="2160" w:type="dxa"/>
            <w:tcBorders>
              <w:top w:val="nil"/>
              <w:left w:val="nil"/>
              <w:bottom w:val="nil"/>
              <w:right w:val="single" w:sz="4" w:space="0" w:color="auto"/>
            </w:tcBorders>
            <w:vAlign w:val="center"/>
            <w:hideMark/>
          </w:tcPr>
          <w:p w14:paraId="2BA819F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10.557,64</w:t>
            </w:r>
          </w:p>
        </w:tc>
        <w:tc>
          <w:tcPr>
            <w:tcW w:w="2520" w:type="dxa"/>
            <w:tcBorders>
              <w:top w:val="nil"/>
              <w:left w:val="nil"/>
              <w:bottom w:val="nil"/>
              <w:right w:val="single" w:sz="4" w:space="0" w:color="auto"/>
            </w:tcBorders>
            <w:vAlign w:val="center"/>
            <w:hideMark/>
          </w:tcPr>
          <w:p w14:paraId="6AF83A3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527,89</w:t>
            </w:r>
          </w:p>
        </w:tc>
      </w:tr>
      <w:tr w:rsidR="00C22FC1" w:rsidRPr="00C22FC1" w14:paraId="12F16B27" w14:textId="77777777" w:rsidTr="00C22FC1">
        <w:trPr>
          <w:trHeight w:val="245"/>
          <w:jc w:val="center"/>
        </w:trPr>
        <w:tc>
          <w:tcPr>
            <w:tcW w:w="0" w:type="auto"/>
            <w:vMerge/>
            <w:tcBorders>
              <w:top w:val="nil"/>
              <w:left w:val="single" w:sz="4" w:space="0" w:color="auto"/>
              <w:bottom w:val="nil"/>
              <w:right w:val="single" w:sz="4" w:space="0" w:color="auto"/>
            </w:tcBorders>
            <w:vAlign w:val="center"/>
            <w:hideMark/>
          </w:tcPr>
          <w:p w14:paraId="46AD40A0"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7F951562"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4.143.500 a 16.574.000</w:t>
            </w:r>
          </w:p>
        </w:tc>
        <w:tc>
          <w:tcPr>
            <w:tcW w:w="2160" w:type="dxa"/>
            <w:tcBorders>
              <w:top w:val="nil"/>
              <w:left w:val="nil"/>
              <w:bottom w:val="nil"/>
              <w:right w:val="single" w:sz="4" w:space="0" w:color="auto"/>
            </w:tcBorders>
            <w:vAlign w:val="center"/>
            <w:hideMark/>
          </w:tcPr>
          <w:p w14:paraId="156259F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22.739,53</w:t>
            </w:r>
          </w:p>
        </w:tc>
        <w:tc>
          <w:tcPr>
            <w:tcW w:w="2520" w:type="dxa"/>
            <w:tcBorders>
              <w:top w:val="nil"/>
              <w:left w:val="nil"/>
              <w:bottom w:val="nil"/>
              <w:right w:val="single" w:sz="4" w:space="0" w:color="auto"/>
            </w:tcBorders>
            <w:vAlign w:val="center"/>
            <w:hideMark/>
          </w:tcPr>
          <w:p w14:paraId="792170C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1.136,98</w:t>
            </w:r>
          </w:p>
        </w:tc>
      </w:tr>
      <w:tr w:rsidR="00C22FC1" w:rsidRPr="00C22FC1" w14:paraId="177D8915" w14:textId="77777777" w:rsidTr="00C22FC1">
        <w:trPr>
          <w:trHeight w:val="257"/>
          <w:jc w:val="center"/>
        </w:trPr>
        <w:tc>
          <w:tcPr>
            <w:tcW w:w="0" w:type="auto"/>
            <w:vMerge/>
            <w:tcBorders>
              <w:top w:val="nil"/>
              <w:left w:val="single" w:sz="4" w:space="0" w:color="auto"/>
              <w:bottom w:val="nil"/>
              <w:right w:val="single" w:sz="4" w:space="0" w:color="auto"/>
            </w:tcBorders>
            <w:vAlign w:val="center"/>
            <w:hideMark/>
          </w:tcPr>
          <w:p w14:paraId="52A86240"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20CE1C1A"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16.574.000 a 82.700.000</w:t>
            </w:r>
          </w:p>
        </w:tc>
        <w:tc>
          <w:tcPr>
            <w:tcW w:w="2160" w:type="dxa"/>
            <w:tcBorders>
              <w:top w:val="nil"/>
              <w:left w:val="nil"/>
              <w:bottom w:val="nil"/>
              <w:right w:val="single" w:sz="4" w:space="0" w:color="auto"/>
            </w:tcBorders>
            <w:vAlign w:val="center"/>
            <w:hideMark/>
          </w:tcPr>
          <w:p w14:paraId="1E18C5A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48.727,56</w:t>
            </w:r>
          </w:p>
        </w:tc>
        <w:tc>
          <w:tcPr>
            <w:tcW w:w="2520" w:type="dxa"/>
            <w:tcBorders>
              <w:top w:val="nil"/>
              <w:left w:val="nil"/>
              <w:bottom w:val="nil"/>
              <w:right w:val="single" w:sz="4" w:space="0" w:color="auto"/>
            </w:tcBorders>
            <w:vAlign w:val="center"/>
            <w:hideMark/>
          </w:tcPr>
          <w:p w14:paraId="3764221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2.436,38</w:t>
            </w:r>
          </w:p>
        </w:tc>
      </w:tr>
      <w:tr w:rsidR="00C22FC1" w:rsidRPr="00C22FC1" w14:paraId="2759EA00" w14:textId="77777777" w:rsidTr="00C22FC1">
        <w:trPr>
          <w:trHeight w:val="270"/>
          <w:jc w:val="center"/>
        </w:trPr>
        <w:tc>
          <w:tcPr>
            <w:tcW w:w="0" w:type="auto"/>
            <w:vMerge/>
            <w:tcBorders>
              <w:top w:val="nil"/>
              <w:left w:val="single" w:sz="4" w:space="0" w:color="auto"/>
              <w:bottom w:val="nil"/>
              <w:right w:val="single" w:sz="4" w:space="0" w:color="auto"/>
            </w:tcBorders>
            <w:vAlign w:val="center"/>
            <w:hideMark/>
          </w:tcPr>
          <w:p w14:paraId="4600963D"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1F907110"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82.700.000 a 248.610.000</w:t>
            </w:r>
          </w:p>
        </w:tc>
        <w:tc>
          <w:tcPr>
            <w:tcW w:w="2160" w:type="dxa"/>
            <w:tcBorders>
              <w:top w:val="nil"/>
              <w:left w:val="nil"/>
              <w:bottom w:val="nil"/>
              <w:right w:val="single" w:sz="4" w:space="0" w:color="auto"/>
            </w:tcBorders>
            <w:vAlign w:val="center"/>
            <w:hideMark/>
          </w:tcPr>
          <w:p w14:paraId="034E308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103.952,13</w:t>
            </w:r>
          </w:p>
        </w:tc>
        <w:tc>
          <w:tcPr>
            <w:tcW w:w="2520" w:type="dxa"/>
            <w:tcBorders>
              <w:top w:val="nil"/>
              <w:left w:val="nil"/>
              <w:bottom w:val="nil"/>
              <w:right w:val="single" w:sz="4" w:space="0" w:color="auto"/>
            </w:tcBorders>
            <w:vAlign w:val="center"/>
            <w:hideMark/>
          </w:tcPr>
          <w:p w14:paraId="69A984D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5.197,61</w:t>
            </w:r>
          </w:p>
        </w:tc>
      </w:tr>
      <w:tr w:rsidR="00C22FC1" w:rsidRPr="00C22FC1" w14:paraId="5A6FF839" w14:textId="77777777" w:rsidTr="00C22FC1">
        <w:trPr>
          <w:trHeight w:val="245"/>
          <w:jc w:val="center"/>
        </w:trPr>
        <w:tc>
          <w:tcPr>
            <w:tcW w:w="0" w:type="auto"/>
            <w:vMerge/>
            <w:tcBorders>
              <w:top w:val="nil"/>
              <w:left w:val="single" w:sz="4" w:space="0" w:color="auto"/>
              <w:bottom w:val="nil"/>
              <w:right w:val="single" w:sz="4" w:space="0" w:color="auto"/>
            </w:tcBorders>
            <w:vAlign w:val="center"/>
            <w:hideMark/>
          </w:tcPr>
          <w:p w14:paraId="3F72CDD4"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324F10F6"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248.610.000 a 745.830.000</w:t>
            </w:r>
          </w:p>
        </w:tc>
        <w:tc>
          <w:tcPr>
            <w:tcW w:w="2160" w:type="dxa"/>
            <w:tcBorders>
              <w:top w:val="nil"/>
              <w:left w:val="nil"/>
              <w:bottom w:val="nil"/>
              <w:right w:val="single" w:sz="4" w:space="0" w:color="auto"/>
            </w:tcBorders>
            <w:vAlign w:val="center"/>
            <w:hideMark/>
          </w:tcPr>
          <w:p w14:paraId="1E4A8A2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153.143,76</w:t>
            </w:r>
          </w:p>
        </w:tc>
        <w:tc>
          <w:tcPr>
            <w:tcW w:w="2520" w:type="dxa"/>
            <w:tcBorders>
              <w:top w:val="nil"/>
              <w:left w:val="nil"/>
              <w:bottom w:val="nil"/>
              <w:right w:val="single" w:sz="4" w:space="0" w:color="auto"/>
            </w:tcBorders>
            <w:vAlign w:val="center"/>
            <w:hideMark/>
          </w:tcPr>
          <w:p w14:paraId="2CA1E8E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7.657,19</w:t>
            </w:r>
          </w:p>
        </w:tc>
      </w:tr>
      <w:tr w:rsidR="00C22FC1" w:rsidRPr="00C22FC1" w14:paraId="5CA9F7C1" w14:textId="77777777" w:rsidTr="00C22FC1">
        <w:trPr>
          <w:trHeight w:val="245"/>
          <w:jc w:val="center"/>
        </w:trPr>
        <w:tc>
          <w:tcPr>
            <w:tcW w:w="0" w:type="auto"/>
            <w:vMerge/>
            <w:tcBorders>
              <w:top w:val="nil"/>
              <w:left w:val="single" w:sz="4" w:space="0" w:color="auto"/>
              <w:bottom w:val="nil"/>
              <w:right w:val="single" w:sz="4" w:space="0" w:color="auto"/>
            </w:tcBorders>
            <w:vAlign w:val="center"/>
            <w:hideMark/>
          </w:tcPr>
          <w:p w14:paraId="14927F8C"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5333D35B"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745.830.000</w:t>
            </w:r>
          </w:p>
        </w:tc>
        <w:tc>
          <w:tcPr>
            <w:tcW w:w="2160" w:type="dxa"/>
            <w:tcBorders>
              <w:top w:val="nil"/>
              <w:left w:val="nil"/>
              <w:bottom w:val="nil"/>
              <w:right w:val="single" w:sz="4" w:space="0" w:color="auto"/>
            </w:tcBorders>
            <w:vAlign w:val="center"/>
            <w:hideMark/>
          </w:tcPr>
          <w:p w14:paraId="06403E6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176.347,36</w:t>
            </w:r>
          </w:p>
        </w:tc>
        <w:tc>
          <w:tcPr>
            <w:tcW w:w="2520" w:type="dxa"/>
            <w:tcBorders>
              <w:top w:val="nil"/>
              <w:left w:val="nil"/>
              <w:bottom w:val="nil"/>
              <w:right w:val="single" w:sz="4" w:space="0" w:color="auto"/>
            </w:tcBorders>
            <w:vAlign w:val="center"/>
            <w:hideMark/>
          </w:tcPr>
          <w:p w14:paraId="69A7927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8.817,37</w:t>
            </w:r>
          </w:p>
        </w:tc>
      </w:tr>
      <w:tr w:rsidR="00C22FC1" w:rsidRPr="00C22FC1" w14:paraId="2B3AA1F2" w14:textId="77777777" w:rsidTr="00C22FC1">
        <w:trPr>
          <w:trHeight w:val="221"/>
          <w:jc w:val="center"/>
        </w:trPr>
        <w:tc>
          <w:tcPr>
            <w:tcW w:w="2410" w:type="dxa"/>
            <w:tcBorders>
              <w:top w:val="nil"/>
              <w:left w:val="single" w:sz="4" w:space="0" w:color="auto"/>
              <w:bottom w:val="nil"/>
              <w:right w:val="single" w:sz="4" w:space="0" w:color="auto"/>
            </w:tcBorders>
            <w:vAlign w:val="center"/>
            <w:hideMark/>
          </w:tcPr>
          <w:p w14:paraId="7F9286D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3240" w:type="dxa"/>
            <w:tcBorders>
              <w:top w:val="nil"/>
              <w:left w:val="nil"/>
              <w:bottom w:val="nil"/>
              <w:right w:val="single" w:sz="4" w:space="0" w:color="auto"/>
            </w:tcBorders>
            <w:vAlign w:val="center"/>
            <w:hideMark/>
          </w:tcPr>
          <w:p w14:paraId="334CF819"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2160" w:type="dxa"/>
            <w:tcBorders>
              <w:top w:val="nil"/>
              <w:left w:val="nil"/>
              <w:bottom w:val="nil"/>
              <w:right w:val="single" w:sz="4" w:space="0" w:color="auto"/>
            </w:tcBorders>
            <w:vAlign w:val="center"/>
            <w:hideMark/>
          </w:tcPr>
          <w:p w14:paraId="2AD69DE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2520" w:type="dxa"/>
            <w:tcBorders>
              <w:top w:val="nil"/>
              <w:left w:val="nil"/>
              <w:bottom w:val="nil"/>
              <w:right w:val="single" w:sz="4" w:space="0" w:color="auto"/>
            </w:tcBorders>
            <w:vAlign w:val="center"/>
            <w:hideMark/>
          </w:tcPr>
          <w:p w14:paraId="0674004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r>
      <w:tr w:rsidR="00C22FC1" w:rsidRPr="00C22FC1" w14:paraId="6697F24C" w14:textId="77777777" w:rsidTr="00C22FC1">
        <w:trPr>
          <w:trHeight w:val="221"/>
          <w:jc w:val="center"/>
        </w:trPr>
        <w:tc>
          <w:tcPr>
            <w:tcW w:w="2410" w:type="dxa"/>
            <w:vMerge w:val="restart"/>
            <w:tcBorders>
              <w:top w:val="nil"/>
              <w:left w:val="single" w:sz="4" w:space="0" w:color="auto"/>
              <w:bottom w:val="nil"/>
              <w:right w:val="single" w:sz="4" w:space="0" w:color="auto"/>
            </w:tcBorders>
            <w:vAlign w:val="center"/>
            <w:hideMark/>
          </w:tcPr>
          <w:p w14:paraId="03637CB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Capitalização</w:t>
            </w:r>
          </w:p>
        </w:tc>
        <w:tc>
          <w:tcPr>
            <w:tcW w:w="3240" w:type="dxa"/>
            <w:tcBorders>
              <w:top w:val="nil"/>
              <w:left w:val="nil"/>
              <w:bottom w:val="nil"/>
              <w:right w:val="single" w:sz="4" w:space="0" w:color="auto"/>
            </w:tcBorders>
            <w:vAlign w:val="center"/>
            <w:hideMark/>
          </w:tcPr>
          <w:p w14:paraId="1AB403A6"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Abaixo de 4.143.500</w:t>
            </w:r>
          </w:p>
        </w:tc>
        <w:tc>
          <w:tcPr>
            <w:tcW w:w="2160" w:type="dxa"/>
            <w:tcBorders>
              <w:top w:val="nil"/>
              <w:left w:val="nil"/>
              <w:bottom w:val="nil"/>
              <w:right w:val="single" w:sz="4" w:space="0" w:color="auto"/>
            </w:tcBorders>
            <w:vAlign w:val="center"/>
            <w:hideMark/>
          </w:tcPr>
          <w:p w14:paraId="06FCAD4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10.557,64</w:t>
            </w:r>
          </w:p>
        </w:tc>
        <w:tc>
          <w:tcPr>
            <w:tcW w:w="2520" w:type="dxa"/>
            <w:tcBorders>
              <w:top w:val="nil"/>
              <w:left w:val="nil"/>
              <w:bottom w:val="nil"/>
              <w:right w:val="single" w:sz="4" w:space="0" w:color="auto"/>
            </w:tcBorders>
            <w:vAlign w:val="center"/>
            <w:hideMark/>
          </w:tcPr>
          <w:p w14:paraId="268F681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527,89</w:t>
            </w:r>
          </w:p>
        </w:tc>
      </w:tr>
      <w:tr w:rsidR="00C22FC1" w:rsidRPr="00C22FC1" w14:paraId="7E633245" w14:textId="77777777" w:rsidTr="00C22FC1">
        <w:trPr>
          <w:trHeight w:val="281"/>
          <w:jc w:val="center"/>
        </w:trPr>
        <w:tc>
          <w:tcPr>
            <w:tcW w:w="0" w:type="auto"/>
            <w:vMerge/>
            <w:tcBorders>
              <w:top w:val="nil"/>
              <w:left w:val="single" w:sz="4" w:space="0" w:color="auto"/>
              <w:bottom w:val="nil"/>
              <w:right w:val="single" w:sz="4" w:space="0" w:color="auto"/>
            </w:tcBorders>
            <w:vAlign w:val="center"/>
            <w:hideMark/>
          </w:tcPr>
          <w:p w14:paraId="6E372832"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550DF728"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4.143.500 a 16.574.000</w:t>
            </w:r>
          </w:p>
        </w:tc>
        <w:tc>
          <w:tcPr>
            <w:tcW w:w="2160" w:type="dxa"/>
            <w:tcBorders>
              <w:top w:val="nil"/>
              <w:left w:val="nil"/>
              <w:bottom w:val="nil"/>
              <w:right w:val="single" w:sz="4" w:space="0" w:color="auto"/>
            </w:tcBorders>
            <w:vAlign w:val="center"/>
            <w:hideMark/>
          </w:tcPr>
          <w:p w14:paraId="13CF901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22.739,53</w:t>
            </w:r>
          </w:p>
        </w:tc>
        <w:tc>
          <w:tcPr>
            <w:tcW w:w="2520" w:type="dxa"/>
            <w:tcBorders>
              <w:top w:val="nil"/>
              <w:left w:val="nil"/>
              <w:bottom w:val="nil"/>
              <w:right w:val="single" w:sz="4" w:space="0" w:color="auto"/>
            </w:tcBorders>
            <w:vAlign w:val="center"/>
            <w:hideMark/>
          </w:tcPr>
          <w:p w14:paraId="1CD6FAE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1.136,98</w:t>
            </w:r>
          </w:p>
        </w:tc>
      </w:tr>
      <w:tr w:rsidR="00C22FC1" w:rsidRPr="00C22FC1" w14:paraId="083FDCA9" w14:textId="77777777" w:rsidTr="00C22FC1">
        <w:trPr>
          <w:trHeight w:val="257"/>
          <w:jc w:val="center"/>
        </w:trPr>
        <w:tc>
          <w:tcPr>
            <w:tcW w:w="0" w:type="auto"/>
            <w:vMerge/>
            <w:tcBorders>
              <w:top w:val="nil"/>
              <w:left w:val="single" w:sz="4" w:space="0" w:color="auto"/>
              <w:bottom w:val="nil"/>
              <w:right w:val="single" w:sz="4" w:space="0" w:color="auto"/>
            </w:tcBorders>
            <w:vAlign w:val="center"/>
            <w:hideMark/>
          </w:tcPr>
          <w:p w14:paraId="3E8C8B89"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30D1D406"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16.574.000 a 82.700.000</w:t>
            </w:r>
          </w:p>
        </w:tc>
        <w:tc>
          <w:tcPr>
            <w:tcW w:w="2160" w:type="dxa"/>
            <w:tcBorders>
              <w:top w:val="nil"/>
              <w:left w:val="nil"/>
              <w:bottom w:val="nil"/>
              <w:right w:val="single" w:sz="4" w:space="0" w:color="auto"/>
            </w:tcBorders>
            <w:vAlign w:val="center"/>
            <w:hideMark/>
          </w:tcPr>
          <w:p w14:paraId="7CBFA81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48.727,56</w:t>
            </w:r>
          </w:p>
        </w:tc>
        <w:tc>
          <w:tcPr>
            <w:tcW w:w="2520" w:type="dxa"/>
            <w:tcBorders>
              <w:top w:val="nil"/>
              <w:left w:val="nil"/>
              <w:bottom w:val="nil"/>
              <w:right w:val="single" w:sz="4" w:space="0" w:color="auto"/>
            </w:tcBorders>
            <w:vAlign w:val="center"/>
            <w:hideMark/>
          </w:tcPr>
          <w:p w14:paraId="5F9F95B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2.436,38</w:t>
            </w:r>
          </w:p>
        </w:tc>
      </w:tr>
      <w:tr w:rsidR="00C22FC1" w:rsidRPr="00C22FC1" w14:paraId="7D381B67" w14:textId="77777777" w:rsidTr="00C22FC1">
        <w:trPr>
          <w:trHeight w:val="270"/>
          <w:jc w:val="center"/>
        </w:trPr>
        <w:tc>
          <w:tcPr>
            <w:tcW w:w="0" w:type="auto"/>
            <w:vMerge/>
            <w:tcBorders>
              <w:top w:val="nil"/>
              <w:left w:val="single" w:sz="4" w:space="0" w:color="auto"/>
              <w:bottom w:val="nil"/>
              <w:right w:val="single" w:sz="4" w:space="0" w:color="auto"/>
            </w:tcBorders>
            <w:vAlign w:val="center"/>
            <w:hideMark/>
          </w:tcPr>
          <w:p w14:paraId="1500FBF1"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61CDF709"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82.700.000 a 248.610.000</w:t>
            </w:r>
          </w:p>
        </w:tc>
        <w:tc>
          <w:tcPr>
            <w:tcW w:w="2160" w:type="dxa"/>
            <w:tcBorders>
              <w:top w:val="nil"/>
              <w:left w:val="nil"/>
              <w:bottom w:val="nil"/>
              <w:right w:val="single" w:sz="4" w:space="0" w:color="auto"/>
            </w:tcBorders>
            <w:vAlign w:val="center"/>
            <w:hideMark/>
          </w:tcPr>
          <w:p w14:paraId="358AEDB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103.952,13</w:t>
            </w:r>
          </w:p>
        </w:tc>
        <w:tc>
          <w:tcPr>
            <w:tcW w:w="2520" w:type="dxa"/>
            <w:tcBorders>
              <w:top w:val="nil"/>
              <w:left w:val="nil"/>
              <w:bottom w:val="nil"/>
              <w:right w:val="single" w:sz="4" w:space="0" w:color="auto"/>
            </w:tcBorders>
            <w:vAlign w:val="center"/>
            <w:hideMark/>
          </w:tcPr>
          <w:p w14:paraId="2DCF1A7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5.197,61</w:t>
            </w:r>
          </w:p>
        </w:tc>
      </w:tr>
      <w:tr w:rsidR="00C22FC1" w:rsidRPr="00C22FC1" w14:paraId="2214B355" w14:textId="77777777" w:rsidTr="00C22FC1">
        <w:trPr>
          <w:trHeight w:val="270"/>
          <w:jc w:val="center"/>
        </w:trPr>
        <w:tc>
          <w:tcPr>
            <w:tcW w:w="0" w:type="auto"/>
            <w:vMerge/>
            <w:tcBorders>
              <w:top w:val="nil"/>
              <w:left w:val="single" w:sz="4" w:space="0" w:color="auto"/>
              <w:bottom w:val="nil"/>
              <w:right w:val="single" w:sz="4" w:space="0" w:color="auto"/>
            </w:tcBorders>
            <w:vAlign w:val="center"/>
            <w:hideMark/>
          </w:tcPr>
          <w:p w14:paraId="6C803121"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0CE9C2CA"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248.610.000 a 745.830.000</w:t>
            </w:r>
          </w:p>
        </w:tc>
        <w:tc>
          <w:tcPr>
            <w:tcW w:w="2160" w:type="dxa"/>
            <w:tcBorders>
              <w:top w:val="nil"/>
              <w:left w:val="nil"/>
              <w:bottom w:val="nil"/>
              <w:right w:val="single" w:sz="4" w:space="0" w:color="auto"/>
            </w:tcBorders>
            <w:vAlign w:val="center"/>
            <w:hideMark/>
          </w:tcPr>
          <w:p w14:paraId="7EE2865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153.143,76</w:t>
            </w:r>
          </w:p>
        </w:tc>
        <w:tc>
          <w:tcPr>
            <w:tcW w:w="2520" w:type="dxa"/>
            <w:tcBorders>
              <w:top w:val="nil"/>
              <w:left w:val="nil"/>
              <w:bottom w:val="nil"/>
              <w:right w:val="single" w:sz="4" w:space="0" w:color="auto"/>
            </w:tcBorders>
            <w:vAlign w:val="center"/>
            <w:hideMark/>
          </w:tcPr>
          <w:p w14:paraId="534891F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7.657,19</w:t>
            </w:r>
          </w:p>
        </w:tc>
      </w:tr>
      <w:tr w:rsidR="00C22FC1" w:rsidRPr="00C22FC1" w14:paraId="1AADA346" w14:textId="77777777" w:rsidTr="00C22FC1">
        <w:trPr>
          <w:trHeight w:val="270"/>
          <w:jc w:val="center"/>
        </w:trPr>
        <w:tc>
          <w:tcPr>
            <w:tcW w:w="0" w:type="auto"/>
            <w:vMerge/>
            <w:tcBorders>
              <w:top w:val="nil"/>
              <w:left w:val="single" w:sz="4" w:space="0" w:color="auto"/>
              <w:bottom w:val="nil"/>
              <w:right w:val="single" w:sz="4" w:space="0" w:color="auto"/>
            </w:tcBorders>
            <w:vAlign w:val="center"/>
            <w:hideMark/>
          </w:tcPr>
          <w:p w14:paraId="0F308E5C"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54D22807"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745.830.000</w:t>
            </w:r>
          </w:p>
        </w:tc>
        <w:tc>
          <w:tcPr>
            <w:tcW w:w="2160" w:type="dxa"/>
            <w:tcBorders>
              <w:top w:val="nil"/>
              <w:left w:val="nil"/>
              <w:bottom w:val="nil"/>
              <w:right w:val="single" w:sz="4" w:space="0" w:color="auto"/>
            </w:tcBorders>
            <w:vAlign w:val="center"/>
            <w:hideMark/>
          </w:tcPr>
          <w:p w14:paraId="1D566EC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176.347,36</w:t>
            </w:r>
          </w:p>
        </w:tc>
        <w:tc>
          <w:tcPr>
            <w:tcW w:w="2520" w:type="dxa"/>
            <w:tcBorders>
              <w:top w:val="nil"/>
              <w:left w:val="nil"/>
              <w:bottom w:val="nil"/>
              <w:right w:val="single" w:sz="4" w:space="0" w:color="auto"/>
            </w:tcBorders>
            <w:vAlign w:val="center"/>
            <w:hideMark/>
          </w:tcPr>
          <w:p w14:paraId="17E3D6A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8.817,37</w:t>
            </w:r>
          </w:p>
        </w:tc>
      </w:tr>
      <w:tr w:rsidR="00C22FC1" w:rsidRPr="00C22FC1" w14:paraId="4865DA0F" w14:textId="77777777" w:rsidTr="00C22FC1">
        <w:trPr>
          <w:trHeight w:val="270"/>
          <w:jc w:val="center"/>
        </w:trPr>
        <w:tc>
          <w:tcPr>
            <w:tcW w:w="2410" w:type="dxa"/>
            <w:tcBorders>
              <w:top w:val="nil"/>
              <w:left w:val="single" w:sz="4" w:space="0" w:color="auto"/>
              <w:bottom w:val="nil"/>
              <w:right w:val="single" w:sz="4" w:space="0" w:color="auto"/>
            </w:tcBorders>
            <w:vAlign w:val="center"/>
            <w:hideMark/>
          </w:tcPr>
          <w:p w14:paraId="125D848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3240" w:type="dxa"/>
            <w:tcBorders>
              <w:top w:val="nil"/>
              <w:left w:val="nil"/>
              <w:bottom w:val="nil"/>
              <w:right w:val="single" w:sz="4" w:space="0" w:color="auto"/>
            </w:tcBorders>
            <w:vAlign w:val="center"/>
            <w:hideMark/>
          </w:tcPr>
          <w:p w14:paraId="28B20F8D"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2160" w:type="dxa"/>
            <w:tcBorders>
              <w:top w:val="nil"/>
              <w:left w:val="nil"/>
              <w:bottom w:val="nil"/>
              <w:right w:val="single" w:sz="4" w:space="0" w:color="auto"/>
            </w:tcBorders>
            <w:vAlign w:val="center"/>
            <w:hideMark/>
          </w:tcPr>
          <w:p w14:paraId="520B6C4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2520" w:type="dxa"/>
            <w:tcBorders>
              <w:top w:val="nil"/>
              <w:left w:val="nil"/>
              <w:bottom w:val="nil"/>
              <w:right w:val="single" w:sz="4" w:space="0" w:color="auto"/>
            </w:tcBorders>
            <w:vAlign w:val="center"/>
            <w:hideMark/>
          </w:tcPr>
          <w:p w14:paraId="1B45309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r>
      <w:tr w:rsidR="00C22FC1" w:rsidRPr="00C22FC1" w14:paraId="2A5EEE91" w14:textId="77777777" w:rsidTr="00C22FC1">
        <w:trPr>
          <w:trHeight w:val="270"/>
          <w:jc w:val="center"/>
        </w:trPr>
        <w:tc>
          <w:tcPr>
            <w:tcW w:w="2410" w:type="dxa"/>
            <w:vMerge w:val="restart"/>
            <w:tcBorders>
              <w:top w:val="nil"/>
              <w:left w:val="single" w:sz="4" w:space="0" w:color="auto"/>
              <w:bottom w:val="nil"/>
              <w:right w:val="single" w:sz="4" w:space="0" w:color="auto"/>
            </w:tcBorders>
            <w:vAlign w:val="center"/>
            <w:hideMark/>
          </w:tcPr>
          <w:p w14:paraId="066B5D0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Ressegurador Local</w:t>
            </w:r>
          </w:p>
        </w:tc>
        <w:tc>
          <w:tcPr>
            <w:tcW w:w="3240" w:type="dxa"/>
            <w:tcBorders>
              <w:top w:val="nil"/>
              <w:left w:val="nil"/>
              <w:bottom w:val="nil"/>
              <w:right w:val="single" w:sz="4" w:space="0" w:color="auto"/>
            </w:tcBorders>
            <w:vAlign w:val="center"/>
            <w:hideMark/>
          </w:tcPr>
          <w:p w14:paraId="5FDD68E7"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Abaixo de 4.143.500</w:t>
            </w:r>
          </w:p>
        </w:tc>
        <w:tc>
          <w:tcPr>
            <w:tcW w:w="2160" w:type="dxa"/>
            <w:tcBorders>
              <w:top w:val="nil"/>
              <w:left w:val="nil"/>
              <w:bottom w:val="nil"/>
              <w:right w:val="single" w:sz="4" w:space="0" w:color="auto"/>
            </w:tcBorders>
            <w:vAlign w:val="center"/>
            <w:hideMark/>
          </w:tcPr>
          <w:p w14:paraId="4C0E541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48.565,61</w:t>
            </w:r>
          </w:p>
        </w:tc>
        <w:tc>
          <w:tcPr>
            <w:tcW w:w="2520" w:type="dxa"/>
            <w:tcBorders>
              <w:top w:val="nil"/>
              <w:left w:val="nil"/>
              <w:bottom w:val="nil"/>
              <w:right w:val="single" w:sz="4" w:space="0" w:color="auto"/>
            </w:tcBorders>
            <w:vAlign w:val="center"/>
            <w:hideMark/>
          </w:tcPr>
          <w:p w14:paraId="5CBBC41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r>
      <w:tr w:rsidR="00C22FC1" w:rsidRPr="00C22FC1" w14:paraId="65606005" w14:textId="77777777" w:rsidTr="00C22FC1">
        <w:trPr>
          <w:trHeight w:val="221"/>
          <w:jc w:val="center"/>
        </w:trPr>
        <w:tc>
          <w:tcPr>
            <w:tcW w:w="0" w:type="auto"/>
            <w:vMerge/>
            <w:tcBorders>
              <w:top w:val="nil"/>
              <w:left w:val="single" w:sz="4" w:space="0" w:color="auto"/>
              <w:bottom w:val="nil"/>
              <w:right w:val="single" w:sz="4" w:space="0" w:color="auto"/>
            </w:tcBorders>
            <w:vAlign w:val="center"/>
            <w:hideMark/>
          </w:tcPr>
          <w:p w14:paraId="16F2F157"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01216715"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4.143.500 a 16.574.000</w:t>
            </w:r>
          </w:p>
        </w:tc>
        <w:tc>
          <w:tcPr>
            <w:tcW w:w="2160" w:type="dxa"/>
            <w:tcBorders>
              <w:top w:val="nil"/>
              <w:left w:val="nil"/>
              <w:bottom w:val="nil"/>
              <w:right w:val="single" w:sz="4" w:space="0" w:color="auto"/>
            </w:tcBorders>
            <w:vAlign w:val="center"/>
            <w:hideMark/>
          </w:tcPr>
          <w:p w14:paraId="797C474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97.130,27</w:t>
            </w:r>
          </w:p>
        </w:tc>
        <w:tc>
          <w:tcPr>
            <w:tcW w:w="2520" w:type="dxa"/>
            <w:tcBorders>
              <w:top w:val="nil"/>
              <w:left w:val="nil"/>
              <w:bottom w:val="nil"/>
              <w:right w:val="single" w:sz="4" w:space="0" w:color="auto"/>
            </w:tcBorders>
            <w:vAlign w:val="center"/>
            <w:hideMark/>
          </w:tcPr>
          <w:p w14:paraId="2FC64C0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r>
      <w:tr w:rsidR="00C22FC1" w:rsidRPr="00C22FC1" w14:paraId="68BCB6FB" w14:textId="77777777" w:rsidTr="00C22FC1">
        <w:trPr>
          <w:trHeight w:val="245"/>
          <w:jc w:val="center"/>
        </w:trPr>
        <w:tc>
          <w:tcPr>
            <w:tcW w:w="0" w:type="auto"/>
            <w:vMerge/>
            <w:tcBorders>
              <w:top w:val="nil"/>
              <w:left w:val="single" w:sz="4" w:space="0" w:color="auto"/>
              <w:bottom w:val="nil"/>
              <w:right w:val="single" w:sz="4" w:space="0" w:color="auto"/>
            </w:tcBorders>
            <w:vAlign w:val="center"/>
            <w:hideMark/>
          </w:tcPr>
          <w:p w14:paraId="3D507CBA"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53CDCE66"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16.574.000 a 82.700.000</w:t>
            </w:r>
          </w:p>
        </w:tc>
        <w:tc>
          <w:tcPr>
            <w:tcW w:w="2160" w:type="dxa"/>
            <w:tcBorders>
              <w:top w:val="nil"/>
              <w:left w:val="nil"/>
              <w:bottom w:val="nil"/>
              <w:right w:val="single" w:sz="4" w:space="0" w:color="auto"/>
            </w:tcBorders>
            <w:vAlign w:val="center"/>
            <w:hideMark/>
          </w:tcPr>
          <w:p w14:paraId="19740F4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194.260,54</w:t>
            </w:r>
          </w:p>
        </w:tc>
        <w:tc>
          <w:tcPr>
            <w:tcW w:w="2520" w:type="dxa"/>
            <w:tcBorders>
              <w:top w:val="nil"/>
              <w:left w:val="nil"/>
              <w:bottom w:val="nil"/>
              <w:right w:val="single" w:sz="4" w:space="0" w:color="auto"/>
            </w:tcBorders>
            <w:vAlign w:val="center"/>
            <w:hideMark/>
          </w:tcPr>
          <w:p w14:paraId="147BB43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r>
      <w:tr w:rsidR="00C22FC1" w:rsidRPr="00C22FC1" w14:paraId="05113B34" w14:textId="77777777" w:rsidTr="00C22FC1">
        <w:trPr>
          <w:trHeight w:val="294"/>
          <w:jc w:val="center"/>
        </w:trPr>
        <w:tc>
          <w:tcPr>
            <w:tcW w:w="0" w:type="auto"/>
            <w:vMerge/>
            <w:tcBorders>
              <w:top w:val="nil"/>
              <w:left w:val="single" w:sz="4" w:space="0" w:color="auto"/>
              <w:bottom w:val="nil"/>
              <w:right w:val="single" w:sz="4" w:space="0" w:color="auto"/>
            </w:tcBorders>
            <w:vAlign w:val="center"/>
            <w:hideMark/>
          </w:tcPr>
          <w:p w14:paraId="2AC4ACB4"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56222FFC"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82.700.000 a 248.610.000</w:t>
            </w:r>
          </w:p>
        </w:tc>
        <w:tc>
          <w:tcPr>
            <w:tcW w:w="2160" w:type="dxa"/>
            <w:tcBorders>
              <w:top w:val="nil"/>
              <w:left w:val="nil"/>
              <w:bottom w:val="nil"/>
              <w:right w:val="single" w:sz="4" w:space="0" w:color="auto"/>
            </w:tcBorders>
            <w:vAlign w:val="center"/>
            <w:hideMark/>
          </w:tcPr>
          <w:p w14:paraId="7897B20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388.521,08</w:t>
            </w:r>
          </w:p>
        </w:tc>
        <w:tc>
          <w:tcPr>
            <w:tcW w:w="2520" w:type="dxa"/>
            <w:tcBorders>
              <w:top w:val="nil"/>
              <w:left w:val="nil"/>
              <w:bottom w:val="nil"/>
              <w:right w:val="single" w:sz="4" w:space="0" w:color="auto"/>
            </w:tcBorders>
            <w:vAlign w:val="center"/>
            <w:hideMark/>
          </w:tcPr>
          <w:p w14:paraId="6E95D4C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r>
      <w:tr w:rsidR="00C22FC1" w:rsidRPr="00C22FC1" w14:paraId="1603225B" w14:textId="77777777" w:rsidTr="00C22FC1">
        <w:trPr>
          <w:trHeight w:val="270"/>
          <w:jc w:val="center"/>
        </w:trPr>
        <w:tc>
          <w:tcPr>
            <w:tcW w:w="0" w:type="auto"/>
            <w:vMerge/>
            <w:tcBorders>
              <w:top w:val="nil"/>
              <w:left w:val="single" w:sz="4" w:space="0" w:color="auto"/>
              <w:bottom w:val="nil"/>
              <w:right w:val="single" w:sz="4" w:space="0" w:color="auto"/>
            </w:tcBorders>
            <w:vAlign w:val="center"/>
            <w:hideMark/>
          </w:tcPr>
          <w:p w14:paraId="0118EA13"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33D88683"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248.610.000 a 745.830.000</w:t>
            </w:r>
          </w:p>
        </w:tc>
        <w:tc>
          <w:tcPr>
            <w:tcW w:w="2160" w:type="dxa"/>
            <w:tcBorders>
              <w:top w:val="nil"/>
              <w:left w:val="nil"/>
              <w:bottom w:val="nil"/>
              <w:right w:val="single" w:sz="4" w:space="0" w:color="auto"/>
            </w:tcBorders>
            <w:vAlign w:val="center"/>
            <w:hideMark/>
          </w:tcPr>
          <w:p w14:paraId="14AD1E7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457.899,85</w:t>
            </w:r>
          </w:p>
        </w:tc>
        <w:tc>
          <w:tcPr>
            <w:tcW w:w="2520" w:type="dxa"/>
            <w:tcBorders>
              <w:top w:val="nil"/>
              <w:left w:val="nil"/>
              <w:bottom w:val="nil"/>
              <w:right w:val="single" w:sz="4" w:space="0" w:color="auto"/>
            </w:tcBorders>
            <w:vAlign w:val="center"/>
            <w:hideMark/>
          </w:tcPr>
          <w:p w14:paraId="5077910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r>
      <w:tr w:rsidR="00C22FC1" w:rsidRPr="00C22FC1" w14:paraId="523E8A0D" w14:textId="77777777" w:rsidTr="00C22FC1">
        <w:trPr>
          <w:trHeight w:val="270"/>
          <w:jc w:val="center"/>
        </w:trPr>
        <w:tc>
          <w:tcPr>
            <w:tcW w:w="0" w:type="auto"/>
            <w:vMerge/>
            <w:tcBorders>
              <w:top w:val="nil"/>
              <w:left w:val="single" w:sz="4" w:space="0" w:color="auto"/>
              <w:bottom w:val="nil"/>
              <w:right w:val="single" w:sz="4" w:space="0" w:color="auto"/>
            </w:tcBorders>
            <w:vAlign w:val="center"/>
            <w:hideMark/>
          </w:tcPr>
          <w:p w14:paraId="1149BB67"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3240" w:type="dxa"/>
            <w:tcBorders>
              <w:top w:val="nil"/>
              <w:left w:val="nil"/>
              <w:bottom w:val="nil"/>
              <w:right w:val="single" w:sz="4" w:space="0" w:color="auto"/>
            </w:tcBorders>
            <w:vAlign w:val="center"/>
            <w:hideMark/>
          </w:tcPr>
          <w:p w14:paraId="54A716B0"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745.830.000</w:t>
            </w:r>
          </w:p>
        </w:tc>
        <w:tc>
          <w:tcPr>
            <w:tcW w:w="2160" w:type="dxa"/>
            <w:tcBorders>
              <w:top w:val="nil"/>
              <w:left w:val="nil"/>
              <w:bottom w:val="nil"/>
              <w:right w:val="single" w:sz="4" w:space="0" w:color="auto"/>
            </w:tcBorders>
            <w:vAlign w:val="center"/>
            <w:hideMark/>
          </w:tcPr>
          <w:p w14:paraId="291E479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527.278,61</w:t>
            </w:r>
          </w:p>
        </w:tc>
        <w:tc>
          <w:tcPr>
            <w:tcW w:w="2520" w:type="dxa"/>
            <w:tcBorders>
              <w:top w:val="nil"/>
              <w:left w:val="nil"/>
              <w:bottom w:val="nil"/>
              <w:right w:val="single" w:sz="4" w:space="0" w:color="auto"/>
            </w:tcBorders>
            <w:vAlign w:val="center"/>
            <w:hideMark/>
          </w:tcPr>
          <w:p w14:paraId="09AD23A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r>
      <w:tr w:rsidR="00C22FC1" w:rsidRPr="00C22FC1" w14:paraId="2D0CB082" w14:textId="77777777" w:rsidTr="00C22FC1">
        <w:trPr>
          <w:trHeight w:val="270"/>
          <w:jc w:val="center"/>
        </w:trPr>
        <w:tc>
          <w:tcPr>
            <w:tcW w:w="2410" w:type="dxa"/>
            <w:tcBorders>
              <w:top w:val="nil"/>
              <w:left w:val="single" w:sz="4" w:space="0" w:color="auto"/>
              <w:bottom w:val="nil"/>
              <w:right w:val="single" w:sz="4" w:space="0" w:color="auto"/>
            </w:tcBorders>
            <w:vAlign w:val="center"/>
            <w:hideMark/>
          </w:tcPr>
          <w:p w14:paraId="4442E54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3240" w:type="dxa"/>
            <w:tcBorders>
              <w:top w:val="nil"/>
              <w:left w:val="nil"/>
              <w:bottom w:val="nil"/>
              <w:right w:val="single" w:sz="4" w:space="0" w:color="auto"/>
            </w:tcBorders>
            <w:vAlign w:val="center"/>
            <w:hideMark/>
          </w:tcPr>
          <w:p w14:paraId="55626C05"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2160" w:type="dxa"/>
            <w:tcBorders>
              <w:top w:val="nil"/>
              <w:left w:val="nil"/>
              <w:bottom w:val="nil"/>
              <w:right w:val="single" w:sz="4" w:space="0" w:color="auto"/>
            </w:tcBorders>
            <w:vAlign w:val="center"/>
            <w:hideMark/>
          </w:tcPr>
          <w:p w14:paraId="3BD6E17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2520" w:type="dxa"/>
            <w:tcBorders>
              <w:top w:val="nil"/>
              <w:left w:val="nil"/>
              <w:bottom w:val="nil"/>
              <w:right w:val="single" w:sz="4" w:space="0" w:color="auto"/>
            </w:tcBorders>
            <w:vAlign w:val="center"/>
            <w:hideMark/>
          </w:tcPr>
          <w:p w14:paraId="3D958B4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r>
      <w:tr w:rsidR="00C22FC1" w:rsidRPr="00C22FC1" w14:paraId="1E2B460A" w14:textId="77777777" w:rsidTr="00C22FC1">
        <w:trPr>
          <w:trHeight w:val="270"/>
          <w:jc w:val="center"/>
        </w:trPr>
        <w:tc>
          <w:tcPr>
            <w:tcW w:w="2410" w:type="dxa"/>
            <w:tcBorders>
              <w:top w:val="nil"/>
              <w:left w:val="single" w:sz="4" w:space="0" w:color="auto"/>
              <w:bottom w:val="single" w:sz="4" w:space="0" w:color="auto"/>
              <w:right w:val="single" w:sz="4" w:space="0" w:color="auto"/>
            </w:tcBorders>
            <w:vAlign w:val="center"/>
            <w:hideMark/>
          </w:tcPr>
          <w:p w14:paraId="5ADC27E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Ressegurador Admitido</w:t>
            </w:r>
          </w:p>
        </w:tc>
        <w:tc>
          <w:tcPr>
            <w:tcW w:w="3240" w:type="dxa"/>
            <w:tcBorders>
              <w:top w:val="nil"/>
              <w:left w:val="nil"/>
              <w:bottom w:val="single" w:sz="4" w:space="0" w:color="auto"/>
              <w:right w:val="single" w:sz="4" w:space="0" w:color="auto"/>
            </w:tcBorders>
            <w:vAlign w:val="center"/>
            <w:hideMark/>
          </w:tcPr>
          <w:p w14:paraId="4AF44128" w14:textId="77777777" w:rsidR="00C22FC1" w:rsidRPr="00C22FC1" w:rsidRDefault="00C22FC1" w:rsidP="00C22FC1">
            <w:pPr>
              <w:spacing w:before="100" w:beforeAutospacing="1" w:after="100" w:afterAutospacing="1" w:line="260" w:lineRule="atLeast"/>
              <w:ind w:hanging="1"/>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2160" w:type="dxa"/>
            <w:tcBorders>
              <w:top w:val="nil"/>
              <w:left w:val="nil"/>
              <w:bottom w:val="single" w:sz="4" w:space="0" w:color="auto"/>
              <w:right w:val="single" w:sz="4" w:space="0" w:color="auto"/>
            </w:tcBorders>
            <w:vAlign w:val="center"/>
            <w:hideMark/>
          </w:tcPr>
          <w:p w14:paraId="17746CC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18.674,08</w:t>
            </w:r>
          </w:p>
        </w:tc>
        <w:tc>
          <w:tcPr>
            <w:tcW w:w="2520" w:type="dxa"/>
            <w:tcBorders>
              <w:top w:val="nil"/>
              <w:left w:val="nil"/>
              <w:bottom w:val="single" w:sz="4" w:space="0" w:color="auto"/>
              <w:right w:val="single" w:sz="4" w:space="0" w:color="auto"/>
            </w:tcBorders>
            <w:vAlign w:val="center"/>
            <w:hideMark/>
          </w:tcPr>
          <w:p w14:paraId="687CFE0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r>
    </w:tbl>
    <w:p w14:paraId="7D2AB722" w14:textId="77777777" w:rsidR="00C22FC1" w:rsidRPr="00C22FC1" w:rsidRDefault="00C22FC1" w:rsidP="00C22FC1">
      <w:pPr>
        <w:spacing w:before="300" w:after="300" w:line="240" w:lineRule="auto"/>
        <w:jc w:val="center"/>
        <w:rPr>
          <w:rFonts w:ascii="Arial" w:eastAsia="Times New Roman" w:hAnsi="Arial" w:cs="Arial"/>
          <w:color w:val="000000"/>
          <w:kern w:val="0"/>
          <w:sz w:val="20"/>
          <w:szCs w:val="20"/>
          <w14:ligatures w14:val="none"/>
        </w:rPr>
      </w:pPr>
      <w:bookmarkStart w:id="254" w:name="anexoii"/>
      <w:bookmarkEnd w:id="254"/>
      <w:r w:rsidRPr="00C22FC1">
        <w:rPr>
          <w:rFonts w:ascii="Arial" w:eastAsia="Times New Roman" w:hAnsi="Arial" w:cs="Arial"/>
          <w:color w:val="000000"/>
          <w:kern w:val="0"/>
          <w:sz w:val="20"/>
          <w:szCs w:val="20"/>
          <w14:ligatures w14:val="none"/>
        </w:rPr>
        <w:t> </w:t>
      </w:r>
      <w:bookmarkStart w:id="255" w:name="anexo2"/>
      <w:bookmarkEnd w:id="255"/>
      <w:r w:rsidRPr="00C22FC1">
        <w:rPr>
          <w:rFonts w:ascii="Arial" w:eastAsia="Times New Roman" w:hAnsi="Arial" w:cs="Arial"/>
          <w:color w:val="000000"/>
          <w:kern w:val="0"/>
          <w:sz w:val="20"/>
          <w:szCs w:val="20"/>
          <w14:ligatures w14:val="none"/>
        </w:rPr>
        <w:t>ANEXO II</w:t>
      </w:r>
      <w:r w:rsidRPr="00C22FC1">
        <w:rPr>
          <w:rFonts w:ascii="Arial" w:eastAsia="Times New Roman" w:hAnsi="Arial" w:cs="Arial"/>
          <w:color w:val="000000"/>
          <w:kern w:val="0"/>
          <w:sz w:val="20"/>
          <w:szCs w:val="20"/>
          <w14:ligatures w14:val="none"/>
        </w:rPr>
        <w:br/>
      </w:r>
      <w:hyperlink r:id="rId495" w:anchor="art11" w:history="1">
        <w:r w:rsidRPr="00C22FC1">
          <w:rPr>
            <w:rFonts w:ascii="Arial" w:eastAsia="Times New Roman" w:hAnsi="Arial" w:cs="Arial"/>
            <w:color w:val="0000FF"/>
            <w:kern w:val="0"/>
            <w:sz w:val="20"/>
            <w:szCs w:val="20"/>
            <w:u w:val="single"/>
            <w14:ligatures w14:val="none"/>
          </w:rPr>
          <w:t>(Vide Lei nº 9.933, de 1999)</w:t>
        </w:r>
      </w:hyperlink>
    </w:p>
    <w:p w14:paraId="6AC09AD2" w14:textId="77777777" w:rsidR="00C22FC1" w:rsidRPr="00C22FC1" w:rsidRDefault="00C22FC1" w:rsidP="00C22FC1">
      <w:pPr>
        <w:spacing w:before="300" w:after="300"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TABELA DE TAXAS DE SERVIÇOS METROLÓGICOS</w:t>
      </w:r>
    </w:p>
    <w:p w14:paraId="7A0053B6" w14:textId="77777777" w:rsidR="00C22FC1" w:rsidRPr="00C22FC1" w:rsidRDefault="00C22FC1" w:rsidP="00C22FC1">
      <w:pPr>
        <w:spacing w:before="300" w:after="300"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Seção 1</w:t>
      </w:r>
    </w:p>
    <w:p w14:paraId="79985CC2" w14:textId="77777777" w:rsidR="00C22FC1" w:rsidRPr="00C22FC1" w:rsidRDefault="00C22FC1" w:rsidP="00C22FC1">
      <w:pPr>
        <w:spacing w:before="300" w:after="300"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Verificação inicial e verificação subsequente</w:t>
      </w:r>
    </w:p>
    <w:tbl>
      <w:tblPr>
        <w:tblW w:w="5000" w:type="pct"/>
        <w:jc w:val="center"/>
        <w:tblCellMar>
          <w:left w:w="0" w:type="dxa"/>
          <w:right w:w="0" w:type="dxa"/>
        </w:tblCellMar>
        <w:tblLook w:val="04A0" w:firstRow="1" w:lastRow="0" w:firstColumn="1" w:lastColumn="0" w:noHBand="0" w:noVBand="1"/>
      </w:tblPr>
      <w:tblGrid>
        <w:gridCol w:w="599"/>
        <w:gridCol w:w="5348"/>
        <w:gridCol w:w="1366"/>
        <w:gridCol w:w="1181"/>
      </w:tblGrid>
      <w:tr w:rsidR="00C22FC1" w:rsidRPr="00C22FC1" w14:paraId="7906AA63" w14:textId="77777777" w:rsidTr="00C22FC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2B713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Código</w:t>
            </w:r>
          </w:p>
        </w:tc>
        <w:tc>
          <w:tcPr>
            <w:tcW w:w="0" w:type="auto"/>
            <w:vMerge w:val="restart"/>
            <w:tcBorders>
              <w:top w:val="single" w:sz="4" w:space="0" w:color="auto"/>
              <w:left w:val="nil"/>
              <w:bottom w:val="single" w:sz="4" w:space="0" w:color="auto"/>
              <w:right w:val="single" w:sz="4" w:space="0" w:color="auto"/>
            </w:tcBorders>
            <w:vAlign w:val="center"/>
            <w:hideMark/>
          </w:tcPr>
          <w:p w14:paraId="4EA2423C"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OBJETO</w:t>
            </w:r>
          </w:p>
        </w:tc>
        <w:tc>
          <w:tcPr>
            <w:tcW w:w="0" w:type="auto"/>
            <w:gridSpan w:val="2"/>
            <w:tcBorders>
              <w:top w:val="single" w:sz="4" w:space="0" w:color="auto"/>
              <w:left w:val="nil"/>
              <w:bottom w:val="single" w:sz="4" w:space="0" w:color="auto"/>
              <w:right w:val="single" w:sz="4" w:space="0" w:color="auto"/>
            </w:tcBorders>
            <w:vAlign w:val="center"/>
            <w:hideMark/>
          </w:tcPr>
          <w:p w14:paraId="41D3E50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Valor R$</w:t>
            </w:r>
          </w:p>
        </w:tc>
      </w:tr>
      <w:tr w:rsidR="00C22FC1" w:rsidRPr="00C22FC1" w14:paraId="0784592C" w14:textId="77777777" w:rsidTr="00C22F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39E8A"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0" w:type="auto"/>
            <w:vMerge/>
            <w:tcBorders>
              <w:top w:val="single" w:sz="4" w:space="0" w:color="auto"/>
              <w:left w:val="nil"/>
              <w:bottom w:val="single" w:sz="4" w:space="0" w:color="auto"/>
              <w:right w:val="single" w:sz="4" w:space="0" w:color="auto"/>
            </w:tcBorders>
            <w:vAlign w:val="center"/>
            <w:hideMark/>
          </w:tcPr>
          <w:p w14:paraId="5EA5D04C"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p>
        </w:tc>
        <w:tc>
          <w:tcPr>
            <w:tcW w:w="0" w:type="auto"/>
            <w:tcBorders>
              <w:top w:val="nil"/>
              <w:left w:val="nil"/>
              <w:bottom w:val="single" w:sz="4" w:space="0" w:color="auto"/>
              <w:right w:val="single" w:sz="4" w:space="0" w:color="auto"/>
            </w:tcBorders>
            <w:vAlign w:val="center"/>
            <w:hideMark/>
          </w:tcPr>
          <w:p w14:paraId="1A34EE5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Verificação Subsequente</w:t>
            </w:r>
          </w:p>
        </w:tc>
        <w:tc>
          <w:tcPr>
            <w:tcW w:w="0" w:type="auto"/>
            <w:tcBorders>
              <w:top w:val="nil"/>
              <w:left w:val="nil"/>
              <w:bottom w:val="single" w:sz="4" w:space="0" w:color="auto"/>
              <w:right w:val="single" w:sz="4" w:space="0" w:color="auto"/>
            </w:tcBorders>
            <w:vAlign w:val="center"/>
            <w:hideMark/>
          </w:tcPr>
          <w:p w14:paraId="7BA86DA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Verificação Inicial</w:t>
            </w:r>
          </w:p>
        </w:tc>
      </w:tr>
      <w:tr w:rsidR="00C22FC1" w:rsidRPr="00C22FC1" w14:paraId="51CAA193"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7B5D9FD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Pesos</w:t>
            </w:r>
          </w:p>
        </w:tc>
      </w:tr>
      <w:tr w:rsidR="00C22FC1" w:rsidRPr="00C22FC1" w14:paraId="0499E1D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5A5588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1342CC0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Pesos da classe de exatidão M3 (peso comercial)</w:t>
            </w:r>
          </w:p>
        </w:tc>
      </w:tr>
      <w:tr w:rsidR="00C22FC1" w:rsidRPr="00C22FC1" w14:paraId="7CEEB45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E7AB36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w:t>
            </w:r>
          </w:p>
        </w:tc>
        <w:tc>
          <w:tcPr>
            <w:tcW w:w="0" w:type="auto"/>
            <w:tcBorders>
              <w:top w:val="nil"/>
              <w:left w:val="nil"/>
              <w:bottom w:val="single" w:sz="4" w:space="0" w:color="auto"/>
              <w:right w:val="single" w:sz="4" w:space="0" w:color="auto"/>
            </w:tcBorders>
            <w:vAlign w:val="bottom"/>
            <w:hideMark/>
          </w:tcPr>
          <w:p w14:paraId="6441414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50 g</w:t>
            </w:r>
          </w:p>
        </w:tc>
        <w:tc>
          <w:tcPr>
            <w:tcW w:w="0" w:type="auto"/>
            <w:tcBorders>
              <w:top w:val="nil"/>
              <w:left w:val="nil"/>
              <w:bottom w:val="single" w:sz="4" w:space="0" w:color="auto"/>
              <w:right w:val="single" w:sz="4" w:space="0" w:color="auto"/>
            </w:tcBorders>
            <w:vAlign w:val="center"/>
            <w:hideMark/>
          </w:tcPr>
          <w:p w14:paraId="3671DF8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1,70</w:t>
            </w:r>
          </w:p>
        </w:tc>
        <w:tc>
          <w:tcPr>
            <w:tcW w:w="0" w:type="auto"/>
            <w:tcBorders>
              <w:top w:val="nil"/>
              <w:left w:val="nil"/>
              <w:bottom w:val="single" w:sz="4" w:space="0" w:color="auto"/>
              <w:right w:val="single" w:sz="4" w:space="0" w:color="auto"/>
            </w:tcBorders>
            <w:vAlign w:val="center"/>
            <w:hideMark/>
          </w:tcPr>
          <w:p w14:paraId="4998909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1,70</w:t>
            </w:r>
          </w:p>
        </w:tc>
      </w:tr>
      <w:tr w:rsidR="00C22FC1" w:rsidRPr="00C22FC1" w14:paraId="64C7207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C8920C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w:t>
            </w:r>
          </w:p>
        </w:tc>
        <w:tc>
          <w:tcPr>
            <w:tcW w:w="0" w:type="auto"/>
            <w:tcBorders>
              <w:top w:val="nil"/>
              <w:left w:val="nil"/>
              <w:bottom w:val="single" w:sz="4" w:space="0" w:color="auto"/>
              <w:right w:val="single" w:sz="4" w:space="0" w:color="auto"/>
            </w:tcBorders>
            <w:vAlign w:val="bottom"/>
            <w:hideMark/>
          </w:tcPr>
          <w:p w14:paraId="63BB74E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100 g até 1 kg</w:t>
            </w:r>
          </w:p>
        </w:tc>
        <w:tc>
          <w:tcPr>
            <w:tcW w:w="0" w:type="auto"/>
            <w:tcBorders>
              <w:top w:val="nil"/>
              <w:left w:val="nil"/>
              <w:bottom w:val="single" w:sz="4" w:space="0" w:color="auto"/>
              <w:right w:val="single" w:sz="4" w:space="0" w:color="auto"/>
            </w:tcBorders>
            <w:vAlign w:val="center"/>
            <w:hideMark/>
          </w:tcPr>
          <w:p w14:paraId="29803FB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3,90</w:t>
            </w:r>
          </w:p>
        </w:tc>
        <w:tc>
          <w:tcPr>
            <w:tcW w:w="0" w:type="auto"/>
            <w:tcBorders>
              <w:top w:val="nil"/>
              <w:left w:val="nil"/>
              <w:bottom w:val="single" w:sz="4" w:space="0" w:color="auto"/>
              <w:right w:val="single" w:sz="4" w:space="0" w:color="auto"/>
            </w:tcBorders>
            <w:vAlign w:val="center"/>
            <w:hideMark/>
          </w:tcPr>
          <w:p w14:paraId="381A51F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3,90</w:t>
            </w:r>
          </w:p>
        </w:tc>
      </w:tr>
      <w:tr w:rsidR="00C22FC1" w:rsidRPr="00C22FC1" w14:paraId="5562147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6351D6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w:t>
            </w:r>
          </w:p>
        </w:tc>
        <w:tc>
          <w:tcPr>
            <w:tcW w:w="0" w:type="auto"/>
            <w:tcBorders>
              <w:top w:val="nil"/>
              <w:left w:val="nil"/>
              <w:bottom w:val="single" w:sz="4" w:space="0" w:color="auto"/>
              <w:right w:val="single" w:sz="4" w:space="0" w:color="auto"/>
            </w:tcBorders>
            <w:vAlign w:val="bottom"/>
            <w:hideMark/>
          </w:tcPr>
          <w:p w14:paraId="7EB56CF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2 kg até 10 kg</w:t>
            </w:r>
          </w:p>
        </w:tc>
        <w:tc>
          <w:tcPr>
            <w:tcW w:w="0" w:type="auto"/>
            <w:tcBorders>
              <w:top w:val="nil"/>
              <w:left w:val="nil"/>
              <w:bottom w:val="single" w:sz="4" w:space="0" w:color="auto"/>
              <w:right w:val="single" w:sz="4" w:space="0" w:color="auto"/>
            </w:tcBorders>
            <w:vAlign w:val="center"/>
            <w:hideMark/>
          </w:tcPr>
          <w:p w14:paraId="1121AE8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6,80</w:t>
            </w:r>
          </w:p>
        </w:tc>
        <w:tc>
          <w:tcPr>
            <w:tcW w:w="0" w:type="auto"/>
            <w:tcBorders>
              <w:top w:val="nil"/>
              <w:left w:val="nil"/>
              <w:bottom w:val="single" w:sz="4" w:space="0" w:color="auto"/>
              <w:right w:val="single" w:sz="4" w:space="0" w:color="auto"/>
            </w:tcBorders>
            <w:vAlign w:val="center"/>
            <w:hideMark/>
          </w:tcPr>
          <w:p w14:paraId="543020A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6,80</w:t>
            </w:r>
          </w:p>
        </w:tc>
      </w:tr>
      <w:tr w:rsidR="00C22FC1" w:rsidRPr="00C22FC1" w14:paraId="6A49919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EB8ED7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w:t>
            </w:r>
          </w:p>
        </w:tc>
        <w:tc>
          <w:tcPr>
            <w:tcW w:w="0" w:type="auto"/>
            <w:tcBorders>
              <w:top w:val="nil"/>
              <w:left w:val="nil"/>
              <w:bottom w:val="single" w:sz="4" w:space="0" w:color="auto"/>
              <w:right w:val="single" w:sz="4" w:space="0" w:color="auto"/>
            </w:tcBorders>
            <w:vAlign w:val="bottom"/>
            <w:hideMark/>
          </w:tcPr>
          <w:p w14:paraId="077B5B0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20 kg até 50 kg</w:t>
            </w:r>
          </w:p>
        </w:tc>
        <w:tc>
          <w:tcPr>
            <w:tcW w:w="0" w:type="auto"/>
            <w:tcBorders>
              <w:top w:val="nil"/>
              <w:left w:val="nil"/>
              <w:bottom w:val="single" w:sz="4" w:space="0" w:color="auto"/>
              <w:right w:val="single" w:sz="4" w:space="0" w:color="auto"/>
            </w:tcBorders>
            <w:vAlign w:val="center"/>
            <w:hideMark/>
          </w:tcPr>
          <w:p w14:paraId="225F0E9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12,10</w:t>
            </w:r>
          </w:p>
        </w:tc>
        <w:tc>
          <w:tcPr>
            <w:tcW w:w="0" w:type="auto"/>
            <w:tcBorders>
              <w:top w:val="nil"/>
              <w:left w:val="nil"/>
              <w:bottom w:val="single" w:sz="4" w:space="0" w:color="auto"/>
              <w:right w:val="single" w:sz="4" w:space="0" w:color="auto"/>
            </w:tcBorders>
            <w:vAlign w:val="center"/>
            <w:hideMark/>
          </w:tcPr>
          <w:p w14:paraId="33C0109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12,10</w:t>
            </w:r>
          </w:p>
        </w:tc>
      </w:tr>
      <w:tr w:rsidR="00C22FC1" w:rsidRPr="00C22FC1" w14:paraId="16F0114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362A5F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w:t>
            </w:r>
          </w:p>
        </w:tc>
        <w:tc>
          <w:tcPr>
            <w:tcW w:w="0" w:type="auto"/>
            <w:tcBorders>
              <w:top w:val="nil"/>
              <w:left w:val="nil"/>
              <w:bottom w:val="single" w:sz="4" w:space="0" w:color="auto"/>
              <w:right w:val="single" w:sz="4" w:space="0" w:color="auto"/>
            </w:tcBorders>
            <w:vAlign w:val="bottom"/>
            <w:hideMark/>
          </w:tcPr>
          <w:p w14:paraId="1A86E93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Ajuste dos pesos códigos 001 a 004 com câmara de ajustagem</w:t>
            </w:r>
          </w:p>
        </w:tc>
        <w:tc>
          <w:tcPr>
            <w:tcW w:w="0" w:type="auto"/>
            <w:tcBorders>
              <w:top w:val="nil"/>
              <w:left w:val="nil"/>
              <w:bottom w:val="single" w:sz="4" w:space="0" w:color="auto"/>
              <w:right w:val="single" w:sz="4" w:space="0" w:color="auto"/>
            </w:tcBorders>
            <w:vAlign w:val="center"/>
            <w:hideMark/>
          </w:tcPr>
          <w:p w14:paraId="44AD20E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5,20</w:t>
            </w:r>
          </w:p>
        </w:tc>
        <w:tc>
          <w:tcPr>
            <w:tcW w:w="0" w:type="auto"/>
            <w:tcBorders>
              <w:top w:val="nil"/>
              <w:left w:val="nil"/>
              <w:bottom w:val="single" w:sz="4" w:space="0" w:color="auto"/>
              <w:right w:val="single" w:sz="4" w:space="0" w:color="auto"/>
            </w:tcBorders>
            <w:vAlign w:val="center"/>
            <w:hideMark/>
          </w:tcPr>
          <w:p w14:paraId="40D3C31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5,20</w:t>
            </w:r>
          </w:p>
        </w:tc>
      </w:tr>
      <w:tr w:rsidR="00C22FC1" w:rsidRPr="00C22FC1" w14:paraId="2A541B1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2D405B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6AED3D4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Pesos das classes de exatidão M2 e M1</w:t>
            </w:r>
          </w:p>
        </w:tc>
      </w:tr>
      <w:tr w:rsidR="00C22FC1" w:rsidRPr="00C22FC1" w14:paraId="0B0E446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7A1176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w:t>
            </w:r>
          </w:p>
        </w:tc>
        <w:tc>
          <w:tcPr>
            <w:tcW w:w="0" w:type="auto"/>
            <w:tcBorders>
              <w:top w:val="nil"/>
              <w:left w:val="nil"/>
              <w:bottom w:val="single" w:sz="4" w:space="0" w:color="auto"/>
              <w:right w:val="single" w:sz="4" w:space="0" w:color="auto"/>
            </w:tcBorders>
            <w:vAlign w:val="bottom"/>
            <w:hideMark/>
          </w:tcPr>
          <w:p w14:paraId="7A0BAB8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1kg e quilate</w:t>
            </w:r>
          </w:p>
        </w:tc>
        <w:tc>
          <w:tcPr>
            <w:tcW w:w="0" w:type="auto"/>
            <w:tcBorders>
              <w:top w:val="nil"/>
              <w:left w:val="nil"/>
              <w:bottom w:val="single" w:sz="4" w:space="0" w:color="auto"/>
              <w:right w:val="single" w:sz="4" w:space="0" w:color="auto"/>
            </w:tcBorders>
            <w:vAlign w:val="center"/>
            <w:hideMark/>
          </w:tcPr>
          <w:p w14:paraId="2CC01D1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5,70</w:t>
            </w:r>
          </w:p>
        </w:tc>
        <w:tc>
          <w:tcPr>
            <w:tcW w:w="0" w:type="auto"/>
            <w:tcBorders>
              <w:top w:val="nil"/>
              <w:left w:val="nil"/>
              <w:bottom w:val="single" w:sz="4" w:space="0" w:color="auto"/>
              <w:right w:val="single" w:sz="4" w:space="0" w:color="auto"/>
            </w:tcBorders>
            <w:vAlign w:val="center"/>
            <w:hideMark/>
          </w:tcPr>
          <w:p w14:paraId="61295E2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5,70</w:t>
            </w:r>
          </w:p>
        </w:tc>
      </w:tr>
      <w:tr w:rsidR="00C22FC1" w:rsidRPr="00C22FC1" w14:paraId="512E947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D63FB4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w:t>
            </w:r>
          </w:p>
        </w:tc>
        <w:tc>
          <w:tcPr>
            <w:tcW w:w="0" w:type="auto"/>
            <w:tcBorders>
              <w:top w:val="nil"/>
              <w:left w:val="nil"/>
              <w:bottom w:val="single" w:sz="4" w:space="0" w:color="auto"/>
              <w:right w:val="single" w:sz="4" w:space="0" w:color="auto"/>
            </w:tcBorders>
            <w:vAlign w:val="bottom"/>
            <w:hideMark/>
          </w:tcPr>
          <w:p w14:paraId="3FAB283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2 kg até 10 kg</w:t>
            </w:r>
          </w:p>
        </w:tc>
        <w:tc>
          <w:tcPr>
            <w:tcW w:w="0" w:type="auto"/>
            <w:tcBorders>
              <w:top w:val="nil"/>
              <w:left w:val="nil"/>
              <w:bottom w:val="single" w:sz="4" w:space="0" w:color="auto"/>
              <w:right w:val="single" w:sz="4" w:space="0" w:color="auto"/>
            </w:tcBorders>
            <w:vAlign w:val="center"/>
            <w:hideMark/>
          </w:tcPr>
          <w:p w14:paraId="2433590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11,50</w:t>
            </w:r>
          </w:p>
        </w:tc>
        <w:tc>
          <w:tcPr>
            <w:tcW w:w="0" w:type="auto"/>
            <w:tcBorders>
              <w:top w:val="nil"/>
              <w:left w:val="nil"/>
              <w:bottom w:val="single" w:sz="4" w:space="0" w:color="auto"/>
              <w:right w:val="single" w:sz="4" w:space="0" w:color="auto"/>
            </w:tcBorders>
            <w:vAlign w:val="center"/>
            <w:hideMark/>
          </w:tcPr>
          <w:p w14:paraId="60EBCD4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11,50</w:t>
            </w:r>
          </w:p>
        </w:tc>
      </w:tr>
      <w:tr w:rsidR="00C22FC1" w:rsidRPr="00C22FC1" w14:paraId="4F3959D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302DFF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w:t>
            </w:r>
          </w:p>
        </w:tc>
        <w:tc>
          <w:tcPr>
            <w:tcW w:w="0" w:type="auto"/>
            <w:tcBorders>
              <w:top w:val="nil"/>
              <w:left w:val="nil"/>
              <w:bottom w:val="single" w:sz="4" w:space="0" w:color="auto"/>
              <w:right w:val="single" w:sz="4" w:space="0" w:color="auto"/>
            </w:tcBorders>
            <w:vAlign w:val="bottom"/>
            <w:hideMark/>
          </w:tcPr>
          <w:p w14:paraId="2055EF4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20 kg até 50 kg</w:t>
            </w:r>
          </w:p>
        </w:tc>
        <w:tc>
          <w:tcPr>
            <w:tcW w:w="0" w:type="auto"/>
            <w:tcBorders>
              <w:top w:val="nil"/>
              <w:left w:val="nil"/>
              <w:bottom w:val="single" w:sz="4" w:space="0" w:color="auto"/>
              <w:right w:val="single" w:sz="4" w:space="0" w:color="auto"/>
            </w:tcBorders>
            <w:vAlign w:val="center"/>
            <w:hideMark/>
          </w:tcPr>
          <w:p w14:paraId="1BCA332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19,60</w:t>
            </w:r>
          </w:p>
        </w:tc>
        <w:tc>
          <w:tcPr>
            <w:tcW w:w="0" w:type="auto"/>
            <w:tcBorders>
              <w:top w:val="nil"/>
              <w:left w:val="nil"/>
              <w:bottom w:val="single" w:sz="4" w:space="0" w:color="auto"/>
              <w:right w:val="single" w:sz="4" w:space="0" w:color="auto"/>
            </w:tcBorders>
            <w:vAlign w:val="center"/>
            <w:hideMark/>
          </w:tcPr>
          <w:p w14:paraId="3718D89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19,60</w:t>
            </w:r>
          </w:p>
        </w:tc>
      </w:tr>
      <w:tr w:rsidR="00C22FC1" w:rsidRPr="00C22FC1" w14:paraId="7C5332A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638702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w:t>
            </w:r>
          </w:p>
        </w:tc>
        <w:tc>
          <w:tcPr>
            <w:tcW w:w="0" w:type="auto"/>
            <w:tcBorders>
              <w:top w:val="nil"/>
              <w:left w:val="nil"/>
              <w:bottom w:val="single" w:sz="4" w:space="0" w:color="auto"/>
              <w:right w:val="single" w:sz="4" w:space="0" w:color="auto"/>
            </w:tcBorders>
            <w:vAlign w:val="bottom"/>
            <w:hideMark/>
          </w:tcPr>
          <w:p w14:paraId="1E33B3A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ajuste dos pesos códigos 011 a 013 com câmara de ajustagem</w:t>
            </w:r>
          </w:p>
        </w:tc>
        <w:tc>
          <w:tcPr>
            <w:tcW w:w="0" w:type="auto"/>
            <w:tcBorders>
              <w:top w:val="nil"/>
              <w:left w:val="nil"/>
              <w:bottom w:val="single" w:sz="4" w:space="0" w:color="auto"/>
              <w:right w:val="single" w:sz="4" w:space="0" w:color="auto"/>
            </w:tcBorders>
            <w:vAlign w:val="center"/>
            <w:hideMark/>
          </w:tcPr>
          <w:p w14:paraId="4080EB6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9,00</w:t>
            </w:r>
          </w:p>
        </w:tc>
        <w:tc>
          <w:tcPr>
            <w:tcW w:w="0" w:type="auto"/>
            <w:tcBorders>
              <w:top w:val="nil"/>
              <w:left w:val="nil"/>
              <w:bottom w:val="single" w:sz="4" w:space="0" w:color="auto"/>
              <w:right w:val="single" w:sz="4" w:space="0" w:color="auto"/>
            </w:tcBorders>
            <w:vAlign w:val="center"/>
            <w:hideMark/>
          </w:tcPr>
          <w:p w14:paraId="2CD4D74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9,00</w:t>
            </w:r>
          </w:p>
        </w:tc>
      </w:tr>
      <w:tr w:rsidR="00C22FC1" w:rsidRPr="00C22FC1" w14:paraId="6FE042A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ECB208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71AC08F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Pesos das classes de exatidão F2 e F1</w:t>
            </w:r>
          </w:p>
        </w:tc>
      </w:tr>
      <w:tr w:rsidR="00C22FC1" w:rsidRPr="00C22FC1" w14:paraId="4E37CFD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96A85A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21</w:t>
            </w:r>
          </w:p>
        </w:tc>
        <w:tc>
          <w:tcPr>
            <w:tcW w:w="0" w:type="auto"/>
            <w:tcBorders>
              <w:top w:val="nil"/>
              <w:left w:val="nil"/>
              <w:bottom w:val="single" w:sz="4" w:space="0" w:color="auto"/>
              <w:right w:val="single" w:sz="4" w:space="0" w:color="auto"/>
            </w:tcBorders>
            <w:vAlign w:val="bottom"/>
            <w:hideMark/>
          </w:tcPr>
          <w:p w14:paraId="5695D798"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50 g</w:t>
            </w:r>
          </w:p>
        </w:tc>
        <w:tc>
          <w:tcPr>
            <w:tcW w:w="0" w:type="auto"/>
            <w:tcBorders>
              <w:top w:val="nil"/>
              <w:left w:val="nil"/>
              <w:bottom w:val="single" w:sz="4" w:space="0" w:color="auto"/>
              <w:right w:val="single" w:sz="4" w:space="0" w:color="auto"/>
            </w:tcBorders>
            <w:vAlign w:val="center"/>
            <w:hideMark/>
          </w:tcPr>
          <w:p w14:paraId="4D7CB51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12,90</w:t>
            </w:r>
          </w:p>
        </w:tc>
        <w:tc>
          <w:tcPr>
            <w:tcW w:w="0" w:type="auto"/>
            <w:tcBorders>
              <w:top w:val="nil"/>
              <w:left w:val="nil"/>
              <w:bottom w:val="single" w:sz="4" w:space="0" w:color="auto"/>
              <w:right w:val="single" w:sz="4" w:space="0" w:color="auto"/>
            </w:tcBorders>
            <w:vAlign w:val="center"/>
            <w:hideMark/>
          </w:tcPr>
          <w:p w14:paraId="443C092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12,90</w:t>
            </w:r>
          </w:p>
        </w:tc>
      </w:tr>
      <w:tr w:rsidR="00C22FC1" w:rsidRPr="00C22FC1" w14:paraId="5D0269C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E2C7D0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22</w:t>
            </w:r>
          </w:p>
        </w:tc>
        <w:tc>
          <w:tcPr>
            <w:tcW w:w="0" w:type="auto"/>
            <w:tcBorders>
              <w:top w:val="nil"/>
              <w:left w:val="nil"/>
              <w:bottom w:val="single" w:sz="4" w:space="0" w:color="auto"/>
              <w:right w:val="single" w:sz="4" w:space="0" w:color="auto"/>
            </w:tcBorders>
            <w:vAlign w:val="bottom"/>
            <w:hideMark/>
          </w:tcPr>
          <w:p w14:paraId="1BC5A2A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100 g até 1kg</w:t>
            </w:r>
          </w:p>
        </w:tc>
        <w:tc>
          <w:tcPr>
            <w:tcW w:w="0" w:type="auto"/>
            <w:tcBorders>
              <w:top w:val="nil"/>
              <w:left w:val="nil"/>
              <w:bottom w:val="single" w:sz="4" w:space="0" w:color="auto"/>
              <w:right w:val="single" w:sz="4" w:space="0" w:color="auto"/>
            </w:tcBorders>
            <w:vAlign w:val="center"/>
            <w:hideMark/>
          </w:tcPr>
          <w:p w14:paraId="07FCC49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20,00</w:t>
            </w:r>
          </w:p>
        </w:tc>
        <w:tc>
          <w:tcPr>
            <w:tcW w:w="0" w:type="auto"/>
            <w:tcBorders>
              <w:top w:val="nil"/>
              <w:left w:val="nil"/>
              <w:bottom w:val="single" w:sz="4" w:space="0" w:color="auto"/>
              <w:right w:val="single" w:sz="4" w:space="0" w:color="auto"/>
            </w:tcBorders>
            <w:vAlign w:val="center"/>
            <w:hideMark/>
          </w:tcPr>
          <w:p w14:paraId="070EC75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20,00</w:t>
            </w:r>
          </w:p>
        </w:tc>
      </w:tr>
      <w:tr w:rsidR="00C22FC1" w:rsidRPr="00C22FC1" w14:paraId="1257AA7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0A136A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w:t>
            </w:r>
          </w:p>
        </w:tc>
        <w:tc>
          <w:tcPr>
            <w:tcW w:w="0" w:type="auto"/>
            <w:tcBorders>
              <w:top w:val="nil"/>
              <w:left w:val="nil"/>
              <w:bottom w:val="single" w:sz="4" w:space="0" w:color="auto"/>
              <w:right w:val="single" w:sz="4" w:space="0" w:color="auto"/>
            </w:tcBorders>
            <w:vAlign w:val="bottom"/>
            <w:hideMark/>
          </w:tcPr>
          <w:p w14:paraId="03BAC7C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2 kg até 10 kg</w:t>
            </w:r>
          </w:p>
        </w:tc>
        <w:tc>
          <w:tcPr>
            <w:tcW w:w="0" w:type="auto"/>
            <w:tcBorders>
              <w:top w:val="nil"/>
              <w:left w:val="nil"/>
              <w:bottom w:val="single" w:sz="4" w:space="0" w:color="auto"/>
              <w:right w:val="single" w:sz="4" w:space="0" w:color="auto"/>
            </w:tcBorders>
            <w:vAlign w:val="center"/>
            <w:hideMark/>
          </w:tcPr>
          <w:p w14:paraId="2F8F546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33,10</w:t>
            </w:r>
          </w:p>
        </w:tc>
        <w:tc>
          <w:tcPr>
            <w:tcW w:w="0" w:type="auto"/>
            <w:tcBorders>
              <w:top w:val="nil"/>
              <w:left w:val="nil"/>
              <w:bottom w:val="single" w:sz="4" w:space="0" w:color="auto"/>
              <w:right w:val="single" w:sz="4" w:space="0" w:color="auto"/>
            </w:tcBorders>
            <w:vAlign w:val="center"/>
            <w:hideMark/>
          </w:tcPr>
          <w:p w14:paraId="28A6640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33,10</w:t>
            </w:r>
          </w:p>
        </w:tc>
      </w:tr>
      <w:tr w:rsidR="00C22FC1" w:rsidRPr="00C22FC1" w14:paraId="6D29EA7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832ABB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w:t>
            </w:r>
          </w:p>
        </w:tc>
        <w:tc>
          <w:tcPr>
            <w:tcW w:w="0" w:type="auto"/>
            <w:tcBorders>
              <w:top w:val="nil"/>
              <w:left w:val="nil"/>
              <w:bottom w:val="single" w:sz="4" w:space="0" w:color="auto"/>
              <w:right w:val="single" w:sz="4" w:space="0" w:color="auto"/>
            </w:tcBorders>
            <w:vAlign w:val="bottom"/>
            <w:hideMark/>
          </w:tcPr>
          <w:p w14:paraId="5AF225D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20 kg até 50 kg</w:t>
            </w:r>
          </w:p>
        </w:tc>
        <w:tc>
          <w:tcPr>
            <w:tcW w:w="0" w:type="auto"/>
            <w:tcBorders>
              <w:top w:val="nil"/>
              <w:left w:val="nil"/>
              <w:bottom w:val="single" w:sz="4" w:space="0" w:color="auto"/>
              <w:right w:val="single" w:sz="4" w:space="0" w:color="auto"/>
            </w:tcBorders>
            <w:vAlign w:val="center"/>
            <w:hideMark/>
          </w:tcPr>
          <w:p w14:paraId="16A31A0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49,10</w:t>
            </w:r>
          </w:p>
        </w:tc>
        <w:tc>
          <w:tcPr>
            <w:tcW w:w="0" w:type="auto"/>
            <w:tcBorders>
              <w:top w:val="nil"/>
              <w:left w:val="nil"/>
              <w:bottom w:val="single" w:sz="4" w:space="0" w:color="auto"/>
              <w:right w:val="single" w:sz="4" w:space="0" w:color="auto"/>
            </w:tcBorders>
            <w:vAlign w:val="center"/>
            <w:hideMark/>
          </w:tcPr>
          <w:p w14:paraId="0A294AD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49,10</w:t>
            </w:r>
          </w:p>
        </w:tc>
      </w:tr>
      <w:tr w:rsidR="00C22FC1" w:rsidRPr="00C22FC1" w14:paraId="2065C82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C14731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w:t>
            </w:r>
          </w:p>
        </w:tc>
        <w:tc>
          <w:tcPr>
            <w:tcW w:w="0" w:type="auto"/>
            <w:tcBorders>
              <w:top w:val="nil"/>
              <w:left w:val="nil"/>
              <w:bottom w:val="single" w:sz="4" w:space="0" w:color="auto"/>
              <w:right w:val="single" w:sz="4" w:space="0" w:color="auto"/>
            </w:tcBorders>
            <w:vAlign w:val="bottom"/>
            <w:hideMark/>
          </w:tcPr>
          <w:p w14:paraId="37909C2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ajuste dos pesos códigos 021 a 024 com câmara de ajustagem</w:t>
            </w:r>
          </w:p>
        </w:tc>
        <w:tc>
          <w:tcPr>
            <w:tcW w:w="0" w:type="auto"/>
            <w:tcBorders>
              <w:top w:val="nil"/>
              <w:left w:val="nil"/>
              <w:bottom w:val="single" w:sz="4" w:space="0" w:color="auto"/>
              <w:right w:val="single" w:sz="4" w:space="0" w:color="auto"/>
            </w:tcBorders>
            <w:vAlign w:val="center"/>
            <w:hideMark/>
          </w:tcPr>
          <w:p w14:paraId="41C3CA8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17,40</w:t>
            </w:r>
          </w:p>
        </w:tc>
        <w:tc>
          <w:tcPr>
            <w:tcW w:w="0" w:type="auto"/>
            <w:tcBorders>
              <w:top w:val="nil"/>
              <w:left w:val="nil"/>
              <w:bottom w:val="single" w:sz="4" w:space="0" w:color="auto"/>
              <w:right w:val="single" w:sz="4" w:space="0" w:color="auto"/>
            </w:tcBorders>
            <w:vAlign w:val="center"/>
            <w:hideMark/>
          </w:tcPr>
          <w:p w14:paraId="0F3C892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17,40</w:t>
            </w:r>
          </w:p>
        </w:tc>
      </w:tr>
      <w:tr w:rsidR="00C22FC1" w:rsidRPr="00C22FC1" w14:paraId="2209E57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BBB473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5AA90AA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Pesos da classe de exatidão E2</w:t>
            </w:r>
          </w:p>
        </w:tc>
      </w:tr>
      <w:tr w:rsidR="00C22FC1" w:rsidRPr="00C22FC1" w14:paraId="784CDD5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0B495F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31</w:t>
            </w:r>
          </w:p>
        </w:tc>
        <w:tc>
          <w:tcPr>
            <w:tcW w:w="0" w:type="auto"/>
            <w:tcBorders>
              <w:top w:val="nil"/>
              <w:left w:val="nil"/>
              <w:bottom w:val="single" w:sz="4" w:space="0" w:color="auto"/>
              <w:right w:val="single" w:sz="4" w:space="0" w:color="auto"/>
            </w:tcBorders>
            <w:vAlign w:val="bottom"/>
            <w:hideMark/>
          </w:tcPr>
          <w:p w14:paraId="5AEA041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50 g</w:t>
            </w:r>
          </w:p>
        </w:tc>
        <w:tc>
          <w:tcPr>
            <w:tcW w:w="0" w:type="auto"/>
            <w:tcBorders>
              <w:top w:val="nil"/>
              <w:left w:val="nil"/>
              <w:bottom w:val="single" w:sz="4" w:space="0" w:color="auto"/>
              <w:right w:val="single" w:sz="4" w:space="0" w:color="auto"/>
            </w:tcBorders>
            <w:vAlign w:val="center"/>
            <w:hideMark/>
          </w:tcPr>
          <w:p w14:paraId="5EACAF3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45,10</w:t>
            </w:r>
          </w:p>
        </w:tc>
        <w:tc>
          <w:tcPr>
            <w:tcW w:w="0" w:type="auto"/>
            <w:tcBorders>
              <w:top w:val="nil"/>
              <w:left w:val="nil"/>
              <w:bottom w:val="single" w:sz="4" w:space="0" w:color="auto"/>
              <w:right w:val="single" w:sz="4" w:space="0" w:color="auto"/>
            </w:tcBorders>
            <w:vAlign w:val="center"/>
            <w:hideMark/>
          </w:tcPr>
          <w:p w14:paraId="21CAB34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45,10</w:t>
            </w:r>
          </w:p>
        </w:tc>
      </w:tr>
      <w:tr w:rsidR="00C22FC1" w:rsidRPr="00C22FC1" w14:paraId="1549885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7D4736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32</w:t>
            </w:r>
          </w:p>
        </w:tc>
        <w:tc>
          <w:tcPr>
            <w:tcW w:w="0" w:type="auto"/>
            <w:tcBorders>
              <w:top w:val="nil"/>
              <w:left w:val="nil"/>
              <w:bottom w:val="single" w:sz="4" w:space="0" w:color="auto"/>
              <w:right w:val="single" w:sz="4" w:space="0" w:color="auto"/>
            </w:tcBorders>
            <w:vAlign w:val="bottom"/>
            <w:hideMark/>
          </w:tcPr>
          <w:p w14:paraId="6C5C08C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100 g até 1 kg</w:t>
            </w:r>
          </w:p>
        </w:tc>
        <w:tc>
          <w:tcPr>
            <w:tcW w:w="0" w:type="auto"/>
            <w:tcBorders>
              <w:top w:val="nil"/>
              <w:left w:val="nil"/>
              <w:bottom w:val="single" w:sz="4" w:space="0" w:color="auto"/>
              <w:right w:val="single" w:sz="4" w:space="0" w:color="auto"/>
            </w:tcBorders>
            <w:vAlign w:val="center"/>
            <w:hideMark/>
          </w:tcPr>
          <w:p w14:paraId="21C9129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55,40</w:t>
            </w:r>
          </w:p>
        </w:tc>
        <w:tc>
          <w:tcPr>
            <w:tcW w:w="0" w:type="auto"/>
            <w:tcBorders>
              <w:top w:val="nil"/>
              <w:left w:val="nil"/>
              <w:bottom w:val="single" w:sz="4" w:space="0" w:color="auto"/>
              <w:right w:val="single" w:sz="4" w:space="0" w:color="auto"/>
            </w:tcBorders>
            <w:vAlign w:val="center"/>
            <w:hideMark/>
          </w:tcPr>
          <w:p w14:paraId="39DAADC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55,40</w:t>
            </w:r>
          </w:p>
        </w:tc>
      </w:tr>
      <w:tr w:rsidR="00C22FC1" w:rsidRPr="00C22FC1" w14:paraId="587A6A7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100D57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33</w:t>
            </w:r>
          </w:p>
        </w:tc>
        <w:tc>
          <w:tcPr>
            <w:tcW w:w="0" w:type="auto"/>
            <w:tcBorders>
              <w:top w:val="nil"/>
              <w:left w:val="nil"/>
              <w:bottom w:val="single" w:sz="4" w:space="0" w:color="auto"/>
              <w:right w:val="single" w:sz="4" w:space="0" w:color="auto"/>
            </w:tcBorders>
            <w:vAlign w:val="bottom"/>
            <w:hideMark/>
          </w:tcPr>
          <w:p w14:paraId="5809F7D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2 kg até 50 kg</w:t>
            </w:r>
          </w:p>
        </w:tc>
        <w:tc>
          <w:tcPr>
            <w:tcW w:w="0" w:type="auto"/>
            <w:tcBorders>
              <w:top w:val="nil"/>
              <w:left w:val="nil"/>
              <w:bottom w:val="single" w:sz="4" w:space="0" w:color="auto"/>
              <w:right w:val="single" w:sz="4" w:space="0" w:color="auto"/>
            </w:tcBorders>
            <w:vAlign w:val="center"/>
            <w:hideMark/>
          </w:tcPr>
          <w:p w14:paraId="1176DDF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97,20</w:t>
            </w:r>
          </w:p>
        </w:tc>
        <w:tc>
          <w:tcPr>
            <w:tcW w:w="0" w:type="auto"/>
            <w:tcBorders>
              <w:top w:val="nil"/>
              <w:left w:val="nil"/>
              <w:bottom w:val="single" w:sz="4" w:space="0" w:color="auto"/>
              <w:right w:val="single" w:sz="4" w:space="0" w:color="auto"/>
            </w:tcBorders>
            <w:vAlign w:val="center"/>
            <w:hideMark/>
          </w:tcPr>
          <w:p w14:paraId="182EDA5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97,20</w:t>
            </w:r>
          </w:p>
        </w:tc>
      </w:tr>
      <w:tr w:rsidR="00C22FC1" w:rsidRPr="00C22FC1" w14:paraId="67AFA2E3"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center"/>
            <w:hideMark/>
          </w:tcPr>
          <w:p w14:paraId="6B52EF3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medição de massa específica, densidade, concentração e umidade.</w:t>
            </w:r>
          </w:p>
        </w:tc>
      </w:tr>
      <w:tr w:rsidR="00C22FC1" w:rsidRPr="00C22FC1" w14:paraId="63F4BE97"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5808C83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Observação: termômetros incorporados serão calculados conforme+A59 o item específico da tabela</w:t>
            </w:r>
          </w:p>
        </w:tc>
      </w:tr>
      <w:tr w:rsidR="00C22FC1" w:rsidRPr="00C22FC1" w14:paraId="302188C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F4088F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51</w:t>
            </w:r>
          </w:p>
        </w:tc>
        <w:tc>
          <w:tcPr>
            <w:tcW w:w="0" w:type="auto"/>
            <w:tcBorders>
              <w:top w:val="nil"/>
              <w:left w:val="nil"/>
              <w:bottom w:val="single" w:sz="4" w:space="0" w:color="auto"/>
              <w:right w:val="single" w:sz="4" w:space="0" w:color="auto"/>
            </w:tcBorders>
            <w:vAlign w:val="bottom"/>
            <w:hideMark/>
          </w:tcPr>
          <w:p w14:paraId="29D2301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Picnômetro</w:t>
            </w:r>
          </w:p>
        </w:tc>
        <w:tc>
          <w:tcPr>
            <w:tcW w:w="0" w:type="auto"/>
            <w:tcBorders>
              <w:top w:val="nil"/>
              <w:left w:val="nil"/>
              <w:bottom w:val="single" w:sz="4" w:space="0" w:color="auto"/>
              <w:right w:val="single" w:sz="4" w:space="0" w:color="auto"/>
            </w:tcBorders>
            <w:vAlign w:val="center"/>
            <w:hideMark/>
          </w:tcPr>
          <w:p w14:paraId="7F8C829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57,40</w:t>
            </w:r>
          </w:p>
        </w:tc>
        <w:tc>
          <w:tcPr>
            <w:tcW w:w="0" w:type="auto"/>
            <w:tcBorders>
              <w:top w:val="nil"/>
              <w:left w:val="nil"/>
              <w:bottom w:val="single" w:sz="4" w:space="0" w:color="auto"/>
              <w:right w:val="single" w:sz="4" w:space="0" w:color="auto"/>
            </w:tcBorders>
            <w:vAlign w:val="center"/>
            <w:hideMark/>
          </w:tcPr>
          <w:p w14:paraId="4C7B456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57,40</w:t>
            </w:r>
          </w:p>
        </w:tc>
      </w:tr>
      <w:tr w:rsidR="00C22FC1" w:rsidRPr="00C22FC1" w14:paraId="056B3DB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188513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52</w:t>
            </w:r>
          </w:p>
        </w:tc>
        <w:tc>
          <w:tcPr>
            <w:tcW w:w="0" w:type="auto"/>
            <w:tcBorders>
              <w:top w:val="nil"/>
              <w:left w:val="nil"/>
              <w:bottom w:val="single" w:sz="4" w:space="0" w:color="auto"/>
              <w:right w:val="single" w:sz="4" w:space="0" w:color="auto"/>
            </w:tcBorders>
            <w:vAlign w:val="bottom"/>
            <w:hideMark/>
          </w:tcPr>
          <w:p w14:paraId="35A19E6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Esfera de massa específica</w:t>
            </w:r>
          </w:p>
        </w:tc>
        <w:tc>
          <w:tcPr>
            <w:tcW w:w="0" w:type="auto"/>
            <w:tcBorders>
              <w:top w:val="nil"/>
              <w:left w:val="nil"/>
              <w:bottom w:val="single" w:sz="4" w:space="0" w:color="auto"/>
              <w:right w:val="single" w:sz="4" w:space="0" w:color="auto"/>
            </w:tcBorders>
            <w:vAlign w:val="center"/>
            <w:hideMark/>
          </w:tcPr>
          <w:p w14:paraId="144697F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119,70</w:t>
            </w:r>
          </w:p>
        </w:tc>
        <w:tc>
          <w:tcPr>
            <w:tcW w:w="0" w:type="auto"/>
            <w:tcBorders>
              <w:top w:val="nil"/>
              <w:left w:val="nil"/>
              <w:bottom w:val="single" w:sz="4" w:space="0" w:color="auto"/>
              <w:right w:val="single" w:sz="4" w:space="0" w:color="auto"/>
            </w:tcBorders>
            <w:vAlign w:val="center"/>
            <w:hideMark/>
          </w:tcPr>
          <w:p w14:paraId="734050D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119,70</w:t>
            </w:r>
          </w:p>
        </w:tc>
      </w:tr>
      <w:tr w:rsidR="00C22FC1" w:rsidRPr="00C22FC1" w14:paraId="40955B4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E2AC8F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53</w:t>
            </w:r>
          </w:p>
        </w:tc>
        <w:tc>
          <w:tcPr>
            <w:tcW w:w="0" w:type="auto"/>
            <w:tcBorders>
              <w:top w:val="nil"/>
              <w:left w:val="nil"/>
              <w:bottom w:val="single" w:sz="4" w:space="0" w:color="auto"/>
              <w:right w:val="single" w:sz="4" w:space="0" w:color="auto"/>
            </w:tcBorders>
            <w:vAlign w:val="bottom"/>
            <w:hideMark/>
          </w:tcPr>
          <w:p w14:paraId="4A6D0D9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Sacarímetro</w:t>
            </w:r>
          </w:p>
        </w:tc>
        <w:tc>
          <w:tcPr>
            <w:tcW w:w="0" w:type="auto"/>
            <w:tcBorders>
              <w:top w:val="nil"/>
              <w:left w:val="nil"/>
              <w:bottom w:val="single" w:sz="4" w:space="0" w:color="auto"/>
              <w:right w:val="single" w:sz="4" w:space="0" w:color="auto"/>
            </w:tcBorders>
            <w:vAlign w:val="center"/>
            <w:hideMark/>
          </w:tcPr>
          <w:p w14:paraId="54AE392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292,50</w:t>
            </w:r>
          </w:p>
        </w:tc>
        <w:tc>
          <w:tcPr>
            <w:tcW w:w="0" w:type="auto"/>
            <w:tcBorders>
              <w:top w:val="nil"/>
              <w:left w:val="nil"/>
              <w:bottom w:val="single" w:sz="4" w:space="0" w:color="auto"/>
              <w:right w:val="single" w:sz="4" w:space="0" w:color="auto"/>
            </w:tcBorders>
            <w:vAlign w:val="center"/>
            <w:hideMark/>
          </w:tcPr>
          <w:p w14:paraId="3AD2B5C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292,50</w:t>
            </w:r>
          </w:p>
        </w:tc>
      </w:tr>
      <w:tr w:rsidR="00C22FC1" w:rsidRPr="00C22FC1" w14:paraId="2B6CDF19"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3CDAA80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Densímetros com temperatura de referência de 20</w:t>
            </w:r>
            <w:r w:rsidRPr="00C22FC1">
              <w:rPr>
                <w:rFonts w:ascii="Times New Roman" w:eastAsia="Times New Roman" w:hAnsi="Times New Roman" w:cs="Times New Roman"/>
                <w:color w:val="000000"/>
                <w:kern w:val="0"/>
                <w:sz w:val="20"/>
                <w:szCs w:val="20"/>
                <w:vertAlign w:val="superscript"/>
                <w14:ligatures w14:val="none"/>
              </w:rPr>
              <w:t>o</w:t>
            </w:r>
            <w:r w:rsidRPr="00C22FC1">
              <w:rPr>
                <w:rFonts w:ascii="Times New Roman" w:eastAsia="Times New Roman" w:hAnsi="Times New Roman" w:cs="Times New Roman"/>
                <w:color w:val="000000"/>
                <w:kern w:val="0"/>
                <w:sz w:val="20"/>
                <w:szCs w:val="20"/>
                <w14:ligatures w14:val="none"/>
              </w:rPr>
              <w:t>C e valor de uma divisão igual a 0,5 g/L</w:t>
            </w:r>
          </w:p>
        </w:tc>
      </w:tr>
      <w:tr w:rsidR="00C22FC1" w:rsidRPr="00C22FC1" w14:paraId="3B808A2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AB791A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3F5BB02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Para 3 pontos de ensaio</w:t>
            </w:r>
          </w:p>
        </w:tc>
      </w:tr>
      <w:tr w:rsidR="00C22FC1" w:rsidRPr="00C22FC1" w14:paraId="7ABA414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D40BB6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61</w:t>
            </w:r>
          </w:p>
        </w:tc>
        <w:tc>
          <w:tcPr>
            <w:tcW w:w="0" w:type="auto"/>
            <w:tcBorders>
              <w:top w:val="nil"/>
              <w:left w:val="nil"/>
              <w:bottom w:val="single" w:sz="4" w:space="0" w:color="auto"/>
              <w:right w:val="single" w:sz="4" w:space="0" w:color="auto"/>
            </w:tcBorders>
            <w:vAlign w:val="bottom"/>
            <w:hideMark/>
          </w:tcPr>
          <w:p w14:paraId="47634CD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uma unidade</w:t>
            </w:r>
          </w:p>
        </w:tc>
        <w:tc>
          <w:tcPr>
            <w:tcW w:w="0" w:type="auto"/>
            <w:tcBorders>
              <w:top w:val="nil"/>
              <w:left w:val="nil"/>
              <w:bottom w:val="single" w:sz="4" w:space="0" w:color="auto"/>
              <w:right w:val="single" w:sz="4" w:space="0" w:color="auto"/>
            </w:tcBorders>
            <w:vAlign w:val="center"/>
            <w:hideMark/>
          </w:tcPr>
          <w:p w14:paraId="4786D04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25,00</w:t>
            </w:r>
          </w:p>
        </w:tc>
        <w:tc>
          <w:tcPr>
            <w:tcW w:w="0" w:type="auto"/>
            <w:tcBorders>
              <w:top w:val="nil"/>
              <w:left w:val="nil"/>
              <w:bottom w:val="single" w:sz="4" w:space="0" w:color="auto"/>
              <w:right w:val="single" w:sz="4" w:space="0" w:color="auto"/>
            </w:tcBorders>
            <w:vAlign w:val="center"/>
            <w:hideMark/>
          </w:tcPr>
          <w:p w14:paraId="19F22D2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25,00</w:t>
            </w:r>
          </w:p>
        </w:tc>
      </w:tr>
      <w:tr w:rsidR="00C22FC1" w:rsidRPr="00C22FC1" w14:paraId="093D6DD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667F98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62</w:t>
            </w:r>
          </w:p>
        </w:tc>
        <w:tc>
          <w:tcPr>
            <w:tcW w:w="0" w:type="auto"/>
            <w:tcBorders>
              <w:top w:val="nil"/>
              <w:left w:val="nil"/>
              <w:bottom w:val="single" w:sz="4" w:space="0" w:color="auto"/>
              <w:right w:val="single" w:sz="4" w:space="0" w:color="auto"/>
            </w:tcBorders>
            <w:vAlign w:val="bottom"/>
            <w:hideMark/>
          </w:tcPr>
          <w:p w14:paraId="6DDD29E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2</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589E608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18,00</w:t>
            </w:r>
          </w:p>
        </w:tc>
        <w:tc>
          <w:tcPr>
            <w:tcW w:w="0" w:type="auto"/>
            <w:tcBorders>
              <w:top w:val="nil"/>
              <w:left w:val="nil"/>
              <w:bottom w:val="single" w:sz="4" w:space="0" w:color="auto"/>
              <w:right w:val="single" w:sz="4" w:space="0" w:color="auto"/>
            </w:tcBorders>
            <w:vAlign w:val="center"/>
            <w:hideMark/>
          </w:tcPr>
          <w:p w14:paraId="4EEA2FE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18,00</w:t>
            </w:r>
          </w:p>
        </w:tc>
      </w:tr>
      <w:tr w:rsidR="00C22FC1" w:rsidRPr="00C22FC1" w14:paraId="24ED0C0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4AC9E2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63</w:t>
            </w:r>
          </w:p>
        </w:tc>
        <w:tc>
          <w:tcPr>
            <w:tcW w:w="0" w:type="auto"/>
            <w:tcBorders>
              <w:top w:val="nil"/>
              <w:left w:val="nil"/>
              <w:bottom w:val="single" w:sz="4" w:space="0" w:color="auto"/>
              <w:right w:val="single" w:sz="4" w:space="0" w:color="auto"/>
            </w:tcBorders>
            <w:vAlign w:val="bottom"/>
            <w:hideMark/>
          </w:tcPr>
          <w:p w14:paraId="3D3C73C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20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533317F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10,00</w:t>
            </w:r>
          </w:p>
        </w:tc>
        <w:tc>
          <w:tcPr>
            <w:tcW w:w="0" w:type="auto"/>
            <w:tcBorders>
              <w:top w:val="nil"/>
              <w:left w:val="nil"/>
              <w:bottom w:val="single" w:sz="4" w:space="0" w:color="auto"/>
              <w:right w:val="single" w:sz="4" w:space="0" w:color="auto"/>
            </w:tcBorders>
            <w:vAlign w:val="center"/>
            <w:hideMark/>
          </w:tcPr>
          <w:p w14:paraId="6A2B948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10,00</w:t>
            </w:r>
          </w:p>
        </w:tc>
      </w:tr>
      <w:tr w:rsidR="00C22FC1" w:rsidRPr="00C22FC1" w14:paraId="01887DA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4F3495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lastRenderedPageBreak/>
              <w:t> </w:t>
            </w:r>
          </w:p>
        </w:tc>
        <w:tc>
          <w:tcPr>
            <w:tcW w:w="0" w:type="auto"/>
            <w:gridSpan w:val="3"/>
            <w:tcBorders>
              <w:top w:val="nil"/>
              <w:left w:val="nil"/>
              <w:bottom w:val="single" w:sz="4" w:space="0" w:color="auto"/>
              <w:right w:val="single" w:sz="4" w:space="0" w:color="auto"/>
            </w:tcBorders>
            <w:vAlign w:val="bottom"/>
            <w:hideMark/>
          </w:tcPr>
          <w:p w14:paraId="7451CF3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Para 5 pontos de ensaio</w:t>
            </w:r>
          </w:p>
        </w:tc>
      </w:tr>
      <w:tr w:rsidR="00C22FC1" w:rsidRPr="00C22FC1" w14:paraId="4EB0113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C493A8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64</w:t>
            </w:r>
          </w:p>
        </w:tc>
        <w:tc>
          <w:tcPr>
            <w:tcW w:w="0" w:type="auto"/>
            <w:tcBorders>
              <w:top w:val="nil"/>
              <w:left w:val="nil"/>
              <w:bottom w:val="single" w:sz="4" w:space="0" w:color="auto"/>
              <w:right w:val="single" w:sz="4" w:space="0" w:color="auto"/>
            </w:tcBorders>
            <w:vAlign w:val="bottom"/>
            <w:hideMark/>
          </w:tcPr>
          <w:p w14:paraId="5056EBC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uma unidade</w:t>
            </w:r>
          </w:p>
        </w:tc>
        <w:tc>
          <w:tcPr>
            <w:tcW w:w="0" w:type="auto"/>
            <w:tcBorders>
              <w:top w:val="nil"/>
              <w:left w:val="nil"/>
              <w:bottom w:val="single" w:sz="4" w:space="0" w:color="auto"/>
              <w:right w:val="single" w:sz="4" w:space="0" w:color="auto"/>
            </w:tcBorders>
            <w:vAlign w:val="center"/>
            <w:hideMark/>
          </w:tcPr>
          <w:p w14:paraId="319F8F5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34,00</w:t>
            </w:r>
          </w:p>
        </w:tc>
        <w:tc>
          <w:tcPr>
            <w:tcW w:w="0" w:type="auto"/>
            <w:tcBorders>
              <w:top w:val="nil"/>
              <w:left w:val="nil"/>
              <w:bottom w:val="single" w:sz="4" w:space="0" w:color="auto"/>
              <w:right w:val="single" w:sz="4" w:space="0" w:color="auto"/>
            </w:tcBorders>
            <w:vAlign w:val="center"/>
            <w:hideMark/>
          </w:tcPr>
          <w:p w14:paraId="514B3EA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34,00</w:t>
            </w:r>
          </w:p>
        </w:tc>
      </w:tr>
      <w:tr w:rsidR="00C22FC1" w:rsidRPr="00C22FC1" w14:paraId="7158B03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390744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65</w:t>
            </w:r>
          </w:p>
        </w:tc>
        <w:tc>
          <w:tcPr>
            <w:tcW w:w="0" w:type="auto"/>
            <w:tcBorders>
              <w:top w:val="nil"/>
              <w:left w:val="nil"/>
              <w:bottom w:val="single" w:sz="4" w:space="0" w:color="auto"/>
              <w:right w:val="single" w:sz="4" w:space="0" w:color="auto"/>
            </w:tcBorders>
            <w:vAlign w:val="bottom"/>
            <w:hideMark/>
          </w:tcPr>
          <w:p w14:paraId="67CA45D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2</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55E77A0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24,00</w:t>
            </w:r>
          </w:p>
        </w:tc>
        <w:tc>
          <w:tcPr>
            <w:tcW w:w="0" w:type="auto"/>
            <w:tcBorders>
              <w:top w:val="nil"/>
              <w:left w:val="nil"/>
              <w:bottom w:val="single" w:sz="4" w:space="0" w:color="auto"/>
              <w:right w:val="single" w:sz="4" w:space="0" w:color="auto"/>
            </w:tcBorders>
            <w:vAlign w:val="center"/>
            <w:hideMark/>
          </w:tcPr>
          <w:p w14:paraId="2C41BF6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24,00</w:t>
            </w:r>
          </w:p>
        </w:tc>
      </w:tr>
      <w:tr w:rsidR="00C22FC1" w:rsidRPr="00C22FC1" w14:paraId="30915A1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26D8AC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66</w:t>
            </w:r>
          </w:p>
        </w:tc>
        <w:tc>
          <w:tcPr>
            <w:tcW w:w="0" w:type="auto"/>
            <w:tcBorders>
              <w:top w:val="nil"/>
              <w:left w:val="nil"/>
              <w:bottom w:val="single" w:sz="4" w:space="0" w:color="auto"/>
              <w:right w:val="single" w:sz="4" w:space="0" w:color="auto"/>
            </w:tcBorders>
            <w:vAlign w:val="bottom"/>
            <w:hideMark/>
          </w:tcPr>
          <w:p w14:paraId="6F7272F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20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14B1A39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19,00</w:t>
            </w:r>
          </w:p>
        </w:tc>
        <w:tc>
          <w:tcPr>
            <w:tcW w:w="0" w:type="auto"/>
            <w:tcBorders>
              <w:top w:val="nil"/>
              <w:left w:val="nil"/>
              <w:bottom w:val="single" w:sz="4" w:space="0" w:color="auto"/>
              <w:right w:val="single" w:sz="4" w:space="0" w:color="auto"/>
            </w:tcBorders>
            <w:vAlign w:val="center"/>
            <w:hideMark/>
          </w:tcPr>
          <w:p w14:paraId="7DDD5EF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19,00</w:t>
            </w:r>
          </w:p>
        </w:tc>
      </w:tr>
      <w:tr w:rsidR="00C22FC1" w:rsidRPr="00C22FC1" w14:paraId="12F6A3F8"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533AD47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Densímetros com temperatura de referência de 20</w:t>
            </w:r>
            <w:r w:rsidRPr="00C22FC1">
              <w:rPr>
                <w:rFonts w:ascii="Times New Roman" w:eastAsia="Times New Roman" w:hAnsi="Times New Roman" w:cs="Times New Roman"/>
                <w:color w:val="000000"/>
                <w:kern w:val="0"/>
                <w:sz w:val="20"/>
                <w:szCs w:val="20"/>
                <w:vertAlign w:val="superscript"/>
                <w14:ligatures w14:val="none"/>
              </w:rPr>
              <w:t>o</w:t>
            </w:r>
            <w:r w:rsidRPr="00C22FC1">
              <w:rPr>
                <w:rFonts w:ascii="Times New Roman" w:eastAsia="Times New Roman" w:hAnsi="Times New Roman" w:cs="Times New Roman"/>
                <w:color w:val="000000"/>
                <w:kern w:val="0"/>
                <w:sz w:val="20"/>
                <w:szCs w:val="20"/>
                <w14:ligatures w14:val="none"/>
              </w:rPr>
              <w:t>C e com valor de uma divisão igual a 0,2 g/L</w:t>
            </w:r>
          </w:p>
        </w:tc>
      </w:tr>
      <w:tr w:rsidR="00C22FC1" w:rsidRPr="00C22FC1" w14:paraId="041906D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AFD0B6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78AC467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Para 3 pontos de ensaio</w:t>
            </w:r>
          </w:p>
        </w:tc>
      </w:tr>
      <w:tr w:rsidR="00C22FC1" w:rsidRPr="00C22FC1" w14:paraId="16345A2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F2879C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67</w:t>
            </w:r>
          </w:p>
        </w:tc>
        <w:tc>
          <w:tcPr>
            <w:tcW w:w="0" w:type="auto"/>
            <w:tcBorders>
              <w:top w:val="nil"/>
              <w:left w:val="nil"/>
              <w:bottom w:val="single" w:sz="4" w:space="0" w:color="auto"/>
              <w:right w:val="single" w:sz="4" w:space="0" w:color="auto"/>
            </w:tcBorders>
            <w:vAlign w:val="bottom"/>
            <w:hideMark/>
          </w:tcPr>
          <w:p w14:paraId="5ED514B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uma unidade</w:t>
            </w:r>
          </w:p>
        </w:tc>
        <w:tc>
          <w:tcPr>
            <w:tcW w:w="0" w:type="auto"/>
            <w:tcBorders>
              <w:top w:val="nil"/>
              <w:left w:val="nil"/>
              <w:bottom w:val="single" w:sz="4" w:space="0" w:color="auto"/>
              <w:right w:val="single" w:sz="4" w:space="0" w:color="auto"/>
            </w:tcBorders>
            <w:vAlign w:val="center"/>
            <w:hideMark/>
          </w:tcPr>
          <w:p w14:paraId="2F89BF7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45,00</w:t>
            </w:r>
          </w:p>
        </w:tc>
        <w:tc>
          <w:tcPr>
            <w:tcW w:w="0" w:type="auto"/>
            <w:tcBorders>
              <w:top w:val="nil"/>
              <w:left w:val="nil"/>
              <w:bottom w:val="single" w:sz="4" w:space="0" w:color="auto"/>
              <w:right w:val="single" w:sz="4" w:space="0" w:color="auto"/>
            </w:tcBorders>
            <w:vAlign w:val="center"/>
            <w:hideMark/>
          </w:tcPr>
          <w:p w14:paraId="528367D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45,00</w:t>
            </w:r>
          </w:p>
        </w:tc>
      </w:tr>
      <w:tr w:rsidR="00C22FC1" w:rsidRPr="00C22FC1" w14:paraId="62BE46B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172A3D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68</w:t>
            </w:r>
          </w:p>
        </w:tc>
        <w:tc>
          <w:tcPr>
            <w:tcW w:w="0" w:type="auto"/>
            <w:tcBorders>
              <w:top w:val="nil"/>
              <w:left w:val="nil"/>
              <w:bottom w:val="single" w:sz="4" w:space="0" w:color="auto"/>
              <w:right w:val="single" w:sz="4" w:space="0" w:color="auto"/>
            </w:tcBorders>
            <w:vAlign w:val="bottom"/>
            <w:hideMark/>
          </w:tcPr>
          <w:p w14:paraId="56035E1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2</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5A3E92F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w:t>
            </w:r>
          </w:p>
        </w:tc>
        <w:tc>
          <w:tcPr>
            <w:tcW w:w="0" w:type="auto"/>
            <w:tcBorders>
              <w:top w:val="nil"/>
              <w:left w:val="nil"/>
              <w:bottom w:val="single" w:sz="4" w:space="0" w:color="auto"/>
              <w:right w:val="single" w:sz="4" w:space="0" w:color="auto"/>
            </w:tcBorders>
            <w:vAlign w:val="center"/>
            <w:hideMark/>
          </w:tcPr>
          <w:p w14:paraId="2D99076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w:t>
            </w:r>
          </w:p>
        </w:tc>
      </w:tr>
      <w:tr w:rsidR="00C22FC1" w:rsidRPr="00C22FC1" w14:paraId="5835472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8ACF40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69</w:t>
            </w:r>
          </w:p>
        </w:tc>
        <w:tc>
          <w:tcPr>
            <w:tcW w:w="0" w:type="auto"/>
            <w:tcBorders>
              <w:top w:val="nil"/>
              <w:left w:val="nil"/>
              <w:bottom w:val="single" w:sz="4" w:space="0" w:color="auto"/>
              <w:right w:val="single" w:sz="4" w:space="0" w:color="auto"/>
            </w:tcBorders>
            <w:vAlign w:val="bottom"/>
            <w:hideMark/>
          </w:tcPr>
          <w:p w14:paraId="5E1AF7A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20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4B9AA6B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20,00</w:t>
            </w:r>
          </w:p>
        </w:tc>
        <w:tc>
          <w:tcPr>
            <w:tcW w:w="0" w:type="auto"/>
            <w:tcBorders>
              <w:top w:val="nil"/>
              <w:left w:val="nil"/>
              <w:bottom w:val="single" w:sz="4" w:space="0" w:color="auto"/>
              <w:right w:val="single" w:sz="4" w:space="0" w:color="auto"/>
            </w:tcBorders>
            <w:vAlign w:val="center"/>
            <w:hideMark/>
          </w:tcPr>
          <w:p w14:paraId="06FAA26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20,00</w:t>
            </w:r>
          </w:p>
        </w:tc>
      </w:tr>
      <w:tr w:rsidR="00C22FC1" w:rsidRPr="00C22FC1" w14:paraId="65F28D0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EF74EB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4093175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Para 5 pontos de ensaio</w:t>
            </w:r>
          </w:p>
        </w:tc>
      </w:tr>
      <w:tr w:rsidR="00C22FC1" w:rsidRPr="00C22FC1" w14:paraId="12F99A1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5189F5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71</w:t>
            </w:r>
          </w:p>
        </w:tc>
        <w:tc>
          <w:tcPr>
            <w:tcW w:w="0" w:type="auto"/>
            <w:tcBorders>
              <w:top w:val="nil"/>
              <w:left w:val="nil"/>
              <w:bottom w:val="single" w:sz="4" w:space="0" w:color="auto"/>
              <w:right w:val="single" w:sz="4" w:space="0" w:color="auto"/>
            </w:tcBorders>
            <w:vAlign w:val="bottom"/>
            <w:hideMark/>
          </w:tcPr>
          <w:p w14:paraId="3CA5414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uma unidade</w:t>
            </w:r>
          </w:p>
        </w:tc>
        <w:tc>
          <w:tcPr>
            <w:tcW w:w="0" w:type="auto"/>
            <w:tcBorders>
              <w:top w:val="nil"/>
              <w:left w:val="nil"/>
              <w:bottom w:val="single" w:sz="4" w:space="0" w:color="auto"/>
              <w:right w:val="single" w:sz="4" w:space="0" w:color="auto"/>
            </w:tcBorders>
            <w:vAlign w:val="center"/>
            <w:hideMark/>
          </w:tcPr>
          <w:p w14:paraId="2AC6A3A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55,00</w:t>
            </w:r>
          </w:p>
        </w:tc>
        <w:tc>
          <w:tcPr>
            <w:tcW w:w="0" w:type="auto"/>
            <w:tcBorders>
              <w:top w:val="nil"/>
              <w:left w:val="nil"/>
              <w:bottom w:val="single" w:sz="4" w:space="0" w:color="auto"/>
              <w:right w:val="single" w:sz="4" w:space="0" w:color="auto"/>
            </w:tcBorders>
            <w:vAlign w:val="center"/>
            <w:hideMark/>
          </w:tcPr>
          <w:p w14:paraId="2181FDF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55,00</w:t>
            </w:r>
          </w:p>
        </w:tc>
      </w:tr>
      <w:tr w:rsidR="00C22FC1" w:rsidRPr="00C22FC1" w14:paraId="0869AF0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C9953A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72</w:t>
            </w:r>
          </w:p>
        </w:tc>
        <w:tc>
          <w:tcPr>
            <w:tcW w:w="0" w:type="auto"/>
            <w:tcBorders>
              <w:top w:val="nil"/>
              <w:left w:val="nil"/>
              <w:bottom w:val="single" w:sz="4" w:space="0" w:color="auto"/>
              <w:right w:val="single" w:sz="4" w:space="0" w:color="auto"/>
            </w:tcBorders>
            <w:vAlign w:val="bottom"/>
            <w:hideMark/>
          </w:tcPr>
          <w:p w14:paraId="7129F0D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2</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710998D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42,00</w:t>
            </w:r>
          </w:p>
        </w:tc>
        <w:tc>
          <w:tcPr>
            <w:tcW w:w="0" w:type="auto"/>
            <w:tcBorders>
              <w:top w:val="nil"/>
              <w:left w:val="nil"/>
              <w:bottom w:val="single" w:sz="4" w:space="0" w:color="auto"/>
              <w:right w:val="single" w:sz="4" w:space="0" w:color="auto"/>
            </w:tcBorders>
            <w:vAlign w:val="center"/>
            <w:hideMark/>
          </w:tcPr>
          <w:p w14:paraId="183A1CA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42,00</w:t>
            </w:r>
          </w:p>
        </w:tc>
      </w:tr>
      <w:tr w:rsidR="00C22FC1" w:rsidRPr="00C22FC1" w14:paraId="188ED61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96B4A4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73</w:t>
            </w:r>
          </w:p>
        </w:tc>
        <w:tc>
          <w:tcPr>
            <w:tcW w:w="0" w:type="auto"/>
            <w:tcBorders>
              <w:top w:val="nil"/>
              <w:left w:val="nil"/>
              <w:bottom w:val="single" w:sz="4" w:space="0" w:color="auto"/>
              <w:right w:val="single" w:sz="4" w:space="0" w:color="auto"/>
            </w:tcBorders>
            <w:vAlign w:val="bottom"/>
            <w:hideMark/>
          </w:tcPr>
          <w:p w14:paraId="040E216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20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2D240D1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w:t>
            </w:r>
          </w:p>
        </w:tc>
        <w:tc>
          <w:tcPr>
            <w:tcW w:w="0" w:type="auto"/>
            <w:tcBorders>
              <w:top w:val="nil"/>
              <w:left w:val="nil"/>
              <w:bottom w:val="single" w:sz="4" w:space="0" w:color="auto"/>
              <w:right w:val="single" w:sz="4" w:space="0" w:color="auto"/>
            </w:tcBorders>
            <w:vAlign w:val="center"/>
            <w:hideMark/>
          </w:tcPr>
          <w:p w14:paraId="5B16E65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w:t>
            </w:r>
          </w:p>
        </w:tc>
      </w:tr>
      <w:tr w:rsidR="00C22FC1" w:rsidRPr="00C22FC1" w14:paraId="3AE2CA5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AB9202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74</w:t>
            </w:r>
          </w:p>
        </w:tc>
        <w:tc>
          <w:tcPr>
            <w:tcW w:w="0" w:type="auto"/>
            <w:tcBorders>
              <w:top w:val="nil"/>
              <w:left w:val="nil"/>
              <w:bottom w:val="single" w:sz="4" w:space="0" w:color="auto"/>
              <w:right w:val="single" w:sz="4" w:space="0" w:color="auto"/>
            </w:tcBorders>
            <w:vAlign w:val="bottom"/>
            <w:hideMark/>
          </w:tcPr>
          <w:p w14:paraId="6B14520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Densímetro com outras temperaturas de referência e/ou outros valores de uma divisão</w:t>
            </w:r>
          </w:p>
        </w:tc>
        <w:tc>
          <w:tcPr>
            <w:tcW w:w="0" w:type="auto"/>
            <w:tcBorders>
              <w:top w:val="nil"/>
              <w:left w:val="nil"/>
              <w:bottom w:val="single" w:sz="4" w:space="0" w:color="auto"/>
              <w:right w:val="single" w:sz="4" w:space="0" w:color="auto"/>
            </w:tcBorders>
            <w:vAlign w:val="center"/>
            <w:hideMark/>
          </w:tcPr>
          <w:p w14:paraId="059C0E7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c>
          <w:tcPr>
            <w:tcW w:w="0" w:type="auto"/>
            <w:tcBorders>
              <w:top w:val="nil"/>
              <w:left w:val="nil"/>
              <w:bottom w:val="single" w:sz="4" w:space="0" w:color="auto"/>
              <w:right w:val="single" w:sz="4" w:space="0" w:color="auto"/>
            </w:tcBorders>
            <w:vAlign w:val="center"/>
            <w:hideMark/>
          </w:tcPr>
          <w:p w14:paraId="4EE4CEE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r>
      <w:tr w:rsidR="00C22FC1" w:rsidRPr="00C22FC1" w14:paraId="7E210B0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97A261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77</w:t>
            </w:r>
          </w:p>
        </w:tc>
        <w:tc>
          <w:tcPr>
            <w:tcW w:w="0" w:type="auto"/>
            <w:tcBorders>
              <w:top w:val="nil"/>
              <w:left w:val="nil"/>
              <w:bottom w:val="single" w:sz="4" w:space="0" w:color="auto"/>
              <w:right w:val="single" w:sz="4" w:space="0" w:color="auto"/>
            </w:tcBorders>
            <w:vAlign w:val="bottom"/>
            <w:hideMark/>
          </w:tcPr>
          <w:p w14:paraId="4E13B45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Indicador de teor alcoólico - densímetro termocompensado</w:t>
            </w:r>
          </w:p>
        </w:tc>
        <w:tc>
          <w:tcPr>
            <w:tcW w:w="0" w:type="auto"/>
            <w:tcBorders>
              <w:top w:val="nil"/>
              <w:left w:val="nil"/>
              <w:bottom w:val="single" w:sz="4" w:space="0" w:color="auto"/>
              <w:right w:val="single" w:sz="4" w:space="0" w:color="auto"/>
            </w:tcBorders>
            <w:vAlign w:val="center"/>
            <w:hideMark/>
          </w:tcPr>
          <w:p w14:paraId="64FB519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40,00</w:t>
            </w:r>
          </w:p>
        </w:tc>
        <w:tc>
          <w:tcPr>
            <w:tcW w:w="0" w:type="auto"/>
            <w:tcBorders>
              <w:top w:val="nil"/>
              <w:left w:val="nil"/>
              <w:bottom w:val="single" w:sz="4" w:space="0" w:color="auto"/>
              <w:right w:val="single" w:sz="4" w:space="0" w:color="auto"/>
            </w:tcBorders>
            <w:vAlign w:val="center"/>
            <w:hideMark/>
          </w:tcPr>
          <w:p w14:paraId="1875E6B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15,00</w:t>
            </w:r>
          </w:p>
        </w:tc>
      </w:tr>
      <w:tr w:rsidR="00C22FC1" w:rsidRPr="00C22FC1" w14:paraId="5303869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4B0810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78</w:t>
            </w:r>
          </w:p>
        </w:tc>
        <w:tc>
          <w:tcPr>
            <w:tcW w:w="0" w:type="auto"/>
            <w:tcBorders>
              <w:top w:val="nil"/>
              <w:left w:val="nil"/>
              <w:bottom w:val="single" w:sz="4" w:space="0" w:color="auto"/>
              <w:right w:val="single" w:sz="4" w:space="0" w:color="auto"/>
            </w:tcBorders>
            <w:vAlign w:val="bottom"/>
            <w:hideMark/>
          </w:tcPr>
          <w:p w14:paraId="1253BF7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Lactodensímetro</w:t>
            </w:r>
          </w:p>
        </w:tc>
        <w:tc>
          <w:tcPr>
            <w:tcW w:w="0" w:type="auto"/>
            <w:tcBorders>
              <w:top w:val="nil"/>
              <w:left w:val="nil"/>
              <w:bottom w:val="single" w:sz="4" w:space="0" w:color="auto"/>
              <w:right w:val="single" w:sz="4" w:space="0" w:color="auto"/>
            </w:tcBorders>
            <w:vAlign w:val="center"/>
            <w:hideMark/>
          </w:tcPr>
          <w:p w14:paraId="31E4253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18,00</w:t>
            </w:r>
          </w:p>
        </w:tc>
        <w:tc>
          <w:tcPr>
            <w:tcW w:w="0" w:type="auto"/>
            <w:tcBorders>
              <w:top w:val="nil"/>
              <w:left w:val="nil"/>
              <w:bottom w:val="single" w:sz="4" w:space="0" w:color="auto"/>
              <w:right w:val="single" w:sz="4" w:space="0" w:color="auto"/>
            </w:tcBorders>
            <w:vAlign w:val="center"/>
            <w:hideMark/>
          </w:tcPr>
          <w:p w14:paraId="1874C70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18,00</w:t>
            </w:r>
          </w:p>
        </w:tc>
      </w:tr>
      <w:tr w:rsidR="00C22FC1" w:rsidRPr="00C22FC1" w14:paraId="38C004F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950550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79</w:t>
            </w:r>
          </w:p>
        </w:tc>
        <w:tc>
          <w:tcPr>
            <w:tcW w:w="0" w:type="auto"/>
            <w:tcBorders>
              <w:top w:val="nil"/>
              <w:left w:val="nil"/>
              <w:bottom w:val="single" w:sz="4" w:space="0" w:color="auto"/>
              <w:right w:val="single" w:sz="4" w:space="0" w:color="auto"/>
            </w:tcBorders>
            <w:vAlign w:val="bottom"/>
            <w:hideMark/>
          </w:tcPr>
          <w:p w14:paraId="29DA000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Condutivímetro térmico</w:t>
            </w:r>
          </w:p>
        </w:tc>
        <w:tc>
          <w:tcPr>
            <w:tcW w:w="0" w:type="auto"/>
            <w:tcBorders>
              <w:top w:val="nil"/>
              <w:left w:val="nil"/>
              <w:bottom w:val="single" w:sz="4" w:space="0" w:color="auto"/>
              <w:right w:val="single" w:sz="4" w:space="0" w:color="auto"/>
            </w:tcBorders>
            <w:vAlign w:val="center"/>
            <w:hideMark/>
          </w:tcPr>
          <w:p w14:paraId="2B3EC46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c>
          <w:tcPr>
            <w:tcW w:w="0" w:type="auto"/>
            <w:tcBorders>
              <w:top w:val="nil"/>
              <w:left w:val="nil"/>
              <w:bottom w:val="single" w:sz="4" w:space="0" w:color="auto"/>
              <w:right w:val="single" w:sz="4" w:space="0" w:color="auto"/>
            </w:tcBorders>
            <w:vAlign w:val="center"/>
            <w:hideMark/>
          </w:tcPr>
          <w:p w14:paraId="2201C3C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r>
      <w:tr w:rsidR="00C22FC1" w:rsidRPr="00C22FC1" w14:paraId="5368C5C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98ADAC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1EF90CB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Medidas para avaliação de cereais e sementes oleaginosas</w:t>
            </w:r>
          </w:p>
        </w:tc>
      </w:tr>
      <w:tr w:rsidR="00C22FC1" w:rsidRPr="00C22FC1" w14:paraId="5C091D0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579521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80</w:t>
            </w:r>
          </w:p>
        </w:tc>
        <w:tc>
          <w:tcPr>
            <w:tcW w:w="0" w:type="auto"/>
            <w:tcBorders>
              <w:top w:val="nil"/>
              <w:left w:val="nil"/>
              <w:bottom w:val="single" w:sz="4" w:space="0" w:color="auto"/>
              <w:right w:val="single" w:sz="4" w:space="0" w:color="auto"/>
            </w:tcBorders>
            <w:vAlign w:val="bottom"/>
            <w:hideMark/>
          </w:tcPr>
          <w:p w14:paraId="4A4E350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Medidor de umidade de grãos</w:t>
            </w:r>
          </w:p>
        </w:tc>
        <w:tc>
          <w:tcPr>
            <w:tcW w:w="0" w:type="auto"/>
            <w:tcBorders>
              <w:top w:val="nil"/>
              <w:left w:val="nil"/>
              <w:bottom w:val="single" w:sz="4" w:space="0" w:color="auto"/>
              <w:right w:val="single" w:sz="4" w:space="0" w:color="auto"/>
            </w:tcBorders>
            <w:vAlign w:val="center"/>
            <w:hideMark/>
          </w:tcPr>
          <w:p w14:paraId="3555729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292,50</w:t>
            </w:r>
          </w:p>
        </w:tc>
        <w:tc>
          <w:tcPr>
            <w:tcW w:w="0" w:type="auto"/>
            <w:tcBorders>
              <w:top w:val="nil"/>
              <w:left w:val="nil"/>
              <w:bottom w:val="single" w:sz="4" w:space="0" w:color="auto"/>
              <w:right w:val="single" w:sz="4" w:space="0" w:color="auto"/>
            </w:tcBorders>
            <w:vAlign w:val="center"/>
            <w:hideMark/>
          </w:tcPr>
          <w:p w14:paraId="2A1AAA6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292,50</w:t>
            </w:r>
          </w:p>
        </w:tc>
      </w:tr>
      <w:tr w:rsidR="00C22FC1" w:rsidRPr="00C22FC1" w14:paraId="39BE8A2E"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64AC1C1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pesagem</w:t>
            </w:r>
          </w:p>
        </w:tc>
      </w:tr>
      <w:tr w:rsidR="00C22FC1" w:rsidRPr="00C22FC1" w14:paraId="546F1BE4"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5DC7C8C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pesagem não automáticos (a carga se refere sempre à carga máxima Max)</w:t>
            </w:r>
          </w:p>
        </w:tc>
      </w:tr>
      <w:tr w:rsidR="00C22FC1" w:rsidRPr="00C22FC1" w14:paraId="76D0ACD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58DD53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6D3A761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 da classe de exatidão I (especial)</w:t>
            </w:r>
          </w:p>
        </w:tc>
      </w:tr>
      <w:tr w:rsidR="00C22FC1" w:rsidRPr="00C22FC1" w14:paraId="443B7DD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E838A5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101</w:t>
            </w:r>
          </w:p>
        </w:tc>
        <w:tc>
          <w:tcPr>
            <w:tcW w:w="0" w:type="auto"/>
            <w:tcBorders>
              <w:top w:val="nil"/>
              <w:left w:val="nil"/>
              <w:bottom w:val="single" w:sz="4" w:space="0" w:color="auto"/>
              <w:right w:val="single" w:sz="4" w:space="0" w:color="auto"/>
            </w:tcBorders>
            <w:vAlign w:val="bottom"/>
            <w:hideMark/>
          </w:tcPr>
          <w:p w14:paraId="575F54D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 kg</w:t>
            </w:r>
          </w:p>
        </w:tc>
        <w:tc>
          <w:tcPr>
            <w:tcW w:w="0" w:type="auto"/>
            <w:tcBorders>
              <w:top w:val="nil"/>
              <w:left w:val="nil"/>
              <w:bottom w:val="single" w:sz="4" w:space="0" w:color="auto"/>
              <w:right w:val="single" w:sz="4" w:space="0" w:color="auto"/>
            </w:tcBorders>
            <w:vAlign w:val="center"/>
            <w:hideMark/>
          </w:tcPr>
          <w:p w14:paraId="7F47AEF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195,40</w:t>
            </w:r>
          </w:p>
        </w:tc>
        <w:tc>
          <w:tcPr>
            <w:tcW w:w="0" w:type="auto"/>
            <w:tcBorders>
              <w:top w:val="nil"/>
              <w:left w:val="nil"/>
              <w:bottom w:val="single" w:sz="4" w:space="0" w:color="auto"/>
              <w:right w:val="single" w:sz="4" w:space="0" w:color="auto"/>
            </w:tcBorders>
            <w:vAlign w:val="center"/>
            <w:hideMark/>
          </w:tcPr>
          <w:p w14:paraId="7C11717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64,60</w:t>
            </w:r>
          </w:p>
        </w:tc>
      </w:tr>
      <w:tr w:rsidR="00C22FC1" w:rsidRPr="00C22FC1" w14:paraId="6FB5FD1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95741D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w:t>
            </w:r>
          </w:p>
        </w:tc>
        <w:tc>
          <w:tcPr>
            <w:tcW w:w="0" w:type="auto"/>
            <w:tcBorders>
              <w:top w:val="nil"/>
              <w:left w:val="nil"/>
              <w:bottom w:val="single" w:sz="4" w:space="0" w:color="auto"/>
              <w:right w:val="single" w:sz="4" w:space="0" w:color="auto"/>
            </w:tcBorders>
            <w:vAlign w:val="bottom"/>
            <w:hideMark/>
          </w:tcPr>
          <w:p w14:paraId="63860A2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 kg</w:t>
            </w:r>
          </w:p>
        </w:tc>
        <w:tc>
          <w:tcPr>
            <w:tcW w:w="0" w:type="auto"/>
            <w:tcBorders>
              <w:top w:val="nil"/>
              <w:left w:val="nil"/>
              <w:bottom w:val="single" w:sz="4" w:space="0" w:color="auto"/>
              <w:right w:val="single" w:sz="4" w:space="0" w:color="auto"/>
            </w:tcBorders>
            <w:vAlign w:val="center"/>
            <w:hideMark/>
          </w:tcPr>
          <w:p w14:paraId="283F8E3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248,00</w:t>
            </w:r>
          </w:p>
        </w:tc>
        <w:tc>
          <w:tcPr>
            <w:tcW w:w="0" w:type="auto"/>
            <w:tcBorders>
              <w:top w:val="nil"/>
              <w:left w:val="nil"/>
              <w:bottom w:val="single" w:sz="4" w:space="0" w:color="auto"/>
              <w:right w:val="single" w:sz="4" w:space="0" w:color="auto"/>
            </w:tcBorders>
            <w:vAlign w:val="center"/>
            <w:hideMark/>
          </w:tcPr>
          <w:p w14:paraId="293EF7D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81,80</w:t>
            </w:r>
          </w:p>
        </w:tc>
      </w:tr>
      <w:tr w:rsidR="00C22FC1" w:rsidRPr="00C22FC1" w14:paraId="5B6539D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3BB585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3538B42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 da classe de exatidão I (especial), com valores de divisão múltiplos ou múltiplas faixas.</w:t>
            </w:r>
          </w:p>
        </w:tc>
      </w:tr>
      <w:tr w:rsidR="00C22FC1" w:rsidRPr="00C22FC1" w14:paraId="7C6DC57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56944A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103</w:t>
            </w:r>
          </w:p>
        </w:tc>
        <w:tc>
          <w:tcPr>
            <w:tcW w:w="0" w:type="auto"/>
            <w:tcBorders>
              <w:top w:val="nil"/>
              <w:left w:val="nil"/>
              <w:bottom w:val="single" w:sz="4" w:space="0" w:color="auto"/>
              <w:right w:val="single" w:sz="4" w:space="0" w:color="auto"/>
            </w:tcBorders>
            <w:vAlign w:val="bottom"/>
            <w:hideMark/>
          </w:tcPr>
          <w:p w14:paraId="427C6A9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 kg</w:t>
            </w:r>
          </w:p>
        </w:tc>
        <w:tc>
          <w:tcPr>
            <w:tcW w:w="0" w:type="auto"/>
            <w:tcBorders>
              <w:top w:val="nil"/>
              <w:left w:val="nil"/>
              <w:bottom w:val="single" w:sz="4" w:space="0" w:color="auto"/>
              <w:right w:val="single" w:sz="4" w:space="0" w:color="auto"/>
            </w:tcBorders>
            <w:vAlign w:val="center"/>
            <w:hideMark/>
          </w:tcPr>
          <w:p w14:paraId="3A117F6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207,30</w:t>
            </w:r>
          </w:p>
        </w:tc>
        <w:tc>
          <w:tcPr>
            <w:tcW w:w="0" w:type="auto"/>
            <w:tcBorders>
              <w:top w:val="nil"/>
              <w:left w:val="nil"/>
              <w:bottom w:val="single" w:sz="4" w:space="0" w:color="auto"/>
              <w:right w:val="single" w:sz="4" w:space="0" w:color="auto"/>
            </w:tcBorders>
            <w:vAlign w:val="center"/>
            <w:hideMark/>
          </w:tcPr>
          <w:p w14:paraId="4C51E29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68,00</w:t>
            </w:r>
          </w:p>
        </w:tc>
      </w:tr>
      <w:tr w:rsidR="00C22FC1" w:rsidRPr="00C22FC1" w14:paraId="47036EA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A3C680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104</w:t>
            </w:r>
          </w:p>
        </w:tc>
        <w:tc>
          <w:tcPr>
            <w:tcW w:w="0" w:type="auto"/>
            <w:tcBorders>
              <w:top w:val="nil"/>
              <w:left w:val="nil"/>
              <w:bottom w:val="single" w:sz="4" w:space="0" w:color="auto"/>
              <w:right w:val="single" w:sz="4" w:space="0" w:color="auto"/>
            </w:tcBorders>
            <w:vAlign w:val="bottom"/>
            <w:hideMark/>
          </w:tcPr>
          <w:p w14:paraId="1A70990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 kg</w:t>
            </w:r>
          </w:p>
        </w:tc>
        <w:tc>
          <w:tcPr>
            <w:tcW w:w="0" w:type="auto"/>
            <w:tcBorders>
              <w:top w:val="nil"/>
              <w:left w:val="nil"/>
              <w:bottom w:val="single" w:sz="4" w:space="0" w:color="auto"/>
              <w:right w:val="single" w:sz="4" w:space="0" w:color="auto"/>
            </w:tcBorders>
            <w:vAlign w:val="center"/>
            <w:hideMark/>
          </w:tcPr>
          <w:p w14:paraId="6CACA23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265,00</w:t>
            </w:r>
          </w:p>
        </w:tc>
        <w:tc>
          <w:tcPr>
            <w:tcW w:w="0" w:type="auto"/>
            <w:tcBorders>
              <w:top w:val="nil"/>
              <w:left w:val="nil"/>
              <w:bottom w:val="single" w:sz="4" w:space="0" w:color="auto"/>
              <w:right w:val="single" w:sz="4" w:space="0" w:color="auto"/>
            </w:tcBorders>
            <w:vAlign w:val="center"/>
            <w:hideMark/>
          </w:tcPr>
          <w:p w14:paraId="35D8536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86,70</w:t>
            </w:r>
          </w:p>
        </w:tc>
      </w:tr>
      <w:tr w:rsidR="00C22FC1" w:rsidRPr="00C22FC1" w14:paraId="047FE3C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9B8E24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74CD569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 de pesagem da classe de exatidão II (fina)</w:t>
            </w:r>
          </w:p>
        </w:tc>
      </w:tr>
      <w:tr w:rsidR="00C22FC1" w:rsidRPr="00C22FC1" w14:paraId="392A9FB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9522C2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w:t>
            </w:r>
          </w:p>
        </w:tc>
        <w:tc>
          <w:tcPr>
            <w:tcW w:w="0" w:type="auto"/>
            <w:tcBorders>
              <w:top w:val="nil"/>
              <w:left w:val="nil"/>
              <w:bottom w:val="single" w:sz="4" w:space="0" w:color="auto"/>
              <w:right w:val="single" w:sz="4" w:space="0" w:color="auto"/>
            </w:tcBorders>
            <w:vAlign w:val="bottom"/>
            <w:hideMark/>
          </w:tcPr>
          <w:p w14:paraId="2073918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 kg</w:t>
            </w:r>
          </w:p>
        </w:tc>
        <w:tc>
          <w:tcPr>
            <w:tcW w:w="0" w:type="auto"/>
            <w:tcBorders>
              <w:top w:val="nil"/>
              <w:left w:val="nil"/>
              <w:bottom w:val="single" w:sz="4" w:space="0" w:color="auto"/>
              <w:right w:val="single" w:sz="4" w:space="0" w:color="auto"/>
            </w:tcBorders>
            <w:vAlign w:val="center"/>
            <w:hideMark/>
          </w:tcPr>
          <w:p w14:paraId="0CA1DF7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67,00</w:t>
            </w:r>
          </w:p>
        </w:tc>
        <w:tc>
          <w:tcPr>
            <w:tcW w:w="0" w:type="auto"/>
            <w:tcBorders>
              <w:top w:val="nil"/>
              <w:left w:val="nil"/>
              <w:bottom w:val="single" w:sz="4" w:space="0" w:color="auto"/>
              <w:right w:val="single" w:sz="4" w:space="0" w:color="auto"/>
            </w:tcBorders>
            <w:vAlign w:val="center"/>
            <w:hideMark/>
          </w:tcPr>
          <w:p w14:paraId="3906139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22,10</w:t>
            </w:r>
          </w:p>
        </w:tc>
      </w:tr>
      <w:tr w:rsidR="00C22FC1" w:rsidRPr="00C22FC1" w14:paraId="2D13855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33ED04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106</w:t>
            </w:r>
          </w:p>
        </w:tc>
        <w:tc>
          <w:tcPr>
            <w:tcW w:w="0" w:type="auto"/>
            <w:tcBorders>
              <w:top w:val="nil"/>
              <w:left w:val="nil"/>
              <w:bottom w:val="single" w:sz="4" w:space="0" w:color="auto"/>
              <w:right w:val="single" w:sz="4" w:space="0" w:color="auto"/>
            </w:tcBorders>
            <w:vAlign w:val="bottom"/>
            <w:hideMark/>
          </w:tcPr>
          <w:p w14:paraId="0BC8291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 kg até 50 kg</w:t>
            </w:r>
          </w:p>
        </w:tc>
        <w:tc>
          <w:tcPr>
            <w:tcW w:w="0" w:type="auto"/>
            <w:tcBorders>
              <w:top w:val="nil"/>
              <w:left w:val="nil"/>
              <w:bottom w:val="single" w:sz="4" w:space="0" w:color="auto"/>
              <w:right w:val="single" w:sz="4" w:space="0" w:color="auto"/>
            </w:tcBorders>
            <w:vAlign w:val="center"/>
            <w:hideMark/>
          </w:tcPr>
          <w:p w14:paraId="18DD9BF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102,70</w:t>
            </w:r>
          </w:p>
        </w:tc>
        <w:tc>
          <w:tcPr>
            <w:tcW w:w="0" w:type="auto"/>
            <w:tcBorders>
              <w:top w:val="nil"/>
              <w:left w:val="nil"/>
              <w:bottom w:val="single" w:sz="4" w:space="0" w:color="auto"/>
              <w:right w:val="single" w:sz="4" w:space="0" w:color="auto"/>
            </w:tcBorders>
            <w:vAlign w:val="center"/>
            <w:hideMark/>
          </w:tcPr>
          <w:p w14:paraId="08B5448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34,00</w:t>
            </w:r>
          </w:p>
        </w:tc>
      </w:tr>
      <w:tr w:rsidR="00C22FC1" w:rsidRPr="00C22FC1" w14:paraId="1385341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0EEB28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107</w:t>
            </w:r>
          </w:p>
        </w:tc>
        <w:tc>
          <w:tcPr>
            <w:tcW w:w="0" w:type="auto"/>
            <w:tcBorders>
              <w:top w:val="nil"/>
              <w:left w:val="nil"/>
              <w:bottom w:val="single" w:sz="4" w:space="0" w:color="auto"/>
              <w:right w:val="single" w:sz="4" w:space="0" w:color="auto"/>
            </w:tcBorders>
            <w:vAlign w:val="bottom"/>
            <w:hideMark/>
          </w:tcPr>
          <w:p w14:paraId="40436B5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 kg até 350 kg</w:t>
            </w:r>
          </w:p>
        </w:tc>
        <w:tc>
          <w:tcPr>
            <w:tcW w:w="0" w:type="auto"/>
            <w:tcBorders>
              <w:top w:val="nil"/>
              <w:left w:val="nil"/>
              <w:bottom w:val="single" w:sz="4" w:space="0" w:color="auto"/>
              <w:right w:val="single" w:sz="4" w:space="0" w:color="auto"/>
            </w:tcBorders>
            <w:vAlign w:val="center"/>
            <w:hideMark/>
          </w:tcPr>
          <w:p w14:paraId="7579A5F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180,10</w:t>
            </w:r>
          </w:p>
        </w:tc>
        <w:tc>
          <w:tcPr>
            <w:tcW w:w="0" w:type="auto"/>
            <w:tcBorders>
              <w:top w:val="nil"/>
              <w:left w:val="nil"/>
              <w:bottom w:val="single" w:sz="4" w:space="0" w:color="auto"/>
              <w:right w:val="single" w:sz="4" w:space="0" w:color="auto"/>
            </w:tcBorders>
            <w:vAlign w:val="center"/>
            <w:hideMark/>
          </w:tcPr>
          <w:p w14:paraId="56E1123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59,50</w:t>
            </w:r>
          </w:p>
        </w:tc>
      </w:tr>
      <w:tr w:rsidR="00C22FC1" w:rsidRPr="00C22FC1" w14:paraId="342A009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82BCA8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43050F5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Sem dispositivo indicador</w:t>
            </w:r>
          </w:p>
        </w:tc>
      </w:tr>
      <w:tr w:rsidR="00C22FC1" w:rsidRPr="00C22FC1" w14:paraId="59BE31C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A64F94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108</w:t>
            </w:r>
          </w:p>
        </w:tc>
        <w:tc>
          <w:tcPr>
            <w:tcW w:w="0" w:type="auto"/>
            <w:tcBorders>
              <w:top w:val="nil"/>
              <w:left w:val="nil"/>
              <w:bottom w:val="single" w:sz="4" w:space="0" w:color="auto"/>
              <w:right w:val="single" w:sz="4" w:space="0" w:color="auto"/>
            </w:tcBorders>
            <w:vAlign w:val="bottom"/>
            <w:hideMark/>
          </w:tcPr>
          <w:p w14:paraId="1EBC8FA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 kg</w:t>
            </w:r>
          </w:p>
        </w:tc>
        <w:tc>
          <w:tcPr>
            <w:tcW w:w="0" w:type="auto"/>
            <w:tcBorders>
              <w:top w:val="nil"/>
              <w:left w:val="nil"/>
              <w:bottom w:val="single" w:sz="4" w:space="0" w:color="auto"/>
              <w:right w:val="single" w:sz="4" w:space="0" w:color="auto"/>
            </w:tcBorders>
            <w:vAlign w:val="center"/>
            <w:hideMark/>
          </w:tcPr>
          <w:p w14:paraId="42E0F37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39,10</w:t>
            </w:r>
          </w:p>
        </w:tc>
        <w:tc>
          <w:tcPr>
            <w:tcW w:w="0" w:type="auto"/>
            <w:tcBorders>
              <w:top w:val="nil"/>
              <w:left w:val="nil"/>
              <w:bottom w:val="single" w:sz="4" w:space="0" w:color="auto"/>
              <w:right w:val="single" w:sz="4" w:space="0" w:color="auto"/>
            </w:tcBorders>
            <w:vAlign w:val="center"/>
            <w:hideMark/>
          </w:tcPr>
          <w:p w14:paraId="4AE8A2E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11,90</w:t>
            </w:r>
          </w:p>
        </w:tc>
      </w:tr>
      <w:tr w:rsidR="00C22FC1" w:rsidRPr="00C22FC1" w14:paraId="41609DF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087E85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28EA58E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 de pesagem da classe de exatidão II (fina) com valores de divisão múltiplos ou múltiplas faixas</w:t>
            </w:r>
          </w:p>
        </w:tc>
      </w:tr>
      <w:tr w:rsidR="00C22FC1" w:rsidRPr="00C22FC1" w14:paraId="4C03199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298A14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109</w:t>
            </w:r>
          </w:p>
        </w:tc>
        <w:tc>
          <w:tcPr>
            <w:tcW w:w="0" w:type="auto"/>
            <w:tcBorders>
              <w:top w:val="nil"/>
              <w:left w:val="nil"/>
              <w:bottom w:val="single" w:sz="4" w:space="0" w:color="auto"/>
              <w:right w:val="single" w:sz="4" w:space="0" w:color="auto"/>
            </w:tcBorders>
            <w:vAlign w:val="bottom"/>
            <w:hideMark/>
          </w:tcPr>
          <w:p w14:paraId="246F585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com valores de divisão múltiplos ou múltiplas faixas</w:t>
            </w:r>
          </w:p>
        </w:tc>
        <w:tc>
          <w:tcPr>
            <w:tcW w:w="0" w:type="auto"/>
            <w:tcBorders>
              <w:top w:val="nil"/>
              <w:left w:val="nil"/>
              <w:bottom w:val="single" w:sz="4" w:space="0" w:color="auto"/>
              <w:right w:val="single" w:sz="4" w:space="0" w:color="auto"/>
            </w:tcBorders>
            <w:vAlign w:val="center"/>
            <w:hideMark/>
          </w:tcPr>
          <w:p w14:paraId="5E9CC2A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76,50</w:t>
            </w:r>
          </w:p>
        </w:tc>
        <w:tc>
          <w:tcPr>
            <w:tcW w:w="0" w:type="auto"/>
            <w:tcBorders>
              <w:top w:val="nil"/>
              <w:left w:val="nil"/>
              <w:bottom w:val="single" w:sz="4" w:space="0" w:color="auto"/>
              <w:right w:val="single" w:sz="4" w:space="0" w:color="auto"/>
            </w:tcBorders>
            <w:vAlign w:val="center"/>
            <w:hideMark/>
          </w:tcPr>
          <w:p w14:paraId="3EE400E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25,50</w:t>
            </w:r>
          </w:p>
        </w:tc>
      </w:tr>
      <w:tr w:rsidR="00C22FC1" w:rsidRPr="00C22FC1" w14:paraId="7241C63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DF8E1B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111</w:t>
            </w:r>
          </w:p>
        </w:tc>
        <w:tc>
          <w:tcPr>
            <w:tcW w:w="0" w:type="auto"/>
            <w:tcBorders>
              <w:top w:val="nil"/>
              <w:left w:val="nil"/>
              <w:bottom w:val="single" w:sz="4" w:space="0" w:color="auto"/>
              <w:right w:val="single" w:sz="4" w:space="0" w:color="auto"/>
            </w:tcBorders>
            <w:vAlign w:val="bottom"/>
            <w:hideMark/>
          </w:tcPr>
          <w:p w14:paraId="3FF7DDA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 kg até 50 kg</w:t>
            </w:r>
          </w:p>
        </w:tc>
        <w:tc>
          <w:tcPr>
            <w:tcW w:w="0" w:type="auto"/>
            <w:tcBorders>
              <w:top w:val="nil"/>
              <w:left w:val="nil"/>
              <w:bottom w:val="single" w:sz="4" w:space="0" w:color="auto"/>
              <w:right w:val="single" w:sz="4" w:space="0" w:color="auto"/>
            </w:tcBorders>
            <w:vAlign w:val="center"/>
            <w:hideMark/>
          </w:tcPr>
          <w:p w14:paraId="22FE538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115,50</w:t>
            </w:r>
          </w:p>
        </w:tc>
        <w:tc>
          <w:tcPr>
            <w:tcW w:w="0" w:type="auto"/>
            <w:tcBorders>
              <w:top w:val="nil"/>
              <w:left w:val="nil"/>
              <w:bottom w:val="single" w:sz="4" w:space="0" w:color="auto"/>
              <w:right w:val="single" w:sz="4" w:space="0" w:color="auto"/>
            </w:tcBorders>
            <w:vAlign w:val="center"/>
            <w:hideMark/>
          </w:tcPr>
          <w:p w14:paraId="11D6A34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39,10</w:t>
            </w:r>
          </w:p>
        </w:tc>
      </w:tr>
      <w:tr w:rsidR="00C22FC1" w:rsidRPr="00C22FC1" w14:paraId="22CC86B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05DD80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112</w:t>
            </w:r>
          </w:p>
        </w:tc>
        <w:tc>
          <w:tcPr>
            <w:tcW w:w="0" w:type="auto"/>
            <w:tcBorders>
              <w:top w:val="nil"/>
              <w:left w:val="nil"/>
              <w:bottom w:val="single" w:sz="4" w:space="0" w:color="auto"/>
              <w:right w:val="single" w:sz="4" w:space="0" w:color="auto"/>
            </w:tcBorders>
            <w:vAlign w:val="bottom"/>
            <w:hideMark/>
          </w:tcPr>
          <w:p w14:paraId="0B35C9F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 kg até 350 kg</w:t>
            </w:r>
          </w:p>
        </w:tc>
        <w:tc>
          <w:tcPr>
            <w:tcW w:w="0" w:type="auto"/>
            <w:tcBorders>
              <w:top w:val="nil"/>
              <w:left w:val="nil"/>
              <w:bottom w:val="single" w:sz="4" w:space="0" w:color="auto"/>
              <w:right w:val="single" w:sz="4" w:space="0" w:color="auto"/>
            </w:tcBorders>
            <w:vAlign w:val="center"/>
            <w:hideMark/>
          </w:tcPr>
          <w:p w14:paraId="29926D9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197,10</w:t>
            </w:r>
          </w:p>
        </w:tc>
        <w:tc>
          <w:tcPr>
            <w:tcW w:w="0" w:type="auto"/>
            <w:tcBorders>
              <w:top w:val="nil"/>
              <w:left w:val="nil"/>
              <w:bottom w:val="single" w:sz="4" w:space="0" w:color="auto"/>
              <w:right w:val="single" w:sz="4" w:space="0" w:color="auto"/>
            </w:tcBorders>
            <w:vAlign w:val="center"/>
            <w:hideMark/>
          </w:tcPr>
          <w:p w14:paraId="7181FCC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64,60</w:t>
            </w:r>
          </w:p>
        </w:tc>
      </w:tr>
      <w:tr w:rsidR="00C22FC1" w:rsidRPr="00C22FC1" w14:paraId="2A08BD9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B57E09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154F9B6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pesagem das classes de exatidão III (média) e IV (ordinária)</w:t>
            </w:r>
          </w:p>
        </w:tc>
      </w:tr>
      <w:tr w:rsidR="00C22FC1" w:rsidRPr="00C22FC1" w14:paraId="554BC11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C5F270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121</w:t>
            </w:r>
          </w:p>
        </w:tc>
        <w:tc>
          <w:tcPr>
            <w:tcW w:w="0" w:type="auto"/>
            <w:tcBorders>
              <w:top w:val="nil"/>
              <w:left w:val="nil"/>
              <w:bottom w:val="single" w:sz="4" w:space="0" w:color="auto"/>
              <w:right w:val="single" w:sz="4" w:space="0" w:color="auto"/>
            </w:tcBorders>
            <w:vAlign w:val="bottom"/>
            <w:hideMark/>
          </w:tcPr>
          <w:p w14:paraId="5968D5B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 kg</w:t>
            </w:r>
          </w:p>
        </w:tc>
        <w:tc>
          <w:tcPr>
            <w:tcW w:w="0" w:type="auto"/>
            <w:tcBorders>
              <w:top w:val="nil"/>
              <w:left w:val="nil"/>
              <w:bottom w:val="single" w:sz="4" w:space="0" w:color="auto"/>
              <w:right w:val="single" w:sz="4" w:space="0" w:color="auto"/>
            </w:tcBorders>
            <w:vAlign w:val="center"/>
            <w:hideMark/>
          </w:tcPr>
          <w:p w14:paraId="25DC953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42,50</w:t>
            </w:r>
          </w:p>
        </w:tc>
        <w:tc>
          <w:tcPr>
            <w:tcW w:w="0" w:type="auto"/>
            <w:tcBorders>
              <w:top w:val="nil"/>
              <w:left w:val="nil"/>
              <w:bottom w:val="single" w:sz="4" w:space="0" w:color="auto"/>
              <w:right w:val="single" w:sz="4" w:space="0" w:color="auto"/>
            </w:tcBorders>
            <w:vAlign w:val="center"/>
            <w:hideMark/>
          </w:tcPr>
          <w:p w14:paraId="1A554BD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13,60</w:t>
            </w:r>
          </w:p>
        </w:tc>
      </w:tr>
      <w:tr w:rsidR="00C22FC1" w:rsidRPr="00C22FC1" w14:paraId="7800DBF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63C43F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122</w:t>
            </w:r>
          </w:p>
        </w:tc>
        <w:tc>
          <w:tcPr>
            <w:tcW w:w="0" w:type="auto"/>
            <w:tcBorders>
              <w:top w:val="nil"/>
              <w:left w:val="nil"/>
              <w:bottom w:val="single" w:sz="4" w:space="0" w:color="auto"/>
              <w:right w:val="single" w:sz="4" w:space="0" w:color="auto"/>
            </w:tcBorders>
            <w:vAlign w:val="bottom"/>
            <w:hideMark/>
          </w:tcPr>
          <w:p w14:paraId="6108FB3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 kg até 50 kg</w:t>
            </w:r>
          </w:p>
        </w:tc>
        <w:tc>
          <w:tcPr>
            <w:tcW w:w="0" w:type="auto"/>
            <w:tcBorders>
              <w:top w:val="nil"/>
              <w:left w:val="nil"/>
              <w:bottom w:val="single" w:sz="4" w:space="0" w:color="auto"/>
              <w:right w:val="single" w:sz="4" w:space="0" w:color="auto"/>
            </w:tcBorders>
            <w:vAlign w:val="center"/>
            <w:hideMark/>
          </w:tcPr>
          <w:p w14:paraId="3099DFD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87,00</w:t>
            </w:r>
          </w:p>
        </w:tc>
        <w:tc>
          <w:tcPr>
            <w:tcW w:w="0" w:type="auto"/>
            <w:tcBorders>
              <w:top w:val="nil"/>
              <w:left w:val="nil"/>
              <w:bottom w:val="single" w:sz="4" w:space="0" w:color="auto"/>
              <w:right w:val="single" w:sz="4" w:space="0" w:color="auto"/>
            </w:tcBorders>
            <w:vAlign w:val="center"/>
            <w:hideMark/>
          </w:tcPr>
          <w:p w14:paraId="1A2E29A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29,00</w:t>
            </w:r>
          </w:p>
        </w:tc>
      </w:tr>
      <w:tr w:rsidR="00C22FC1" w:rsidRPr="00C22FC1" w14:paraId="25E94EB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404371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123</w:t>
            </w:r>
          </w:p>
        </w:tc>
        <w:tc>
          <w:tcPr>
            <w:tcW w:w="0" w:type="auto"/>
            <w:tcBorders>
              <w:top w:val="nil"/>
              <w:left w:val="nil"/>
              <w:bottom w:val="single" w:sz="4" w:space="0" w:color="auto"/>
              <w:right w:val="single" w:sz="4" w:space="0" w:color="auto"/>
            </w:tcBorders>
            <w:vAlign w:val="bottom"/>
            <w:hideMark/>
          </w:tcPr>
          <w:p w14:paraId="40C2B14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 kg até 350 kg</w:t>
            </w:r>
          </w:p>
        </w:tc>
        <w:tc>
          <w:tcPr>
            <w:tcW w:w="0" w:type="auto"/>
            <w:tcBorders>
              <w:top w:val="nil"/>
              <w:left w:val="nil"/>
              <w:bottom w:val="single" w:sz="4" w:space="0" w:color="auto"/>
              <w:right w:val="single" w:sz="4" w:space="0" w:color="auto"/>
            </w:tcBorders>
            <w:vAlign w:val="center"/>
            <w:hideMark/>
          </w:tcPr>
          <w:p w14:paraId="081863B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119,00</w:t>
            </w:r>
          </w:p>
        </w:tc>
        <w:tc>
          <w:tcPr>
            <w:tcW w:w="0" w:type="auto"/>
            <w:tcBorders>
              <w:top w:val="nil"/>
              <w:left w:val="nil"/>
              <w:bottom w:val="single" w:sz="4" w:space="0" w:color="auto"/>
              <w:right w:val="single" w:sz="4" w:space="0" w:color="auto"/>
            </w:tcBorders>
            <w:vAlign w:val="center"/>
            <w:hideMark/>
          </w:tcPr>
          <w:p w14:paraId="2AB6125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39,00</w:t>
            </w:r>
          </w:p>
        </w:tc>
      </w:tr>
      <w:tr w:rsidR="00C22FC1" w:rsidRPr="00C22FC1" w14:paraId="27F6E8F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27CCF0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124</w:t>
            </w:r>
          </w:p>
        </w:tc>
        <w:tc>
          <w:tcPr>
            <w:tcW w:w="0" w:type="auto"/>
            <w:tcBorders>
              <w:top w:val="nil"/>
              <w:left w:val="nil"/>
              <w:bottom w:val="single" w:sz="4" w:space="0" w:color="auto"/>
              <w:right w:val="single" w:sz="4" w:space="0" w:color="auto"/>
            </w:tcBorders>
            <w:vAlign w:val="bottom"/>
            <w:hideMark/>
          </w:tcPr>
          <w:p w14:paraId="091EA9D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350 kg até 1.500 kg</w:t>
            </w:r>
          </w:p>
        </w:tc>
        <w:tc>
          <w:tcPr>
            <w:tcW w:w="0" w:type="auto"/>
            <w:tcBorders>
              <w:top w:val="nil"/>
              <w:left w:val="nil"/>
              <w:bottom w:val="single" w:sz="4" w:space="0" w:color="auto"/>
              <w:right w:val="single" w:sz="4" w:space="0" w:color="auto"/>
            </w:tcBorders>
            <w:vAlign w:val="center"/>
            <w:hideMark/>
          </w:tcPr>
          <w:p w14:paraId="786576D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210,00</w:t>
            </w:r>
          </w:p>
        </w:tc>
        <w:tc>
          <w:tcPr>
            <w:tcW w:w="0" w:type="auto"/>
            <w:tcBorders>
              <w:top w:val="nil"/>
              <w:left w:val="nil"/>
              <w:bottom w:val="single" w:sz="4" w:space="0" w:color="auto"/>
              <w:right w:val="single" w:sz="4" w:space="0" w:color="auto"/>
            </w:tcBorders>
            <w:vAlign w:val="center"/>
            <w:hideMark/>
          </w:tcPr>
          <w:p w14:paraId="678D049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68,00</w:t>
            </w:r>
          </w:p>
        </w:tc>
      </w:tr>
      <w:tr w:rsidR="00C22FC1" w:rsidRPr="00C22FC1" w14:paraId="7C81934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653C46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125</w:t>
            </w:r>
          </w:p>
        </w:tc>
        <w:tc>
          <w:tcPr>
            <w:tcW w:w="0" w:type="auto"/>
            <w:tcBorders>
              <w:top w:val="nil"/>
              <w:left w:val="nil"/>
              <w:bottom w:val="single" w:sz="4" w:space="0" w:color="auto"/>
              <w:right w:val="single" w:sz="4" w:space="0" w:color="auto"/>
            </w:tcBorders>
            <w:vAlign w:val="bottom"/>
            <w:hideMark/>
          </w:tcPr>
          <w:p w14:paraId="16A1EB7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1.500 kg até 4.900 kg</w:t>
            </w:r>
          </w:p>
        </w:tc>
        <w:tc>
          <w:tcPr>
            <w:tcW w:w="0" w:type="auto"/>
            <w:tcBorders>
              <w:top w:val="nil"/>
              <w:left w:val="nil"/>
              <w:bottom w:val="single" w:sz="4" w:space="0" w:color="auto"/>
              <w:right w:val="single" w:sz="4" w:space="0" w:color="auto"/>
            </w:tcBorders>
            <w:vAlign w:val="center"/>
            <w:hideMark/>
          </w:tcPr>
          <w:p w14:paraId="5CD25A5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310,00</w:t>
            </w:r>
          </w:p>
        </w:tc>
        <w:tc>
          <w:tcPr>
            <w:tcW w:w="0" w:type="auto"/>
            <w:tcBorders>
              <w:top w:val="nil"/>
              <w:left w:val="nil"/>
              <w:bottom w:val="single" w:sz="4" w:space="0" w:color="auto"/>
              <w:right w:val="single" w:sz="4" w:space="0" w:color="auto"/>
            </w:tcBorders>
            <w:vAlign w:val="center"/>
            <w:hideMark/>
          </w:tcPr>
          <w:p w14:paraId="0CDFB07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102,00</w:t>
            </w:r>
          </w:p>
        </w:tc>
      </w:tr>
      <w:tr w:rsidR="00C22FC1" w:rsidRPr="00C22FC1" w14:paraId="1EFEB8A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1FCFB8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126</w:t>
            </w:r>
          </w:p>
        </w:tc>
        <w:tc>
          <w:tcPr>
            <w:tcW w:w="0" w:type="auto"/>
            <w:tcBorders>
              <w:top w:val="nil"/>
              <w:left w:val="nil"/>
              <w:bottom w:val="single" w:sz="4" w:space="0" w:color="auto"/>
              <w:right w:val="single" w:sz="4" w:space="0" w:color="auto"/>
            </w:tcBorders>
            <w:vAlign w:val="bottom"/>
            <w:hideMark/>
          </w:tcPr>
          <w:p w14:paraId="3149CB4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4.900 kg até 12.000 kg</w:t>
            </w:r>
          </w:p>
        </w:tc>
        <w:tc>
          <w:tcPr>
            <w:tcW w:w="0" w:type="auto"/>
            <w:tcBorders>
              <w:top w:val="nil"/>
              <w:left w:val="nil"/>
              <w:bottom w:val="single" w:sz="4" w:space="0" w:color="auto"/>
              <w:right w:val="single" w:sz="4" w:space="0" w:color="auto"/>
            </w:tcBorders>
            <w:vAlign w:val="center"/>
            <w:hideMark/>
          </w:tcPr>
          <w:p w14:paraId="770716F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486,00</w:t>
            </w:r>
          </w:p>
        </w:tc>
        <w:tc>
          <w:tcPr>
            <w:tcW w:w="0" w:type="auto"/>
            <w:tcBorders>
              <w:top w:val="nil"/>
              <w:left w:val="nil"/>
              <w:bottom w:val="single" w:sz="4" w:space="0" w:color="auto"/>
              <w:right w:val="single" w:sz="4" w:space="0" w:color="auto"/>
            </w:tcBorders>
            <w:vAlign w:val="center"/>
            <w:hideMark/>
          </w:tcPr>
          <w:p w14:paraId="6609BF5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160,00</w:t>
            </w:r>
          </w:p>
        </w:tc>
      </w:tr>
      <w:tr w:rsidR="00C22FC1" w:rsidRPr="00C22FC1" w14:paraId="1EC131F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CFE0FF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127</w:t>
            </w:r>
          </w:p>
        </w:tc>
        <w:tc>
          <w:tcPr>
            <w:tcW w:w="0" w:type="auto"/>
            <w:tcBorders>
              <w:top w:val="nil"/>
              <w:left w:val="nil"/>
              <w:bottom w:val="single" w:sz="4" w:space="0" w:color="auto"/>
              <w:right w:val="single" w:sz="4" w:space="0" w:color="auto"/>
            </w:tcBorders>
            <w:vAlign w:val="bottom"/>
            <w:hideMark/>
          </w:tcPr>
          <w:p w14:paraId="29B867C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12.000 kg até 31.000 kg</w:t>
            </w:r>
          </w:p>
        </w:tc>
        <w:tc>
          <w:tcPr>
            <w:tcW w:w="0" w:type="auto"/>
            <w:tcBorders>
              <w:top w:val="nil"/>
              <w:left w:val="nil"/>
              <w:bottom w:val="single" w:sz="4" w:space="0" w:color="auto"/>
              <w:right w:val="single" w:sz="4" w:space="0" w:color="auto"/>
            </w:tcBorders>
            <w:vAlign w:val="center"/>
            <w:hideMark/>
          </w:tcPr>
          <w:p w14:paraId="227120D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775,00</w:t>
            </w:r>
          </w:p>
        </w:tc>
        <w:tc>
          <w:tcPr>
            <w:tcW w:w="0" w:type="auto"/>
            <w:tcBorders>
              <w:top w:val="nil"/>
              <w:left w:val="nil"/>
              <w:bottom w:val="single" w:sz="4" w:space="0" w:color="auto"/>
              <w:right w:val="single" w:sz="4" w:space="0" w:color="auto"/>
            </w:tcBorders>
            <w:vAlign w:val="center"/>
            <w:hideMark/>
          </w:tcPr>
          <w:p w14:paraId="6905CE1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255,00</w:t>
            </w:r>
          </w:p>
        </w:tc>
      </w:tr>
      <w:tr w:rsidR="00C22FC1" w:rsidRPr="00C22FC1" w14:paraId="1F2A42F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4A674C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128</w:t>
            </w:r>
          </w:p>
        </w:tc>
        <w:tc>
          <w:tcPr>
            <w:tcW w:w="0" w:type="auto"/>
            <w:tcBorders>
              <w:top w:val="nil"/>
              <w:left w:val="nil"/>
              <w:bottom w:val="single" w:sz="4" w:space="0" w:color="auto"/>
              <w:right w:val="single" w:sz="4" w:space="0" w:color="auto"/>
            </w:tcBorders>
            <w:vAlign w:val="bottom"/>
            <w:hideMark/>
          </w:tcPr>
          <w:p w14:paraId="30DA919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31.000 kg até 81.000 kg</w:t>
            </w:r>
          </w:p>
        </w:tc>
        <w:tc>
          <w:tcPr>
            <w:tcW w:w="0" w:type="auto"/>
            <w:tcBorders>
              <w:top w:val="nil"/>
              <w:left w:val="nil"/>
              <w:bottom w:val="single" w:sz="4" w:space="0" w:color="auto"/>
              <w:right w:val="single" w:sz="4" w:space="0" w:color="auto"/>
            </w:tcBorders>
            <w:vAlign w:val="center"/>
            <w:hideMark/>
          </w:tcPr>
          <w:p w14:paraId="4C0F460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953,00</w:t>
            </w:r>
          </w:p>
        </w:tc>
        <w:tc>
          <w:tcPr>
            <w:tcW w:w="0" w:type="auto"/>
            <w:tcBorders>
              <w:top w:val="nil"/>
              <w:left w:val="nil"/>
              <w:bottom w:val="single" w:sz="4" w:space="0" w:color="auto"/>
              <w:right w:val="single" w:sz="4" w:space="0" w:color="auto"/>
            </w:tcBorders>
            <w:vAlign w:val="center"/>
            <w:hideMark/>
          </w:tcPr>
          <w:p w14:paraId="00FDAED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314,00</w:t>
            </w:r>
          </w:p>
        </w:tc>
      </w:tr>
      <w:tr w:rsidR="00C22FC1" w:rsidRPr="00C22FC1" w14:paraId="045577D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3576F5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129</w:t>
            </w:r>
          </w:p>
        </w:tc>
        <w:tc>
          <w:tcPr>
            <w:tcW w:w="0" w:type="auto"/>
            <w:tcBorders>
              <w:top w:val="nil"/>
              <w:left w:val="nil"/>
              <w:bottom w:val="single" w:sz="4" w:space="0" w:color="auto"/>
              <w:right w:val="single" w:sz="4" w:space="0" w:color="auto"/>
            </w:tcBorders>
            <w:vAlign w:val="bottom"/>
            <w:hideMark/>
          </w:tcPr>
          <w:p w14:paraId="3C576D1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81.000 kg até 200.000 kg</w:t>
            </w:r>
          </w:p>
        </w:tc>
        <w:tc>
          <w:tcPr>
            <w:tcW w:w="0" w:type="auto"/>
            <w:tcBorders>
              <w:top w:val="nil"/>
              <w:left w:val="nil"/>
              <w:bottom w:val="single" w:sz="4" w:space="0" w:color="auto"/>
              <w:right w:val="single" w:sz="4" w:space="0" w:color="auto"/>
            </w:tcBorders>
            <w:vAlign w:val="center"/>
            <w:hideMark/>
          </w:tcPr>
          <w:p w14:paraId="010176B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1.524,00</w:t>
            </w:r>
          </w:p>
        </w:tc>
        <w:tc>
          <w:tcPr>
            <w:tcW w:w="0" w:type="auto"/>
            <w:tcBorders>
              <w:top w:val="nil"/>
              <w:left w:val="nil"/>
              <w:bottom w:val="single" w:sz="4" w:space="0" w:color="auto"/>
              <w:right w:val="single" w:sz="4" w:space="0" w:color="auto"/>
            </w:tcBorders>
            <w:vAlign w:val="center"/>
            <w:hideMark/>
          </w:tcPr>
          <w:p w14:paraId="3035359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503,00</w:t>
            </w:r>
          </w:p>
        </w:tc>
      </w:tr>
      <w:tr w:rsidR="00C22FC1" w:rsidRPr="00C22FC1" w14:paraId="65579C9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DE22E0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490BD0D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sem dispositivo indicador, de plataforma decimal e pesos cursores</w:t>
            </w:r>
          </w:p>
        </w:tc>
      </w:tr>
      <w:tr w:rsidR="00C22FC1" w:rsidRPr="00C22FC1" w14:paraId="5716DF7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D207BC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lastRenderedPageBreak/>
              <w:t>131</w:t>
            </w:r>
          </w:p>
        </w:tc>
        <w:tc>
          <w:tcPr>
            <w:tcW w:w="0" w:type="auto"/>
            <w:tcBorders>
              <w:top w:val="nil"/>
              <w:left w:val="nil"/>
              <w:bottom w:val="single" w:sz="4" w:space="0" w:color="auto"/>
              <w:right w:val="single" w:sz="4" w:space="0" w:color="auto"/>
            </w:tcBorders>
            <w:vAlign w:val="bottom"/>
            <w:hideMark/>
          </w:tcPr>
          <w:p w14:paraId="1238FFA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 kg</w:t>
            </w:r>
          </w:p>
        </w:tc>
        <w:tc>
          <w:tcPr>
            <w:tcW w:w="0" w:type="auto"/>
            <w:tcBorders>
              <w:top w:val="nil"/>
              <w:left w:val="nil"/>
              <w:bottom w:val="single" w:sz="4" w:space="0" w:color="auto"/>
              <w:right w:val="single" w:sz="4" w:space="0" w:color="auto"/>
            </w:tcBorders>
            <w:vAlign w:val="center"/>
            <w:hideMark/>
          </w:tcPr>
          <w:p w14:paraId="2FB4371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22,10</w:t>
            </w:r>
          </w:p>
        </w:tc>
        <w:tc>
          <w:tcPr>
            <w:tcW w:w="0" w:type="auto"/>
            <w:tcBorders>
              <w:top w:val="nil"/>
              <w:left w:val="nil"/>
              <w:bottom w:val="single" w:sz="4" w:space="0" w:color="auto"/>
              <w:right w:val="single" w:sz="4" w:space="0" w:color="auto"/>
            </w:tcBorders>
            <w:vAlign w:val="center"/>
            <w:hideMark/>
          </w:tcPr>
          <w:p w14:paraId="2FB1E7D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6,80</w:t>
            </w:r>
          </w:p>
        </w:tc>
      </w:tr>
      <w:tr w:rsidR="00C22FC1" w:rsidRPr="00C22FC1" w14:paraId="78DF178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387CE5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132</w:t>
            </w:r>
          </w:p>
        </w:tc>
        <w:tc>
          <w:tcPr>
            <w:tcW w:w="0" w:type="auto"/>
            <w:tcBorders>
              <w:top w:val="nil"/>
              <w:left w:val="nil"/>
              <w:bottom w:val="single" w:sz="4" w:space="0" w:color="auto"/>
              <w:right w:val="single" w:sz="4" w:space="0" w:color="auto"/>
            </w:tcBorders>
            <w:vAlign w:val="bottom"/>
            <w:hideMark/>
          </w:tcPr>
          <w:p w14:paraId="2C02DD7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 kg até 50 kg</w:t>
            </w:r>
          </w:p>
        </w:tc>
        <w:tc>
          <w:tcPr>
            <w:tcW w:w="0" w:type="auto"/>
            <w:tcBorders>
              <w:top w:val="nil"/>
              <w:left w:val="nil"/>
              <w:bottom w:val="single" w:sz="4" w:space="0" w:color="auto"/>
              <w:right w:val="single" w:sz="4" w:space="0" w:color="auto"/>
            </w:tcBorders>
            <w:vAlign w:val="center"/>
            <w:hideMark/>
          </w:tcPr>
          <w:p w14:paraId="04F697C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35,70</w:t>
            </w:r>
          </w:p>
        </w:tc>
        <w:tc>
          <w:tcPr>
            <w:tcW w:w="0" w:type="auto"/>
            <w:tcBorders>
              <w:top w:val="nil"/>
              <w:left w:val="nil"/>
              <w:bottom w:val="single" w:sz="4" w:space="0" w:color="auto"/>
              <w:right w:val="single" w:sz="4" w:space="0" w:color="auto"/>
            </w:tcBorders>
            <w:vAlign w:val="center"/>
            <w:hideMark/>
          </w:tcPr>
          <w:p w14:paraId="0329E26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11,90</w:t>
            </w:r>
          </w:p>
        </w:tc>
      </w:tr>
      <w:tr w:rsidR="00C22FC1" w:rsidRPr="00C22FC1" w14:paraId="12955BF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1958F6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133</w:t>
            </w:r>
          </w:p>
        </w:tc>
        <w:tc>
          <w:tcPr>
            <w:tcW w:w="0" w:type="auto"/>
            <w:tcBorders>
              <w:top w:val="nil"/>
              <w:left w:val="nil"/>
              <w:bottom w:val="single" w:sz="4" w:space="0" w:color="auto"/>
              <w:right w:val="single" w:sz="4" w:space="0" w:color="auto"/>
            </w:tcBorders>
            <w:vAlign w:val="bottom"/>
            <w:hideMark/>
          </w:tcPr>
          <w:p w14:paraId="01AB1D3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 kg até 350 kg</w:t>
            </w:r>
          </w:p>
        </w:tc>
        <w:tc>
          <w:tcPr>
            <w:tcW w:w="0" w:type="auto"/>
            <w:tcBorders>
              <w:top w:val="nil"/>
              <w:left w:val="nil"/>
              <w:bottom w:val="single" w:sz="4" w:space="0" w:color="auto"/>
              <w:right w:val="single" w:sz="4" w:space="0" w:color="auto"/>
            </w:tcBorders>
            <w:vAlign w:val="center"/>
            <w:hideMark/>
          </w:tcPr>
          <w:p w14:paraId="1C8D773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71,40</w:t>
            </w:r>
          </w:p>
        </w:tc>
        <w:tc>
          <w:tcPr>
            <w:tcW w:w="0" w:type="auto"/>
            <w:tcBorders>
              <w:top w:val="nil"/>
              <w:left w:val="nil"/>
              <w:bottom w:val="single" w:sz="4" w:space="0" w:color="auto"/>
              <w:right w:val="single" w:sz="4" w:space="0" w:color="auto"/>
            </w:tcBorders>
            <w:vAlign w:val="center"/>
            <w:hideMark/>
          </w:tcPr>
          <w:p w14:paraId="7A2257F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23,80</w:t>
            </w:r>
          </w:p>
        </w:tc>
      </w:tr>
      <w:tr w:rsidR="00C22FC1" w:rsidRPr="00C22FC1" w14:paraId="340762E3"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center"/>
            <w:hideMark/>
          </w:tcPr>
          <w:p w14:paraId="06F53C3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pesagem das classes de exatidão III (média) e IV (ordinária),</w:t>
            </w:r>
          </w:p>
          <w:p w14:paraId="0912DF2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com valores de divisão múltiplos ou múltiplas faixas</w:t>
            </w:r>
          </w:p>
        </w:tc>
      </w:tr>
      <w:tr w:rsidR="00C22FC1" w:rsidRPr="00C22FC1" w14:paraId="44F98E6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A696D2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135</w:t>
            </w:r>
          </w:p>
        </w:tc>
        <w:tc>
          <w:tcPr>
            <w:tcW w:w="0" w:type="auto"/>
            <w:tcBorders>
              <w:top w:val="nil"/>
              <w:left w:val="nil"/>
              <w:bottom w:val="single" w:sz="4" w:space="0" w:color="auto"/>
              <w:right w:val="single" w:sz="4" w:space="0" w:color="auto"/>
            </w:tcBorders>
            <w:vAlign w:val="bottom"/>
            <w:hideMark/>
          </w:tcPr>
          <w:p w14:paraId="598CCD4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 kg</w:t>
            </w:r>
          </w:p>
        </w:tc>
        <w:tc>
          <w:tcPr>
            <w:tcW w:w="0" w:type="auto"/>
            <w:tcBorders>
              <w:top w:val="nil"/>
              <w:left w:val="nil"/>
              <w:bottom w:val="single" w:sz="4" w:space="0" w:color="auto"/>
              <w:right w:val="single" w:sz="4" w:space="0" w:color="auto"/>
            </w:tcBorders>
            <w:vAlign w:val="center"/>
            <w:hideMark/>
          </w:tcPr>
          <w:p w14:paraId="09ABF66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56,10</w:t>
            </w:r>
          </w:p>
        </w:tc>
        <w:tc>
          <w:tcPr>
            <w:tcW w:w="0" w:type="auto"/>
            <w:tcBorders>
              <w:top w:val="nil"/>
              <w:left w:val="nil"/>
              <w:bottom w:val="single" w:sz="4" w:space="0" w:color="auto"/>
              <w:right w:val="single" w:sz="4" w:space="0" w:color="auto"/>
            </w:tcBorders>
            <w:vAlign w:val="center"/>
            <w:hideMark/>
          </w:tcPr>
          <w:p w14:paraId="2518D6E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18,70</w:t>
            </w:r>
          </w:p>
        </w:tc>
      </w:tr>
      <w:tr w:rsidR="00C22FC1" w:rsidRPr="00C22FC1" w14:paraId="17FB3FC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4D8AC2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136</w:t>
            </w:r>
          </w:p>
        </w:tc>
        <w:tc>
          <w:tcPr>
            <w:tcW w:w="0" w:type="auto"/>
            <w:tcBorders>
              <w:top w:val="nil"/>
              <w:left w:val="nil"/>
              <w:bottom w:val="single" w:sz="4" w:space="0" w:color="auto"/>
              <w:right w:val="single" w:sz="4" w:space="0" w:color="auto"/>
            </w:tcBorders>
            <w:vAlign w:val="bottom"/>
            <w:hideMark/>
          </w:tcPr>
          <w:p w14:paraId="775150D8"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 kg até 50 kg</w:t>
            </w:r>
          </w:p>
        </w:tc>
        <w:tc>
          <w:tcPr>
            <w:tcW w:w="0" w:type="auto"/>
            <w:tcBorders>
              <w:top w:val="nil"/>
              <w:left w:val="nil"/>
              <w:bottom w:val="single" w:sz="4" w:space="0" w:color="auto"/>
              <w:right w:val="single" w:sz="4" w:space="0" w:color="auto"/>
            </w:tcBorders>
            <w:vAlign w:val="center"/>
            <w:hideMark/>
          </w:tcPr>
          <w:p w14:paraId="0597784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101,90</w:t>
            </w:r>
          </w:p>
        </w:tc>
        <w:tc>
          <w:tcPr>
            <w:tcW w:w="0" w:type="auto"/>
            <w:tcBorders>
              <w:top w:val="nil"/>
              <w:left w:val="nil"/>
              <w:bottom w:val="single" w:sz="4" w:space="0" w:color="auto"/>
              <w:right w:val="single" w:sz="4" w:space="0" w:color="auto"/>
            </w:tcBorders>
            <w:vAlign w:val="center"/>
            <w:hideMark/>
          </w:tcPr>
          <w:p w14:paraId="1EED7DA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34,00</w:t>
            </w:r>
          </w:p>
        </w:tc>
      </w:tr>
      <w:tr w:rsidR="00C22FC1" w:rsidRPr="00C22FC1" w14:paraId="6F6E8BD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CCB48C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137</w:t>
            </w:r>
          </w:p>
        </w:tc>
        <w:tc>
          <w:tcPr>
            <w:tcW w:w="0" w:type="auto"/>
            <w:tcBorders>
              <w:top w:val="nil"/>
              <w:left w:val="nil"/>
              <w:bottom w:val="single" w:sz="4" w:space="0" w:color="auto"/>
              <w:right w:val="single" w:sz="4" w:space="0" w:color="auto"/>
            </w:tcBorders>
            <w:vAlign w:val="bottom"/>
            <w:hideMark/>
          </w:tcPr>
          <w:p w14:paraId="3DB4DC8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 kg até 350 kg</w:t>
            </w:r>
          </w:p>
        </w:tc>
        <w:tc>
          <w:tcPr>
            <w:tcW w:w="0" w:type="auto"/>
            <w:tcBorders>
              <w:top w:val="nil"/>
              <w:left w:val="nil"/>
              <w:bottom w:val="single" w:sz="4" w:space="0" w:color="auto"/>
              <w:right w:val="single" w:sz="4" w:space="0" w:color="auto"/>
            </w:tcBorders>
            <w:vAlign w:val="center"/>
            <w:hideMark/>
          </w:tcPr>
          <w:p w14:paraId="5E7E05A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135,90</w:t>
            </w:r>
          </w:p>
        </w:tc>
        <w:tc>
          <w:tcPr>
            <w:tcW w:w="0" w:type="auto"/>
            <w:tcBorders>
              <w:top w:val="nil"/>
              <w:left w:val="nil"/>
              <w:bottom w:val="single" w:sz="4" w:space="0" w:color="auto"/>
              <w:right w:val="single" w:sz="4" w:space="0" w:color="auto"/>
            </w:tcBorders>
            <w:vAlign w:val="center"/>
            <w:hideMark/>
          </w:tcPr>
          <w:p w14:paraId="23AAEDB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44,20</w:t>
            </w:r>
          </w:p>
        </w:tc>
      </w:tr>
      <w:tr w:rsidR="00C22FC1" w:rsidRPr="00C22FC1" w14:paraId="1BD4143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EF711A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138</w:t>
            </w:r>
          </w:p>
        </w:tc>
        <w:tc>
          <w:tcPr>
            <w:tcW w:w="0" w:type="auto"/>
            <w:tcBorders>
              <w:top w:val="nil"/>
              <w:left w:val="nil"/>
              <w:bottom w:val="single" w:sz="4" w:space="0" w:color="auto"/>
              <w:right w:val="single" w:sz="4" w:space="0" w:color="auto"/>
            </w:tcBorders>
            <w:vAlign w:val="bottom"/>
            <w:hideMark/>
          </w:tcPr>
          <w:p w14:paraId="676CA14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350 kg até 1.500 kg</w:t>
            </w:r>
          </w:p>
        </w:tc>
        <w:tc>
          <w:tcPr>
            <w:tcW w:w="0" w:type="auto"/>
            <w:tcBorders>
              <w:top w:val="nil"/>
              <w:left w:val="nil"/>
              <w:bottom w:val="single" w:sz="4" w:space="0" w:color="auto"/>
              <w:right w:val="single" w:sz="4" w:space="0" w:color="auto"/>
            </w:tcBorders>
            <w:vAlign w:val="center"/>
            <w:hideMark/>
          </w:tcPr>
          <w:p w14:paraId="4D7540B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241,20</w:t>
            </w:r>
          </w:p>
        </w:tc>
        <w:tc>
          <w:tcPr>
            <w:tcW w:w="0" w:type="auto"/>
            <w:tcBorders>
              <w:top w:val="nil"/>
              <w:left w:val="nil"/>
              <w:bottom w:val="single" w:sz="4" w:space="0" w:color="auto"/>
              <w:right w:val="single" w:sz="4" w:space="0" w:color="auto"/>
            </w:tcBorders>
            <w:vAlign w:val="center"/>
            <w:hideMark/>
          </w:tcPr>
          <w:p w14:paraId="2640B7B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79,90</w:t>
            </w:r>
          </w:p>
        </w:tc>
      </w:tr>
      <w:tr w:rsidR="00C22FC1" w:rsidRPr="00C22FC1" w14:paraId="4C476C0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219233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139</w:t>
            </w:r>
          </w:p>
        </w:tc>
        <w:tc>
          <w:tcPr>
            <w:tcW w:w="0" w:type="auto"/>
            <w:tcBorders>
              <w:top w:val="nil"/>
              <w:left w:val="nil"/>
              <w:bottom w:val="single" w:sz="4" w:space="0" w:color="auto"/>
              <w:right w:val="single" w:sz="4" w:space="0" w:color="auto"/>
            </w:tcBorders>
            <w:vAlign w:val="bottom"/>
            <w:hideMark/>
          </w:tcPr>
          <w:p w14:paraId="096860D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1.500 kg até 4.900 kg</w:t>
            </w:r>
          </w:p>
        </w:tc>
        <w:tc>
          <w:tcPr>
            <w:tcW w:w="0" w:type="auto"/>
            <w:tcBorders>
              <w:top w:val="nil"/>
              <w:left w:val="nil"/>
              <w:bottom w:val="single" w:sz="4" w:space="0" w:color="auto"/>
              <w:right w:val="single" w:sz="4" w:space="0" w:color="auto"/>
            </w:tcBorders>
            <w:vAlign w:val="center"/>
            <w:hideMark/>
          </w:tcPr>
          <w:p w14:paraId="04575DD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355,00</w:t>
            </w:r>
          </w:p>
        </w:tc>
        <w:tc>
          <w:tcPr>
            <w:tcW w:w="0" w:type="auto"/>
            <w:tcBorders>
              <w:top w:val="nil"/>
              <w:left w:val="nil"/>
              <w:bottom w:val="single" w:sz="4" w:space="0" w:color="auto"/>
              <w:right w:val="single" w:sz="4" w:space="0" w:color="auto"/>
            </w:tcBorders>
            <w:vAlign w:val="center"/>
            <w:hideMark/>
          </w:tcPr>
          <w:p w14:paraId="26B6C24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117,00</w:t>
            </w:r>
          </w:p>
        </w:tc>
      </w:tr>
      <w:tr w:rsidR="00C22FC1" w:rsidRPr="00C22FC1" w14:paraId="444F1B1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B08A47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141</w:t>
            </w:r>
          </w:p>
        </w:tc>
        <w:tc>
          <w:tcPr>
            <w:tcW w:w="0" w:type="auto"/>
            <w:tcBorders>
              <w:top w:val="nil"/>
              <w:left w:val="nil"/>
              <w:bottom w:val="single" w:sz="4" w:space="0" w:color="auto"/>
              <w:right w:val="single" w:sz="4" w:space="0" w:color="auto"/>
            </w:tcBorders>
            <w:vAlign w:val="bottom"/>
            <w:hideMark/>
          </w:tcPr>
          <w:p w14:paraId="4599FAC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4.900 kg até 12.000 kg</w:t>
            </w:r>
          </w:p>
        </w:tc>
        <w:tc>
          <w:tcPr>
            <w:tcW w:w="0" w:type="auto"/>
            <w:tcBorders>
              <w:top w:val="nil"/>
              <w:left w:val="nil"/>
              <w:bottom w:val="single" w:sz="4" w:space="0" w:color="auto"/>
              <w:right w:val="single" w:sz="4" w:space="0" w:color="auto"/>
            </w:tcBorders>
            <w:vAlign w:val="center"/>
            <w:hideMark/>
          </w:tcPr>
          <w:p w14:paraId="3F35F82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555,00</w:t>
            </w:r>
          </w:p>
        </w:tc>
        <w:tc>
          <w:tcPr>
            <w:tcW w:w="0" w:type="auto"/>
            <w:tcBorders>
              <w:top w:val="nil"/>
              <w:left w:val="nil"/>
              <w:bottom w:val="single" w:sz="4" w:space="0" w:color="auto"/>
              <w:right w:val="single" w:sz="4" w:space="0" w:color="auto"/>
            </w:tcBorders>
            <w:vAlign w:val="center"/>
            <w:hideMark/>
          </w:tcPr>
          <w:p w14:paraId="147E174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184,00</w:t>
            </w:r>
          </w:p>
        </w:tc>
      </w:tr>
      <w:tr w:rsidR="00C22FC1" w:rsidRPr="00C22FC1" w14:paraId="1BD941B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9CE17B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142</w:t>
            </w:r>
          </w:p>
        </w:tc>
        <w:tc>
          <w:tcPr>
            <w:tcW w:w="0" w:type="auto"/>
            <w:tcBorders>
              <w:top w:val="nil"/>
              <w:left w:val="nil"/>
              <w:bottom w:val="single" w:sz="4" w:space="0" w:color="auto"/>
              <w:right w:val="single" w:sz="4" w:space="0" w:color="auto"/>
            </w:tcBorders>
            <w:vAlign w:val="bottom"/>
            <w:hideMark/>
          </w:tcPr>
          <w:p w14:paraId="6270BEB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12.000 kg até 31.000 kg</w:t>
            </w:r>
          </w:p>
        </w:tc>
        <w:tc>
          <w:tcPr>
            <w:tcW w:w="0" w:type="auto"/>
            <w:tcBorders>
              <w:top w:val="nil"/>
              <w:left w:val="nil"/>
              <w:bottom w:val="single" w:sz="4" w:space="0" w:color="auto"/>
              <w:right w:val="single" w:sz="4" w:space="0" w:color="auto"/>
            </w:tcBorders>
            <w:vAlign w:val="center"/>
            <w:hideMark/>
          </w:tcPr>
          <w:p w14:paraId="1A5065C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913,00</w:t>
            </w:r>
          </w:p>
        </w:tc>
        <w:tc>
          <w:tcPr>
            <w:tcW w:w="0" w:type="auto"/>
            <w:tcBorders>
              <w:top w:val="nil"/>
              <w:left w:val="nil"/>
              <w:bottom w:val="single" w:sz="4" w:space="0" w:color="auto"/>
              <w:right w:val="single" w:sz="4" w:space="0" w:color="auto"/>
            </w:tcBorders>
            <w:vAlign w:val="center"/>
            <w:hideMark/>
          </w:tcPr>
          <w:p w14:paraId="195CE56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w:t>
            </w:r>
          </w:p>
        </w:tc>
      </w:tr>
      <w:tr w:rsidR="00C22FC1" w:rsidRPr="00C22FC1" w14:paraId="0D4C1DA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8B9C94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143</w:t>
            </w:r>
          </w:p>
        </w:tc>
        <w:tc>
          <w:tcPr>
            <w:tcW w:w="0" w:type="auto"/>
            <w:tcBorders>
              <w:top w:val="nil"/>
              <w:left w:val="nil"/>
              <w:bottom w:val="single" w:sz="4" w:space="0" w:color="auto"/>
              <w:right w:val="single" w:sz="4" w:space="0" w:color="auto"/>
            </w:tcBorders>
            <w:vAlign w:val="bottom"/>
            <w:hideMark/>
          </w:tcPr>
          <w:p w14:paraId="0A6BF93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31.000 kg até 81.000 kg</w:t>
            </w:r>
          </w:p>
        </w:tc>
        <w:tc>
          <w:tcPr>
            <w:tcW w:w="0" w:type="auto"/>
            <w:tcBorders>
              <w:top w:val="nil"/>
              <w:left w:val="nil"/>
              <w:bottom w:val="single" w:sz="4" w:space="0" w:color="auto"/>
              <w:right w:val="single" w:sz="4" w:space="0" w:color="auto"/>
            </w:tcBorders>
            <w:vAlign w:val="center"/>
            <w:hideMark/>
          </w:tcPr>
          <w:p w14:paraId="6B45A5F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1.144,00</w:t>
            </w:r>
          </w:p>
        </w:tc>
        <w:tc>
          <w:tcPr>
            <w:tcW w:w="0" w:type="auto"/>
            <w:tcBorders>
              <w:top w:val="nil"/>
              <w:left w:val="nil"/>
              <w:bottom w:val="single" w:sz="4" w:space="0" w:color="auto"/>
              <w:right w:val="single" w:sz="4" w:space="0" w:color="auto"/>
            </w:tcBorders>
            <w:vAlign w:val="center"/>
            <w:hideMark/>
          </w:tcPr>
          <w:p w14:paraId="69FC40B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377,00</w:t>
            </w:r>
          </w:p>
        </w:tc>
      </w:tr>
      <w:tr w:rsidR="00C22FC1" w:rsidRPr="00C22FC1" w14:paraId="078F75E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C1B443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144</w:t>
            </w:r>
          </w:p>
        </w:tc>
        <w:tc>
          <w:tcPr>
            <w:tcW w:w="0" w:type="auto"/>
            <w:tcBorders>
              <w:top w:val="nil"/>
              <w:left w:val="nil"/>
              <w:bottom w:val="single" w:sz="4" w:space="0" w:color="auto"/>
              <w:right w:val="single" w:sz="4" w:space="0" w:color="auto"/>
            </w:tcBorders>
            <w:vAlign w:val="bottom"/>
            <w:hideMark/>
          </w:tcPr>
          <w:p w14:paraId="7D15186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81.000 kg até 200.000 kg</w:t>
            </w:r>
          </w:p>
        </w:tc>
        <w:tc>
          <w:tcPr>
            <w:tcW w:w="0" w:type="auto"/>
            <w:tcBorders>
              <w:top w:val="nil"/>
              <w:left w:val="nil"/>
              <w:bottom w:val="single" w:sz="4" w:space="0" w:color="auto"/>
              <w:right w:val="single" w:sz="4" w:space="0" w:color="auto"/>
            </w:tcBorders>
            <w:vAlign w:val="center"/>
            <w:hideMark/>
          </w:tcPr>
          <w:p w14:paraId="2D55C4C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1.829,00</w:t>
            </w:r>
          </w:p>
        </w:tc>
        <w:tc>
          <w:tcPr>
            <w:tcW w:w="0" w:type="auto"/>
            <w:tcBorders>
              <w:top w:val="nil"/>
              <w:left w:val="nil"/>
              <w:bottom w:val="single" w:sz="4" w:space="0" w:color="auto"/>
              <w:right w:val="single" w:sz="4" w:space="0" w:color="auto"/>
            </w:tcBorders>
            <w:vAlign w:val="center"/>
            <w:hideMark/>
          </w:tcPr>
          <w:p w14:paraId="4E6B5B0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603,00</w:t>
            </w:r>
          </w:p>
        </w:tc>
      </w:tr>
      <w:tr w:rsidR="00C22FC1" w:rsidRPr="00C22FC1" w14:paraId="6166AD9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5ABFE4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5245F8C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Dispositivos adicionais</w:t>
            </w:r>
          </w:p>
        </w:tc>
      </w:tr>
      <w:tr w:rsidR="00C22FC1" w:rsidRPr="00C22FC1" w14:paraId="726DE0F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B1F0B0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145</w:t>
            </w:r>
          </w:p>
        </w:tc>
        <w:tc>
          <w:tcPr>
            <w:tcW w:w="0" w:type="auto"/>
            <w:tcBorders>
              <w:top w:val="nil"/>
              <w:left w:val="nil"/>
              <w:bottom w:val="single" w:sz="4" w:space="0" w:color="auto"/>
              <w:right w:val="single" w:sz="4" w:space="0" w:color="auto"/>
            </w:tcBorders>
            <w:vAlign w:val="bottom"/>
            <w:hideMark/>
          </w:tcPr>
          <w:p w14:paraId="30F788E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cada memória de dados eletrônicos</w:t>
            </w:r>
          </w:p>
        </w:tc>
        <w:tc>
          <w:tcPr>
            <w:tcW w:w="0" w:type="auto"/>
            <w:tcBorders>
              <w:top w:val="nil"/>
              <w:left w:val="nil"/>
              <w:bottom w:val="single" w:sz="4" w:space="0" w:color="auto"/>
              <w:right w:val="single" w:sz="4" w:space="0" w:color="auto"/>
            </w:tcBorders>
            <w:vAlign w:val="center"/>
            <w:hideMark/>
          </w:tcPr>
          <w:p w14:paraId="234AD81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25,50</w:t>
            </w:r>
          </w:p>
        </w:tc>
        <w:tc>
          <w:tcPr>
            <w:tcW w:w="0" w:type="auto"/>
            <w:tcBorders>
              <w:top w:val="nil"/>
              <w:left w:val="nil"/>
              <w:bottom w:val="single" w:sz="4" w:space="0" w:color="auto"/>
              <w:right w:val="single" w:sz="4" w:space="0" w:color="auto"/>
            </w:tcBorders>
            <w:vAlign w:val="center"/>
            <w:hideMark/>
          </w:tcPr>
          <w:p w14:paraId="09508E4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8,50</w:t>
            </w:r>
          </w:p>
        </w:tc>
      </w:tr>
      <w:tr w:rsidR="00C22FC1" w:rsidRPr="00C22FC1" w14:paraId="414F1C0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C5BB0D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146</w:t>
            </w:r>
          </w:p>
        </w:tc>
        <w:tc>
          <w:tcPr>
            <w:tcW w:w="0" w:type="auto"/>
            <w:tcBorders>
              <w:top w:val="nil"/>
              <w:left w:val="nil"/>
              <w:bottom w:val="single" w:sz="4" w:space="0" w:color="auto"/>
              <w:right w:val="single" w:sz="4" w:space="0" w:color="auto"/>
            </w:tcBorders>
            <w:vAlign w:val="bottom"/>
            <w:hideMark/>
          </w:tcPr>
          <w:p w14:paraId="649C8EA8"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cada proteção de estabilidade para impressão em instrumentos até 50 kg</w:t>
            </w:r>
          </w:p>
        </w:tc>
        <w:tc>
          <w:tcPr>
            <w:tcW w:w="0" w:type="auto"/>
            <w:tcBorders>
              <w:top w:val="nil"/>
              <w:left w:val="nil"/>
              <w:bottom w:val="single" w:sz="4" w:space="0" w:color="auto"/>
              <w:right w:val="single" w:sz="4" w:space="0" w:color="auto"/>
            </w:tcBorders>
            <w:vAlign w:val="center"/>
            <w:hideMark/>
          </w:tcPr>
          <w:p w14:paraId="6519BFC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17,00</w:t>
            </w:r>
          </w:p>
        </w:tc>
        <w:tc>
          <w:tcPr>
            <w:tcW w:w="0" w:type="auto"/>
            <w:tcBorders>
              <w:top w:val="nil"/>
              <w:left w:val="nil"/>
              <w:bottom w:val="single" w:sz="4" w:space="0" w:color="auto"/>
              <w:right w:val="single" w:sz="4" w:space="0" w:color="auto"/>
            </w:tcBorders>
            <w:vAlign w:val="center"/>
            <w:hideMark/>
          </w:tcPr>
          <w:p w14:paraId="27DF6C6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5,10</w:t>
            </w:r>
          </w:p>
        </w:tc>
      </w:tr>
      <w:tr w:rsidR="00C22FC1" w:rsidRPr="00C22FC1" w14:paraId="557BA2D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2F2827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147</w:t>
            </w:r>
          </w:p>
        </w:tc>
        <w:tc>
          <w:tcPr>
            <w:tcW w:w="0" w:type="auto"/>
            <w:tcBorders>
              <w:top w:val="nil"/>
              <w:left w:val="nil"/>
              <w:bottom w:val="single" w:sz="4" w:space="0" w:color="auto"/>
              <w:right w:val="single" w:sz="4" w:space="0" w:color="auto"/>
            </w:tcBorders>
            <w:vAlign w:val="bottom"/>
            <w:hideMark/>
          </w:tcPr>
          <w:p w14:paraId="7C8323B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cada proteção de estabilidade para impressão em instrumentos acima de 50 kg</w:t>
            </w:r>
          </w:p>
        </w:tc>
        <w:tc>
          <w:tcPr>
            <w:tcW w:w="0" w:type="auto"/>
            <w:tcBorders>
              <w:top w:val="nil"/>
              <w:left w:val="nil"/>
              <w:bottom w:val="single" w:sz="4" w:space="0" w:color="auto"/>
              <w:right w:val="single" w:sz="4" w:space="0" w:color="auto"/>
            </w:tcBorders>
            <w:vAlign w:val="center"/>
            <w:hideMark/>
          </w:tcPr>
          <w:p w14:paraId="4DFDBDD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37,40</w:t>
            </w:r>
          </w:p>
        </w:tc>
        <w:tc>
          <w:tcPr>
            <w:tcW w:w="0" w:type="auto"/>
            <w:tcBorders>
              <w:top w:val="nil"/>
              <w:left w:val="nil"/>
              <w:bottom w:val="single" w:sz="4" w:space="0" w:color="auto"/>
              <w:right w:val="single" w:sz="4" w:space="0" w:color="auto"/>
            </w:tcBorders>
            <w:vAlign w:val="center"/>
            <w:hideMark/>
          </w:tcPr>
          <w:p w14:paraId="1A69520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11,90</w:t>
            </w:r>
          </w:p>
        </w:tc>
      </w:tr>
      <w:tr w:rsidR="00C22FC1" w:rsidRPr="00C22FC1" w14:paraId="12B38B1B"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0323E27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Observação: ensaios de compatibilidade de módulos na forma de ensaio de condição serão computados por apropriação</w:t>
            </w:r>
          </w:p>
        </w:tc>
      </w:tr>
      <w:tr w:rsidR="00C22FC1" w:rsidRPr="00C22FC1" w14:paraId="6165B96E"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0CEC542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com vários dispositivos medidores ligados a um receptor de carga, para receptor e dispositivo medidor com a maior carga máxima ensaiada com valor segundo os códigos 105 a 108 e 121 a 133.</w:t>
            </w:r>
          </w:p>
        </w:tc>
      </w:tr>
      <w:tr w:rsidR="00C22FC1" w:rsidRPr="00C22FC1" w14:paraId="03DC5D4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687999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6B1AF2A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Cada seguinte dispositivo medidor de carga</w:t>
            </w:r>
          </w:p>
        </w:tc>
      </w:tr>
      <w:tr w:rsidR="00C22FC1" w:rsidRPr="00C22FC1" w14:paraId="12B593D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7F3D1B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151</w:t>
            </w:r>
          </w:p>
        </w:tc>
        <w:tc>
          <w:tcPr>
            <w:tcW w:w="0" w:type="auto"/>
            <w:tcBorders>
              <w:top w:val="nil"/>
              <w:left w:val="nil"/>
              <w:bottom w:val="single" w:sz="4" w:space="0" w:color="auto"/>
              <w:right w:val="single" w:sz="4" w:space="0" w:color="auto"/>
            </w:tcBorders>
            <w:vAlign w:val="bottom"/>
            <w:hideMark/>
          </w:tcPr>
          <w:p w14:paraId="1FC0967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 kg até 350 kg</w:t>
            </w:r>
          </w:p>
        </w:tc>
        <w:tc>
          <w:tcPr>
            <w:tcW w:w="0" w:type="auto"/>
            <w:tcBorders>
              <w:top w:val="nil"/>
              <w:left w:val="nil"/>
              <w:bottom w:val="single" w:sz="4" w:space="0" w:color="auto"/>
              <w:right w:val="single" w:sz="4" w:space="0" w:color="auto"/>
            </w:tcBorders>
            <w:vAlign w:val="center"/>
            <w:hideMark/>
          </w:tcPr>
          <w:p w14:paraId="3A5A512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17,00</w:t>
            </w:r>
          </w:p>
        </w:tc>
        <w:tc>
          <w:tcPr>
            <w:tcW w:w="0" w:type="auto"/>
            <w:tcBorders>
              <w:top w:val="nil"/>
              <w:left w:val="nil"/>
              <w:bottom w:val="single" w:sz="4" w:space="0" w:color="auto"/>
              <w:right w:val="single" w:sz="4" w:space="0" w:color="auto"/>
            </w:tcBorders>
            <w:vAlign w:val="center"/>
            <w:hideMark/>
          </w:tcPr>
          <w:p w14:paraId="35E7A51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5,10</w:t>
            </w:r>
          </w:p>
        </w:tc>
      </w:tr>
      <w:tr w:rsidR="00C22FC1" w:rsidRPr="00C22FC1" w14:paraId="7FD8743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AF4635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152</w:t>
            </w:r>
          </w:p>
        </w:tc>
        <w:tc>
          <w:tcPr>
            <w:tcW w:w="0" w:type="auto"/>
            <w:tcBorders>
              <w:top w:val="nil"/>
              <w:left w:val="nil"/>
              <w:bottom w:val="single" w:sz="4" w:space="0" w:color="auto"/>
              <w:right w:val="single" w:sz="4" w:space="0" w:color="auto"/>
            </w:tcBorders>
            <w:vAlign w:val="bottom"/>
            <w:hideMark/>
          </w:tcPr>
          <w:p w14:paraId="6C93ACB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350 kg até 1.500 kg</w:t>
            </w:r>
          </w:p>
        </w:tc>
        <w:tc>
          <w:tcPr>
            <w:tcW w:w="0" w:type="auto"/>
            <w:tcBorders>
              <w:top w:val="nil"/>
              <w:left w:val="nil"/>
              <w:bottom w:val="single" w:sz="4" w:space="0" w:color="auto"/>
              <w:right w:val="single" w:sz="4" w:space="0" w:color="auto"/>
            </w:tcBorders>
            <w:vAlign w:val="center"/>
            <w:hideMark/>
          </w:tcPr>
          <w:p w14:paraId="7856A7F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30,60</w:t>
            </w:r>
          </w:p>
        </w:tc>
        <w:tc>
          <w:tcPr>
            <w:tcW w:w="0" w:type="auto"/>
            <w:tcBorders>
              <w:top w:val="nil"/>
              <w:left w:val="nil"/>
              <w:bottom w:val="single" w:sz="4" w:space="0" w:color="auto"/>
              <w:right w:val="single" w:sz="4" w:space="0" w:color="auto"/>
            </w:tcBorders>
            <w:vAlign w:val="center"/>
            <w:hideMark/>
          </w:tcPr>
          <w:p w14:paraId="2F76E91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10,20</w:t>
            </w:r>
          </w:p>
        </w:tc>
      </w:tr>
      <w:tr w:rsidR="00C22FC1" w:rsidRPr="00C22FC1" w14:paraId="789CA8D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DEF348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153</w:t>
            </w:r>
          </w:p>
        </w:tc>
        <w:tc>
          <w:tcPr>
            <w:tcW w:w="0" w:type="auto"/>
            <w:tcBorders>
              <w:top w:val="nil"/>
              <w:left w:val="nil"/>
              <w:bottom w:val="single" w:sz="4" w:space="0" w:color="auto"/>
              <w:right w:val="single" w:sz="4" w:space="0" w:color="auto"/>
            </w:tcBorders>
            <w:vAlign w:val="bottom"/>
            <w:hideMark/>
          </w:tcPr>
          <w:p w14:paraId="4CBFE5A8"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1 500 kg até 2.900 kg</w:t>
            </w:r>
          </w:p>
        </w:tc>
        <w:tc>
          <w:tcPr>
            <w:tcW w:w="0" w:type="auto"/>
            <w:tcBorders>
              <w:top w:val="nil"/>
              <w:left w:val="nil"/>
              <w:bottom w:val="single" w:sz="4" w:space="0" w:color="auto"/>
              <w:right w:val="single" w:sz="4" w:space="0" w:color="auto"/>
            </w:tcBorders>
            <w:vAlign w:val="center"/>
            <w:hideMark/>
          </w:tcPr>
          <w:p w14:paraId="78DA2F1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45,90</w:t>
            </w:r>
          </w:p>
        </w:tc>
        <w:tc>
          <w:tcPr>
            <w:tcW w:w="0" w:type="auto"/>
            <w:tcBorders>
              <w:top w:val="nil"/>
              <w:left w:val="nil"/>
              <w:bottom w:val="single" w:sz="4" w:space="0" w:color="auto"/>
              <w:right w:val="single" w:sz="4" w:space="0" w:color="auto"/>
            </w:tcBorders>
            <w:vAlign w:val="center"/>
            <w:hideMark/>
          </w:tcPr>
          <w:p w14:paraId="654DE6D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15,30</w:t>
            </w:r>
          </w:p>
        </w:tc>
      </w:tr>
      <w:tr w:rsidR="00C22FC1" w:rsidRPr="00C22FC1" w14:paraId="3BD0CE9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D05C31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154</w:t>
            </w:r>
          </w:p>
        </w:tc>
        <w:tc>
          <w:tcPr>
            <w:tcW w:w="0" w:type="auto"/>
            <w:tcBorders>
              <w:top w:val="nil"/>
              <w:left w:val="nil"/>
              <w:bottom w:val="single" w:sz="4" w:space="0" w:color="auto"/>
              <w:right w:val="single" w:sz="4" w:space="0" w:color="auto"/>
            </w:tcBorders>
            <w:vAlign w:val="bottom"/>
            <w:hideMark/>
          </w:tcPr>
          <w:p w14:paraId="511AA07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2.900 kg até 12.000 kg</w:t>
            </w:r>
          </w:p>
        </w:tc>
        <w:tc>
          <w:tcPr>
            <w:tcW w:w="0" w:type="auto"/>
            <w:tcBorders>
              <w:top w:val="nil"/>
              <w:left w:val="nil"/>
              <w:bottom w:val="single" w:sz="4" w:space="0" w:color="auto"/>
              <w:right w:val="single" w:sz="4" w:space="0" w:color="auto"/>
            </w:tcBorders>
            <w:vAlign w:val="center"/>
            <w:hideMark/>
          </w:tcPr>
          <w:p w14:paraId="058B2E9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74,70</w:t>
            </w:r>
          </w:p>
        </w:tc>
        <w:tc>
          <w:tcPr>
            <w:tcW w:w="0" w:type="auto"/>
            <w:tcBorders>
              <w:top w:val="nil"/>
              <w:left w:val="nil"/>
              <w:bottom w:val="single" w:sz="4" w:space="0" w:color="auto"/>
              <w:right w:val="single" w:sz="4" w:space="0" w:color="auto"/>
            </w:tcBorders>
            <w:vAlign w:val="center"/>
            <w:hideMark/>
          </w:tcPr>
          <w:p w14:paraId="4787B25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25,50</w:t>
            </w:r>
          </w:p>
        </w:tc>
      </w:tr>
      <w:tr w:rsidR="00C22FC1" w:rsidRPr="00C22FC1" w14:paraId="664BF4D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492C97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155</w:t>
            </w:r>
          </w:p>
        </w:tc>
        <w:tc>
          <w:tcPr>
            <w:tcW w:w="0" w:type="auto"/>
            <w:tcBorders>
              <w:top w:val="nil"/>
              <w:left w:val="nil"/>
              <w:bottom w:val="single" w:sz="4" w:space="0" w:color="auto"/>
              <w:right w:val="single" w:sz="4" w:space="0" w:color="auto"/>
            </w:tcBorders>
            <w:vAlign w:val="bottom"/>
            <w:hideMark/>
          </w:tcPr>
          <w:p w14:paraId="1E483DD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12.000 kg até 31.000 kg</w:t>
            </w:r>
          </w:p>
        </w:tc>
        <w:tc>
          <w:tcPr>
            <w:tcW w:w="0" w:type="auto"/>
            <w:tcBorders>
              <w:top w:val="nil"/>
              <w:left w:val="nil"/>
              <w:bottom w:val="single" w:sz="4" w:space="0" w:color="auto"/>
              <w:right w:val="single" w:sz="4" w:space="0" w:color="auto"/>
            </w:tcBorders>
            <w:vAlign w:val="center"/>
            <w:hideMark/>
          </w:tcPr>
          <w:p w14:paraId="547A1A6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149,50</w:t>
            </w:r>
          </w:p>
        </w:tc>
        <w:tc>
          <w:tcPr>
            <w:tcW w:w="0" w:type="auto"/>
            <w:tcBorders>
              <w:top w:val="nil"/>
              <w:left w:val="nil"/>
              <w:bottom w:val="single" w:sz="4" w:space="0" w:color="auto"/>
              <w:right w:val="single" w:sz="4" w:space="0" w:color="auto"/>
            </w:tcBorders>
            <w:vAlign w:val="center"/>
            <w:hideMark/>
          </w:tcPr>
          <w:p w14:paraId="6B52E5E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49,30</w:t>
            </w:r>
          </w:p>
        </w:tc>
      </w:tr>
      <w:tr w:rsidR="00C22FC1" w:rsidRPr="00C22FC1" w14:paraId="4B4BD15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AFCAF0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156</w:t>
            </w:r>
          </w:p>
        </w:tc>
        <w:tc>
          <w:tcPr>
            <w:tcW w:w="0" w:type="auto"/>
            <w:tcBorders>
              <w:top w:val="nil"/>
              <w:left w:val="nil"/>
              <w:bottom w:val="single" w:sz="4" w:space="0" w:color="auto"/>
              <w:right w:val="single" w:sz="4" w:space="0" w:color="auto"/>
            </w:tcBorders>
            <w:vAlign w:val="bottom"/>
            <w:hideMark/>
          </w:tcPr>
          <w:p w14:paraId="1AD4627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31.000 kg até 81.000 kg</w:t>
            </w:r>
          </w:p>
        </w:tc>
        <w:tc>
          <w:tcPr>
            <w:tcW w:w="0" w:type="auto"/>
            <w:tcBorders>
              <w:top w:val="nil"/>
              <w:left w:val="nil"/>
              <w:bottom w:val="single" w:sz="4" w:space="0" w:color="auto"/>
              <w:right w:val="single" w:sz="4" w:space="0" w:color="auto"/>
            </w:tcBorders>
            <w:vAlign w:val="center"/>
            <w:hideMark/>
          </w:tcPr>
          <w:p w14:paraId="60D303F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249,70</w:t>
            </w:r>
          </w:p>
        </w:tc>
        <w:tc>
          <w:tcPr>
            <w:tcW w:w="0" w:type="auto"/>
            <w:tcBorders>
              <w:top w:val="nil"/>
              <w:left w:val="nil"/>
              <w:bottom w:val="single" w:sz="4" w:space="0" w:color="auto"/>
              <w:right w:val="single" w:sz="4" w:space="0" w:color="auto"/>
            </w:tcBorders>
            <w:vAlign w:val="center"/>
            <w:hideMark/>
          </w:tcPr>
          <w:p w14:paraId="1A4B06A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81,50</w:t>
            </w:r>
          </w:p>
        </w:tc>
      </w:tr>
      <w:tr w:rsidR="00C22FC1" w:rsidRPr="00C22FC1" w14:paraId="5D73602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6AA12A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157</w:t>
            </w:r>
          </w:p>
        </w:tc>
        <w:tc>
          <w:tcPr>
            <w:tcW w:w="0" w:type="auto"/>
            <w:tcBorders>
              <w:top w:val="nil"/>
              <w:left w:val="nil"/>
              <w:bottom w:val="single" w:sz="4" w:space="0" w:color="auto"/>
              <w:right w:val="single" w:sz="4" w:space="0" w:color="auto"/>
            </w:tcBorders>
            <w:vAlign w:val="bottom"/>
            <w:hideMark/>
          </w:tcPr>
          <w:p w14:paraId="359A5EA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81.000 kg até 200.000 kg</w:t>
            </w:r>
          </w:p>
        </w:tc>
        <w:tc>
          <w:tcPr>
            <w:tcW w:w="0" w:type="auto"/>
            <w:tcBorders>
              <w:top w:val="nil"/>
              <w:left w:val="nil"/>
              <w:bottom w:val="single" w:sz="4" w:space="0" w:color="auto"/>
              <w:right w:val="single" w:sz="4" w:space="0" w:color="auto"/>
            </w:tcBorders>
            <w:vAlign w:val="center"/>
            <w:hideMark/>
          </w:tcPr>
          <w:p w14:paraId="7E2EA35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373,80</w:t>
            </w:r>
          </w:p>
        </w:tc>
        <w:tc>
          <w:tcPr>
            <w:tcW w:w="0" w:type="auto"/>
            <w:tcBorders>
              <w:top w:val="nil"/>
              <w:left w:val="nil"/>
              <w:bottom w:val="single" w:sz="4" w:space="0" w:color="auto"/>
              <w:right w:val="single" w:sz="4" w:space="0" w:color="auto"/>
            </w:tcBorders>
            <w:vAlign w:val="center"/>
            <w:hideMark/>
          </w:tcPr>
          <w:p w14:paraId="5E3CCC3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122,30</w:t>
            </w:r>
          </w:p>
        </w:tc>
      </w:tr>
      <w:tr w:rsidR="00C22FC1" w:rsidRPr="00C22FC1" w14:paraId="5878C6B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E3D846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090D260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pesagem da classe de exatidão III. Divisões - valor adicional aos códigos 121 até 133 - será computado por apropriação para ensaio dos padrões</w:t>
            </w:r>
          </w:p>
        </w:tc>
      </w:tr>
      <w:tr w:rsidR="00C22FC1" w:rsidRPr="00C22FC1" w14:paraId="7247DF07"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2C6D259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pesagem automáticos (a carga se refere sempre à carga máxima Max)</w:t>
            </w:r>
          </w:p>
        </w:tc>
      </w:tr>
      <w:tr w:rsidR="00C22FC1" w:rsidRPr="00C22FC1" w14:paraId="30A11E30"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4A44133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Observação:</w:t>
            </w:r>
          </w:p>
        </w:tc>
      </w:tr>
      <w:tr w:rsidR="00C22FC1" w:rsidRPr="00C22FC1" w14:paraId="6A38958C"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300FD3A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 Os códigos de instrumentos de pesagem não automáticos incluem os instrumentos de controle e classificadores e os instrumentos totalizadores descontínuos que são ensaiados apenas estaticamente.</w:t>
            </w:r>
          </w:p>
        </w:tc>
      </w:tr>
      <w:tr w:rsidR="00C22FC1" w:rsidRPr="00C22FC1" w14:paraId="55C1A9E5"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17CE05D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 Está incluído nos valores o exame de impressoras e memórias de dados de medição.</w:t>
            </w:r>
          </w:p>
        </w:tc>
      </w:tr>
      <w:tr w:rsidR="00C22FC1" w:rsidRPr="00C22FC1" w14:paraId="60C73BB0"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019F8BE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medição de comprimento</w:t>
            </w:r>
          </w:p>
        </w:tc>
      </w:tr>
      <w:tr w:rsidR="00C22FC1" w:rsidRPr="00C22FC1" w14:paraId="00B5A42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649CB2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68041C1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Metros comerciais e medidas materializadas de comprimento (classe II e III) com ou sem graduação.</w:t>
            </w:r>
          </w:p>
        </w:tc>
      </w:tr>
      <w:tr w:rsidR="00C22FC1" w:rsidRPr="00C22FC1" w14:paraId="78279B5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36715D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201</w:t>
            </w:r>
          </w:p>
        </w:tc>
        <w:tc>
          <w:tcPr>
            <w:tcW w:w="0" w:type="auto"/>
            <w:tcBorders>
              <w:top w:val="nil"/>
              <w:left w:val="nil"/>
              <w:bottom w:val="single" w:sz="4" w:space="0" w:color="auto"/>
              <w:right w:val="single" w:sz="4" w:space="0" w:color="auto"/>
            </w:tcBorders>
            <w:vAlign w:val="bottom"/>
            <w:hideMark/>
          </w:tcPr>
          <w:p w14:paraId="34BD3F8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2 m</w:t>
            </w:r>
          </w:p>
        </w:tc>
        <w:tc>
          <w:tcPr>
            <w:tcW w:w="0" w:type="auto"/>
            <w:tcBorders>
              <w:top w:val="nil"/>
              <w:left w:val="nil"/>
              <w:bottom w:val="single" w:sz="4" w:space="0" w:color="auto"/>
              <w:right w:val="single" w:sz="4" w:space="0" w:color="auto"/>
            </w:tcBorders>
            <w:vAlign w:val="center"/>
            <w:hideMark/>
          </w:tcPr>
          <w:p w14:paraId="5B3C123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4,50</w:t>
            </w:r>
          </w:p>
        </w:tc>
        <w:tc>
          <w:tcPr>
            <w:tcW w:w="0" w:type="auto"/>
            <w:tcBorders>
              <w:top w:val="nil"/>
              <w:left w:val="nil"/>
              <w:bottom w:val="single" w:sz="4" w:space="0" w:color="auto"/>
              <w:right w:val="single" w:sz="4" w:space="0" w:color="auto"/>
            </w:tcBorders>
            <w:vAlign w:val="center"/>
            <w:hideMark/>
          </w:tcPr>
          <w:p w14:paraId="2A93837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4,50</w:t>
            </w:r>
          </w:p>
        </w:tc>
      </w:tr>
      <w:tr w:rsidR="00C22FC1" w:rsidRPr="00C22FC1" w14:paraId="79FE8E3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27F1F0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202</w:t>
            </w:r>
          </w:p>
        </w:tc>
        <w:tc>
          <w:tcPr>
            <w:tcW w:w="0" w:type="auto"/>
            <w:tcBorders>
              <w:top w:val="nil"/>
              <w:left w:val="nil"/>
              <w:bottom w:val="single" w:sz="4" w:space="0" w:color="auto"/>
              <w:right w:val="single" w:sz="4" w:space="0" w:color="auto"/>
            </w:tcBorders>
            <w:vAlign w:val="bottom"/>
            <w:hideMark/>
          </w:tcPr>
          <w:p w14:paraId="01D6929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2 m , a partir da 41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w:t>
            </w:r>
          </w:p>
        </w:tc>
        <w:tc>
          <w:tcPr>
            <w:tcW w:w="0" w:type="auto"/>
            <w:tcBorders>
              <w:top w:val="nil"/>
              <w:left w:val="nil"/>
              <w:bottom w:val="single" w:sz="4" w:space="0" w:color="auto"/>
              <w:right w:val="single" w:sz="4" w:space="0" w:color="auto"/>
            </w:tcBorders>
            <w:vAlign w:val="center"/>
            <w:hideMark/>
          </w:tcPr>
          <w:p w14:paraId="1FC230B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2,30</w:t>
            </w:r>
          </w:p>
        </w:tc>
        <w:tc>
          <w:tcPr>
            <w:tcW w:w="0" w:type="auto"/>
            <w:tcBorders>
              <w:top w:val="nil"/>
              <w:left w:val="nil"/>
              <w:bottom w:val="single" w:sz="4" w:space="0" w:color="auto"/>
              <w:right w:val="single" w:sz="4" w:space="0" w:color="auto"/>
            </w:tcBorders>
            <w:vAlign w:val="center"/>
            <w:hideMark/>
          </w:tcPr>
          <w:p w14:paraId="77D3234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2,30</w:t>
            </w:r>
          </w:p>
        </w:tc>
      </w:tr>
      <w:tr w:rsidR="00C22FC1" w:rsidRPr="00C22FC1" w14:paraId="03C32B1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5A2282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203</w:t>
            </w:r>
          </w:p>
        </w:tc>
        <w:tc>
          <w:tcPr>
            <w:tcW w:w="0" w:type="auto"/>
            <w:tcBorders>
              <w:top w:val="nil"/>
              <w:left w:val="nil"/>
              <w:bottom w:val="single" w:sz="4" w:space="0" w:color="auto"/>
              <w:right w:val="single" w:sz="4" w:space="0" w:color="auto"/>
            </w:tcBorders>
            <w:vAlign w:val="bottom"/>
            <w:hideMark/>
          </w:tcPr>
          <w:p w14:paraId="28EB09C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 m até 5 m</w:t>
            </w:r>
          </w:p>
        </w:tc>
        <w:tc>
          <w:tcPr>
            <w:tcW w:w="0" w:type="auto"/>
            <w:tcBorders>
              <w:top w:val="nil"/>
              <w:left w:val="nil"/>
              <w:bottom w:val="single" w:sz="4" w:space="0" w:color="auto"/>
              <w:right w:val="single" w:sz="4" w:space="0" w:color="auto"/>
            </w:tcBorders>
            <w:vAlign w:val="center"/>
            <w:hideMark/>
          </w:tcPr>
          <w:p w14:paraId="5BE203A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15,70</w:t>
            </w:r>
          </w:p>
        </w:tc>
        <w:tc>
          <w:tcPr>
            <w:tcW w:w="0" w:type="auto"/>
            <w:tcBorders>
              <w:top w:val="nil"/>
              <w:left w:val="nil"/>
              <w:bottom w:val="single" w:sz="4" w:space="0" w:color="auto"/>
              <w:right w:val="single" w:sz="4" w:space="0" w:color="auto"/>
            </w:tcBorders>
            <w:vAlign w:val="center"/>
            <w:hideMark/>
          </w:tcPr>
          <w:p w14:paraId="08B430D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7,80</w:t>
            </w:r>
          </w:p>
        </w:tc>
      </w:tr>
      <w:tr w:rsidR="00C22FC1" w:rsidRPr="00C22FC1" w14:paraId="1E78ADA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157AEB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204</w:t>
            </w:r>
          </w:p>
        </w:tc>
        <w:tc>
          <w:tcPr>
            <w:tcW w:w="0" w:type="auto"/>
            <w:tcBorders>
              <w:top w:val="nil"/>
              <w:left w:val="nil"/>
              <w:bottom w:val="single" w:sz="4" w:space="0" w:color="auto"/>
              <w:right w:val="single" w:sz="4" w:space="0" w:color="auto"/>
            </w:tcBorders>
            <w:vAlign w:val="bottom"/>
            <w:hideMark/>
          </w:tcPr>
          <w:p w14:paraId="4BD5D11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 m até 20 m</w:t>
            </w:r>
          </w:p>
        </w:tc>
        <w:tc>
          <w:tcPr>
            <w:tcW w:w="0" w:type="auto"/>
            <w:tcBorders>
              <w:top w:val="nil"/>
              <w:left w:val="nil"/>
              <w:bottom w:val="single" w:sz="4" w:space="0" w:color="auto"/>
              <w:right w:val="single" w:sz="4" w:space="0" w:color="auto"/>
            </w:tcBorders>
            <w:vAlign w:val="center"/>
            <w:hideMark/>
          </w:tcPr>
          <w:p w14:paraId="64C3EF1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30,60</w:t>
            </w:r>
          </w:p>
        </w:tc>
        <w:tc>
          <w:tcPr>
            <w:tcW w:w="0" w:type="auto"/>
            <w:tcBorders>
              <w:top w:val="nil"/>
              <w:left w:val="nil"/>
              <w:bottom w:val="single" w:sz="4" w:space="0" w:color="auto"/>
              <w:right w:val="single" w:sz="4" w:space="0" w:color="auto"/>
            </w:tcBorders>
            <w:vAlign w:val="center"/>
            <w:hideMark/>
          </w:tcPr>
          <w:p w14:paraId="4BB94AD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22,10</w:t>
            </w:r>
          </w:p>
        </w:tc>
      </w:tr>
      <w:tr w:rsidR="00C22FC1" w:rsidRPr="00C22FC1" w14:paraId="60465DC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6AB15E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205</w:t>
            </w:r>
          </w:p>
        </w:tc>
        <w:tc>
          <w:tcPr>
            <w:tcW w:w="0" w:type="auto"/>
            <w:tcBorders>
              <w:top w:val="nil"/>
              <w:left w:val="nil"/>
              <w:bottom w:val="single" w:sz="4" w:space="0" w:color="auto"/>
              <w:right w:val="single" w:sz="4" w:space="0" w:color="auto"/>
            </w:tcBorders>
            <w:vAlign w:val="bottom"/>
            <w:hideMark/>
          </w:tcPr>
          <w:p w14:paraId="3C73C27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20 m</w:t>
            </w:r>
          </w:p>
        </w:tc>
        <w:tc>
          <w:tcPr>
            <w:tcW w:w="0" w:type="auto"/>
            <w:tcBorders>
              <w:top w:val="nil"/>
              <w:left w:val="nil"/>
              <w:bottom w:val="single" w:sz="4" w:space="0" w:color="auto"/>
              <w:right w:val="single" w:sz="4" w:space="0" w:color="auto"/>
            </w:tcBorders>
            <w:vAlign w:val="center"/>
            <w:hideMark/>
          </w:tcPr>
          <w:p w14:paraId="3FF7312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80,90</w:t>
            </w:r>
          </w:p>
        </w:tc>
        <w:tc>
          <w:tcPr>
            <w:tcW w:w="0" w:type="auto"/>
            <w:tcBorders>
              <w:top w:val="nil"/>
              <w:left w:val="nil"/>
              <w:bottom w:val="single" w:sz="4" w:space="0" w:color="auto"/>
              <w:right w:val="single" w:sz="4" w:space="0" w:color="auto"/>
            </w:tcBorders>
            <w:vAlign w:val="center"/>
            <w:hideMark/>
          </w:tcPr>
          <w:p w14:paraId="0924B52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57,40</w:t>
            </w:r>
          </w:p>
        </w:tc>
      </w:tr>
      <w:tr w:rsidR="00C22FC1" w:rsidRPr="00C22FC1" w14:paraId="5F59EF5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6896A0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206</w:t>
            </w:r>
          </w:p>
        </w:tc>
        <w:tc>
          <w:tcPr>
            <w:tcW w:w="0" w:type="auto"/>
            <w:tcBorders>
              <w:top w:val="nil"/>
              <w:left w:val="nil"/>
              <w:bottom w:val="single" w:sz="4" w:space="0" w:color="auto"/>
              <w:right w:val="single" w:sz="4" w:space="0" w:color="auto"/>
            </w:tcBorders>
            <w:vAlign w:val="bottom"/>
            <w:hideMark/>
          </w:tcPr>
          <w:p w14:paraId="60B4446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Metros de precisão e medidas materializadas de comprimento, classe I, rígidas, com uma ou várias graduações</w:t>
            </w:r>
          </w:p>
        </w:tc>
        <w:tc>
          <w:tcPr>
            <w:tcW w:w="0" w:type="auto"/>
            <w:tcBorders>
              <w:top w:val="nil"/>
              <w:left w:val="nil"/>
              <w:bottom w:val="single" w:sz="4" w:space="0" w:color="auto"/>
              <w:right w:val="single" w:sz="4" w:space="0" w:color="auto"/>
            </w:tcBorders>
            <w:vAlign w:val="center"/>
            <w:hideMark/>
          </w:tcPr>
          <w:p w14:paraId="7EB0614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73,50</w:t>
            </w:r>
          </w:p>
        </w:tc>
        <w:tc>
          <w:tcPr>
            <w:tcW w:w="0" w:type="auto"/>
            <w:tcBorders>
              <w:top w:val="nil"/>
              <w:left w:val="nil"/>
              <w:bottom w:val="single" w:sz="4" w:space="0" w:color="auto"/>
              <w:right w:val="single" w:sz="4" w:space="0" w:color="auto"/>
            </w:tcBorders>
            <w:vAlign w:val="center"/>
            <w:hideMark/>
          </w:tcPr>
          <w:p w14:paraId="4F8FEBE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52,10</w:t>
            </w:r>
          </w:p>
        </w:tc>
      </w:tr>
      <w:tr w:rsidR="00C22FC1" w:rsidRPr="00C22FC1" w14:paraId="0568A21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83F77B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lastRenderedPageBreak/>
              <w:t> </w:t>
            </w:r>
          </w:p>
        </w:tc>
        <w:tc>
          <w:tcPr>
            <w:tcW w:w="0" w:type="auto"/>
            <w:gridSpan w:val="3"/>
            <w:tcBorders>
              <w:top w:val="nil"/>
              <w:left w:val="nil"/>
              <w:bottom w:val="single" w:sz="4" w:space="0" w:color="auto"/>
              <w:right w:val="single" w:sz="4" w:space="0" w:color="auto"/>
            </w:tcBorders>
            <w:vAlign w:val="bottom"/>
            <w:hideMark/>
          </w:tcPr>
          <w:p w14:paraId="55E1115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Metros de precisão e medidas materializadas de comprimento, classe I,</w:t>
            </w:r>
          </w:p>
          <w:p w14:paraId="3662BFE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flexíveis, com uma ou várias graduações.</w:t>
            </w:r>
          </w:p>
        </w:tc>
      </w:tr>
      <w:tr w:rsidR="00C22FC1" w:rsidRPr="00C22FC1" w14:paraId="03F35D5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A1FF7E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207</w:t>
            </w:r>
          </w:p>
        </w:tc>
        <w:tc>
          <w:tcPr>
            <w:tcW w:w="0" w:type="auto"/>
            <w:tcBorders>
              <w:top w:val="nil"/>
              <w:left w:val="nil"/>
              <w:bottom w:val="single" w:sz="4" w:space="0" w:color="auto"/>
              <w:right w:val="single" w:sz="4" w:space="0" w:color="auto"/>
            </w:tcBorders>
            <w:vAlign w:val="bottom"/>
            <w:hideMark/>
          </w:tcPr>
          <w:p w14:paraId="5776D3D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20 m</w:t>
            </w:r>
          </w:p>
        </w:tc>
        <w:tc>
          <w:tcPr>
            <w:tcW w:w="0" w:type="auto"/>
            <w:tcBorders>
              <w:top w:val="nil"/>
              <w:left w:val="nil"/>
              <w:bottom w:val="single" w:sz="4" w:space="0" w:color="auto"/>
              <w:right w:val="single" w:sz="4" w:space="0" w:color="auto"/>
            </w:tcBorders>
            <w:vAlign w:val="center"/>
            <w:hideMark/>
          </w:tcPr>
          <w:p w14:paraId="04AA381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166,80</w:t>
            </w:r>
          </w:p>
        </w:tc>
        <w:tc>
          <w:tcPr>
            <w:tcW w:w="0" w:type="auto"/>
            <w:tcBorders>
              <w:top w:val="nil"/>
              <w:left w:val="nil"/>
              <w:bottom w:val="single" w:sz="4" w:space="0" w:color="auto"/>
              <w:right w:val="single" w:sz="4" w:space="0" w:color="auto"/>
            </w:tcBorders>
            <w:vAlign w:val="center"/>
            <w:hideMark/>
          </w:tcPr>
          <w:p w14:paraId="1136F22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166,80</w:t>
            </w:r>
          </w:p>
        </w:tc>
      </w:tr>
      <w:tr w:rsidR="00C22FC1" w:rsidRPr="00C22FC1" w14:paraId="69DB31A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A50906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208</w:t>
            </w:r>
          </w:p>
        </w:tc>
        <w:tc>
          <w:tcPr>
            <w:tcW w:w="0" w:type="auto"/>
            <w:tcBorders>
              <w:top w:val="nil"/>
              <w:left w:val="nil"/>
              <w:bottom w:val="single" w:sz="4" w:space="0" w:color="auto"/>
              <w:right w:val="single" w:sz="4" w:space="0" w:color="auto"/>
            </w:tcBorders>
            <w:vAlign w:val="bottom"/>
            <w:hideMark/>
          </w:tcPr>
          <w:p w14:paraId="6FC1537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20 m</w:t>
            </w:r>
          </w:p>
        </w:tc>
        <w:tc>
          <w:tcPr>
            <w:tcW w:w="0" w:type="auto"/>
            <w:tcBorders>
              <w:top w:val="nil"/>
              <w:left w:val="nil"/>
              <w:bottom w:val="single" w:sz="4" w:space="0" w:color="auto"/>
              <w:right w:val="single" w:sz="4" w:space="0" w:color="auto"/>
            </w:tcBorders>
            <w:vAlign w:val="center"/>
            <w:hideMark/>
          </w:tcPr>
          <w:p w14:paraId="66AB694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338,10</w:t>
            </w:r>
          </w:p>
        </w:tc>
        <w:tc>
          <w:tcPr>
            <w:tcW w:w="0" w:type="auto"/>
            <w:tcBorders>
              <w:top w:val="nil"/>
              <w:left w:val="nil"/>
              <w:bottom w:val="single" w:sz="4" w:space="0" w:color="auto"/>
              <w:right w:val="single" w:sz="4" w:space="0" w:color="auto"/>
            </w:tcBorders>
            <w:vAlign w:val="center"/>
            <w:hideMark/>
          </w:tcPr>
          <w:p w14:paraId="58F27E1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338,10</w:t>
            </w:r>
          </w:p>
        </w:tc>
      </w:tr>
      <w:tr w:rsidR="00C22FC1" w:rsidRPr="00C22FC1" w14:paraId="76471E8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90BFD6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211</w:t>
            </w:r>
          </w:p>
        </w:tc>
        <w:tc>
          <w:tcPr>
            <w:tcW w:w="0" w:type="auto"/>
            <w:tcBorders>
              <w:top w:val="nil"/>
              <w:left w:val="nil"/>
              <w:bottom w:val="single" w:sz="4" w:space="0" w:color="auto"/>
              <w:right w:val="single" w:sz="4" w:space="0" w:color="auto"/>
            </w:tcBorders>
            <w:vAlign w:val="bottom"/>
            <w:hideMark/>
          </w:tcPr>
          <w:p w14:paraId="7C0615D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Máquinas industriais de medição de comprimento</w:t>
            </w:r>
          </w:p>
        </w:tc>
        <w:tc>
          <w:tcPr>
            <w:tcW w:w="0" w:type="auto"/>
            <w:tcBorders>
              <w:top w:val="nil"/>
              <w:left w:val="nil"/>
              <w:bottom w:val="single" w:sz="4" w:space="0" w:color="auto"/>
              <w:right w:val="single" w:sz="4" w:space="0" w:color="auto"/>
            </w:tcBorders>
            <w:vAlign w:val="center"/>
            <w:hideMark/>
          </w:tcPr>
          <w:p w14:paraId="107FB6E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143,10</w:t>
            </w:r>
          </w:p>
        </w:tc>
        <w:tc>
          <w:tcPr>
            <w:tcW w:w="0" w:type="auto"/>
            <w:tcBorders>
              <w:top w:val="nil"/>
              <w:left w:val="nil"/>
              <w:bottom w:val="single" w:sz="4" w:space="0" w:color="auto"/>
              <w:right w:val="single" w:sz="4" w:space="0" w:color="auto"/>
            </w:tcBorders>
            <w:vAlign w:val="center"/>
            <w:hideMark/>
          </w:tcPr>
          <w:p w14:paraId="0E97F2B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101,50</w:t>
            </w:r>
          </w:p>
        </w:tc>
      </w:tr>
      <w:tr w:rsidR="00C22FC1" w:rsidRPr="00C22FC1" w14:paraId="4B1C484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16C4A1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212</w:t>
            </w:r>
          </w:p>
        </w:tc>
        <w:tc>
          <w:tcPr>
            <w:tcW w:w="0" w:type="auto"/>
            <w:tcBorders>
              <w:top w:val="nil"/>
              <w:left w:val="nil"/>
              <w:bottom w:val="single" w:sz="4" w:space="0" w:color="auto"/>
              <w:right w:val="single" w:sz="4" w:space="0" w:color="auto"/>
            </w:tcBorders>
            <w:vAlign w:val="bottom"/>
            <w:hideMark/>
          </w:tcPr>
          <w:p w14:paraId="5263FF3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Máquinas de medição para venda de fios e cabos a varejo</w:t>
            </w:r>
          </w:p>
        </w:tc>
        <w:tc>
          <w:tcPr>
            <w:tcW w:w="0" w:type="auto"/>
            <w:tcBorders>
              <w:top w:val="nil"/>
              <w:left w:val="nil"/>
              <w:bottom w:val="single" w:sz="4" w:space="0" w:color="auto"/>
              <w:right w:val="single" w:sz="4" w:space="0" w:color="auto"/>
            </w:tcBorders>
            <w:vAlign w:val="center"/>
            <w:hideMark/>
          </w:tcPr>
          <w:p w14:paraId="6143DD0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81,50</w:t>
            </w:r>
          </w:p>
        </w:tc>
        <w:tc>
          <w:tcPr>
            <w:tcW w:w="0" w:type="auto"/>
            <w:tcBorders>
              <w:top w:val="nil"/>
              <w:left w:val="nil"/>
              <w:bottom w:val="single" w:sz="4" w:space="0" w:color="auto"/>
              <w:right w:val="single" w:sz="4" w:space="0" w:color="auto"/>
            </w:tcBorders>
            <w:vAlign w:val="center"/>
            <w:hideMark/>
          </w:tcPr>
          <w:p w14:paraId="0382C71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27,20</w:t>
            </w:r>
          </w:p>
        </w:tc>
      </w:tr>
      <w:tr w:rsidR="00C22FC1" w:rsidRPr="00C22FC1" w14:paraId="0F3771D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70E530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213</w:t>
            </w:r>
          </w:p>
        </w:tc>
        <w:tc>
          <w:tcPr>
            <w:tcW w:w="0" w:type="auto"/>
            <w:tcBorders>
              <w:top w:val="nil"/>
              <w:left w:val="nil"/>
              <w:bottom w:val="single" w:sz="4" w:space="0" w:color="auto"/>
              <w:right w:val="single" w:sz="4" w:space="0" w:color="auto"/>
            </w:tcBorders>
            <w:vAlign w:val="bottom"/>
            <w:hideMark/>
          </w:tcPr>
          <w:p w14:paraId="1B939E4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Máquinas de medição para venda de fios e cabos a varejo, a partir da 2</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w:t>
            </w:r>
          </w:p>
        </w:tc>
        <w:tc>
          <w:tcPr>
            <w:tcW w:w="0" w:type="auto"/>
            <w:tcBorders>
              <w:top w:val="nil"/>
              <w:left w:val="nil"/>
              <w:bottom w:val="single" w:sz="4" w:space="0" w:color="auto"/>
              <w:right w:val="single" w:sz="4" w:space="0" w:color="auto"/>
            </w:tcBorders>
            <w:vAlign w:val="center"/>
            <w:hideMark/>
          </w:tcPr>
          <w:p w14:paraId="092B5A1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58,50</w:t>
            </w:r>
          </w:p>
        </w:tc>
        <w:tc>
          <w:tcPr>
            <w:tcW w:w="0" w:type="auto"/>
            <w:tcBorders>
              <w:top w:val="nil"/>
              <w:left w:val="nil"/>
              <w:bottom w:val="single" w:sz="4" w:space="0" w:color="auto"/>
              <w:right w:val="single" w:sz="4" w:space="0" w:color="auto"/>
            </w:tcBorders>
            <w:vAlign w:val="center"/>
            <w:hideMark/>
          </w:tcPr>
          <w:p w14:paraId="5F2AFCF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19,30</w:t>
            </w:r>
          </w:p>
        </w:tc>
      </w:tr>
      <w:tr w:rsidR="00C22FC1" w:rsidRPr="00C22FC1" w14:paraId="3176BA7B"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5D16097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medição no trânsito</w:t>
            </w:r>
          </w:p>
        </w:tc>
      </w:tr>
      <w:tr w:rsidR="00C22FC1" w:rsidRPr="00C22FC1" w14:paraId="145CA8E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2DCD1C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5C67C77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medição em veículos</w:t>
            </w:r>
          </w:p>
        </w:tc>
      </w:tr>
      <w:tr w:rsidR="00C22FC1" w:rsidRPr="00C22FC1" w14:paraId="18536C6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1C7887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222</w:t>
            </w:r>
          </w:p>
        </w:tc>
        <w:tc>
          <w:tcPr>
            <w:tcW w:w="0" w:type="auto"/>
            <w:tcBorders>
              <w:top w:val="nil"/>
              <w:left w:val="nil"/>
              <w:bottom w:val="single" w:sz="4" w:space="0" w:color="auto"/>
              <w:right w:val="single" w:sz="4" w:space="0" w:color="auto"/>
            </w:tcBorders>
            <w:vAlign w:val="bottom"/>
            <w:hideMark/>
          </w:tcPr>
          <w:p w14:paraId="1ECC31E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Taxímetros</w:t>
            </w:r>
          </w:p>
        </w:tc>
        <w:tc>
          <w:tcPr>
            <w:tcW w:w="0" w:type="auto"/>
            <w:tcBorders>
              <w:top w:val="nil"/>
              <w:left w:val="nil"/>
              <w:bottom w:val="single" w:sz="4" w:space="0" w:color="auto"/>
              <w:right w:val="single" w:sz="4" w:space="0" w:color="auto"/>
            </w:tcBorders>
            <w:vAlign w:val="center"/>
            <w:hideMark/>
          </w:tcPr>
          <w:p w14:paraId="1AA4170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37,50</w:t>
            </w:r>
          </w:p>
        </w:tc>
        <w:tc>
          <w:tcPr>
            <w:tcW w:w="0" w:type="auto"/>
            <w:tcBorders>
              <w:top w:val="nil"/>
              <w:left w:val="nil"/>
              <w:bottom w:val="single" w:sz="4" w:space="0" w:color="auto"/>
              <w:right w:val="single" w:sz="4" w:space="0" w:color="auto"/>
            </w:tcBorders>
            <w:vAlign w:val="center"/>
            <w:hideMark/>
          </w:tcPr>
          <w:p w14:paraId="24136D4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37,50</w:t>
            </w:r>
          </w:p>
        </w:tc>
      </w:tr>
      <w:tr w:rsidR="00C22FC1" w:rsidRPr="00C22FC1" w14:paraId="1C5E15A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3723C5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225</w:t>
            </w:r>
          </w:p>
        </w:tc>
        <w:tc>
          <w:tcPr>
            <w:tcW w:w="0" w:type="auto"/>
            <w:tcBorders>
              <w:top w:val="nil"/>
              <w:left w:val="nil"/>
              <w:bottom w:val="single" w:sz="4" w:space="0" w:color="auto"/>
              <w:right w:val="single" w:sz="4" w:space="0" w:color="auto"/>
            </w:tcBorders>
            <w:vAlign w:val="bottom"/>
            <w:hideMark/>
          </w:tcPr>
          <w:p w14:paraId="6082247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Opacímetros de fluxo parcial</w:t>
            </w:r>
          </w:p>
        </w:tc>
        <w:tc>
          <w:tcPr>
            <w:tcW w:w="0" w:type="auto"/>
            <w:tcBorders>
              <w:top w:val="nil"/>
              <w:left w:val="nil"/>
              <w:bottom w:val="single" w:sz="4" w:space="0" w:color="auto"/>
              <w:right w:val="single" w:sz="4" w:space="0" w:color="auto"/>
            </w:tcBorders>
            <w:vAlign w:val="center"/>
            <w:hideMark/>
          </w:tcPr>
          <w:p w14:paraId="7BBE701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203,90</w:t>
            </w:r>
          </w:p>
        </w:tc>
        <w:tc>
          <w:tcPr>
            <w:tcW w:w="0" w:type="auto"/>
            <w:tcBorders>
              <w:top w:val="nil"/>
              <w:left w:val="nil"/>
              <w:bottom w:val="single" w:sz="4" w:space="0" w:color="auto"/>
              <w:right w:val="single" w:sz="4" w:space="0" w:color="auto"/>
            </w:tcBorders>
            <w:vAlign w:val="center"/>
            <w:hideMark/>
          </w:tcPr>
          <w:p w14:paraId="53DE909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68,00</w:t>
            </w:r>
          </w:p>
        </w:tc>
      </w:tr>
      <w:tr w:rsidR="00C22FC1" w:rsidRPr="00C22FC1" w14:paraId="477CAE4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0705F0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226</w:t>
            </w:r>
          </w:p>
        </w:tc>
        <w:tc>
          <w:tcPr>
            <w:tcW w:w="0" w:type="auto"/>
            <w:tcBorders>
              <w:top w:val="nil"/>
              <w:left w:val="nil"/>
              <w:bottom w:val="single" w:sz="4" w:space="0" w:color="auto"/>
              <w:right w:val="single" w:sz="4" w:space="0" w:color="auto"/>
            </w:tcBorders>
            <w:vAlign w:val="bottom"/>
            <w:hideMark/>
          </w:tcPr>
          <w:p w14:paraId="51F9BF4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Medidores de gases de exaustão veicular</w:t>
            </w:r>
          </w:p>
        </w:tc>
        <w:tc>
          <w:tcPr>
            <w:tcW w:w="0" w:type="auto"/>
            <w:tcBorders>
              <w:top w:val="nil"/>
              <w:left w:val="nil"/>
              <w:bottom w:val="single" w:sz="4" w:space="0" w:color="auto"/>
              <w:right w:val="single" w:sz="4" w:space="0" w:color="auto"/>
            </w:tcBorders>
            <w:vAlign w:val="center"/>
            <w:hideMark/>
          </w:tcPr>
          <w:p w14:paraId="752C8BD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305,80</w:t>
            </w:r>
          </w:p>
        </w:tc>
        <w:tc>
          <w:tcPr>
            <w:tcW w:w="0" w:type="auto"/>
            <w:tcBorders>
              <w:top w:val="nil"/>
              <w:left w:val="nil"/>
              <w:bottom w:val="single" w:sz="4" w:space="0" w:color="auto"/>
              <w:right w:val="single" w:sz="4" w:space="0" w:color="auto"/>
            </w:tcBorders>
            <w:vAlign w:val="center"/>
            <w:hideMark/>
          </w:tcPr>
          <w:p w14:paraId="48FDB10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101,50</w:t>
            </w:r>
          </w:p>
        </w:tc>
      </w:tr>
      <w:tr w:rsidR="00C22FC1" w:rsidRPr="00C22FC1" w14:paraId="1DB0A101"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1537EDF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Observação: Para códigos 225 e 226 instrumentos combinados serão computados como dois instrumentos individuais</w:t>
            </w:r>
          </w:p>
        </w:tc>
      </w:tr>
      <w:tr w:rsidR="00C22FC1" w:rsidRPr="00C22FC1" w14:paraId="072C54E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C1D646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2EA1905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para supervisão pública do trânsito</w:t>
            </w:r>
          </w:p>
        </w:tc>
      </w:tr>
      <w:tr w:rsidR="00C22FC1" w:rsidRPr="00C22FC1" w14:paraId="22B9F78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AC19A8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231</w:t>
            </w:r>
          </w:p>
        </w:tc>
        <w:tc>
          <w:tcPr>
            <w:tcW w:w="0" w:type="auto"/>
            <w:tcBorders>
              <w:top w:val="nil"/>
              <w:left w:val="nil"/>
              <w:bottom w:val="single" w:sz="4" w:space="0" w:color="auto"/>
              <w:right w:val="single" w:sz="4" w:space="0" w:color="auto"/>
            </w:tcBorders>
            <w:vAlign w:val="bottom"/>
            <w:hideMark/>
          </w:tcPr>
          <w:p w14:paraId="0050FB0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Medidor de carga de roda, para carga de roda individual</w:t>
            </w:r>
          </w:p>
        </w:tc>
        <w:tc>
          <w:tcPr>
            <w:tcW w:w="0" w:type="auto"/>
            <w:tcBorders>
              <w:top w:val="nil"/>
              <w:left w:val="nil"/>
              <w:bottom w:val="single" w:sz="4" w:space="0" w:color="auto"/>
              <w:right w:val="single" w:sz="4" w:space="0" w:color="auto"/>
            </w:tcBorders>
            <w:vAlign w:val="center"/>
            <w:hideMark/>
          </w:tcPr>
          <w:p w14:paraId="3DBA8C1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136,40</w:t>
            </w:r>
          </w:p>
        </w:tc>
        <w:tc>
          <w:tcPr>
            <w:tcW w:w="0" w:type="auto"/>
            <w:tcBorders>
              <w:top w:val="nil"/>
              <w:left w:val="nil"/>
              <w:bottom w:val="single" w:sz="4" w:space="0" w:color="auto"/>
              <w:right w:val="single" w:sz="4" w:space="0" w:color="auto"/>
            </w:tcBorders>
            <w:vAlign w:val="center"/>
            <w:hideMark/>
          </w:tcPr>
          <w:p w14:paraId="389E0F3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45,10</w:t>
            </w:r>
          </w:p>
        </w:tc>
      </w:tr>
      <w:tr w:rsidR="00C22FC1" w:rsidRPr="00C22FC1" w14:paraId="2D66DF5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3592A3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232</w:t>
            </w:r>
          </w:p>
        </w:tc>
        <w:tc>
          <w:tcPr>
            <w:tcW w:w="0" w:type="auto"/>
            <w:tcBorders>
              <w:top w:val="nil"/>
              <w:left w:val="nil"/>
              <w:bottom w:val="single" w:sz="4" w:space="0" w:color="auto"/>
              <w:right w:val="single" w:sz="4" w:space="0" w:color="auto"/>
            </w:tcBorders>
            <w:vAlign w:val="bottom"/>
            <w:hideMark/>
          </w:tcPr>
          <w:p w14:paraId="1EB560B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Medidor de carga de roda, para carga de roda aos pares</w:t>
            </w:r>
          </w:p>
        </w:tc>
        <w:tc>
          <w:tcPr>
            <w:tcW w:w="0" w:type="auto"/>
            <w:tcBorders>
              <w:top w:val="nil"/>
              <w:left w:val="nil"/>
              <w:bottom w:val="single" w:sz="4" w:space="0" w:color="auto"/>
              <w:right w:val="single" w:sz="4" w:space="0" w:color="auto"/>
            </w:tcBorders>
            <w:vAlign w:val="center"/>
            <w:hideMark/>
          </w:tcPr>
          <w:p w14:paraId="2F4C131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193,70</w:t>
            </w:r>
          </w:p>
        </w:tc>
        <w:tc>
          <w:tcPr>
            <w:tcW w:w="0" w:type="auto"/>
            <w:tcBorders>
              <w:top w:val="nil"/>
              <w:left w:val="nil"/>
              <w:bottom w:val="single" w:sz="4" w:space="0" w:color="auto"/>
              <w:right w:val="single" w:sz="4" w:space="0" w:color="auto"/>
            </w:tcBorders>
            <w:vAlign w:val="center"/>
            <w:hideMark/>
          </w:tcPr>
          <w:p w14:paraId="14842AB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63,90</w:t>
            </w:r>
          </w:p>
        </w:tc>
      </w:tr>
      <w:tr w:rsidR="00C22FC1" w:rsidRPr="00C22FC1" w14:paraId="2B4606E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E93871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233</w:t>
            </w:r>
          </w:p>
        </w:tc>
        <w:tc>
          <w:tcPr>
            <w:tcW w:w="0" w:type="auto"/>
            <w:tcBorders>
              <w:top w:val="nil"/>
              <w:left w:val="nil"/>
              <w:bottom w:val="single" w:sz="4" w:space="0" w:color="auto"/>
              <w:right w:val="single" w:sz="4" w:space="0" w:color="auto"/>
            </w:tcBorders>
            <w:vAlign w:val="bottom"/>
            <w:hideMark/>
          </w:tcPr>
          <w:p w14:paraId="5CB25FC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pesagem de veículos em movimento</w:t>
            </w:r>
          </w:p>
        </w:tc>
        <w:tc>
          <w:tcPr>
            <w:tcW w:w="0" w:type="auto"/>
            <w:tcBorders>
              <w:top w:val="nil"/>
              <w:left w:val="nil"/>
              <w:bottom w:val="single" w:sz="4" w:space="0" w:color="auto"/>
              <w:right w:val="single" w:sz="4" w:space="0" w:color="auto"/>
            </w:tcBorders>
            <w:vAlign w:val="center"/>
            <w:hideMark/>
          </w:tcPr>
          <w:p w14:paraId="42127BF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c>
          <w:tcPr>
            <w:tcW w:w="0" w:type="auto"/>
            <w:tcBorders>
              <w:top w:val="nil"/>
              <w:left w:val="nil"/>
              <w:bottom w:val="single" w:sz="4" w:space="0" w:color="auto"/>
              <w:right w:val="single" w:sz="4" w:space="0" w:color="auto"/>
            </w:tcBorders>
            <w:vAlign w:val="center"/>
            <w:hideMark/>
          </w:tcPr>
          <w:p w14:paraId="5A2A7E8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r>
      <w:tr w:rsidR="00C22FC1" w:rsidRPr="00C22FC1" w14:paraId="03E305A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8835BF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234</w:t>
            </w:r>
          </w:p>
        </w:tc>
        <w:tc>
          <w:tcPr>
            <w:tcW w:w="0" w:type="auto"/>
            <w:tcBorders>
              <w:top w:val="nil"/>
              <w:left w:val="nil"/>
              <w:bottom w:val="single" w:sz="4" w:space="0" w:color="auto"/>
              <w:right w:val="single" w:sz="4" w:space="0" w:color="auto"/>
            </w:tcBorders>
            <w:vAlign w:val="bottom"/>
            <w:hideMark/>
          </w:tcPr>
          <w:p w14:paraId="226B748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Frenômetros</w:t>
            </w:r>
          </w:p>
        </w:tc>
        <w:tc>
          <w:tcPr>
            <w:tcW w:w="0" w:type="auto"/>
            <w:tcBorders>
              <w:top w:val="nil"/>
              <w:left w:val="nil"/>
              <w:bottom w:val="single" w:sz="4" w:space="0" w:color="auto"/>
              <w:right w:val="single" w:sz="4" w:space="0" w:color="auto"/>
            </w:tcBorders>
            <w:vAlign w:val="center"/>
            <w:hideMark/>
          </w:tcPr>
          <w:p w14:paraId="0F627DE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195,00</w:t>
            </w:r>
          </w:p>
        </w:tc>
        <w:tc>
          <w:tcPr>
            <w:tcW w:w="0" w:type="auto"/>
            <w:tcBorders>
              <w:top w:val="nil"/>
              <w:left w:val="nil"/>
              <w:bottom w:val="single" w:sz="4" w:space="0" w:color="auto"/>
              <w:right w:val="single" w:sz="4" w:space="0" w:color="auto"/>
            </w:tcBorders>
            <w:vAlign w:val="center"/>
            <w:hideMark/>
          </w:tcPr>
          <w:p w14:paraId="508470A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97,50</w:t>
            </w:r>
          </w:p>
        </w:tc>
      </w:tr>
      <w:tr w:rsidR="00C22FC1" w:rsidRPr="00C22FC1" w14:paraId="1AF1B42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75B72C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235</w:t>
            </w:r>
          </w:p>
        </w:tc>
        <w:tc>
          <w:tcPr>
            <w:tcW w:w="0" w:type="auto"/>
            <w:tcBorders>
              <w:top w:val="nil"/>
              <w:left w:val="nil"/>
              <w:bottom w:val="single" w:sz="4" w:space="0" w:color="auto"/>
              <w:right w:val="single" w:sz="4" w:space="0" w:color="auto"/>
            </w:tcBorders>
            <w:vAlign w:val="bottom"/>
            <w:hideMark/>
          </w:tcPr>
          <w:p w14:paraId="4A4E800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Medidores de velocidade (estáticos, portáteis e móveis)</w:t>
            </w:r>
          </w:p>
        </w:tc>
        <w:tc>
          <w:tcPr>
            <w:tcW w:w="0" w:type="auto"/>
            <w:tcBorders>
              <w:top w:val="nil"/>
              <w:left w:val="nil"/>
              <w:bottom w:val="single" w:sz="4" w:space="0" w:color="auto"/>
              <w:right w:val="single" w:sz="4" w:space="0" w:color="auto"/>
            </w:tcBorders>
            <w:vAlign w:val="center"/>
            <w:hideMark/>
          </w:tcPr>
          <w:p w14:paraId="40934B1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720,00</w:t>
            </w:r>
          </w:p>
        </w:tc>
        <w:tc>
          <w:tcPr>
            <w:tcW w:w="0" w:type="auto"/>
            <w:tcBorders>
              <w:top w:val="nil"/>
              <w:left w:val="nil"/>
              <w:bottom w:val="single" w:sz="4" w:space="0" w:color="auto"/>
              <w:right w:val="single" w:sz="4" w:space="0" w:color="auto"/>
            </w:tcBorders>
            <w:vAlign w:val="center"/>
            <w:hideMark/>
          </w:tcPr>
          <w:p w14:paraId="6DB3849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720,00</w:t>
            </w:r>
          </w:p>
        </w:tc>
      </w:tr>
      <w:tr w:rsidR="00C22FC1" w:rsidRPr="00C22FC1" w14:paraId="1C101A00" w14:textId="77777777" w:rsidTr="00C22FC1">
        <w:trPr>
          <w:jc w:val="center"/>
        </w:trPr>
        <w:tc>
          <w:tcPr>
            <w:tcW w:w="0" w:type="auto"/>
            <w:tcBorders>
              <w:top w:val="nil"/>
              <w:left w:val="single" w:sz="8" w:space="0" w:color="auto"/>
              <w:bottom w:val="single" w:sz="8" w:space="0" w:color="auto"/>
              <w:right w:val="single" w:sz="8" w:space="0" w:color="auto"/>
            </w:tcBorders>
            <w:tcMar>
              <w:top w:w="28" w:type="dxa"/>
              <w:left w:w="28" w:type="dxa"/>
              <w:bottom w:w="28" w:type="dxa"/>
              <w:right w:w="28" w:type="dxa"/>
            </w:tcMar>
            <w:vAlign w:val="center"/>
            <w:hideMark/>
          </w:tcPr>
          <w:p w14:paraId="4597F66F"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bookmarkStart w:id="256" w:name="anexo2c236"/>
            <w:bookmarkEnd w:id="256"/>
            <w:r w:rsidRPr="00C22FC1">
              <w:rPr>
                <w:rFonts w:ascii="Arial" w:eastAsia="Times New Roman" w:hAnsi="Arial" w:cs="Arial"/>
                <w:kern w:val="0"/>
                <w:sz w:val="20"/>
                <w:szCs w:val="20"/>
                <w14:ligatures w14:val="none"/>
              </w:rPr>
              <w:t>236</w:t>
            </w:r>
          </w:p>
        </w:tc>
        <w:tc>
          <w:tcPr>
            <w:tcW w:w="0" w:type="auto"/>
            <w:tcBorders>
              <w:top w:val="nil"/>
              <w:left w:val="nil"/>
              <w:bottom w:val="single" w:sz="8" w:space="0" w:color="auto"/>
              <w:right w:val="single" w:sz="8" w:space="0" w:color="auto"/>
            </w:tcBorders>
            <w:tcMar>
              <w:top w:w="28" w:type="dxa"/>
              <w:left w:w="28" w:type="dxa"/>
              <w:bottom w:w="28" w:type="dxa"/>
              <w:right w:w="28" w:type="dxa"/>
            </w:tcMar>
            <w:vAlign w:val="center"/>
            <w:hideMark/>
          </w:tcPr>
          <w:p w14:paraId="71D5CCC0" w14:textId="77777777" w:rsidR="00C22FC1" w:rsidRPr="00C22FC1" w:rsidRDefault="00C22FC1" w:rsidP="00C22FC1">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C22FC1">
              <w:rPr>
                <w:rFonts w:ascii="Arial" w:eastAsia="Times New Roman" w:hAnsi="Arial" w:cs="Arial"/>
                <w:kern w:val="0"/>
                <w:sz w:val="20"/>
                <w:szCs w:val="20"/>
                <w14:ligatures w14:val="none"/>
              </w:rPr>
              <w:t>Medidores de velocidade fixos - cada faixa de trânsito  </w:t>
            </w:r>
          </w:p>
        </w:tc>
        <w:tc>
          <w:tcPr>
            <w:tcW w:w="0" w:type="auto"/>
            <w:tcBorders>
              <w:top w:val="nil"/>
              <w:left w:val="nil"/>
              <w:bottom w:val="single" w:sz="8" w:space="0" w:color="auto"/>
              <w:right w:val="single" w:sz="8" w:space="0" w:color="auto"/>
            </w:tcBorders>
            <w:tcMar>
              <w:top w:w="28" w:type="dxa"/>
              <w:left w:w="28" w:type="dxa"/>
              <w:bottom w:w="28" w:type="dxa"/>
              <w:right w:w="28" w:type="dxa"/>
            </w:tcMar>
            <w:vAlign w:val="center"/>
            <w:hideMark/>
          </w:tcPr>
          <w:p w14:paraId="321CC615"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C22FC1">
              <w:rPr>
                <w:rFonts w:ascii="Arial" w:eastAsia="Times New Roman" w:hAnsi="Arial" w:cs="Arial"/>
                <w:kern w:val="0"/>
                <w:sz w:val="20"/>
                <w:szCs w:val="20"/>
                <w14:ligatures w14:val="none"/>
              </w:rPr>
              <w:t>390,00</w:t>
            </w:r>
          </w:p>
        </w:tc>
        <w:tc>
          <w:tcPr>
            <w:tcW w:w="0" w:type="auto"/>
            <w:tcBorders>
              <w:top w:val="nil"/>
              <w:left w:val="nil"/>
              <w:bottom w:val="single" w:sz="8" w:space="0" w:color="auto"/>
              <w:right w:val="single" w:sz="8" w:space="0" w:color="auto"/>
            </w:tcBorders>
            <w:tcMar>
              <w:top w:w="28" w:type="dxa"/>
              <w:left w:w="28" w:type="dxa"/>
              <w:bottom w:w="28" w:type="dxa"/>
              <w:right w:w="28" w:type="dxa"/>
            </w:tcMar>
            <w:vAlign w:val="center"/>
            <w:hideMark/>
          </w:tcPr>
          <w:p w14:paraId="14E7CF80"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C22FC1">
              <w:rPr>
                <w:rFonts w:ascii="Arial" w:eastAsia="Times New Roman" w:hAnsi="Arial" w:cs="Arial"/>
                <w:kern w:val="0"/>
                <w:sz w:val="20"/>
                <w:szCs w:val="20"/>
                <w14:ligatures w14:val="none"/>
              </w:rPr>
              <w:t>390,00</w:t>
            </w:r>
          </w:p>
        </w:tc>
      </w:tr>
      <w:tr w:rsidR="00C22FC1" w:rsidRPr="00C22FC1" w14:paraId="56567B2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0C223D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strike/>
                <w:color w:val="000000"/>
                <w:kern w:val="0"/>
                <w:sz w:val="20"/>
                <w:szCs w:val="20"/>
                <w14:ligatures w14:val="none"/>
              </w:rPr>
              <w:t>237</w:t>
            </w:r>
          </w:p>
        </w:tc>
        <w:tc>
          <w:tcPr>
            <w:tcW w:w="0" w:type="auto"/>
            <w:tcBorders>
              <w:top w:val="nil"/>
              <w:left w:val="nil"/>
              <w:bottom w:val="single" w:sz="4" w:space="0" w:color="auto"/>
              <w:right w:val="single" w:sz="4" w:space="0" w:color="auto"/>
            </w:tcBorders>
            <w:vAlign w:val="bottom"/>
            <w:hideMark/>
          </w:tcPr>
          <w:p w14:paraId="22E54DD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strike/>
                <w:color w:val="000000"/>
                <w:kern w:val="0"/>
                <w:sz w:val="20"/>
                <w:szCs w:val="20"/>
                <w14:ligatures w14:val="none"/>
              </w:rPr>
              <w:t>Cronotacógrafos - até 10 unidades, cada unidade</w:t>
            </w:r>
          </w:p>
        </w:tc>
        <w:tc>
          <w:tcPr>
            <w:tcW w:w="0" w:type="auto"/>
            <w:tcBorders>
              <w:top w:val="nil"/>
              <w:left w:val="nil"/>
              <w:bottom w:val="single" w:sz="4" w:space="0" w:color="auto"/>
              <w:right w:val="single" w:sz="4" w:space="0" w:color="auto"/>
            </w:tcBorders>
            <w:vAlign w:val="center"/>
            <w:hideMark/>
          </w:tcPr>
          <w:p w14:paraId="51E7F21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strike/>
                <w:color w:val="000000"/>
                <w:kern w:val="0"/>
                <w:sz w:val="20"/>
                <w:szCs w:val="20"/>
                <w14:ligatures w14:val="none"/>
              </w:rPr>
              <w:t>149,00</w:t>
            </w:r>
          </w:p>
        </w:tc>
        <w:tc>
          <w:tcPr>
            <w:tcW w:w="0" w:type="auto"/>
            <w:tcBorders>
              <w:top w:val="nil"/>
              <w:left w:val="nil"/>
              <w:bottom w:val="single" w:sz="4" w:space="0" w:color="auto"/>
              <w:right w:val="single" w:sz="4" w:space="0" w:color="auto"/>
            </w:tcBorders>
            <w:vAlign w:val="center"/>
            <w:hideMark/>
          </w:tcPr>
          <w:p w14:paraId="4A3E628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strike/>
                <w:color w:val="000000"/>
                <w:kern w:val="0"/>
                <w:sz w:val="20"/>
                <w:szCs w:val="20"/>
                <w14:ligatures w14:val="none"/>
              </w:rPr>
              <w:t>149,00</w:t>
            </w:r>
          </w:p>
        </w:tc>
      </w:tr>
      <w:tr w:rsidR="00C22FC1" w:rsidRPr="00C22FC1" w14:paraId="10057ECA" w14:textId="77777777" w:rsidTr="00C22FC1">
        <w:trPr>
          <w:jc w:val="center"/>
        </w:trPr>
        <w:tc>
          <w:tcPr>
            <w:tcW w:w="0" w:type="auto"/>
            <w:tcBorders>
              <w:top w:val="nil"/>
              <w:left w:val="single" w:sz="8" w:space="0" w:color="auto"/>
              <w:bottom w:val="single" w:sz="8" w:space="0" w:color="auto"/>
              <w:right w:val="single" w:sz="8" w:space="0" w:color="auto"/>
            </w:tcBorders>
            <w:tcMar>
              <w:top w:w="28" w:type="dxa"/>
              <w:left w:w="28" w:type="dxa"/>
              <w:bottom w:w="28" w:type="dxa"/>
              <w:right w:w="28" w:type="dxa"/>
            </w:tcMar>
            <w:vAlign w:val="center"/>
            <w:hideMark/>
          </w:tcPr>
          <w:p w14:paraId="4EC07F02"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bookmarkStart w:id="257" w:name="anexo2c237"/>
            <w:bookmarkEnd w:id="257"/>
            <w:r w:rsidRPr="00C22FC1">
              <w:rPr>
                <w:rFonts w:ascii="Arial" w:eastAsia="Times New Roman" w:hAnsi="Arial" w:cs="Arial"/>
                <w:strike/>
                <w:kern w:val="0"/>
                <w:sz w:val="20"/>
                <w:szCs w:val="20"/>
                <w14:ligatures w14:val="none"/>
              </w:rPr>
              <w:t>237</w:t>
            </w:r>
          </w:p>
        </w:tc>
        <w:tc>
          <w:tcPr>
            <w:tcW w:w="0" w:type="auto"/>
            <w:tcBorders>
              <w:top w:val="nil"/>
              <w:left w:val="nil"/>
              <w:bottom w:val="single" w:sz="8" w:space="0" w:color="auto"/>
              <w:right w:val="single" w:sz="8" w:space="0" w:color="auto"/>
            </w:tcBorders>
            <w:tcMar>
              <w:top w:w="28" w:type="dxa"/>
              <w:left w:w="28" w:type="dxa"/>
              <w:bottom w:w="28" w:type="dxa"/>
              <w:right w:w="28" w:type="dxa"/>
            </w:tcMar>
            <w:vAlign w:val="center"/>
            <w:hideMark/>
          </w:tcPr>
          <w:p w14:paraId="49D54DC3" w14:textId="77777777" w:rsidR="00C22FC1" w:rsidRPr="00C22FC1" w:rsidRDefault="00C22FC1" w:rsidP="00C22FC1">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C22FC1">
              <w:rPr>
                <w:rFonts w:ascii="Arial" w:eastAsia="Times New Roman" w:hAnsi="Arial" w:cs="Arial"/>
                <w:strike/>
                <w:kern w:val="0"/>
                <w:sz w:val="20"/>
                <w:szCs w:val="20"/>
                <w14:ligatures w14:val="none"/>
              </w:rPr>
              <w:t>Cronotacógrafos - até 10 unidades, cada unidade   </w:t>
            </w:r>
            <w:hyperlink r:id="rId496" w:anchor="art1" w:history="1">
              <w:r w:rsidRPr="00C22FC1">
                <w:rPr>
                  <w:rFonts w:ascii="Arial" w:eastAsia="Times New Roman" w:hAnsi="Arial" w:cs="Arial"/>
                  <w:strike/>
                  <w:color w:val="0000FF"/>
                  <w:kern w:val="0"/>
                  <w:sz w:val="20"/>
                  <w:szCs w:val="20"/>
                  <w:u w:val="single"/>
                  <w14:ligatures w14:val="none"/>
                </w:rPr>
                <w:t>(Redação dada pela Medida Provisória nº 1.145, de 2022)</w:t>
              </w:r>
            </w:hyperlink>
            <w:r w:rsidRPr="00C22FC1">
              <w:rPr>
                <w:rFonts w:ascii="Arial" w:eastAsia="Times New Roman" w:hAnsi="Arial" w:cs="Arial"/>
                <w:strike/>
                <w:kern w:val="0"/>
                <w:sz w:val="20"/>
                <w:szCs w:val="20"/>
                <w14:ligatures w14:val="none"/>
              </w:rPr>
              <w:t>   </w:t>
            </w:r>
            <w:hyperlink r:id="rId497" w:anchor="art2" w:history="1">
              <w:r w:rsidRPr="00C22FC1">
                <w:rPr>
                  <w:rFonts w:ascii="Arial" w:eastAsia="Times New Roman" w:hAnsi="Arial" w:cs="Arial"/>
                  <w:strike/>
                  <w:color w:val="0000FF"/>
                  <w:kern w:val="0"/>
                  <w:sz w:val="20"/>
                  <w:szCs w:val="20"/>
                  <w:u w:val="single"/>
                  <w14:ligatures w14:val="none"/>
                </w:rPr>
                <w:t>(Produção de efeitos)</w:t>
              </w:r>
            </w:hyperlink>
          </w:p>
        </w:tc>
        <w:tc>
          <w:tcPr>
            <w:tcW w:w="0" w:type="auto"/>
            <w:tcBorders>
              <w:top w:val="nil"/>
              <w:left w:val="nil"/>
              <w:bottom w:val="single" w:sz="8" w:space="0" w:color="auto"/>
              <w:right w:val="single" w:sz="8" w:space="0" w:color="auto"/>
            </w:tcBorders>
            <w:tcMar>
              <w:top w:w="28" w:type="dxa"/>
              <w:left w:w="28" w:type="dxa"/>
              <w:bottom w:w="28" w:type="dxa"/>
              <w:right w:w="28" w:type="dxa"/>
            </w:tcMar>
            <w:vAlign w:val="center"/>
            <w:hideMark/>
          </w:tcPr>
          <w:p w14:paraId="17150A1C"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C22FC1">
              <w:rPr>
                <w:rFonts w:ascii="Arial" w:eastAsia="Times New Roman" w:hAnsi="Arial" w:cs="Arial"/>
                <w:strike/>
                <w:kern w:val="0"/>
                <w:sz w:val="20"/>
                <w:szCs w:val="20"/>
                <w14:ligatures w14:val="none"/>
              </w:rPr>
              <w:t>90,09</w:t>
            </w:r>
          </w:p>
        </w:tc>
        <w:tc>
          <w:tcPr>
            <w:tcW w:w="0" w:type="auto"/>
            <w:tcBorders>
              <w:top w:val="nil"/>
              <w:left w:val="nil"/>
              <w:bottom w:val="single" w:sz="8" w:space="0" w:color="auto"/>
              <w:right w:val="single" w:sz="8" w:space="0" w:color="auto"/>
            </w:tcBorders>
            <w:tcMar>
              <w:top w:w="28" w:type="dxa"/>
              <w:left w:w="28" w:type="dxa"/>
              <w:bottom w:w="28" w:type="dxa"/>
              <w:right w:w="28" w:type="dxa"/>
            </w:tcMar>
            <w:vAlign w:val="center"/>
            <w:hideMark/>
          </w:tcPr>
          <w:p w14:paraId="1D31869A"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C22FC1">
              <w:rPr>
                <w:rFonts w:ascii="Arial" w:eastAsia="Times New Roman" w:hAnsi="Arial" w:cs="Arial"/>
                <w:strike/>
                <w:kern w:val="0"/>
                <w:sz w:val="20"/>
                <w:szCs w:val="20"/>
                <w14:ligatures w14:val="none"/>
              </w:rPr>
              <w:t>207,34</w:t>
            </w:r>
          </w:p>
        </w:tc>
      </w:tr>
      <w:tr w:rsidR="00C22FC1" w:rsidRPr="00C22FC1" w14:paraId="49FBBC4C" w14:textId="77777777" w:rsidTr="00C22FC1">
        <w:trPr>
          <w:jc w:val="center"/>
        </w:trPr>
        <w:tc>
          <w:tcPr>
            <w:tcW w:w="0" w:type="auto"/>
            <w:tcBorders>
              <w:top w:val="nil"/>
              <w:left w:val="single" w:sz="8" w:space="0" w:color="auto"/>
              <w:bottom w:val="single" w:sz="8" w:space="0" w:color="auto"/>
              <w:right w:val="single" w:sz="8" w:space="0" w:color="auto"/>
            </w:tcBorders>
            <w:tcMar>
              <w:top w:w="28" w:type="dxa"/>
              <w:left w:w="28" w:type="dxa"/>
              <w:bottom w:w="28" w:type="dxa"/>
              <w:right w:w="28" w:type="dxa"/>
            </w:tcMar>
            <w:vAlign w:val="center"/>
            <w:hideMark/>
          </w:tcPr>
          <w:p w14:paraId="3DDDD1BE"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bookmarkStart w:id="258" w:name="anexo2c237.0"/>
            <w:bookmarkEnd w:id="258"/>
            <w:r w:rsidRPr="00C22FC1">
              <w:rPr>
                <w:rFonts w:ascii="Times New Roman" w:eastAsia="Times New Roman" w:hAnsi="Times New Roman" w:cs="Times New Roman"/>
                <w:kern w:val="0"/>
                <w:sz w:val="20"/>
                <w:szCs w:val="20"/>
                <w14:ligatures w14:val="none"/>
              </w:rPr>
              <w:t>237</w:t>
            </w:r>
          </w:p>
        </w:tc>
        <w:tc>
          <w:tcPr>
            <w:tcW w:w="0" w:type="auto"/>
            <w:tcBorders>
              <w:top w:val="nil"/>
              <w:left w:val="nil"/>
              <w:bottom w:val="single" w:sz="8" w:space="0" w:color="auto"/>
              <w:right w:val="single" w:sz="8" w:space="0" w:color="auto"/>
            </w:tcBorders>
            <w:tcMar>
              <w:top w:w="28" w:type="dxa"/>
              <w:left w:w="28" w:type="dxa"/>
              <w:bottom w:w="28" w:type="dxa"/>
              <w:right w:w="28" w:type="dxa"/>
            </w:tcMar>
            <w:vAlign w:val="center"/>
            <w:hideMark/>
          </w:tcPr>
          <w:p w14:paraId="01C42F02"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r w:rsidRPr="00C22FC1">
              <w:rPr>
                <w:rFonts w:ascii="Arial" w:eastAsia="Times New Roman" w:hAnsi="Arial" w:cs="Arial"/>
                <w:color w:val="000000"/>
                <w:kern w:val="0"/>
                <w:sz w:val="20"/>
                <w:szCs w:val="20"/>
                <w14:ligatures w14:val="none"/>
              </w:rPr>
              <w:t>Cronotacógrafos – até 10 unidades, cada unidade   </w:t>
            </w:r>
            <w:hyperlink r:id="rId498" w:anchor="art2" w:history="1">
              <w:r w:rsidRPr="00C22FC1">
                <w:rPr>
                  <w:rFonts w:ascii="Arial" w:eastAsia="Times New Roman" w:hAnsi="Arial" w:cs="Arial"/>
                  <w:color w:val="0000FF"/>
                  <w:kern w:val="0"/>
                  <w:sz w:val="20"/>
                  <w:szCs w:val="20"/>
                  <w:u w:val="single"/>
                  <w14:ligatures w14:val="none"/>
                </w:rPr>
                <w:t>(Redação dada pela Lei nº 14.565, de 2023)</w:t>
              </w:r>
            </w:hyperlink>
            <w:r w:rsidRPr="00C22FC1">
              <w:rPr>
                <w:rFonts w:ascii="Arial" w:eastAsia="Times New Roman" w:hAnsi="Arial" w:cs="Arial"/>
                <w:color w:val="000000"/>
                <w:kern w:val="0"/>
                <w:sz w:val="20"/>
                <w:szCs w:val="20"/>
                <w14:ligatures w14:val="none"/>
              </w:rPr>
              <w:t>   </w:t>
            </w:r>
            <w:hyperlink r:id="rId499" w:anchor="art3" w:history="1">
              <w:r w:rsidRPr="00C22FC1">
                <w:rPr>
                  <w:rFonts w:ascii="Arial" w:eastAsia="Times New Roman" w:hAnsi="Arial" w:cs="Arial"/>
                  <w:color w:val="0000FF"/>
                  <w:kern w:val="0"/>
                  <w:sz w:val="20"/>
                  <w:szCs w:val="20"/>
                  <w:u w:val="single"/>
                  <w14:ligatures w14:val="none"/>
                </w:rPr>
                <w:t>(Produção de efeitos)</w:t>
              </w:r>
            </w:hyperlink>
          </w:p>
        </w:tc>
        <w:tc>
          <w:tcPr>
            <w:tcW w:w="0" w:type="auto"/>
            <w:tcBorders>
              <w:top w:val="nil"/>
              <w:left w:val="nil"/>
              <w:bottom w:val="single" w:sz="8" w:space="0" w:color="auto"/>
              <w:right w:val="single" w:sz="8" w:space="0" w:color="auto"/>
            </w:tcBorders>
            <w:tcMar>
              <w:top w:w="28" w:type="dxa"/>
              <w:left w:w="28" w:type="dxa"/>
              <w:bottom w:w="28" w:type="dxa"/>
              <w:right w:w="28" w:type="dxa"/>
            </w:tcMar>
            <w:vAlign w:val="center"/>
            <w:hideMark/>
          </w:tcPr>
          <w:p w14:paraId="5E4C100E"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C22FC1">
              <w:rPr>
                <w:rFonts w:ascii="Arial" w:eastAsia="Times New Roman" w:hAnsi="Arial" w:cs="Arial"/>
                <w:color w:val="000000"/>
                <w:kern w:val="0"/>
                <w:sz w:val="20"/>
                <w:szCs w:val="20"/>
                <w14:ligatures w14:val="none"/>
              </w:rPr>
              <w:t>90,09</w:t>
            </w:r>
          </w:p>
        </w:tc>
        <w:tc>
          <w:tcPr>
            <w:tcW w:w="0" w:type="auto"/>
            <w:tcBorders>
              <w:top w:val="nil"/>
              <w:left w:val="nil"/>
              <w:bottom w:val="single" w:sz="8" w:space="0" w:color="auto"/>
              <w:right w:val="single" w:sz="8" w:space="0" w:color="auto"/>
            </w:tcBorders>
            <w:tcMar>
              <w:top w:w="28" w:type="dxa"/>
              <w:left w:w="28" w:type="dxa"/>
              <w:bottom w:w="28" w:type="dxa"/>
              <w:right w:w="28" w:type="dxa"/>
            </w:tcMar>
            <w:vAlign w:val="center"/>
            <w:hideMark/>
          </w:tcPr>
          <w:p w14:paraId="2710C900"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C22FC1">
              <w:rPr>
                <w:rFonts w:ascii="Arial" w:eastAsia="Times New Roman" w:hAnsi="Arial" w:cs="Arial"/>
                <w:color w:val="000000"/>
                <w:kern w:val="0"/>
                <w:sz w:val="20"/>
                <w:szCs w:val="20"/>
                <w14:ligatures w14:val="none"/>
              </w:rPr>
              <w:t>207,34</w:t>
            </w:r>
          </w:p>
        </w:tc>
      </w:tr>
      <w:tr w:rsidR="00C22FC1" w:rsidRPr="00C22FC1" w14:paraId="002AAA2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9738B6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238</w:t>
            </w:r>
          </w:p>
        </w:tc>
        <w:tc>
          <w:tcPr>
            <w:tcW w:w="0" w:type="auto"/>
            <w:tcBorders>
              <w:top w:val="nil"/>
              <w:left w:val="nil"/>
              <w:bottom w:val="single" w:sz="4" w:space="0" w:color="auto"/>
              <w:right w:val="single" w:sz="4" w:space="0" w:color="auto"/>
            </w:tcBorders>
            <w:vAlign w:val="bottom"/>
            <w:hideMark/>
          </w:tcPr>
          <w:p w14:paraId="40B78F1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Cronotacógrafos - a partir da 11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5CF9205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5C59E81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81,50</w:t>
            </w:r>
          </w:p>
        </w:tc>
      </w:tr>
      <w:tr w:rsidR="00C22FC1" w:rsidRPr="00C22FC1" w14:paraId="55BE531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FCF740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239</w:t>
            </w:r>
          </w:p>
        </w:tc>
        <w:tc>
          <w:tcPr>
            <w:tcW w:w="0" w:type="auto"/>
            <w:tcBorders>
              <w:top w:val="nil"/>
              <w:left w:val="nil"/>
              <w:bottom w:val="single" w:sz="4" w:space="0" w:color="auto"/>
              <w:right w:val="single" w:sz="4" w:space="0" w:color="auto"/>
            </w:tcBorders>
            <w:vAlign w:val="bottom"/>
            <w:hideMark/>
          </w:tcPr>
          <w:p w14:paraId="54A3687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Cronotacógrafos - a partir da 101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1BEC8F4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5D425B8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61,00</w:t>
            </w:r>
          </w:p>
        </w:tc>
      </w:tr>
      <w:tr w:rsidR="00C22FC1" w:rsidRPr="00C22FC1" w14:paraId="53BB0879" w14:textId="77777777" w:rsidTr="00C22FC1">
        <w:trPr>
          <w:jc w:val="center"/>
        </w:trPr>
        <w:tc>
          <w:tcPr>
            <w:tcW w:w="0" w:type="auto"/>
            <w:tcBorders>
              <w:top w:val="nil"/>
              <w:left w:val="single" w:sz="8" w:space="0" w:color="auto"/>
              <w:bottom w:val="single" w:sz="8" w:space="0" w:color="auto"/>
              <w:right w:val="single" w:sz="8" w:space="0" w:color="auto"/>
            </w:tcBorders>
            <w:tcMar>
              <w:top w:w="28" w:type="dxa"/>
              <w:left w:w="28" w:type="dxa"/>
              <w:bottom w:w="28" w:type="dxa"/>
              <w:right w:w="28" w:type="dxa"/>
            </w:tcMar>
            <w:vAlign w:val="center"/>
            <w:hideMark/>
          </w:tcPr>
          <w:p w14:paraId="0186554D"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C22FC1">
              <w:rPr>
                <w:rFonts w:ascii="Arial" w:eastAsia="Times New Roman" w:hAnsi="Arial" w:cs="Arial"/>
                <w:strike/>
                <w:kern w:val="0"/>
                <w:sz w:val="20"/>
                <w:szCs w:val="20"/>
                <w14:ligatures w14:val="none"/>
              </w:rPr>
              <w:t>240</w:t>
            </w:r>
          </w:p>
        </w:tc>
        <w:tc>
          <w:tcPr>
            <w:tcW w:w="0" w:type="auto"/>
            <w:tcBorders>
              <w:top w:val="nil"/>
              <w:left w:val="nil"/>
              <w:bottom w:val="single" w:sz="8" w:space="0" w:color="auto"/>
              <w:right w:val="single" w:sz="8" w:space="0" w:color="auto"/>
            </w:tcBorders>
            <w:tcMar>
              <w:top w:w="28" w:type="dxa"/>
              <w:left w:w="28" w:type="dxa"/>
              <w:bottom w:w="28" w:type="dxa"/>
              <w:right w:w="28" w:type="dxa"/>
            </w:tcMar>
            <w:vAlign w:val="center"/>
            <w:hideMark/>
          </w:tcPr>
          <w:p w14:paraId="19832A71" w14:textId="77777777" w:rsidR="00C22FC1" w:rsidRPr="00C22FC1" w:rsidRDefault="00C22FC1" w:rsidP="00C22FC1">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C22FC1">
              <w:rPr>
                <w:rFonts w:ascii="Arial" w:eastAsia="Times New Roman" w:hAnsi="Arial" w:cs="Arial"/>
                <w:strike/>
                <w:kern w:val="0"/>
                <w:sz w:val="20"/>
                <w:szCs w:val="20"/>
                <w14:ligatures w14:val="none"/>
              </w:rPr>
              <w:t>Cronotacógrafos - atividades materiais e acessórias executadas em montadoras de veículos   </w:t>
            </w:r>
            <w:hyperlink r:id="rId500" w:anchor="art1" w:history="1">
              <w:r w:rsidRPr="00C22FC1">
                <w:rPr>
                  <w:rFonts w:ascii="Arial" w:eastAsia="Times New Roman" w:hAnsi="Arial" w:cs="Arial"/>
                  <w:strike/>
                  <w:color w:val="0000FF"/>
                  <w:kern w:val="0"/>
                  <w:sz w:val="20"/>
                  <w:szCs w:val="20"/>
                  <w:u w:val="single"/>
                  <w14:ligatures w14:val="none"/>
                </w:rPr>
                <w:t>(Incluído pela Medida Provisória nº 1.145, de 2022)</w:t>
              </w:r>
            </w:hyperlink>
            <w:r w:rsidRPr="00C22FC1">
              <w:rPr>
                <w:rFonts w:ascii="Arial" w:eastAsia="Times New Roman" w:hAnsi="Arial" w:cs="Arial"/>
                <w:strike/>
                <w:kern w:val="0"/>
                <w:sz w:val="20"/>
                <w:szCs w:val="20"/>
                <w14:ligatures w14:val="none"/>
              </w:rPr>
              <w:t>   </w:t>
            </w:r>
            <w:hyperlink r:id="rId501" w:anchor="art2" w:history="1">
              <w:r w:rsidRPr="00C22FC1">
                <w:rPr>
                  <w:rFonts w:ascii="Arial" w:eastAsia="Times New Roman" w:hAnsi="Arial" w:cs="Arial"/>
                  <w:strike/>
                  <w:color w:val="0000FF"/>
                  <w:kern w:val="0"/>
                  <w:sz w:val="20"/>
                  <w:szCs w:val="20"/>
                  <w:u w:val="single"/>
                  <w14:ligatures w14:val="none"/>
                </w:rPr>
                <w:t>(Produção de efeitos)</w:t>
              </w:r>
            </w:hyperlink>
          </w:p>
        </w:tc>
        <w:tc>
          <w:tcPr>
            <w:tcW w:w="0" w:type="auto"/>
            <w:tcBorders>
              <w:top w:val="nil"/>
              <w:left w:val="nil"/>
              <w:bottom w:val="single" w:sz="8" w:space="0" w:color="auto"/>
              <w:right w:val="single" w:sz="8" w:space="0" w:color="auto"/>
            </w:tcBorders>
            <w:tcMar>
              <w:top w:w="28" w:type="dxa"/>
              <w:left w:w="28" w:type="dxa"/>
              <w:bottom w:w="28" w:type="dxa"/>
              <w:right w:w="28" w:type="dxa"/>
            </w:tcMar>
            <w:vAlign w:val="center"/>
            <w:hideMark/>
          </w:tcPr>
          <w:p w14:paraId="57FFDEC2"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C22FC1">
              <w:rPr>
                <w:rFonts w:ascii="Arial" w:eastAsia="Times New Roman" w:hAnsi="Arial" w:cs="Arial"/>
                <w:strike/>
                <w:kern w:val="0"/>
                <w:sz w:val="20"/>
                <w:szCs w:val="20"/>
                <w14:ligatures w14:val="none"/>
              </w:rPr>
              <w:t>B</w:t>
            </w:r>
          </w:p>
        </w:tc>
        <w:tc>
          <w:tcPr>
            <w:tcW w:w="0" w:type="auto"/>
            <w:tcBorders>
              <w:top w:val="nil"/>
              <w:left w:val="nil"/>
              <w:bottom w:val="single" w:sz="8" w:space="0" w:color="auto"/>
              <w:right w:val="single" w:sz="8" w:space="0" w:color="auto"/>
            </w:tcBorders>
            <w:tcMar>
              <w:top w:w="28" w:type="dxa"/>
              <w:left w:w="28" w:type="dxa"/>
              <w:bottom w:w="28" w:type="dxa"/>
              <w:right w:w="28" w:type="dxa"/>
            </w:tcMar>
            <w:vAlign w:val="center"/>
            <w:hideMark/>
          </w:tcPr>
          <w:p w14:paraId="0E11962E"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C22FC1">
              <w:rPr>
                <w:rFonts w:ascii="Arial" w:eastAsia="Times New Roman" w:hAnsi="Arial" w:cs="Arial"/>
                <w:strike/>
                <w:kern w:val="0"/>
                <w:sz w:val="20"/>
                <w:szCs w:val="20"/>
                <w14:ligatures w14:val="none"/>
              </w:rPr>
              <w:t>-</w:t>
            </w:r>
          </w:p>
        </w:tc>
      </w:tr>
      <w:tr w:rsidR="00C22FC1" w:rsidRPr="00C22FC1" w14:paraId="4960EB90" w14:textId="77777777" w:rsidTr="00C22FC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40F8C7"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bookmarkStart w:id="259" w:name="anexo2c240.1"/>
            <w:bookmarkEnd w:id="259"/>
            <w:r w:rsidRPr="00C22FC1">
              <w:rPr>
                <w:rFonts w:ascii="Arial" w:eastAsia="Times New Roman" w:hAnsi="Arial" w:cs="Arial"/>
                <w:color w:val="000000"/>
                <w:kern w:val="0"/>
                <w:sz w:val="20"/>
                <w:szCs w:val="20"/>
                <w14:ligatures w14:val="none"/>
              </w:rPr>
              <w:t>240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94B692" w14:textId="77777777" w:rsidR="00C22FC1" w:rsidRPr="00C22FC1" w:rsidRDefault="00C22FC1" w:rsidP="00C22FC1">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C22FC1">
              <w:rPr>
                <w:rFonts w:ascii="Arial" w:eastAsia="Times New Roman" w:hAnsi="Arial" w:cs="Arial"/>
                <w:color w:val="000000"/>
                <w:kern w:val="0"/>
                <w:sz w:val="20"/>
                <w:szCs w:val="20"/>
                <w14:ligatures w14:val="none"/>
              </w:rPr>
              <w:t>Cronotacógrafos - atividades materiais e acessórias executadas em montadoras de veículos    </w:t>
            </w:r>
            <w:hyperlink r:id="rId502" w:anchor="art2" w:history="1">
              <w:r w:rsidRPr="00C22FC1">
                <w:rPr>
                  <w:rFonts w:ascii="Arial" w:eastAsia="Times New Roman" w:hAnsi="Arial" w:cs="Arial"/>
                  <w:color w:val="0000FF"/>
                  <w:kern w:val="0"/>
                  <w:sz w:val="20"/>
                  <w:szCs w:val="20"/>
                  <w:u w:val="single"/>
                  <w14:ligatures w14:val="none"/>
                </w:rPr>
                <w:t>(Incluído pela Lei nº 14.565, de 2023)</w:t>
              </w:r>
            </w:hyperlink>
            <w:r w:rsidRPr="00C22FC1">
              <w:rPr>
                <w:rFonts w:ascii="Arial" w:eastAsia="Times New Roman" w:hAnsi="Arial" w:cs="Arial"/>
                <w:color w:val="000000"/>
                <w:kern w:val="0"/>
                <w:sz w:val="20"/>
                <w:szCs w:val="20"/>
                <w14:ligatures w14:val="none"/>
              </w:rPr>
              <w:t>   </w:t>
            </w:r>
            <w:hyperlink r:id="rId503" w:anchor="art3" w:history="1">
              <w:r w:rsidRPr="00C22FC1">
                <w:rPr>
                  <w:rFonts w:ascii="Arial" w:eastAsia="Times New Roman" w:hAnsi="Arial" w:cs="Arial"/>
                  <w:color w:val="0000FF"/>
                  <w:kern w:val="0"/>
                  <w:sz w:val="20"/>
                  <w:szCs w:val="20"/>
                  <w:u w:val="single"/>
                  <w14:ligatures w14:val="none"/>
                </w:rPr>
                <w:t>(Produção de efeitos)</w:t>
              </w:r>
            </w:hyperlink>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2CD56E"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C22FC1">
              <w:rPr>
                <w:rFonts w:ascii="Arial" w:eastAsia="Times New Roman" w:hAnsi="Arial" w:cs="Arial"/>
                <w:color w:val="000000"/>
                <w:kern w:val="0"/>
                <w:sz w:val="20"/>
                <w:szCs w:val="20"/>
                <w14:ligatures w14:val="none"/>
              </w:rPr>
              <w:t>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4C75B"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C22FC1">
              <w:rPr>
                <w:rFonts w:ascii="Arial" w:eastAsia="Times New Roman" w:hAnsi="Arial" w:cs="Arial"/>
                <w:color w:val="000000"/>
                <w:kern w:val="0"/>
                <w:sz w:val="20"/>
                <w:szCs w:val="20"/>
                <w14:ligatures w14:val="none"/>
              </w:rPr>
              <w:t>-</w:t>
            </w:r>
          </w:p>
        </w:tc>
      </w:tr>
      <w:tr w:rsidR="00C22FC1" w:rsidRPr="00C22FC1" w14:paraId="413A546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639D6A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243</w:t>
            </w:r>
          </w:p>
        </w:tc>
        <w:tc>
          <w:tcPr>
            <w:tcW w:w="0" w:type="auto"/>
            <w:tcBorders>
              <w:top w:val="nil"/>
              <w:left w:val="nil"/>
              <w:bottom w:val="single" w:sz="4" w:space="0" w:color="auto"/>
              <w:right w:val="single" w:sz="4" w:space="0" w:color="auto"/>
            </w:tcBorders>
            <w:vAlign w:val="bottom"/>
            <w:hideMark/>
          </w:tcPr>
          <w:p w14:paraId="13ED326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Etilômetros - até 10 unidades, cada unidade</w:t>
            </w:r>
          </w:p>
        </w:tc>
        <w:tc>
          <w:tcPr>
            <w:tcW w:w="0" w:type="auto"/>
            <w:tcBorders>
              <w:top w:val="nil"/>
              <w:left w:val="nil"/>
              <w:bottom w:val="single" w:sz="4" w:space="0" w:color="auto"/>
              <w:right w:val="single" w:sz="4" w:space="0" w:color="auto"/>
            </w:tcBorders>
            <w:vAlign w:val="center"/>
            <w:hideMark/>
          </w:tcPr>
          <w:p w14:paraId="0DB3F39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575,00</w:t>
            </w:r>
          </w:p>
        </w:tc>
        <w:tc>
          <w:tcPr>
            <w:tcW w:w="0" w:type="auto"/>
            <w:tcBorders>
              <w:top w:val="nil"/>
              <w:left w:val="nil"/>
              <w:bottom w:val="single" w:sz="4" w:space="0" w:color="auto"/>
              <w:right w:val="single" w:sz="4" w:space="0" w:color="auto"/>
            </w:tcBorders>
            <w:vAlign w:val="center"/>
            <w:hideMark/>
          </w:tcPr>
          <w:p w14:paraId="4B957F1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575,00</w:t>
            </w:r>
          </w:p>
        </w:tc>
      </w:tr>
      <w:tr w:rsidR="00C22FC1" w:rsidRPr="00C22FC1" w14:paraId="511E191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5C4B73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244</w:t>
            </w:r>
          </w:p>
        </w:tc>
        <w:tc>
          <w:tcPr>
            <w:tcW w:w="0" w:type="auto"/>
            <w:tcBorders>
              <w:top w:val="nil"/>
              <w:left w:val="nil"/>
              <w:bottom w:val="single" w:sz="4" w:space="0" w:color="auto"/>
              <w:right w:val="single" w:sz="4" w:space="0" w:color="auto"/>
            </w:tcBorders>
            <w:vAlign w:val="bottom"/>
            <w:hideMark/>
          </w:tcPr>
          <w:p w14:paraId="16B614A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Etilômetros - a partir da 11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6243D3D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424,70</w:t>
            </w:r>
          </w:p>
        </w:tc>
        <w:tc>
          <w:tcPr>
            <w:tcW w:w="0" w:type="auto"/>
            <w:tcBorders>
              <w:top w:val="nil"/>
              <w:left w:val="nil"/>
              <w:bottom w:val="single" w:sz="4" w:space="0" w:color="auto"/>
              <w:right w:val="single" w:sz="4" w:space="0" w:color="auto"/>
            </w:tcBorders>
            <w:vAlign w:val="center"/>
            <w:hideMark/>
          </w:tcPr>
          <w:p w14:paraId="5F22B24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424,70</w:t>
            </w:r>
          </w:p>
        </w:tc>
      </w:tr>
      <w:tr w:rsidR="00C22FC1" w:rsidRPr="00C22FC1" w14:paraId="5004A9D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AB59C9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245</w:t>
            </w:r>
          </w:p>
        </w:tc>
        <w:tc>
          <w:tcPr>
            <w:tcW w:w="0" w:type="auto"/>
            <w:tcBorders>
              <w:top w:val="nil"/>
              <w:left w:val="nil"/>
              <w:bottom w:val="single" w:sz="4" w:space="0" w:color="auto"/>
              <w:right w:val="single" w:sz="4" w:space="0" w:color="auto"/>
            </w:tcBorders>
            <w:vAlign w:val="bottom"/>
            <w:hideMark/>
          </w:tcPr>
          <w:p w14:paraId="7446064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Etilômetros - a partir da 51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3D6BCA6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281,00</w:t>
            </w:r>
          </w:p>
        </w:tc>
        <w:tc>
          <w:tcPr>
            <w:tcW w:w="0" w:type="auto"/>
            <w:tcBorders>
              <w:top w:val="nil"/>
              <w:left w:val="nil"/>
              <w:bottom w:val="single" w:sz="4" w:space="0" w:color="auto"/>
              <w:right w:val="single" w:sz="4" w:space="0" w:color="auto"/>
            </w:tcBorders>
            <w:vAlign w:val="center"/>
            <w:hideMark/>
          </w:tcPr>
          <w:p w14:paraId="6B41A28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281,00</w:t>
            </w:r>
          </w:p>
        </w:tc>
      </w:tr>
      <w:tr w:rsidR="00C22FC1" w:rsidRPr="00C22FC1" w14:paraId="66520E2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DF5BD0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247</w:t>
            </w:r>
          </w:p>
        </w:tc>
        <w:tc>
          <w:tcPr>
            <w:tcW w:w="0" w:type="auto"/>
            <w:tcBorders>
              <w:top w:val="nil"/>
              <w:left w:val="nil"/>
              <w:bottom w:val="single" w:sz="4" w:space="0" w:color="auto"/>
              <w:right w:val="single" w:sz="4" w:space="0" w:color="auto"/>
            </w:tcBorders>
            <w:vAlign w:val="bottom"/>
            <w:hideMark/>
          </w:tcPr>
          <w:p w14:paraId="3761C0C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Medidor de transmitância luminosa</w:t>
            </w:r>
          </w:p>
        </w:tc>
        <w:tc>
          <w:tcPr>
            <w:tcW w:w="0" w:type="auto"/>
            <w:tcBorders>
              <w:top w:val="nil"/>
              <w:left w:val="nil"/>
              <w:bottom w:val="single" w:sz="4" w:space="0" w:color="auto"/>
              <w:right w:val="single" w:sz="4" w:space="0" w:color="auto"/>
            </w:tcBorders>
            <w:vAlign w:val="center"/>
            <w:hideMark/>
          </w:tcPr>
          <w:p w14:paraId="3C2CBF0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206,00</w:t>
            </w:r>
          </w:p>
        </w:tc>
        <w:tc>
          <w:tcPr>
            <w:tcW w:w="0" w:type="auto"/>
            <w:tcBorders>
              <w:top w:val="nil"/>
              <w:left w:val="nil"/>
              <w:bottom w:val="single" w:sz="4" w:space="0" w:color="auto"/>
              <w:right w:val="single" w:sz="4" w:space="0" w:color="auto"/>
            </w:tcBorders>
            <w:vAlign w:val="center"/>
            <w:hideMark/>
          </w:tcPr>
          <w:p w14:paraId="1BAA10C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206,00</w:t>
            </w:r>
          </w:p>
        </w:tc>
      </w:tr>
      <w:tr w:rsidR="00C22FC1" w:rsidRPr="00C22FC1" w14:paraId="7DD3E612"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74F533D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medição de temperatura - Termômetros</w:t>
            </w:r>
          </w:p>
        </w:tc>
      </w:tr>
      <w:tr w:rsidR="00C22FC1" w:rsidRPr="00C22FC1" w14:paraId="6FDF779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52E4EA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1C8D32B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Faixa de temperatura de 0</w:t>
            </w:r>
            <w:r w:rsidRPr="00C22FC1">
              <w:rPr>
                <w:rFonts w:ascii="Times New Roman" w:eastAsia="Times New Roman" w:hAnsi="Times New Roman" w:cs="Times New Roman"/>
                <w:color w:val="000000"/>
                <w:kern w:val="0"/>
                <w:sz w:val="20"/>
                <w:szCs w:val="20"/>
                <w:vertAlign w:val="superscript"/>
                <w14:ligatures w14:val="none"/>
              </w:rPr>
              <w:t>o</w:t>
            </w:r>
            <w:r w:rsidRPr="00C22FC1">
              <w:rPr>
                <w:rFonts w:ascii="Times New Roman" w:eastAsia="Times New Roman" w:hAnsi="Times New Roman" w:cs="Times New Roman"/>
                <w:color w:val="000000"/>
                <w:kern w:val="0"/>
                <w:sz w:val="20"/>
                <w:szCs w:val="20"/>
                <w14:ligatures w14:val="none"/>
              </w:rPr>
              <w:t>C até 100</w:t>
            </w:r>
            <w:r w:rsidRPr="00C22FC1">
              <w:rPr>
                <w:rFonts w:ascii="Times New Roman" w:eastAsia="Times New Roman" w:hAnsi="Times New Roman" w:cs="Times New Roman"/>
                <w:color w:val="000000"/>
                <w:kern w:val="0"/>
                <w:sz w:val="20"/>
                <w:szCs w:val="20"/>
                <w:vertAlign w:val="superscript"/>
                <w14:ligatures w14:val="none"/>
              </w:rPr>
              <w:t>o</w:t>
            </w:r>
            <w:r w:rsidRPr="00C22FC1">
              <w:rPr>
                <w:rFonts w:ascii="Times New Roman" w:eastAsia="Times New Roman" w:hAnsi="Times New Roman" w:cs="Times New Roman"/>
                <w:color w:val="000000"/>
                <w:kern w:val="0"/>
                <w:sz w:val="20"/>
                <w:szCs w:val="20"/>
                <w14:ligatures w14:val="none"/>
              </w:rPr>
              <w:t>C</w:t>
            </w:r>
          </w:p>
        </w:tc>
      </w:tr>
      <w:tr w:rsidR="00C22FC1" w:rsidRPr="00C22FC1" w14:paraId="0FC13CF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AFB9EE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251</w:t>
            </w:r>
          </w:p>
        </w:tc>
        <w:tc>
          <w:tcPr>
            <w:tcW w:w="0" w:type="auto"/>
            <w:tcBorders>
              <w:top w:val="nil"/>
              <w:left w:val="nil"/>
              <w:bottom w:val="single" w:sz="4" w:space="0" w:color="auto"/>
              <w:right w:val="single" w:sz="4" w:space="0" w:color="auto"/>
            </w:tcBorders>
            <w:vAlign w:val="bottom"/>
            <w:hideMark/>
          </w:tcPr>
          <w:p w14:paraId="520C66B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05 unidades, cada unidade</w:t>
            </w:r>
          </w:p>
        </w:tc>
        <w:tc>
          <w:tcPr>
            <w:tcW w:w="0" w:type="auto"/>
            <w:tcBorders>
              <w:top w:val="nil"/>
              <w:left w:val="nil"/>
              <w:bottom w:val="single" w:sz="4" w:space="0" w:color="auto"/>
              <w:right w:val="single" w:sz="4" w:space="0" w:color="auto"/>
            </w:tcBorders>
            <w:vAlign w:val="center"/>
            <w:hideMark/>
          </w:tcPr>
          <w:p w14:paraId="40CDC0D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23,00</w:t>
            </w:r>
          </w:p>
        </w:tc>
        <w:tc>
          <w:tcPr>
            <w:tcW w:w="0" w:type="auto"/>
            <w:tcBorders>
              <w:top w:val="nil"/>
              <w:left w:val="nil"/>
              <w:bottom w:val="single" w:sz="4" w:space="0" w:color="auto"/>
              <w:right w:val="single" w:sz="4" w:space="0" w:color="auto"/>
            </w:tcBorders>
            <w:vAlign w:val="center"/>
            <w:hideMark/>
          </w:tcPr>
          <w:p w14:paraId="306AE43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23,00</w:t>
            </w:r>
          </w:p>
        </w:tc>
      </w:tr>
      <w:tr w:rsidR="00C22FC1" w:rsidRPr="00C22FC1" w14:paraId="66E99B1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34B96D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252</w:t>
            </w:r>
          </w:p>
        </w:tc>
        <w:tc>
          <w:tcPr>
            <w:tcW w:w="0" w:type="auto"/>
            <w:tcBorders>
              <w:top w:val="nil"/>
              <w:left w:val="nil"/>
              <w:bottom w:val="single" w:sz="4" w:space="0" w:color="auto"/>
              <w:right w:val="single" w:sz="4" w:space="0" w:color="auto"/>
            </w:tcBorders>
            <w:vAlign w:val="bottom"/>
            <w:hideMark/>
          </w:tcPr>
          <w:p w14:paraId="05E551F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6</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4985AD7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13,00</w:t>
            </w:r>
          </w:p>
        </w:tc>
        <w:tc>
          <w:tcPr>
            <w:tcW w:w="0" w:type="auto"/>
            <w:tcBorders>
              <w:top w:val="nil"/>
              <w:left w:val="nil"/>
              <w:bottom w:val="single" w:sz="4" w:space="0" w:color="auto"/>
              <w:right w:val="single" w:sz="4" w:space="0" w:color="auto"/>
            </w:tcBorders>
            <w:vAlign w:val="center"/>
            <w:hideMark/>
          </w:tcPr>
          <w:p w14:paraId="285BDAE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13,00</w:t>
            </w:r>
          </w:p>
        </w:tc>
      </w:tr>
      <w:tr w:rsidR="00C22FC1" w:rsidRPr="00C22FC1" w14:paraId="71E95BF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AEEE27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253</w:t>
            </w:r>
          </w:p>
        </w:tc>
        <w:tc>
          <w:tcPr>
            <w:tcW w:w="0" w:type="auto"/>
            <w:tcBorders>
              <w:top w:val="nil"/>
              <w:left w:val="nil"/>
              <w:bottom w:val="single" w:sz="4" w:space="0" w:color="auto"/>
              <w:right w:val="single" w:sz="4" w:space="0" w:color="auto"/>
            </w:tcBorders>
            <w:vAlign w:val="bottom"/>
            <w:hideMark/>
          </w:tcPr>
          <w:p w14:paraId="2973FDA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20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61D5B4A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10,00</w:t>
            </w:r>
          </w:p>
        </w:tc>
        <w:tc>
          <w:tcPr>
            <w:tcW w:w="0" w:type="auto"/>
            <w:tcBorders>
              <w:top w:val="nil"/>
              <w:left w:val="nil"/>
              <w:bottom w:val="single" w:sz="4" w:space="0" w:color="auto"/>
              <w:right w:val="single" w:sz="4" w:space="0" w:color="auto"/>
            </w:tcBorders>
            <w:vAlign w:val="center"/>
            <w:hideMark/>
          </w:tcPr>
          <w:p w14:paraId="5E800FC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10,00</w:t>
            </w:r>
          </w:p>
        </w:tc>
      </w:tr>
      <w:tr w:rsidR="00C22FC1" w:rsidRPr="00C22FC1" w14:paraId="57C93C6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0791DE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254</w:t>
            </w:r>
          </w:p>
        </w:tc>
        <w:tc>
          <w:tcPr>
            <w:tcW w:w="0" w:type="auto"/>
            <w:tcBorders>
              <w:top w:val="nil"/>
              <w:left w:val="nil"/>
              <w:bottom w:val="single" w:sz="4" w:space="0" w:color="auto"/>
              <w:right w:val="single" w:sz="4" w:space="0" w:color="auto"/>
            </w:tcBorders>
            <w:vAlign w:val="bottom"/>
            <w:hideMark/>
          </w:tcPr>
          <w:p w14:paraId="617D937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50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298F26E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7,00</w:t>
            </w:r>
          </w:p>
        </w:tc>
        <w:tc>
          <w:tcPr>
            <w:tcW w:w="0" w:type="auto"/>
            <w:tcBorders>
              <w:top w:val="nil"/>
              <w:left w:val="nil"/>
              <w:bottom w:val="single" w:sz="4" w:space="0" w:color="auto"/>
              <w:right w:val="single" w:sz="4" w:space="0" w:color="auto"/>
            </w:tcBorders>
            <w:vAlign w:val="center"/>
            <w:hideMark/>
          </w:tcPr>
          <w:p w14:paraId="73D5451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7,00</w:t>
            </w:r>
          </w:p>
        </w:tc>
      </w:tr>
      <w:tr w:rsidR="00C22FC1" w:rsidRPr="00C22FC1" w14:paraId="7BB23D6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E1F37B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6EA99B2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Faixa de temperatura de -60</w:t>
            </w:r>
            <w:r w:rsidRPr="00C22FC1">
              <w:rPr>
                <w:rFonts w:ascii="Times New Roman" w:eastAsia="Times New Roman" w:hAnsi="Times New Roman" w:cs="Times New Roman"/>
                <w:color w:val="000000"/>
                <w:kern w:val="0"/>
                <w:sz w:val="20"/>
                <w:szCs w:val="20"/>
                <w:vertAlign w:val="superscript"/>
                <w14:ligatures w14:val="none"/>
              </w:rPr>
              <w:t>o</w:t>
            </w:r>
            <w:r w:rsidRPr="00C22FC1">
              <w:rPr>
                <w:rFonts w:ascii="Times New Roman" w:eastAsia="Times New Roman" w:hAnsi="Times New Roman" w:cs="Times New Roman"/>
                <w:color w:val="000000"/>
                <w:kern w:val="0"/>
                <w:sz w:val="20"/>
                <w:szCs w:val="20"/>
                <w14:ligatures w14:val="none"/>
              </w:rPr>
              <w:t>C até 0</w:t>
            </w:r>
            <w:r w:rsidRPr="00C22FC1">
              <w:rPr>
                <w:rFonts w:ascii="Times New Roman" w:eastAsia="Times New Roman" w:hAnsi="Times New Roman" w:cs="Times New Roman"/>
                <w:color w:val="000000"/>
                <w:kern w:val="0"/>
                <w:sz w:val="20"/>
                <w:szCs w:val="20"/>
                <w:vertAlign w:val="superscript"/>
                <w14:ligatures w14:val="none"/>
              </w:rPr>
              <w:t>o</w:t>
            </w:r>
            <w:r w:rsidRPr="00C22FC1">
              <w:rPr>
                <w:rFonts w:ascii="Times New Roman" w:eastAsia="Times New Roman" w:hAnsi="Times New Roman" w:cs="Times New Roman"/>
                <w:color w:val="000000"/>
                <w:kern w:val="0"/>
                <w:sz w:val="20"/>
                <w:szCs w:val="20"/>
                <w14:ligatures w14:val="none"/>
              </w:rPr>
              <w:t>C e maior que 100</w:t>
            </w:r>
            <w:r w:rsidRPr="00C22FC1">
              <w:rPr>
                <w:rFonts w:ascii="Times New Roman" w:eastAsia="Times New Roman" w:hAnsi="Times New Roman" w:cs="Times New Roman"/>
                <w:color w:val="000000"/>
                <w:kern w:val="0"/>
                <w:sz w:val="20"/>
                <w:szCs w:val="20"/>
                <w:vertAlign w:val="superscript"/>
                <w14:ligatures w14:val="none"/>
              </w:rPr>
              <w:t>o</w:t>
            </w:r>
            <w:r w:rsidRPr="00C22FC1">
              <w:rPr>
                <w:rFonts w:ascii="Times New Roman" w:eastAsia="Times New Roman" w:hAnsi="Times New Roman" w:cs="Times New Roman"/>
                <w:color w:val="000000"/>
                <w:kern w:val="0"/>
                <w:sz w:val="20"/>
                <w:szCs w:val="20"/>
                <w14:ligatures w14:val="none"/>
              </w:rPr>
              <w:t>C até 200</w:t>
            </w:r>
            <w:r w:rsidRPr="00C22FC1">
              <w:rPr>
                <w:rFonts w:ascii="Times New Roman" w:eastAsia="Times New Roman" w:hAnsi="Times New Roman" w:cs="Times New Roman"/>
                <w:color w:val="000000"/>
                <w:kern w:val="0"/>
                <w:sz w:val="20"/>
                <w:szCs w:val="20"/>
                <w:vertAlign w:val="superscript"/>
                <w14:ligatures w14:val="none"/>
              </w:rPr>
              <w:t>o</w:t>
            </w:r>
            <w:r w:rsidRPr="00C22FC1">
              <w:rPr>
                <w:rFonts w:ascii="Times New Roman" w:eastAsia="Times New Roman" w:hAnsi="Times New Roman" w:cs="Times New Roman"/>
                <w:color w:val="000000"/>
                <w:kern w:val="0"/>
                <w:sz w:val="20"/>
                <w:szCs w:val="20"/>
                <w14:ligatures w14:val="none"/>
              </w:rPr>
              <w:t>C</w:t>
            </w:r>
          </w:p>
        </w:tc>
      </w:tr>
      <w:tr w:rsidR="00C22FC1" w:rsidRPr="00C22FC1" w14:paraId="356A93E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FEA533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255</w:t>
            </w:r>
          </w:p>
        </w:tc>
        <w:tc>
          <w:tcPr>
            <w:tcW w:w="0" w:type="auto"/>
            <w:tcBorders>
              <w:top w:val="nil"/>
              <w:left w:val="nil"/>
              <w:bottom w:val="single" w:sz="4" w:space="0" w:color="auto"/>
              <w:right w:val="single" w:sz="4" w:space="0" w:color="auto"/>
            </w:tcBorders>
            <w:vAlign w:val="bottom"/>
            <w:hideMark/>
          </w:tcPr>
          <w:p w14:paraId="5B88154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05 unidades, cada unidade</w:t>
            </w:r>
          </w:p>
        </w:tc>
        <w:tc>
          <w:tcPr>
            <w:tcW w:w="0" w:type="auto"/>
            <w:tcBorders>
              <w:top w:val="nil"/>
              <w:left w:val="nil"/>
              <w:bottom w:val="single" w:sz="4" w:space="0" w:color="auto"/>
              <w:right w:val="single" w:sz="4" w:space="0" w:color="auto"/>
            </w:tcBorders>
            <w:vAlign w:val="center"/>
            <w:hideMark/>
          </w:tcPr>
          <w:p w14:paraId="0EA49DE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41,00</w:t>
            </w:r>
          </w:p>
        </w:tc>
        <w:tc>
          <w:tcPr>
            <w:tcW w:w="0" w:type="auto"/>
            <w:tcBorders>
              <w:top w:val="nil"/>
              <w:left w:val="nil"/>
              <w:bottom w:val="single" w:sz="4" w:space="0" w:color="auto"/>
              <w:right w:val="single" w:sz="4" w:space="0" w:color="auto"/>
            </w:tcBorders>
            <w:vAlign w:val="center"/>
            <w:hideMark/>
          </w:tcPr>
          <w:p w14:paraId="5C4A9CB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41,00</w:t>
            </w:r>
          </w:p>
        </w:tc>
      </w:tr>
      <w:tr w:rsidR="00C22FC1" w:rsidRPr="00C22FC1" w14:paraId="09BD34C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4B9286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256</w:t>
            </w:r>
          </w:p>
        </w:tc>
        <w:tc>
          <w:tcPr>
            <w:tcW w:w="0" w:type="auto"/>
            <w:tcBorders>
              <w:top w:val="nil"/>
              <w:left w:val="nil"/>
              <w:bottom w:val="single" w:sz="4" w:space="0" w:color="auto"/>
              <w:right w:val="single" w:sz="4" w:space="0" w:color="auto"/>
            </w:tcBorders>
            <w:vAlign w:val="bottom"/>
            <w:hideMark/>
          </w:tcPr>
          <w:p w14:paraId="5E502B0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6</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448F47B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20,00</w:t>
            </w:r>
          </w:p>
        </w:tc>
        <w:tc>
          <w:tcPr>
            <w:tcW w:w="0" w:type="auto"/>
            <w:tcBorders>
              <w:top w:val="nil"/>
              <w:left w:val="nil"/>
              <w:bottom w:val="single" w:sz="4" w:space="0" w:color="auto"/>
              <w:right w:val="single" w:sz="4" w:space="0" w:color="auto"/>
            </w:tcBorders>
            <w:vAlign w:val="center"/>
            <w:hideMark/>
          </w:tcPr>
          <w:p w14:paraId="47BF1CB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20,00</w:t>
            </w:r>
          </w:p>
        </w:tc>
      </w:tr>
      <w:tr w:rsidR="00C22FC1" w:rsidRPr="00C22FC1" w14:paraId="577A70B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A9F8FA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257</w:t>
            </w:r>
          </w:p>
        </w:tc>
        <w:tc>
          <w:tcPr>
            <w:tcW w:w="0" w:type="auto"/>
            <w:tcBorders>
              <w:top w:val="nil"/>
              <w:left w:val="nil"/>
              <w:bottom w:val="single" w:sz="4" w:space="0" w:color="auto"/>
              <w:right w:val="single" w:sz="4" w:space="0" w:color="auto"/>
            </w:tcBorders>
            <w:vAlign w:val="bottom"/>
            <w:hideMark/>
          </w:tcPr>
          <w:p w14:paraId="1656410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20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060950B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13,00</w:t>
            </w:r>
          </w:p>
        </w:tc>
        <w:tc>
          <w:tcPr>
            <w:tcW w:w="0" w:type="auto"/>
            <w:tcBorders>
              <w:top w:val="nil"/>
              <w:left w:val="nil"/>
              <w:bottom w:val="single" w:sz="4" w:space="0" w:color="auto"/>
              <w:right w:val="single" w:sz="4" w:space="0" w:color="auto"/>
            </w:tcBorders>
            <w:vAlign w:val="center"/>
            <w:hideMark/>
          </w:tcPr>
          <w:p w14:paraId="2E6AEFB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13,00</w:t>
            </w:r>
          </w:p>
        </w:tc>
      </w:tr>
      <w:tr w:rsidR="00C22FC1" w:rsidRPr="00C22FC1" w14:paraId="75DE928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F43937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lastRenderedPageBreak/>
              <w:t>258</w:t>
            </w:r>
          </w:p>
        </w:tc>
        <w:tc>
          <w:tcPr>
            <w:tcW w:w="0" w:type="auto"/>
            <w:tcBorders>
              <w:top w:val="nil"/>
              <w:left w:val="nil"/>
              <w:bottom w:val="single" w:sz="4" w:space="0" w:color="auto"/>
              <w:right w:val="single" w:sz="4" w:space="0" w:color="auto"/>
            </w:tcBorders>
            <w:vAlign w:val="bottom"/>
            <w:hideMark/>
          </w:tcPr>
          <w:p w14:paraId="2E7C4A4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50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7139E1F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9,00</w:t>
            </w:r>
          </w:p>
        </w:tc>
        <w:tc>
          <w:tcPr>
            <w:tcW w:w="0" w:type="auto"/>
            <w:tcBorders>
              <w:top w:val="nil"/>
              <w:left w:val="nil"/>
              <w:bottom w:val="single" w:sz="4" w:space="0" w:color="auto"/>
              <w:right w:val="single" w:sz="4" w:space="0" w:color="auto"/>
            </w:tcBorders>
            <w:vAlign w:val="center"/>
            <w:hideMark/>
          </w:tcPr>
          <w:p w14:paraId="549F146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9,00</w:t>
            </w:r>
          </w:p>
        </w:tc>
      </w:tr>
      <w:tr w:rsidR="00C22FC1" w:rsidRPr="00C22FC1" w14:paraId="6E257C2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6A7259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055A240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Faixa de temperatura de 200</w:t>
            </w:r>
            <w:r w:rsidRPr="00C22FC1">
              <w:rPr>
                <w:rFonts w:ascii="Times New Roman" w:eastAsia="Times New Roman" w:hAnsi="Times New Roman" w:cs="Times New Roman"/>
                <w:color w:val="000000"/>
                <w:kern w:val="0"/>
                <w:sz w:val="20"/>
                <w:szCs w:val="20"/>
                <w:vertAlign w:val="superscript"/>
                <w14:ligatures w14:val="none"/>
              </w:rPr>
              <w:t>o</w:t>
            </w:r>
            <w:r w:rsidRPr="00C22FC1">
              <w:rPr>
                <w:rFonts w:ascii="Times New Roman" w:eastAsia="Times New Roman" w:hAnsi="Times New Roman" w:cs="Times New Roman"/>
                <w:color w:val="000000"/>
                <w:kern w:val="0"/>
                <w:sz w:val="20"/>
                <w:szCs w:val="20"/>
                <w14:ligatures w14:val="none"/>
              </w:rPr>
              <w:t>C até 400</w:t>
            </w:r>
            <w:r w:rsidRPr="00C22FC1">
              <w:rPr>
                <w:rFonts w:ascii="Times New Roman" w:eastAsia="Times New Roman" w:hAnsi="Times New Roman" w:cs="Times New Roman"/>
                <w:color w:val="000000"/>
                <w:kern w:val="0"/>
                <w:sz w:val="20"/>
                <w:szCs w:val="20"/>
                <w:vertAlign w:val="superscript"/>
                <w14:ligatures w14:val="none"/>
              </w:rPr>
              <w:t>o</w:t>
            </w:r>
            <w:r w:rsidRPr="00C22FC1">
              <w:rPr>
                <w:rFonts w:ascii="Times New Roman" w:eastAsia="Times New Roman" w:hAnsi="Times New Roman" w:cs="Times New Roman"/>
                <w:color w:val="000000"/>
                <w:kern w:val="0"/>
                <w:sz w:val="20"/>
                <w:szCs w:val="20"/>
                <w14:ligatures w14:val="none"/>
              </w:rPr>
              <w:t>C</w:t>
            </w:r>
          </w:p>
        </w:tc>
      </w:tr>
      <w:tr w:rsidR="00C22FC1" w:rsidRPr="00C22FC1" w14:paraId="688EC3D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F18F34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259</w:t>
            </w:r>
          </w:p>
        </w:tc>
        <w:tc>
          <w:tcPr>
            <w:tcW w:w="0" w:type="auto"/>
            <w:tcBorders>
              <w:top w:val="nil"/>
              <w:left w:val="nil"/>
              <w:bottom w:val="single" w:sz="4" w:space="0" w:color="auto"/>
              <w:right w:val="single" w:sz="4" w:space="0" w:color="auto"/>
            </w:tcBorders>
            <w:vAlign w:val="bottom"/>
            <w:hideMark/>
          </w:tcPr>
          <w:p w14:paraId="6B39E898"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05 unidades, cada unidade</w:t>
            </w:r>
          </w:p>
        </w:tc>
        <w:tc>
          <w:tcPr>
            <w:tcW w:w="0" w:type="auto"/>
            <w:tcBorders>
              <w:top w:val="nil"/>
              <w:left w:val="nil"/>
              <w:bottom w:val="single" w:sz="4" w:space="0" w:color="auto"/>
              <w:right w:val="single" w:sz="4" w:space="0" w:color="auto"/>
            </w:tcBorders>
            <w:vAlign w:val="center"/>
            <w:hideMark/>
          </w:tcPr>
          <w:p w14:paraId="279D0E7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58,00</w:t>
            </w:r>
          </w:p>
        </w:tc>
        <w:tc>
          <w:tcPr>
            <w:tcW w:w="0" w:type="auto"/>
            <w:tcBorders>
              <w:top w:val="nil"/>
              <w:left w:val="nil"/>
              <w:bottom w:val="single" w:sz="4" w:space="0" w:color="auto"/>
              <w:right w:val="single" w:sz="4" w:space="0" w:color="auto"/>
            </w:tcBorders>
            <w:vAlign w:val="center"/>
            <w:hideMark/>
          </w:tcPr>
          <w:p w14:paraId="4F4015B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58,00</w:t>
            </w:r>
          </w:p>
        </w:tc>
      </w:tr>
      <w:tr w:rsidR="00C22FC1" w:rsidRPr="00C22FC1" w14:paraId="39F27D9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7FBA9D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261</w:t>
            </w:r>
          </w:p>
        </w:tc>
        <w:tc>
          <w:tcPr>
            <w:tcW w:w="0" w:type="auto"/>
            <w:tcBorders>
              <w:top w:val="nil"/>
              <w:left w:val="nil"/>
              <w:bottom w:val="single" w:sz="4" w:space="0" w:color="auto"/>
              <w:right w:val="single" w:sz="4" w:space="0" w:color="auto"/>
            </w:tcBorders>
            <w:vAlign w:val="bottom"/>
            <w:hideMark/>
          </w:tcPr>
          <w:p w14:paraId="1CB00A7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6</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288ED4F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w:t>
            </w:r>
          </w:p>
        </w:tc>
        <w:tc>
          <w:tcPr>
            <w:tcW w:w="0" w:type="auto"/>
            <w:tcBorders>
              <w:top w:val="nil"/>
              <w:left w:val="nil"/>
              <w:bottom w:val="single" w:sz="4" w:space="0" w:color="auto"/>
              <w:right w:val="single" w:sz="4" w:space="0" w:color="auto"/>
            </w:tcBorders>
            <w:vAlign w:val="center"/>
            <w:hideMark/>
          </w:tcPr>
          <w:p w14:paraId="0A8C0D9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w:t>
            </w:r>
          </w:p>
        </w:tc>
      </w:tr>
      <w:tr w:rsidR="00C22FC1" w:rsidRPr="00C22FC1" w14:paraId="0F6BFA4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6C845D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262</w:t>
            </w:r>
          </w:p>
        </w:tc>
        <w:tc>
          <w:tcPr>
            <w:tcW w:w="0" w:type="auto"/>
            <w:tcBorders>
              <w:top w:val="nil"/>
              <w:left w:val="nil"/>
              <w:bottom w:val="single" w:sz="4" w:space="0" w:color="auto"/>
              <w:right w:val="single" w:sz="4" w:space="0" w:color="auto"/>
            </w:tcBorders>
            <w:vAlign w:val="bottom"/>
            <w:hideMark/>
          </w:tcPr>
          <w:p w14:paraId="6C2B65D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20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57EE360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21,00</w:t>
            </w:r>
          </w:p>
        </w:tc>
        <w:tc>
          <w:tcPr>
            <w:tcW w:w="0" w:type="auto"/>
            <w:tcBorders>
              <w:top w:val="nil"/>
              <w:left w:val="nil"/>
              <w:bottom w:val="single" w:sz="4" w:space="0" w:color="auto"/>
              <w:right w:val="single" w:sz="4" w:space="0" w:color="auto"/>
            </w:tcBorders>
            <w:vAlign w:val="center"/>
            <w:hideMark/>
          </w:tcPr>
          <w:p w14:paraId="689AA2F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21,00</w:t>
            </w:r>
          </w:p>
        </w:tc>
      </w:tr>
      <w:tr w:rsidR="00C22FC1" w:rsidRPr="00C22FC1" w14:paraId="69AAC53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C6DA0B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263</w:t>
            </w:r>
          </w:p>
        </w:tc>
        <w:tc>
          <w:tcPr>
            <w:tcW w:w="0" w:type="auto"/>
            <w:tcBorders>
              <w:top w:val="nil"/>
              <w:left w:val="nil"/>
              <w:bottom w:val="single" w:sz="4" w:space="0" w:color="auto"/>
              <w:right w:val="single" w:sz="4" w:space="0" w:color="auto"/>
            </w:tcBorders>
            <w:vAlign w:val="bottom"/>
            <w:hideMark/>
          </w:tcPr>
          <w:p w14:paraId="54BAFF98"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50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24EC3AC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13,00</w:t>
            </w:r>
          </w:p>
        </w:tc>
        <w:tc>
          <w:tcPr>
            <w:tcW w:w="0" w:type="auto"/>
            <w:tcBorders>
              <w:top w:val="nil"/>
              <w:left w:val="nil"/>
              <w:bottom w:val="single" w:sz="4" w:space="0" w:color="auto"/>
              <w:right w:val="single" w:sz="4" w:space="0" w:color="auto"/>
            </w:tcBorders>
            <w:vAlign w:val="center"/>
            <w:hideMark/>
          </w:tcPr>
          <w:p w14:paraId="1597552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13,00</w:t>
            </w:r>
          </w:p>
        </w:tc>
      </w:tr>
      <w:tr w:rsidR="00C22FC1" w:rsidRPr="00C22FC1" w14:paraId="0DBB927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75C6EC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1011963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Termômetros em densímetros</w:t>
            </w:r>
          </w:p>
        </w:tc>
      </w:tr>
      <w:tr w:rsidR="00C22FC1" w:rsidRPr="00C22FC1" w14:paraId="6B2E553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FEFCA8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264</w:t>
            </w:r>
          </w:p>
        </w:tc>
        <w:tc>
          <w:tcPr>
            <w:tcW w:w="0" w:type="auto"/>
            <w:tcBorders>
              <w:top w:val="nil"/>
              <w:left w:val="nil"/>
              <w:bottom w:val="single" w:sz="4" w:space="0" w:color="auto"/>
              <w:right w:val="single" w:sz="4" w:space="0" w:color="auto"/>
            </w:tcBorders>
            <w:vAlign w:val="bottom"/>
            <w:hideMark/>
          </w:tcPr>
          <w:p w14:paraId="5D3AA12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05 unidades, cada unidade</w:t>
            </w:r>
          </w:p>
        </w:tc>
        <w:tc>
          <w:tcPr>
            <w:tcW w:w="0" w:type="auto"/>
            <w:tcBorders>
              <w:top w:val="nil"/>
              <w:left w:val="nil"/>
              <w:bottom w:val="single" w:sz="4" w:space="0" w:color="auto"/>
              <w:right w:val="single" w:sz="4" w:space="0" w:color="auto"/>
            </w:tcBorders>
            <w:vAlign w:val="center"/>
            <w:hideMark/>
          </w:tcPr>
          <w:p w14:paraId="2D45EAE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17,00</w:t>
            </w:r>
          </w:p>
        </w:tc>
        <w:tc>
          <w:tcPr>
            <w:tcW w:w="0" w:type="auto"/>
            <w:tcBorders>
              <w:top w:val="nil"/>
              <w:left w:val="nil"/>
              <w:bottom w:val="single" w:sz="4" w:space="0" w:color="auto"/>
              <w:right w:val="single" w:sz="4" w:space="0" w:color="auto"/>
            </w:tcBorders>
            <w:vAlign w:val="center"/>
            <w:hideMark/>
          </w:tcPr>
          <w:p w14:paraId="6E526D0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17,00</w:t>
            </w:r>
          </w:p>
        </w:tc>
      </w:tr>
      <w:tr w:rsidR="00C22FC1" w:rsidRPr="00C22FC1" w14:paraId="12E7330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B88734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265</w:t>
            </w:r>
          </w:p>
        </w:tc>
        <w:tc>
          <w:tcPr>
            <w:tcW w:w="0" w:type="auto"/>
            <w:tcBorders>
              <w:top w:val="nil"/>
              <w:left w:val="nil"/>
              <w:bottom w:val="single" w:sz="4" w:space="0" w:color="auto"/>
              <w:right w:val="single" w:sz="4" w:space="0" w:color="auto"/>
            </w:tcBorders>
            <w:vAlign w:val="bottom"/>
            <w:hideMark/>
          </w:tcPr>
          <w:p w14:paraId="6CBA4EB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6</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426AB50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8,50</w:t>
            </w:r>
          </w:p>
        </w:tc>
        <w:tc>
          <w:tcPr>
            <w:tcW w:w="0" w:type="auto"/>
            <w:tcBorders>
              <w:top w:val="nil"/>
              <w:left w:val="nil"/>
              <w:bottom w:val="single" w:sz="4" w:space="0" w:color="auto"/>
              <w:right w:val="single" w:sz="4" w:space="0" w:color="auto"/>
            </w:tcBorders>
            <w:vAlign w:val="center"/>
            <w:hideMark/>
          </w:tcPr>
          <w:p w14:paraId="12B05CD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8,50</w:t>
            </w:r>
          </w:p>
        </w:tc>
      </w:tr>
      <w:tr w:rsidR="00C22FC1" w:rsidRPr="00C22FC1" w14:paraId="3B35F6E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A9E260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266</w:t>
            </w:r>
          </w:p>
        </w:tc>
        <w:tc>
          <w:tcPr>
            <w:tcW w:w="0" w:type="auto"/>
            <w:tcBorders>
              <w:top w:val="nil"/>
              <w:left w:val="nil"/>
              <w:bottom w:val="single" w:sz="4" w:space="0" w:color="auto"/>
              <w:right w:val="single" w:sz="4" w:space="0" w:color="auto"/>
            </w:tcBorders>
            <w:vAlign w:val="bottom"/>
            <w:hideMark/>
          </w:tcPr>
          <w:p w14:paraId="3024DB9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20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1109FB6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5,10</w:t>
            </w:r>
          </w:p>
        </w:tc>
        <w:tc>
          <w:tcPr>
            <w:tcW w:w="0" w:type="auto"/>
            <w:tcBorders>
              <w:top w:val="nil"/>
              <w:left w:val="nil"/>
              <w:bottom w:val="single" w:sz="4" w:space="0" w:color="auto"/>
              <w:right w:val="single" w:sz="4" w:space="0" w:color="auto"/>
            </w:tcBorders>
            <w:vAlign w:val="center"/>
            <w:hideMark/>
          </w:tcPr>
          <w:p w14:paraId="46FEE22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5,10</w:t>
            </w:r>
          </w:p>
        </w:tc>
      </w:tr>
      <w:tr w:rsidR="00C22FC1" w:rsidRPr="00C22FC1" w14:paraId="483500F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04E2A3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267</w:t>
            </w:r>
          </w:p>
        </w:tc>
        <w:tc>
          <w:tcPr>
            <w:tcW w:w="0" w:type="auto"/>
            <w:tcBorders>
              <w:top w:val="nil"/>
              <w:left w:val="nil"/>
              <w:bottom w:val="single" w:sz="4" w:space="0" w:color="auto"/>
              <w:right w:val="single" w:sz="4" w:space="0" w:color="auto"/>
            </w:tcBorders>
            <w:vAlign w:val="bottom"/>
            <w:hideMark/>
          </w:tcPr>
          <w:p w14:paraId="71B5D36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com quatro ou mais pontos de ensaio</w:t>
            </w:r>
          </w:p>
        </w:tc>
        <w:tc>
          <w:tcPr>
            <w:tcW w:w="0" w:type="auto"/>
            <w:tcBorders>
              <w:top w:val="nil"/>
              <w:left w:val="nil"/>
              <w:bottom w:val="single" w:sz="4" w:space="0" w:color="auto"/>
              <w:right w:val="single" w:sz="4" w:space="0" w:color="auto"/>
            </w:tcBorders>
            <w:vAlign w:val="center"/>
            <w:hideMark/>
          </w:tcPr>
          <w:p w14:paraId="677BC6F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c>
          <w:tcPr>
            <w:tcW w:w="0" w:type="auto"/>
            <w:tcBorders>
              <w:top w:val="nil"/>
              <w:left w:val="nil"/>
              <w:bottom w:val="single" w:sz="4" w:space="0" w:color="auto"/>
              <w:right w:val="single" w:sz="4" w:space="0" w:color="auto"/>
            </w:tcBorders>
            <w:vAlign w:val="center"/>
            <w:hideMark/>
          </w:tcPr>
          <w:p w14:paraId="128D0CE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r>
      <w:tr w:rsidR="00C22FC1" w:rsidRPr="00C22FC1" w14:paraId="0F3E7644"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3471DD2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medição de volume</w:t>
            </w:r>
          </w:p>
        </w:tc>
      </w:tr>
      <w:tr w:rsidR="00C22FC1" w:rsidRPr="00C22FC1" w14:paraId="3A82103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A4BD8A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7AC3899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Medidas materializadas de volume e recipientes sem graduação</w:t>
            </w:r>
          </w:p>
        </w:tc>
      </w:tr>
      <w:tr w:rsidR="00C22FC1" w:rsidRPr="00C22FC1" w14:paraId="6512C97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AB3F36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302</w:t>
            </w:r>
          </w:p>
        </w:tc>
        <w:tc>
          <w:tcPr>
            <w:tcW w:w="0" w:type="auto"/>
            <w:tcBorders>
              <w:top w:val="nil"/>
              <w:left w:val="nil"/>
              <w:bottom w:val="single" w:sz="4" w:space="0" w:color="auto"/>
              <w:right w:val="single" w:sz="4" w:space="0" w:color="auto"/>
            </w:tcBorders>
            <w:vAlign w:val="bottom"/>
            <w:hideMark/>
          </w:tcPr>
          <w:p w14:paraId="548D9AD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 L</w:t>
            </w:r>
          </w:p>
        </w:tc>
        <w:tc>
          <w:tcPr>
            <w:tcW w:w="0" w:type="auto"/>
            <w:tcBorders>
              <w:top w:val="nil"/>
              <w:left w:val="nil"/>
              <w:bottom w:val="single" w:sz="4" w:space="0" w:color="auto"/>
              <w:right w:val="single" w:sz="4" w:space="0" w:color="auto"/>
            </w:tcBorders>
            <w:vAlign w:val="center"/>
            <w:hideMark/>
          </w:tcPr>
          <w:p w14:paraId="5779536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8,50</w:t>
            </w:r>
          </w:p>
        </w:tc>
        <w:tc>
          <w:tcPr>
            <w:tcW w:w="0" w:type="auto"/>
            <w:tcBorders>
              <w:top w:val="nil"/>
              <w:left w:val="nil"/>
              <w:bottom w:val="single" w:sz="4" w:space="0" w:color="auto"/>
              <w:right w:val="single" w:sz="4" w:space="0" w:color="auto"/>
            </w:tcBorders>
            <w:vAlign w:val="center"/>
            <w:hideMark/>
          </w:tcPr>
          <w:p w14:paraId="6481DD4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8,50</w:t>
            </w:r>
          </w:p>
        </w:tc>
      </w:tr>
      <w:tr w:rsidR="00C22FC1" w:rsidRPr="00C22FC1" w14:paraId="1CE6BF6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CC8419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303</w:t>
            </w:r>
          </w:p>
        </w:tc>
        <w:tc>
          <w:tcPr>
            <w:tcW w:w="0" w:type="auto"/>
            <w:tcBorders>
              <w:top w:val="nil"/>
              <w:left w:val="nil"/>
              <w:bottom w:val="single" w:sz="4" w:space="0" w:color="auto"/>
              <w:right w:val="single" w:sz="4" w:space="0" w:color="auto"/>
            </w:tcBorders>
            <w:vAlign w:val="bottom"/>
            <w:hideMark/>
          </w:tcPr>
          <w:p w14:paraId="4989D3E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 L até 50 L</w:t>
            </w:r>
          </w:p>
        </w:tc>
        <w:tc>
          <w:tcPr>
            <w:tcW w:w="0" w:type="auto"/>
            <w:tcBorders>
              <w:top w:val="nil"/>
              <w:left w:val="nil"/>
              <w:bottom w:val="single" w:sz="4" w:space="0" w:color="auto"/>
              <w:right w:val="single" w:sz="4" w:space="0" w:color="auto"/>
            </w:tcBorders>
            <w:vAlign w:val="center"/>
            <w:hideMark/>
          </w:tcPr>
          <w:p w14:paraId="4793947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20,40</w:t>
            </w:r>
          </w:p>
        </w:tc>
        <w:tc>
          <w:tcPr>
            <w:tcW w:w="0" w:type="auto"/>
            <w:tcBorders>
              <w:top w:val="nil"/>
              <w:left w:val="nil"/>
              <w:bottom w:val="single" w:sz="4" w:space="0" w:color="auto"/>
              <w:right w:val="single" w:sz="4" w:space="0" w:color="auto"/>
            </w:tcBorders>
            <w:vAlign w:val="center"/>
            <w:hideMark/>
          </w:tcPr>
          <w:p w14:paraId="03B39EF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20,40</w:t>
            </w:r>
          </w:p>
        </w:tc>
      </w:tr>
      <w:tr w:rsidR="00C22FC1" w:rsidRPr="00C22FC1" w14:paraId="33B1BF8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B4A93E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304</w:t>
            </w:r>
          </w:p>
        </w:tc>
        <w:tc>
          <w:tcPr>
            <w:tcW w:w="0" w:type="auto"/>
            <w:tcBorders>
              <w:top w:val="nil"/>
              <w:left w:val="nil"/>
              <w:bottom w:val="single" w:sz="4" w:space="0" w:color="auto"/>
              <w:right w:val="single" w:sz="4" w:space="0" w:color="auto"/>
            </w:tcBorders>
            <w:vAlign w:val="bottom"/>
            <w:hideMark/>
          </w:tcPr>
          <w:p w14:paraId="571A21C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 L até 200 L</w:t>
            </w:r>
          </w:p>
        </w:tc>
        <w:tc>
          <w:tcPr>
            <w:tcW w:w="0" w:type="auto"/>
            <w:tcBorders>
              <w:top w:val="nil"/>
              <w:left w:val="nil"/>
              <w:bottom w:val="single" w:sz="4" w:space="0" w:color="auto"/>
              <w:right w:val="single" w:sz="4" w:space="0" w:color="auto"/>
            </w:tcBorders>
            <w:vAlign w:val="center"/>
            <w:hideMark/>
          </w:tcPr>
          <w:p w14:paraId="208E7CA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30,60</w:t>
            </w:r>
          </w:p>
        </w:tc>
        <w:tc>
          <w:tcPr>
            <w:tcW w:w="0" w:type="auto"/>
            <w:tcBorders>
              <w:top w:val="nil"/>
              <w:left w:val="nil"/>
              <w:bottom w:val="single" w:sz="4" w:space="0" w:color="auto"/>
              <w:right w:val="single" w:sz="4" w:space="0" w:color="auto"/>
            </w:tcBorders>
            <w:vAlign w:val="center"/>
            <w:hideMark/>
          </w:tcPr>
          <w:p w14:paraId="154FDBD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30,60</w:t>
            </w:r>
          </w:p>
        </w:tc>
      </w:tr>
      <w:tr w:rsidR="00C22FC1" w:rsidRPr="00C22FC1" w14:paraId="64764ED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50D00D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305</w:t>
            </w:r>
          </w:p>
        </w:tc>
        <w:tc>
          <w:tcPr>
            <w:tcW w:w="0" w:type="auto"/>
            <w:tcBorders>
              <w:top w:val="nil"/>
              <w:left w:val="nil"/>
              <w:bottom w:val="single" w:sz="4" w:space="0" w:color="auto"/>
              <w:right w:val="single" w:sz="4" w:space="0" w:color="auto"/>
            </w:tcBorders>
            <w:vAlign w:val="bottom"/>
            <w:hideMark/>
          </w:tcPr>
          <w:p w14:paraId="1EE5584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200 L até 1.000 L</w:t>
            </w:r>
          </w:p>
        </w:tc>
        <w:tc>
          <w:tcPr>
            <w:tcW w:w="0" w:type="auto"/>
            <w:tcBorders>
              <w:top w:val="nil"/>
              <w:left w:val="nil"/>
              <w:bottom w:val="single" w:sz="4" w:space="0" w:color="auto"/>
              <w:right w:val="single" w:sz="4" w:space="0" w:color="auto"/>
            </w:tcBorders>
            <w:vAlign w:val="center"/>
            <w:hideMark/>
          </w:tcPr>
          <w:p w14:paraId="5F78430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49,25</w:t>
            </w:r>
          </w:p>
        </w:tc>
        <w:tc>
          <w:tcPr>
            <w:tcW w:w="0" w:type="auto"/>
            <w:tcBorders>
              <w:top w:val="nil"/>
              <w:left w:val="nil"/>
              <w:bottom w:val="single" w:sz="4" w:space="0" w:color="auto"/>
              <w:right w:val="single" w:sz="4" w:space="0" w:color="auto"/>
            </w:tcBorders>
            <w:vAlign w:val="center"/>
            <w:hideMark/>
          </w:tcPr>
          <w:p w14:paraId="23B150D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49,25</w:t>
            </w:r>
          </w:p>
        </w:tc>
      </w:tr>
      <w:tr w:rsidR="00C22FC1" w:rsidRPr="00C22FC1" w14:paraId="33C9DE9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9BC9EE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306</w:t>
            </w:r>
          </w:p>
        </w:tc>
        <w:tc>
          <w:tcPr>
            <w:tcW w:w="0" w:type="auto"/>
            <w:tcBorders>
              <w:top w:val="nil"/>
              <w:left w:val="nil"/>
              <w:bottom w:val="single" w:sz="4" w:space="0" w:color="auto"/>
              <w:right w:val="single" w:sz="4" w:space="0" w:color="auto"/>
            </w:tcBorders>
            <w:vAlign w:val="bottom"/>
            <w:hideMark/>
          </w:tcPr>
          <w:p w14:paraId="4428A7E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1.000 L : cada seguinte 1.000 L completado (adicional ao 305)</w:t>
            </w:r>
          </w:p>
        </w:tc>
        <w:tc>
          <w:tcPr>
            <w:tcW w:w="0" w:type="auto"/>
            <w:tcBorders>
              <w:top w:val="nil"/>
              <w:left w:val="nil"/>
              <w:bottom w:val="single" w:sz="4" w:space="0" w:color="auto"/>
              <w:right w:val="single" w:sz="4" w:space="0" w:color="auto"/>
            </w:tcBorders>
            <w:vAlign w:val="center"/>
            <w:hideMark/>
          </w:tcPr>
          <w:p w14:paraId="66BD6A2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44,15</w:t>
            </w:r>
          </w:p>
        </w:tc>
        <w:tc>
          <w:tcPr>
            <w:tcW w:w="0" w:type="auto"/>
            <w:tcBorders>
              <w:top w:val="nil"/>
              <w:left w:val="nil"/>
              <w:bottom w:val="single" w:sz="4" w:space="0" w:color="auto"/>
              <w:right w:val="single" w:sz="4" w:space="0" w:color="auto"/>
            </w:tcBorders>
            <w:vAlign w:val="center"/>
            <w:hideMark/>
          </w:tcPr>
          <w:p w14:paraId="0B9D7CD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44,15</w:t>
            </w:r>
          </w:p>
        </w:tc>
      </w:tr>
      <w:tr w:rsidR="00C22FC1" w:rsidRPr="00C22FC1" w14:paraId="2FB2909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26D85C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1EB1CFE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Determinação do volume por transferência de recipiente de medição montado em</w:t>
            </w:r>
          </w:p>
          <w:p w14:paraId="2680A12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local fixo, com graduação, para um volume total</w:t>
            </w:r>
          </w:p>
        </w:tc>
      </w:tr>
      <w:tr w:rsidR="00C22FC1" w:rsidRPr="00C22FC1" w14:paraId="23F1DB8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06282C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311</w:t>
            </w:r>
          </w:p>
        </w:tc>
        <w:tc>
          <w:tcPr>
            <w:tcW w:w="0" w:type="auto"/>
            <w:tcBorders>
              <w:top w:val="nil"/>
              <w:left w:val="nil"/>
              <w:bottom w:val="single" w:sz="4" w:space="0" w:color="auto"/>
              <w:right w:val="single" w:sz="4" w:space="0" w:color="auto"/>
            </w:tcBorders>
            <w:vAlign w:val="bottom"/>
            <w:hideMark/>
          </w:tcPr>
          <w:p w14:paraId="0E40829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2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5BDE6A1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7E97E32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637,80</w:t>
            </w:r>
          </w:p>
        </w:tc>
      </w:tr>
      <w:tr w:rsidR="00C22FC1" w:rsidRPr="00C22FC1" w14:paraId="759BFDF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07FC93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312</w:t>
            </w:r>
          </w:p>
        </w:tc>
        <w:tc>
          <w:tcPr>
            <w:tcW w:w="0" w:type="auto"/>
            <w:tcBorders>
              <w:top w:val="nil"/>
              <w:left w:val="nil"/>
              <w:bottom w:val="single" w:sz="4" w:space="0" w:color="auto"/>
              <w:right w:val="single" w:sz="4" w:space="0" w:color="auto"/>
            </w:tcBorders>
            <w:vAlign w:val="bottom"/>
            <w:hideMark/>
          </w:tcPr>
          <w:p w14:paraId="1156665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5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3AA210D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766E03F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1.086,00</w:t>
            </w:r>
          </w:p>
        </w:tc>
      </w:tr>
      <w:tr w:rsidR="00C22FC1" w:rsidRPr="00C22FC1" w14:paraId="05BCE04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C6ACCB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313</w:t>
            </w:r>
          </w:p>
        </w:tc>
        <w:tc>
          <w:tcPr>
            <w:tcW w:w="0" w:type="auto"/>
            <w:tcBorders>
              <w:top w:val="nil"/>
              <w:left w:val="nil"/>
              <w:bottom w:val="single" w:sz="4" w:space="0" w:color="auto"/>
              <w:right w:val="single" w:sz="4" w:space="0" w:color="auto"/>
            </w:tcBorders>
            <w:vAlign w:val="bottom"/>
            <w:hideMark/>
          </w:tcPr>
          <w:p w14:paraId="283C562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10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2DC30A7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2E7626D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1.484,60</w:t>
            </w:r>
          </w:p>
        </w:tc>
      </w:tr>
      <w:tr w:rsidR="00C22FC1" w:rsidRPr="00C22FC1" w14:paraId="2BC20BB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9F3981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314</w:t>
            </w:r>
          </w:p>
        </w:tc>
        <w:tc>
          <w:tcPr>
            <w:tcW w:w="0" w:type="auto"/>
            <w:tcBorders>
              <w:top w:val="nil"/>
              <w:left w:val="nil"/>
              <w:bottom w:val="single" w:sz="4" w:space="0" w:color="auto"/>
              <w:right w:val="single" w:sz="4" w:space="0" w:color="auto"/>
            </w:tcBorders>
            <w:vAlign w:val="bottom"/>
            <w:hideMark/>
          </w:tcPr>
          <w:p w14:paraId="511DB37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de 10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 ao código 313 cada adicional 10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7B79EC2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0F64DEB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204,00</w:t>
            </w:r>
          </w:p>
        </w:tc>
      </w:tr>
      <w:tr w:rsidR="00C22FC1" w:rsidRPr="00C22FC1" w14:paraId="5A91821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E49675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315</w:t>
            </w:r>
          </w:p>
        </w:tc>
        <w:tc>
          <w:tcPr>
            <w:tcW w:w="0" w:type="auto"/>
            <w:tcBorders>
              <w:top w:val="nil"/>
              <w:left w:val="nil"/>
              <w:bottom w:val="single" w:sz="4" w:space="0" w:color="auto"/>
              <w:right w:val="single" w:sz="4" w:space="0" w:color="auto"/>
            </w:tcBorders>
            <w:vAlign w:val="bottom"/>
            <w:hideMark/>
          </w:tcPr>
          <w:p w14:paraId="710F57D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 100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74A9B30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2D45671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3.313,00</w:t>
            </w:r>
          </w:p>
        </w:tc>
      </w:tr>
      <w:tr w:rsidR="00C22FC1" w:rsidRPr="00C22FC1" w14:paraId="0B9604F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B38ECA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316</w:t>
            </w:r>
          </w:p>
        </w:tc>
        <w:tc>
          <w:tcPr>
            <w:tcW w:w="0" w:type="auto"/>
            <w:tcBorders>
              <w:top w:val="nil"/>
              <w:left w:val="nil"/>
              <w:bottom w:val="single" w:sz="4" w:space="0" w:color="auto"/>
              <w:right w:val="single" w:sz="4" w:space="0" w:color="auto"/>
            </w:tcBorders>
            <w:vAlign w:val="bottom"/>
            <w:hideMark/>
          </w:tcPr>
          <w:p w14:paraId="71DA6D0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de 100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 ao código 315 cada adicional 100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639644A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16D52FC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1.120,00</w:t>
            </w:r>
          </w:p>
        </w:tc>
      </w:tr>
      <w:tr w:rsidR="00C22FC1" w:rsidRPr="00C22FC1" w14:paraId="0B426F8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5482E6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0D28D64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Arqueação de tanque na forma de cilindro vertical sem arqueação da planta de canalização,</w:t>
            </w:r>
          </w:p>
          <w:p w14:paraId="72B0FF6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para um volume total.</w:t>
            </w:r>
          </w:p>
        </w:tc>
      </w:tr>
      <w:tr w:rsidR="00C22FC1" w:rsidRPr="00C22FC1" w14:paraId="72D88D7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EBC692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321</w:t>
            </w:r>
          </w:p>
        </w:tc>
        <w:tc>
          <w:tcPr>
            <w:tcW w:w="0" w:type="auto"/>
            <w:tcBorders>
              <w:top w:val="nil"/>
              <w:left w:val="nil"/>
              <w:bottom w:val="single" w:sz="4" w:space="0" w:color="auto"/>
              <w:right w:val="single" w:sz="4" w:space="0" w:color="auto"/>
            </w:tcBorders>
            <w:vAlign w:val="bottom"/>
            <w:hideMark/>
          </w:tcPr>
          <w:p w14:paraId="6D19D27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12AC9B1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02C5A1B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2.038,80</w:t>
            </w:r>
          </w:p>
        </w:tc>
      </w:tr>
      <w:tr w:rsidR="00C22FC1" w:rsidRPr="00C22FC1" w14:paraId="2729E5E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8B8E93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322</w:t>
            </w:r>
          </w:p>
        </w:tc>
        <w:tc>
          <w:tcPr>
            <w:tcW w:w="0" w:type="auto"/>
            <w:tcBorders>
              <w:top w:val="nil"/>
              <w:left w:val="nil"/>
              <w:bottom w:val="single" w:sz="4" w:space="0" w:color="auto"/>
              <w:right w:val="single" w:sz="4" w:space="0" w:color="auto"/>
            </w:tcBorders>
            <w:vAlign w:val="bottom"/>
            <w:hideMark/>
          </w:tcPr>
          <w:p w14:paraId="68D8275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500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476B1E2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736FE82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3.262,00</w:t>
            </w:r>
          </w:p>
        </w:tc>
      </w:tr>
      <w:tr w:rsidR="00C22FC1" w:rsidRPr="00C22FC1" w14:paraId="1DC0AD4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D66932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323</w:t>
            </w:r>
          </w:p>
        </w:tc>
        <w:tc>
          <w:tcPr>
            <w:tcW w:w="0" w:type="auto"/>
            <w:tcBorders>
              <w:top w:val="nil"/>
              <w:left w:val="nil"/>
              <w:bottom w:val="single" w:sz="4" w:space="0" w:color="auto"/>
              <w:right w:val="single" w:sz="4" w:space="0" w:color="auto"/>
            </w:tcBorders>
            <w:vAlign w:val="bottom"/>
            <w:hideMark/>
          </w:tcPr>
          <w:p w14:paraId="3327579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500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5.000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0759213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015B11A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4.619,40</w:t>
            </w:r>
          </w:p>
        </w:tc>
      </w:tr>
      <w:tr w:rsidR="00C22FC1" w:rsidRPr="00C22FC1" w14:paraId="78B601A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3C52BF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324</w:t>
            </w:r>
          </w:p>
        </w:tc>
        <w:tc>
          <w:tcPr>
            <w:tcW w:w="0" w:type="auto"/>
            <w:tcBorders>
              <w:top w:val="nil"/>
              <w:left w:val="nil"/>
              <w:bottom w:val="single" w:sz="4" w:space="0" w:color="auto"/>
              <w:right w:val="single" w:sz="4" w:space="0" w:color="auto"/>
            </w:tcBorders>
            <w:vAlign w:val="bottom"/>
            <w:hideMark/>
          </w:tcPr>
          <w:p w14:paraId="3E3411D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5.000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50.000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6E9D06E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191FEC3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7.339,50</w:t>
            </w:r>
          </w:p>
        </w:tc>
      </w:tr>
      <w:tr w:rsidR="00C22FC1" w:rsidRPr="00C22FC1" w14:paraId="7952437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96B21C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325</w:t>
            </w:r>
          </w:p>
        </w:tc>
        <w:tc>
          <w:tcPr>
            <w:tcW w:w="0" w:type="auto"/>
            <w:tcBorders>
              <w:top w:val="nil"/>
              <w:left w:val="nil"/>
              <w:bottom w:val="single" w:sz="4" w:space="0" w:color="auto"/>
              <w:right w:val="single" w:sz="4" w:space="0" w:color="auto"/>
            </w:tcBorders>
            <w:vAlign w:val="bottom"/>
            <w:hideMark/>
          </w:tcPr>
          <w:p w14:paraId="1DFD0BF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50.000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0FC1EA9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1D524C9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11.009,00</w:t>
            </w:r>
          </w:p>
        </w:tc>
      </w:tr>
      <w:tr w:rsidR="00C22FC1" w:rsidRPr="00C22FC1" w14:paraId="51C54AF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3F2B53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711F1DC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Teto ou selo flutuante do tanque, para um volume total.</w:t>
            </w:r>
          </w:p>
        </w:tc>
      </w:tr>
      <w:tr w:rsidR="00C22FC1" w:rsidRPr="00C22FC1" w14:paraId="24EF119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8DA5F5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331</w:t>
            </w:r>
          </w:p>
        </w:tc>
        <w:tc>
          <w:tcPr>
            <w:tcW w:w="0" w:type="auto"/>
            <w:tcBorders>
              <w:top w:val="nil"/>
              <w:left w:val="nil"/>
              <w:bottom w:val="single" w:sz="4" w:space="0" w:color="auto"/>
              <w:right w:val="single" w:sz="4" w:space="0" w:color="auto"/>
            </w:tcBorders>
            <w:vAlign w:val="bottom"/>
            <w:hideMark/>
          </w:tcPr>
          <w:p w14:paraId="0C8781F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45929F6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24F9F9C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1.359,20</w:t>
            </w:r>
          </w:p>
        </w:tc>
      </w:tr>
      <w:tr w:rsidR="00C22FC1" w:rsidRPr="00C22FC1" w14:paraId="2AEDCCB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282BBB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332</w:t>
            </w:r>
          </w:p>
        </w:tc>
        <w:tc>
          <w:tcPr>
            <w:tcW w:w="0" w:type="auto"/>
            <w:tcBorders>
              <w:top w:val="nil"/>
              <w:left w:val="nil"/>
              <w:bottom w:val="single" w:sz="4" w:space="0" w:color="auto"/>
              <w:right w:val="single" w:sz="4" w:space="0" w:color="auto"/>
            </w:tcBorders>
            <w:vAlign w:val="bottom"/>
            <w:hideMark/>
          </w:tcPr>
          <w:p w14:paraId="6C67A6C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500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5F77127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760B4F4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2.191,70</w:t>
            </w:r>
          </w:p>
        </w:tc>
      </w:tr>
      <w:tr w:rsidR="00C22FC1" w:rsidRPr="00C22FC1" w14:paraId="7CA5DB9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FD31B4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333</w:t>
            </w:r>
          </w:p>
        </w:tc>
        <w:tc>
          <w:tcPr>
            <w:tcW w:w="0" w:type="auto"/>
            <w:tcBorders>
              <w:top w:val="nil"/>
              <w:left w:val="nil"/>
              <w:bottom w:val="single" w:sz="4" w:space="0" w:color="auto"/>
              <w:right w:val="single" w:sz="4" w:space="0" w:color="auto"/>
            </w:tcBorders>
            <w:vAlign w:val="bottom"/>
            <w:hideMark/>
          </w:tcPr>
          <w:p w14:paraId="60CAB00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500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5.000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5AD1290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2520F6B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3.160,00</w:t>
            </w:r>
          </w:p>
        </w:tc>
      </w:tr>
      <w:tr w:rsidR="00C22FC1" w:rsidRPr="00C22FC1" w14:paraId="235CA62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1E7100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334</w:t>
            </w:r>
          </w:p>
        </w:tc>
        <w:tc>
          <w:tcPr>
            <w:tcW w:w="0" w:type="auto"/>
            <w:tcBorders>
              <w:top w:val="nil"/>
              <w:left w:val="nil"/>
              <w:bottom w:val="single" w:sz="4" w:space="0" w:color="auto"/>
              <w:right w:val="single" w:sz="4" w:space="0" w:color="auto"/>
            </w:tcBorders>
            <w:vAlign w:val="bottom"/>
            <w:hideMark/>
          </w:tcPr>
          <w:p w14:paraId="185E5E9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5.000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50.000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775EB6D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079968F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3.466,00</w:t>
            </w:r>
          </w:p>
        </w:tc>
      </w:tr>
      <w:tr w:rsidR="00C22FC1" w:rsidRPr="00C22FC1" w14:paraId="02268C6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45FA2A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335</w:t>
            </w:r>
          </w:p>
        </w:tc>
        <w:tc>
          <w:tcPr>
            <w:tcW w:w="0" w:type="auto"/>
            <w:tcBorders>
              <w:top w:val="nil"/>
              <w:left w:val="nil"/>
              <w:bottom w:val="single" w:sz="4" w:space="0" w:color="auto"/>
              <w:right w:val="single" w:sz="4" w:space="0" w:color="auto"/>
            </w:tcBorders>
            <w:vAlign w:val="bottom"/>
            <w:hideMark/>
          </w:tcPr>
          <w:p w14:paraId="53F0A5A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50.000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520F091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25DBF3D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4.665,60</w:t>
            </w:r>
          </w:p>
        </w:tc>
      </w:tr>
      <w:tr w:rsidR="00C22FC1" w:rsidRPr="00C22FC1" w14:paraId="63C0B91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BE5D4B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5B1F37C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Arqueação de tanque na forma de cilindro horizontal sem arqueação da</w:t>
            </w:r>
          </w:p>
          <w:p w14:paraId="57AB5AA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planta de canalização, para um volume total.</w:t>
            </w:r>
          </w:p>
        </w:tc>
      </w:tr>
      <w:tr w:rsidR="00C22FC1" w:rsidRPr="00C22FC1" w14:paraId="2C9006E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3888E3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341</w:t>
            </w:r>
          </w:p>
        </w:tc>
        <w:tc>
          <w:tcPr>
            <w:tcW w:w="0" w:type="auto"/>
            <w:tcBorders>
              <w:top w:val="nil"/>
              <w:left w:val="nil"/>
              <w:bottom w:val="single" w:sz="4" w:space="0" w:color="auto"/>
              <w:right w:val="single" w:sz="4" w:space="0" w:color="auto"/>
            </w:tcBorders>
            <w:vAlign w:val="bottom"/>
            <w:hideMark/>
          </w:tcPr>
          <w:p w14:paraId="58C4303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25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797B7BC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1148AFE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2.038,80</w:t>
            </w:r>
          </w:p>
        </w:tc>
      </w:tr>
      <w:tr w:rsidR="00C22FC1" w:rsidRPr="00C22FC1" w14:paraId="6C13031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C65C6A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342</w:t>
            </w:r>
          </w:p>
        </w:tc>
        <w:tc>
          <w:tcPr>
            <w:tcW w:w="0" w:type="auto"/>
            <w:tcBorders>
              <w:top w:val="nil"/>
              <w:left w:val="nil"/>
              <w:bottom w:val="single" w:sz="4" w:space="0" w:color="auto"/>
              <w:right w:val="single" w:sz="4" w:space="0" w:color="auto"/>
            </w:tcBorders>
            <w:vAlign w:val="bottom"/>
            <w:hideMark/>
          </w:tcPr>
          <w:p w14:paraId="5782BC6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25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50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4D81823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7C6C916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2.446,50</w:t>
            </w:r>
          </w:p>
        </w:tc>
      </w:tr>
      <w:tr w:rsidR="00C22FC1" w:rsidRPr="00C22FC1" w14:paraId="677B180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0699DA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343</w:t>
            </w:r>
          </w:p>
        </w:tc>
        <w:tc>
          <w:tcPr>
            <w:tcW w:w="0" w:type="auto"/>
            <w:tcBorders>
              <w:top w:val="nil"/>
              <w:left w:val="nil"/>
              <w:bottom w:val="single" w:sz="4" w:space="0" w:color="auto"/>
              <w:right w:val="single" w:sz="4" w:space="0" w:color="auto"/>
            </w:tcBorders>
            <w:vAlign w:val="bottom"/>
            <w:hideMark/>
          </w:tcPr>
          <w:p w14:paraId="5ED31BD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75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63DEE13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7872CEF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3.058,10</w:t>
            </w:r>
          </w:p>
        </w:tc>
      </w:tr>
      <w:tr w:rsidR="00C22FC1" w:rsidRPr="00C22FC1" w14:paraId="0148B87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8566C4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344</w:t>
            </w:r>
          </w:p>
        </w:tc>
        <w:tc>
          <w:tcPr>
            <w:tcW w:w="0" w:type="auto"/>
            <w:tcBorders>
              <w:top w:val="nil"/>
              <w:left w:val="nil"/>
              <w:bottom w:val="single" w:sz="4" w:space="0" w:color="auto"/>
              <w:right w:val="single" w:sz="4" w:space="0" w:color="auto"/>
            </w:tcBorders>
            <w:vAlign w:val="bottom"/>
            <w:hideMark/>
          </w:tcPr>
          <w:p w14:paraId="268503E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75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100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57F2ED8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1D8E907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3.873,60</w:t>
            </w:r>
          </w:p>
        </w:tc>
      </w:tr>
      <w:tr w:rsidR="00C22FC1" w:rsidRPr="00C22FC1" w14:paraId="1948681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DDA610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345</w:t>
            </w:r>
          </w:p>
        </w:tc>
        <w:tc>
          <w:tcPr>
            <w:tcW w:w="0" w:type="auto"/>
            <w:tcBorders>
              <w:top w:val="nil"/>
              <w:left w:val="nil"/>
              <w:bottom w:val="single" w:sz="4" w:space="0" w:color="auto"/>
              <w:right w:val="single" w:sz="4" w:space="0" w:color="auto"/>
            </w:tcBorders>
            <w:vAlign w:val="bottom"/>
            <w:hideMark/>
          </w:tcPr>
          <w:p w14:paraId="1DC9770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100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200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54E7336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44AC190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5.300,80</w:t>
            </w:r>
          </w:p>
        </w:tc>
      </w:tr>
      <w:tr w:rsidR="00C22FC1" w:rsidRPr="00C22FC1" w14:paraId="1BCED4A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9CD6E8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346</w:t>
            </w:r>
          </w:p>
        </w:tc>
        <w:tc>
          <w:tcPr>
            <w:tcW w:w="0" w:type="auto"/>
            <w:tcBorders>
              <w:top w:val="nil"/>
              <w:left w:val="nil"/>
              <w:bottom w:val="single" w:sz="4" w:space="0" w:color="auto"/>
              <w:right w:val="single" w:sz="4" w:space="0" w:color="auto"/>
            </w:tcBorders>
            <w:vAlign w:val="bottom"/>
            <w:hideMark/>
          </w:tcPr>
          <w:p w14:paraId="291611C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4EB4C5E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0818004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6.116,30</w:t>
            </w:r>
          </w:p>
        </w:tc>
      </w:tr>
      <w:tr w:rsidR="00C22FC1" w:rsidRPr="00C22FC1" w14:paraId="12B0C68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8C1852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lastRenderedPageBreak/>
              <w:t> </w:t>
            </w:r>
          </w:p>
        </w:tc>
        <w:tc>
          <w:tcPr>
            <w:tcW w:w="0" w:type="auto"/>
            <w:gridSpan w:val="3"/>
            <w:tcBorders>
              <w:top w:val="nil"/>
              <w:left w:val="nil"/>
              <w:bottom w:val="single" w:sz="4" w:space="0" w:color="auto"/>
              <w:right w:val="single" w:sz="4" w:space="0" w:color="auto"/>
            </w:tcBorders>
            <w:vAlign w:val="bottom"/>
            <w:hideMark/>
          </w:tcPr>
          <w:p w14:paraId="631E0B9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Arqueação de planta de canalização de tanque</w:t>
            </w:r>
          </w:p>
        </w:tc>
      </w:tr>
      <w:tr w:rsidR="00C22FC1" w:rsidRPr="00C22FC1" w14:paraId="2E8F453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2BCF4D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347</w:t>
            </w:r>
          </w:p>
        </w:tc>
        <w:tc>
          <w:tcPr>
            <w:tcW w:w="0" w:type="auto"/>
            <w:tcBorders>
              <w:top w:val="nil"/>
              <w:left w:val="nil"/>
              <w:bottom w:val="single" w:sz="4" w:space="0" w:color="auto"/>
              <w:right w:val="single" w:sz="4" w:space="0" w:color="auto"/>
            </w:tcBorders>
            <w:vAlign w:val="bottom"/>
            <w:hideMark/>
          </w:tcPr>
          <w:p w14:paraId="460AE1F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 tanques</w:t>
            </w:r>
          </w:p>
        </w:tc>
        <w:tc>
          <w:tcPr>
            <w:tcW w:w="0" w:type="auto"/>
            <w:tcBorders>
              <w:top w:val="nil"/>
              <w:left w:val="nil"/>
              <w:bottom w:val="single" w:sz="4" w:space="0" w:color="auto"/>
              <w:right w:val="single" w:sz="4" w:space="0" w:color="auto"/>
            </w:tcBorders>
            <w:vAlign w:val="center"/>
            <w:hideMark/>
          </w:tcPr>
          <w:p w14:paraId="2A8B50C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3DA6441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4.893,00</w:t>
            </w:r>
          </w:p>
        </w:tc>
      </w:tr>
      <w:tr w:rsidR="00C22FC1" w:rsidRPr="00C22FC1" w14:paraId="47C6902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95EB8B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348</w:t>
            </w:r>
          </w:p>
        </w:tc>
        <w:tc>
          <w:tcPr>
            <w:tcW w:w="0" w:type="auto"/>
            <w:tcBorders>
              <w:top w:val="nil"/>
              <w:left w:val="nil"/>
              <w:bottom w:val="single" w:sz="4" w:space="0" w:color="auto"/>
              <w:right w:val="single" w:sz="4" w:space="0" w:color="auto"/>
            </w:tcBorders>
            <w:vAlign w:val="bottom"/>
            <w:hideMark/>
          </w:tcPr>
          <w:p w14:paraId="51E1936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 tanques, por tanque</w:t>
            </w:r>
          </w:p>
        </w:tc>
        <w:tc>
          <w:tcPr>
            <w:tcW w:w="0" w:type="auto"/>
            <w:tcBorders>
              <w:top w:val="nil"/>
              <w:left w:val="nil"/>
              <w:bottom w:val="single" w:sz="4" w:space="0" w:color="auto"/>
              <w:right w:val="single" w:sz="4" w:space="0" w:color="auto"/>
            </w:tcBorders>
            <w:vAlign w:val="center"/>
            <w:hideMark/>
          </w:tcPr>
          <w:p w14:paraId="55E1D75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540E685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815,50</w:t>
            </w:r>
          </w:p>
        </w:tc>
      </w:tr>
      <w:tr w:rsidR="00C22FC1" w:rsidRPr="00C22FC1" w14:paraId="23BCCFA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793FB6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731FBDA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Arqueação de tanques esféricos</w:t>
            </w:r>
          </w:p>
        </w:tc>
      </w:tr>
      <w:tr w:rsidR="00C22FC1" w:rsidRPr="00C22FC1" w14:paraId="3629661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D77BEF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351</w:t>
            </w:r>
          </w:p>
        </w:tc>
        <w:tc>
          <w:tcPr>
            <w:tcW w:w="0" w:type="auto"/>
            <w:tcBorders>
              <w:top w:val="nil"/>
              <w:left w:val="nil"/>
              <w:bottom w:val="single" w:sz="4" w:space="0" w:color="auto"/>
              <w:right w:val="single" w:sz="4" w:space="0" w:color="auto"/>
            </w:tcBorders>
            <w:vAlign w:val="bottom"/>
            <w:hideMark/>
          </w:tcPr>
          <w:p w14:paraId="15E50C0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1 000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0F0A3DC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16F0FD1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4.503,50</w:t>
            </w:r>
          </w:p>
        </w:tc>
      </w:tr>
      <w:tr w:rsidR="00C22FC1" w:rsidRPr="00C22FC1" w14:paraId="19A7F4C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D3E764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352</w:t>
            </w:r>
          </w:p>
        </w:tc>
        <w:tc>
          <w:tcPr>
            <w:tcW w:w="0" w:type="auto"/>
            <w:tcBorders>
              <w:top w:val="nil"/>
              <w:left w:val="nil"/>
              <w:bottom w:val="single" w:sz="4" w:space="0" w:color="auto"/>
              <w:right w:val="single" w:sz="4" w:space="0" w:color="auto"/>
            </w:tcBorders>
            <w:vAlign w:val="bottom"/>
            <w:hideMark/>
          </w:tcPr>
          <w:p w14:paraId="104CF158"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1.000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5.000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72D3653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32DE6A7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5.119,00</w:t>
            </w:r>
          </w:p>
        </w:tc>
      </w:tr>
      <w:tr w:rsidR="00C22FC1" w:rsidRPr="00C22FC1" w14:paraId="04CC424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B667F6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353</w:t>
            </w:r>
          </w:p>
        </w:tc>
        <w:tc>
          <w:tcPr>
            <w:tcW w:w="0" w:type="auto"/>
            <w:tcBorders>
              <w:top w:val="nil"/>
              <w:left w:val="nil"/>
              <w:bottom w:val="single" w:sz="4" w:space="0" w:color="auto"/>
              <w:right w:val="single" w:sz="4" w:space="0" w:color="auto"/>
            </w:tcBorders>
            <w:vAlign w:val="bottom"/>
            <w:hideMark/>
          </w:tcPr>
          <w:p w14:paraId="0632C86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653F929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52E70C3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5.937,20</w:t>
            </w:r>
          </w:p>
        </w:tc>
      </w:tr>
      <w:tr w:rsidR="00C22FC1" w:rsidRPr="00C22FC1" w14:paraId="72B278A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B18067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53BC1D0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Arqueação de tanques de embarcação</w:t>
            </w:r>
          </w:p>
        </w:tc>
      </w:tr>
      <w:tr w:rsidR="00C22FC1" w:rsidRPr="00C22FC1" w14:paraId="4516139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3CC443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354</w:t>
            </w:r>
          </w:p>
        </w:tc>
        <w:tc>
          <w:tcPr>
            <w:tcW w:w="0" w:type="auto"/>
            <w:tcBorders>
              <w:top w:val="nil"/>
              <w:left w:val="nil"/>
              <w:bottom w:val="single" w:sz="4" w:space="0" w:color="auto"/>
              <w:right w:val="single" w:sz="4" w:space="0" w:color="auto"/>
            </w:tcBorders>
            <w:vAlign w:val="bottom"/>
            <w:hideMark/>
          </w:tcPr>
          <w:p w14:paraId="0E62A56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7970916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6E86D13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6.552,80</w:t>
            </w:r>
          </w:p>
        </w:tc>
      </w:tr>
      <w:tr w:rsidR="00C22FC1" w:rsidRPr="00C22FC1" w14:paraId="745D02A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AFB2AA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355</w:t>
            </w:r>
          </w:p>
        </w:tc>
        <w:tc>
          <w:tcPr>
            <w:tcW w:w="0" w:type="auto"/>
            <w:tcBorders>
              <w:top w:val="nil"/>
              <w:left w:val="nil"/>
              <w:bottom w:val="single" w:sz="4" w:space="0" w:color="auto"/>
              <w:right w:val="single" w:sz="4" w:space="0" w:color="auto"/>
            </w:tcBorders>
            <w:vAlign w:val="bottom"/>
            <w:hideMark/>
          </w:tcPr>
          <w:p w14:paraId="10A0207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100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6A0B0A6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449A73E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6.962,00</w:t>
            </w:r>
          </w:p>
        </w:tc>
      </w:tr>
      <w:tr w:rsidR="00C22FC1" w:rsidRPr="00C22FC1" w14:paraId="2B43EBB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F3C11D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356</w:t>
            </w:r>
          </w:p>
        </w:tc>
        <w:tc>
          <w:tcPr>
            <w:tcW w:w="0" w:type="auto"/>
            <w:tcBorders>
              <w:top w:val="nil"/>
              <w:left w:val="nil"/>
              <w:bottom w:val="single" w:sz="4" w:space="0" w:color="auto"/>
              <w:right w:val="single" w:sz="4" w:space="0" w:color="auto"/>
            </w:tcBorders>
            <w:vAlign w:val="bottom"/>
            <w:hideMark/>
          </w:tcPr>
          <w:p w14:paraId="2E8650E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100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200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71D9C2C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4A11E32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8.487,00</w:t>
            </w:r>
          </w:p>
        </w:tc>
      </w:tr>
      <w:tr w:rsidR="00C22FC1" w:rsidRPr="00C22FC1" w14:paraId="042D9A6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7B6AD2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357</w:t>
            </w:r>
          </w:p>
        </w:tc>
        <w:tc>
          <w:tcPr>
            <w:tcW w:w="0" w:type="auto"/>
            <w:tcBorders>
              <w:top w:val="nil"/>
              <w:left w:val="nil"/>
              <w:bottom w:val="single" w:sz="4" w:space="0" w:color="auto"/>
              <w:right w:val="single" w:sz="4" w:space="0" w:color="auto"/>
            </w:tcBorders>
            <w:vAlign w:val="bottom"/>
            <w:hideMark/>
          </w:tcPr>
          <w:p w14:paraId="661EDEE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200 m</w:t>
            </w:r>
            <w:r w:rsidRPr="00C22FC1">
              <w:rPr>
                <w:rFonts w:ascii="Times New Roman" w:eastAsia="Times New Roman" w:hAnsi="Times New Roman" w:cs="Times New Roman"/>
                <w:color w:val="000000"/>
                <w:kern w:val="0"/>
                <w:sz w:val="20"/>
                <w:szCs w:val="20"/>
                <w:vertAlign w:val="superscript"/>
                <w14:ligatures w14:val="none"/>
              </w:rPr>
              <w:t>3 </w:t>
            </w:r>
            <w:r w:rsidRPr="00C22FC1">
              <w:rPr>
                <w:rFonts w:ascii="Times New Roman" w:eastAsia="Times New Roman" w:hAnsi="Times New Roman" w:cs="Times New Roman"/>
                <w:color w:val="000000"/>
                <w:kern w:val="0"/>
                <w:sz w:val="20"/>
                <w:szCs w:val="20"/>
                <w14:ligatures w14:val="none"/>
              </w:rPr>
              <w:t>até 1.000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495952C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02C96B7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11.464,00</w:t>
            </w:r>
          </w:p>
        </w:tc>
      </w:tr>
      <w:tr w:rsidR="00C22FC1" w:rsidRPr="00C22FC1" w14:paraId="4E62D82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488AB1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358</w:t>
            </w:r>
          </w:p>
        </w:tc>
        <w:tc>
          <w:tcPr>
            <w:tcW w:w="0" w:type="auto"/>
            <w:tcBorders>
              <w:top w:val="nil"/>
              <w:left w:val="nil"/>
              <w:bottom w:val="single" w:sz="4" w:space="0" w:color="auto"/>
              <w:right w:val="single" w:sz="4" w:space="0" w:color="auto"/>
            </w:tcBorders>
            <w:vAlign w:val="bottom"/>
            <w:hideMark/>
          </w:tcPr>
          <w:p w14:paraId="6A18B47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1.000 m</w:t>
            </w:r>
            <w:r w:rsidRPr="00C22FC1">
              <w:rPr>
                <w:rFonts w:ascii="Times New Roman" w:eastAsia="Times New Roman" w:hAnsi="Times New Roman" w:cs="Times New Roman"/>
                <w:color w:val="000000"/>
                <w:kern w:val="0"/>
                <w:sz w:val="20"/>
                <w:szCs w:val="20"/>
                <w:vertAlign w:val="superscript"/>
                <w14:ligatures w14:val="none"/>
              </w:rPr>
              <w:t>3</w:t>
            </w:r>
          </w:p>
        </w:tc>
        <w:tc>
          <w:tcPr>
            <w:tcW w:w="0" w:type="auto"/>
            <w:tcBorders>
              <w:top w:val="nil"/>
              <w:left w:val="nil"/>
              <w:bottom w:val="single" w:sz="4" w:space="0" w:color="auto"/>
              <w:right w:val="single" w:sz="4" w:space="0" w:color="auto"/>
            </w:tcBorders>
            <w:vAlign w:val="center"/>
            <w:hideMark/>
          </w:tcPr>
          <w:p w14:paraId="50D0145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59A9490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13.924,00</w:t>
            </w:r>
          </w:p>
        </w:tc>
      </w:tr>
      <w:tr w:rsidR="00C22FC1" w:rsidRPr="00C22FC1" w14:paraId="17EEC79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10AFE6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359</w:t>
            </w:r>
          </w:p>
        </w:tc>
        <w:tc>
          <w:tcPr>
            <w:tcW w:w="0" w:type="auto"/>
            <w:tcBorders>
              <w:top w:val="nil"/>
              <w:left w:val="nil"/>
              <w:bottom w:val="single" w:sz="4" w:space="0" w:color="auto"/>
              <w:right w:val="single" w:sz="4" w:space="0" w:color="auto"/>
            </w:tcBorders>
            <w:vAlign w:val="bottom"/>
            <w:hideMark/>
          </w:tcPr>
          <w:p w14:paraId="5DCE6BA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Medidor automático de nível de líquidos para tanques fixos de Armazenagem</w:t>
            </w:r>
          </w:p>
        </w:tc>
        <w:tc>
          <w:tcPr>
            <w:tcW w:w="0" w:type="auto"/>
            <w:tcBorders>
              <w:top w:val="nil"/>
              <w:left w:val="nil"/>
              <w:bottom w:val="single" w:sz="4" w:space="0" w:color="auto"/>
              <w:right w:val="single" w:sz="4" w:space="0" w:color="auto"/>
            </w:tcBorders>
            <w:vAlign w:val="center"/>
            <w:hideMark/>
          </w:tcPr>
          <w:p w14:paraId="5305461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c>
          <w:tcPr>
            <w:tcW w:w="0" w:type="auto"/>
            <w:tcBorders>
              <w:top w:val="nil"/>
              <w:left w:val="nil"/>
              <w:bottom w:val="single" w:sz="4" w:space="0" w:color="auto"/>
              <w:right w:val="single" w:sz="4" w:space="0" w:color="auto"/>
            </w:tcBorders>
            <w:vAlign w:val="center"/>
            <w:hideMark/>
          </w:tcPr>
          <w:p w14:paraId="0C5E47A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r>
      <w:tr w:rsidR="00C22FC1" w:rsidRPr="00C22FC1" w14:paraId="4F2E1C53"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3E6B354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Veículos tanques ferroviário e rodoviário, recipientes de medição transportáveis,</w:t>
            </w:r>
          </w:p>
          <w:p w14:paraId="31E8E88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cada compartimento de medição, para um volume</w:t>
            </w:r>
          </w:p>
        </w:tc>
      </w:tr>
      <w:tr w:rsidR="00C22FC1" w:rsidRPr="00C22FC1" w14:paraId="12CAAC3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701715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361</w:t>
            </w:r>
          </w:p>
        </w:tc>
        <w:tc>
          <w:tcPr>
            <w:tcW w:w="0" w:type="auto"/>
            <w:tcBorders>
              <w:top w:val="nil"/>
              <w:left w:val="nil"/>
              <w:bottom w:val="single" w:sz="4" w:space="0" w:color="auto"/>
              <w:right w:val="single" w:sz="4" w:space="0" w:color="auto"/>
            </w:tcBorders>
            <w:vAlign w:val="bottom"/>
            <w:hideMark/>
          </w:tcPr>
          <w:p w14:paraId="4D662AF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4.000 L</w:t>
            </w:r>
          </w:p>
        </w:tc>
        <w:tc>
          <w:tcPr>
            <w:tcW w:w="0" w:type="auto"/>
            <w:tcBorders>
              <w:top w:val="nil"/>
              <w:left w:val="nil"/>
              <w:bottom w:val="single" w:sz="4" w:space="0" w:color="auto"/>
              <w:right w:val="single" w:sz="4" w:space="0" w:color="auto"/>
            </w:tcBorders>
            <w:vAlign w:val="center"/>
            <w:hideMark/>
          </w:tcPr>
          <w:p w14:paraId="638B121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135,00</w:t>
            </w:r>
          </w:p>
        </w:tc>
        <w:tc>
          <w:tcPr>
            <w:tcW w:w="0" w:type="auto"/>
            <w:tcBorders>
              <w:top w:val="nil"/>
              <w:left w:val="nil"/>
              <w:bottom w:val="single" w:sz="4" w:space="0" w:color="auto"/>
              <w:right w:val="single" w:sz="4" w:space="0" w:color="auto"/>
            </w:tcBorders>
            <w:vAlign w:val="center"/>
            <w:hideMark/>
          </w:tcPr>
          <w:p w14:paraId="69418CF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135,00</w:t>
            </w:r>
          </w:p>
        </w:tc>
      </w:tr>
      <w:tr w:rsidR="00C22FC1" w:rsidRPr="00C22FC1" w14:paraId="57123C3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43C84F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362</w:t>
            </w:r>
          </w:p>
        </w:tc>
        <w:tc>
          <w:tcPr>
            <w:tcW w:w="0" w:type="auto"/>
            <w:tcBorders>
              <w:top w:val="nil"/>
              <w:left w:val="nil"/>
              <w:bottom w:val="single" w:sz="4" w:space="0" w:color="auto"/>
              <w:right w:val="single" w:sz="4" w:space="0" w:color="auto"/>
            </w:tcBorders>
            <w:vAlign w:val="bottom"/>
            <w:hideMark/>
          </w:tcPr>
          <w:p w14:paraId="20C5647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4.000 L até 6.000 L</w:t>
            </w:r>
          </w:p>
        </w:tc>
        <w:tc>
          <w:tcPr>
            <w:tcW w:w="0" w:type="auto"/>
            <w:tcBorders>
              <w:top w:val="nil"/>
              <w:left w:val="nil"/>
              <w:bottom w:val="single" w:sz="4" w:space="0" w:color="auto"/>
              <w:right w:val="single" w:sz="4" w:space="0" w:color="auto"/>
            </w:tcBorders>
            <w:vAlign w:val="center"/>
            <w:hideMark/>
          </w:tcPr>
          <w:p w14:paraId="4FAC5C0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160,00</w:t>
            </w:r>
          </w:p>
        </w:tc>
        <w:tc>
          <w:tcPr>
            <w:tcW w:w="0" w:type="auto"/>
            <w:tcBorders>
              <w:top w:val="nil"/>
              <w:left w:val="nil"/>
              <w:bottom w:val="single" w:sz="4" w:space="0" w:color="auto"/>
              <w:right w:val="single" w:sz="4" w:space="0" w:color="auto"/>
            </w:tcBorders>
            <w:vAlign w:val="center"/>
            <w:hideMark/>
          </w:tcPr>
          <w:p w14:paraId="2252A1B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160,00</w:t>
            </w:r>
          </w:p>
        </w:tc>
      </w:tr>
      <w:tr w:rsidR="00C22FC1" w:rsidRPr="00C22FC1" w14:paraId="493A9B6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19D3BA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363</w:t>
            </w:r>
          </w:p>
        </w:tc>
        <w:tc>
          <w:tcPr>
            <w:tcW w:w="0" w:type="auto"/>
            <w:tcBorders>
              <w:top w:val="nil"/>
              <w:left w:val="nil"/>
              <w:bottom w:val="single" w:sz="4" w:space="0" w:color="auto"/>
              <w:right w:val="single" w:sz="4" w:space="0" w:color="auto"/>
            </w:tcBorders>
            <w:vAlign w:val="bottom"/>
            <w:hideMark/>
          </w:tcPr>
          <w:p w14:paraId="3805A96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6.000 L até 8.000 L</w:t>
            </w:r>
          </w:p>
        </w:tc>
        <w:tc>
          <w:tcPr>
            <w:tcW w:w="0" w:type="auto"/>
            <w:tcBorders>
              <w:top w:val="nil"/>
              <w:left w:val="nil"/>
              <w:bottom w:val="single" w:sz="4" w:space="0" w:color="auto"/>
              <w:right w:val="single" w:sz="4" w:space="0" w:color="auto"/>
            </w:tcBorders>
            <w:vAlign w:val="center"/>
            <w:hideMark/>
          </w:tcPr>
          <w:p w14:paraId="4C403EC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213,00</w:t>
            </w:r>
          </w:p>
        </w:tc>
        <w:tc>
          <w:tcPr>
            <w:tcW w:w="0" w:type="auto"/>
            <w:tcBorders>
              <w:top w:val="nil"/>
              <w:left w:val="nil"/>
              <w:bottom w:val="single" w:sz="4" w:space="0" w:color="auto"/>
              <w:right w:val="single" w:sz="4" w:space="0" w:color="auto"/>
            </w:tcBorders>
            <w:vAlign w:val="center"/>
            <w:hideMark/>
          </w:tcPr>
          <w:p w14:paraId="57B4AC1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213,00</w:t>
            </w:r>
          </w:p>
        </w:tc>
      </w:tr>
      <w:tr w:rsidR="00C22FC1" w:rsidRPr="00C22FC1" w14:paraId="78ED78F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868052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364</w:t>
            </w:r>
          </w:p>
        </w:tc>
        <w:tc>
          <w:tcPr>
            <w:tcW w:w="0" w:type="auto"/>
            <w:tcBorders>
              <w:top w:val="nil"/>
              <w:left w:val="nil"/>
              <w:bottom w:val="single" w:sz="4" w:space="0" w:color="auto"/>
              <w:right w:val="single" w:sz="4" w:space="0" w:color="auto"/>
            </w:tcBorders>
            <w:vAlign w:val="bottom"/>
            <w:hideMark/>
          </w:tcPr>
          <w:p w14:paraId="799B4B8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8.000 L até 10.000 L</w:t>
            </w:r>
          </w:p>
        </w:tc>
        <w:tc>
          <w:tcPr>
            <w:tcW w:w="0" w:type="auto"/>
            <w:tcBorders>
              <w:top w:val="nil"/>
              <w:left w:val="nil"/>
              <w:bottom w:val="single" w:sz="4" w:space="0" w:color="auto"/>
              <w:right w:val="single" w:sz="4" w:space="0" w:color="auto"/>
            </w:tcBorders>
            <w:vAlign w:val="center"/>
            <w:hideMark/>
          </w:tcPr>
          <w:p w14:paraId="55ACDB5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267,00</w:t>
            </w:r>
          </w:p>
        </w:tc>
        <w:tc>
          <w:tcPr>
            <w:tcW w:w="0" w:type="auto"/>
            <w:tcBorders>
              <w:top w:val="nil"/>
              <w:left w:val="nil"/>
              <w:bottom w:val="single" w:sz="4" w:space="0" w:color="auto"/>
              <w:right w:val="single" w:sz="4" w:space="0" w:color="auto"/>
            </w:tcBorders>
            <w:vAlign w:val="center"/>
            <w:hideMark/>
          </w:tcPr>
          <w:p w14:paraId="6366C70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267,00</w:t>
            </w:r>
          </w:p>
        </w:tc>
      </w:tr>
      <w:tr w:rsidR="00C22FC1" w:rsidRPr="00C22FC1" w14:paraId="34FAC42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9472C8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365</w:t>
            </w:r>
          </w:p>
        </w:tc>
        <w:tc>
          <w:tcPr>
            <w:tcW w:w="0" w:type="auto"/>
            <w:tcBorders>
              <w:top w:val="nil"/>
              <w:left w:val="nil"/>
              <w:bottom w:val="single" w:sz="4" w:space="0" w:color="auto"/>
              <w:right w:val="single" w:sz="4" w:space="0" w:color="auto"/>
            </w:tcBorders>
            <w:vAlign w:val="bottom"/>
            <w:hideMark/>
          </w:tcPr>
          <w:p w14:paraId="4A84B7F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10.000 L até 20.000 L</w:t>
            </w:r>
          </w:p>
        </w:tc>
        <w:tc>
          <w:tcPr>
            <w:tcW w:w="0" w:type="auto"/>
            <w:tcBorders>
              <w:top w:val="nil"/>
              <w:left w:val="nil"/>
              <w:bottom w:val="single" w:sz="4" w:space="0" w:color="auto"/>
              <w:right w:val="single" w:sz="4" w:space="0" w:color="auto"/>
            </w:tcBorders>
            <w:vAlign w:val="center"/>
            <w:hideMark/>
          </w:tcPr>
          <w:p w14:paraId="60929F6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534,00</w:t>
            </w:r>
          </w:p>
        </w:tc>
        <w:tc>
          <w:tcPr>
            <w:tcW w:w="0" w:type="auto"/>
            <w:tcBorders>
              <w:top w:val="nil"/>
              <w:left w:val="nil"/>
              <w:bottom w:val="single" w:sz="4" w:space="0" w:color="auto"/>
              <w:right w:val="single" w:sz="4" w:space="0" w:color="auto"/>
            </w:tcBorders>
            <w:vAlign w:val="center"/>
            <w:hideMark/>
          </w:tcPr>
          <w:p w14:paraId="73F9107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534,00</w:t>
            </w:r>
          </w:p>
        </w:tc>
      </w:tr>
      <w:tr w:rsidR="00C22FC1" w:rsidRPr="00C22FC1" w14:paraId="3C65827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345163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366</w:t>
            </w:r>
          </w:p>
        </w:tc>
        <w:tc>
          <w:tcPr>
            <w:tcW w:w="0" w:type="auto"/>
            <w:tcBorders>
              <w:top w:val="nil"/>
              <w:left w:val="nil"/>
              <w:bottom w:val="single" w:sz="4" w:space="0" w:color="auto"/>
              <w:right w:val="single" w:sz="4" w:space="0" w:color="auto"/>
            </w:tcBorders>
            <w:vAlign w:val="bottom"/>
            <w:hideMark/>
          </w:tcPr>
          <w:p w14:paraId="5C721F5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20.000 L até 40.000 L</w:t>
            </w:r>
          </w:p>
        </w:tc>
        <w:tc>
          <w:tcPr>
            <w:tcW w:w="0" w:type="auto"/>
            <w:tcBorders>
              <w:top w:val="nil"/>
              <w:left w:val="nil"/>
              <w:bottom w:val="single" w:sz="4" w:space="0" w:color="auto"/>
              <w:right w:val="single" w:sz="4" w:space="0" w:color="auto"/>
            </w:tcBorders>
            <w:vAlign w:val="center"/>
            <w:hideMark/>
          </w:tcPr>
          <w:p w14:paraId="2128FA8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825,00</w:t>
            </w:r>
          </w:p>
        </w:tc>
        <w:tc>
          <w:tcPr>
            <w:tcW w:w="0" w:type="auto"/>
            <w:tcBorders>
              <w:top w:val="nil"/>
              <w:left w:val="nil"/>
              <w:bottom w:val="single" w:sz="4" w:space="0" w:color="auto"/>
              <w:right w:val="single" w:sz="4" w:space="0" w:color="auto"/>
            </w:tcBorders>
            <w:vAlign w:val="center"/>
            <w:hideMark/>
          </w:tcPr>
          <w:p w14:paraId="3C2040D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825,00</w:t>
            </w:r>
          </w:p>
        </w:tc>
      </w:tr>
      <w:tr w:rsidR="00C22FC1" w:rsidRPr="00C22FC1" w14:paraId="6E4BADD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D4A750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367</w:t>
            </w:r>
          </w:p>
        </w:tc>
        <w:tc>
          <w:tcPr>
            <w:tcW w:w="0" w:type="auto"/>
            <w:tcBorders>
              <w:top w:val="nil"/>
              <w:left w:val="nil"/>
              <w:bottom w:val="single" w:sz="4" w:space="0" w:color="auto"/>
              <w:right w:val="single" w:sz="4" w:space="0" w:color="auto"/>
            </w:tcBorders>
            <w:vAlign w:val="bottom"/>
            <w:hideMark/>
          </w:tcPr>
          <w:p w14:paraId="4C77918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40.000 L</w:t>
            </w:r>
          </w:p>
        </w:tc>
        <w:tc>
          <w:tcPr>
            <w:tcW w:w="0" w:type="auto"/>
            <w:tcBorders>
              <w:top w:val="nil"/>
              <w:left w:val="nil"/>
              <w:bottom w:val="single" w:sz="4" w:space="0" w:color="auto"/>
              <w:right w:val="single" w:sz="4" w:space="0" w:color="auto"/>
            </w:tcBorders>
            <w:vAlign w:val="center"/>
            <w:hideMark/>
          </w:tcPr>
          <w:p w14:paraId="22171D5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1.630,00</w:t>
            </w:r>
          </w:p>
        </w:tc>
        <w:tc>
          <w:tcPr>
            <w:tcW w:w="0" w:type="auto"/>
            <w:tcBorders>
              <w:top w:val="nil"/>
              <w:left w:val="nil"/>
              <w:bottom w:val="single" w:sz="4" w:space="0" w:color="auto"/>
              <w:right w:val="single" w:sz="4" w:space="0" w:color="auto"/>
            </w:tcBorders>
            <w:vAlign w:val="center"/>
            <w:hideMark/>
          </w:tcPr>
          <w:p w14:paraId="6BCE8ED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1.630,00</w:t>
            </w:r>
          </w:p>
        </w:tc>
      </w:tr>
      <w:tr w:rsidR="00C22FC1" w:rsidRPr="00C22FC1" w14:paraId="60F4951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8581CB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368</w:t>
            </w:r>
          </w:p>
        </w:tc>
        <w:tc>
          <w:tcPr>
            <w:tcW w:w="0" w:type="auto"/>
            <w:tcBorders>
              <w:top w:val="nil"/>
              <w:left w:val="nil"/>
              <w:bottom w:val="single" w:sz="4" w:space="0" w:color="auto"/>
              <w:right w:val="single" w:sz="4" w:space="0" w:color="auto"/>
            </w:tcBorders>
            <w:vAlign w:val="bottom"/>
            <w:hideMark/>
          </w:tcPr>
          <w:p w14:paraId="17537B9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Dispositivo de referência adicional. Cada dispositivo</w:t>
            </w:r>
          </w:p>
        </w:tc>
        <w:tc>
          <w:tcPr>
            <w:tcW w:w="0" w:type="auto"/>
            <w:tcBorders>
              <w:top w:val="nil"/>
              <w:left w:val="nil"/>
              <w:bottom w:val="single" w:sz="4" w:space="0" w:color="auto"/>
              <w:right w:val="single" w:sz="4" w:space="0" w:color="auto"/>
            </w:tcBorders>
            <w:vAlign w:val="center"/>
            <w:hideMark/>
          </w:tcPr>
          <w:p w14:paraId="78B83BA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130,00</w:t>
            </w:r>
          </w:p>
        </w:tc>
        <w:tc>
          <w:tcPr>
            <w:tcW w:w="0" w:type="auto"/>
            <w:tcBorders>
              <w:top w:val="nil"/>
              <w:left w:val="nil"/>
              <w:bottom w:val="single" w:sz="4" w:space="0" w:color="auto"/>
              <w:right w:val="single" w:sz="4" w:space="0" w:color="auto"/>
            </w:tcBorders>
            <w:vAlign w:val="center"/>
            <w:hideMark/>
          </w:tcPr>
          <w:p w14:paraId="4ED51E3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130,00</w:t>
            </w:r>
          </w:p>
        </w:tc>
      </w:tr>
      <w:tr w:rsidR="00C22FC1" w:rsidRPr="00C22FC1" w14:paraId="1ABB9D9D"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2207A7C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medição para volume de líquidos, exceto água</w:t>
            </w:r>
          </w:p>
        </w:tc>
      </w:tr>
      <w:tr w:rsidR="00C22FC1" w:rsidRPr="00C22FC1" w14:paraId="02DBC93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A9A453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7B5EE74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Instalação de medição (medidores volumétricos)</w:t>
            </w:r>
          </w:p>
        </w:tc>
      </w:tr>
      <w:tr w:rsidR="00C22FC1" w:rsidRPr="00C22FC1" w14:paraId="2CC6A9D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4C319D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371</w:t>
            </w:r>
          </w:p>
        </w:tc>
        <w:tc>
          <w:tcPr>
            <w:tcW w:w="0" w:type="auto"/>
            <w:tcBorders>
              <w:top w:val="nil"/>
              <w:left w:val="nil"/>
              <w:bottom w:val="single" w:sz="4" w:space="0" w:color="auto"/>
              <w:right w:val="single" w:sz="4" w:space="0" w:color="auto"/>
            </w:tcBorders>
            <w:vAlign w:val="bottom"/>
            <w:hideMark/>
          </w:tcPr>
          <w:p w14:paraId="0BC27B2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Sistema de medição de óleo lubrificante até 50 L/min</w:t>
            </w:r>
          </w:p>
        </w:tc>
        <w:tc>
          <w:tcPr>
            <w:tcW w:w="0" w:type="auto"/>
            <w:tcBorders>
              <w:top w:val="nil"/>
              <w:left w:val="nil"/>
              <w:bottom w:val="single" w:sz="4" w:space="0" w:color="auto"/>
              <w:right w:val="single" w:sz="4" w:space="0" w:color="auto"/>
            </w:tcBorders>
            <w:vAlign w:val="center"/>
            <w:hideMark/>
          </w:tcPr>
          <w:p w14:paraId="3EFAC32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102,00</w:t>
            </w:r>
          </w:p>
        </w:tc>
        <w:tc>
          <w:tcPr>
            <w:tcW w:w="0" w:type="auto"/>
            <w:tcBorders>
              <w:top w:val="nil"/>
              <w:left w:val="nil"/>
              <w:bottom w:val="single" w:sz="4" w:space="0" w:color="auto"/>
              <w:right w:val="single" w:sz="4" w:space="0" w:color="auto"/>
            </w:tcBorders>
            <w:vAlign w:val="center"/>
            <w:hideMark/>
          </w:tcPr>
          <w:p w14:paraId="351CCBE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34,00</w:t>
            </w:r>
          </w:p>
        </w:tc>
      </w:tr>
      <w:tr w:rsidR="00C22FC1" w:rsidRPr="00C22FC1" w14:paraId="57058FF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C6D956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7309B8D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Bomba medidora para combustíveis</w:t>
            </w:r>
          </w:p>
        </w:tc>
      </w:tr>
      <w:tr w:rsidR="00C22FC1" w:rsidRPr="00C22FC1" w14:paraId="3906421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B719C1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372</w:t>
            </w:r>
          </w:p>
        </w:tc>
        <w:tc>
          <w:tcPr>
            <w:tcW w:w="0" w:type="auto"/>
            <w:tcBorders>
              <w:top w:val="nil"/>
              <w:left w:val="nil"/>
              <w:bottom w:val="single" w:sz="4" w:space="0" w:color="auto"/>
              <w:right w:val="single" w:sz="4" w:space="0" w:color="auto"/>
            </w:tcBorders>
            <w:vAlign w:val="bottom"/>
            <w:hideMark/>
          </w:tcPr>
          <w:p w14:paraId="207D637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20 L/min até 100 L/min</w:t>
            </w:r>
          </w:p>
        </w:tc>
        <w:tc>
          <w:tcPr>
            <w:tcW w:w="0" w:type="auto"/>
            <w:tcBorders>
              <w:top w:val="nil"/>
              <w:left w:val="nil"/>
              <w:bottom w:val="single" w:sz="4" w:space="0" w:color="auto"/>
              <w:right w:val="single" w:sz="4" w:space="0" w:color="auto"/>
            </w:tcBorders>
            <w:vAlign w:val="center"/>
            <w:hideMark/>
          </w:tcPr>
          <w:p w14:paraId="055D888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132,50</w:t>
            </w:r>
          </w:p>
        </w:tc>
        <w:tc>
          <w:tcPr>
            <w:tcW w:w="0" w:type="auto"/>
            <w:tcBorders>
              <w:top w:val="nil"/>
              <w:left w:val="nil"/>
              <w:bottom w:val="single" w:sz="4" w:space="0" w:color="auto"/>
              <w:right w:val="single" w:sz="4" w:space="0" w:color="auto"/>
            </w:tcBorders>
            <w:vAlign w:val="center"/>
            <w:hideMark/>
          </w:tcPr>
          <w:p w14:paraId="704C452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42,50</w:t>
            </w:r>
          </w:p>
        </w:tc>
      </w:tr>
      <w:tr w:rsidR="00C22FC1" w:rsidRPr="00C22FC1" w14:paraId="1C61EE6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0221A2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373</w:t>
            </w:r>
          </w:p>
        </w:tc>
        <w:tc>
          <w:tcPr>
            <w:tcW w:w="0" w:type="auto"/>
            <w:tcBorders>
              <w:top w:val="nil"/>
              <w:left w:val="nil"/>
              <w:bottom w:val="single" w:sz="4" w:space="0" w:color="auto"/>
              <w:right w:val="single" w:sz="4" w:space="0" w:color="auto"/>
            </w:tcBorders>
            <w:vAlign w:val="bottom"/>
            <w:hideMark/>
          </w:tcPr>
          <w:p w14:paraId="775189E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100 L/min até 500 L/min</w:t>
            </w:r>
          </w:p>
        </w:tc>
        <w:tc>
          <w:tcPr>
            <w:tcW w:w="0" w:type="auto"/>
            <w:tcBorders>
              <w:top w:val="nil"/>
              <w:left w:val="nil"/>
              <w:bottom w:val="single" w:sz="4" w:space="0" w:color="auto"/>
              <w:right w:val="single" w:sz="4" w:space="0" w:color="auto"/>
            </w:tcBorders>
            <w:vAlign w:val="center"/>
            <w:hideMark/>
          </w:tcPr>
          <w:p w14:paraId="0E235C6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161,40</w:t>
            </w:r>
          </w:p>
        </w:tc>
        <w:tc>
          <w:tcPr>
            <w:tcW w:w="0" w:type="auto"/>
            <w:tcBorders>
              <w:top w:val="nil"/>
              <w:left w:val="nil"/>
              <w:bottom w:val="single" w:sz="4" w:space="0" w:color="auto"/>
              <w:right w:val="single" w:sz="4" w:space="0" w:color="auto"/>
            </w:tcBorders>
            <w:vAlign w:val="center"/>
            <w:hideMark/>
          </w:tcPr>
          <w:p w14:paraId="7D9D736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54,35</w:t>
            </w:r>
          </w:p>
        </w:tc>
      </w:tr>
      <w:tr w:rsidR="00C22FC1" w:rsidRPr="00C22FC1" w14:paraId="6A09063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404663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67D1788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Sistema de medição em veículos tanque</w:t>
            </w:r>
          </w:p>
        </w:tc>
      </w:tr>
      <w:tr w:rsidR="00C22FC1" w:rsidRPr="00C22FC1" w14:paraId="7CC4243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7414B6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374</w:t>
            </w:r>
          </w:p>
        </w:tc>
        <w:tc>
          <w:tcPr>
            <w:tcW w:w="0" w:type="auto"/>
            <w:tcBorders>
              <w:top w:val="nil"/>
              <w:left w:val="nil"/>
              <w:bottom w:val="single" w:sz="4" w:space="0" w:color="auto"/>
              <w:right w:val="single" w:sz="4" w:space="0" w:color="auto"/>
            </w:tcBorders>
            <w:vAlign w:val="bottom"/>
            <w:hideMark/>
          </w:tcPr>
          <w:p w14:paraId="1EF6377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500 L/min</w:t>
            </w:r>
          </w:p>
        </w:tc>
        <w:tc>
          <w:tcPr>
            <w:tcW w:w="0" w:type="auto"/>
            <w:tcBorders>
              <w:top w:val="nil"/>
              <w:left w:val="nil"/>
              <w:bottom w:val="single" w:sz="4" w:space="0" w:color="auto"/>
              <w:right w:val="single" w:sz="4" w:space="0" w:color="auto"/>
            </w:tcBorders>
            <w:vAlign w:val="center"/>
            <w:hideMark/>
          </w:tcPr>
          <w:p w14:paraId="66BB692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485,90</w:t>
            </w:r>
          </w:p>
        </w:tc>
        <w:tc>
          <w:tcPr>
            <w:tcW w:w="0" w:type="auto"/>
            <w:tcBorders>
              <w:top w:val="nil"/>
              <w:left w:val="nil"/>
              <w:bottom w:val="single" w:sz="4" w:space="0" w:color="auto"/>
              <w:right w:val="single" w:sz="4" w:space="0" w:color="auto"/>
            </w:tcBorders>
            <w:vAlign w:val="center"/>
            <w:hideMark/>
          </w:tcPr>
          <w:p w14:paraId="3EBD3C6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159,70</w:t>
            </w:r>
          </w:p>
        </w:tc>
      </w:tr>
      <w:tr w:rsidR="00C22FC1" w:rsidRPr="00C22FC1" w14:paraId="0178C93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BAD830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375</w:t>
            </w:r>
          </w:p>
        </w:tc>
        <w:tc>
          <w:tcPr>
            <w:tcW w:w="0" w:type="auto"/>
            <w:tcBorders>
              <w:top w:val="nil"/>
              <w:left w:val="nil"/>
              <w:bottom w:val="single" w:sz="4" w:space="0" w:color="auto"/>
              <w:right w:val="single" w:sz="4" w:space="0" w:color="auto"/>
            </w:tcBorders>
            <w:vAlign w:val="bottom"/>
            <w:hideMark/>
          </w:tcPr>
          <w:p w14:paraId="1A87AC7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500 L/min</w:t>
            </w:r>
          </w:p>
        </w:tc>
        <w:tc>
          <w:tcPr>
            <w:tcW w:w="0" w:type="auto"/>
            <w:tcBorders>
              <w:top w:val="nil"/>
              <w:left w:val="nil"/>
              <w:bottom w:val="single" w:sz="4" w:space="0" w:color="auto"/>
              <w:right w:val="single" w:sz="4" w:space="0" w:color="auto"/>
            </w:tcBorders>
            <w:vAlign w:val="center"/>
            <w:hideMark/>
          </w:tcPr>
          <w:p w14:paraId="61F0D2D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652,40</w:t>
            </w:r>
          </w:p>
        </w:tc>
        <w:tc>
          <w:tcPr>
            <w:tcW w:w="0" w:type="auto"/>
            <w:tcBorders>
              <w:top w:val="nil"/>
              <w:left w:val="nil"/>
              <w:bottom w:val="single" w:sz="4" w:space="0" w:color="auto"/>
              <w:right w:val="single" w:sz="4" w:space="0" w:color="auto"/>
            </w:tcBorders>
            <w:vAlign w:val="center"/>
            <w:hideMark/>
          </w:tcPr>
          <w:p w14:paraId="6ED521A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215,80</w:t>
            </w:r>
          </w:p>
        </w:tc>
      </w:tr>
      <w:tr w:rsidR="00C22FC1" w:rsidRPr="00C22FC1" w14:paraId="76F443B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1CB98F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4AB7599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Sistema de medição de leite</w:t>
            </w:r>
          </w:p>
        </w:tc>
      </w:tr>
      <w:tr w:rsidR="00C22FC1" w:rsidRPr="00C22FC1" w14:paraId="387009C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3D5B30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376</w:t>
            </w:r>
          </w:p>
        </w:tc>
        <w:tc>
          <w:tcPr>
            <w:tcW w:w="0" w:type="auto"/>
            <w:tcBorders>
              <w:top w:val="nil"/>
              <w:left w:val="nil"/>
              <w:bottom w:val="single" w:sz="4" w:space="0" w:color="auto"/>
              <w:right w:val="single" w:sz="4" w:space="0" w:color="auto"/>
            </w:tcBorders>
            <w:vAlign w:val="bottom"/>
            <w:hideMark/>
          </w:tcPr>
          <w:p w14:paraId="084198D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100 L/min até 500 L/min</w:t>
            </w:r>
          </w:p>
        </w:tc>
        <w:tc>
          <w:tcPr>
            <w:tcW w:w="0" w:type="auto"/>
            <w:tcBorders>
              <w:top w:val="nil"/>
              <w:left w:val="nil"/>
              <w:bottom w:val="single" w:sz="4" w:space="0" w:color="auto"/>
              <w:right w:val="single" w:sz="4" w:space="0" w:color="auto"/>
            </w:tcBorders>
            <w:vAlign w:val="center"/>
            <w:hideMark/>
          </w:tcPr>
          <w:p w14:paraId="57922C2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343,20</w:t>
            </w:r>
          </w:p>
        </w:tc>
        <w:tc>
          <w:tcPr>
            <w:tcW w:w="0" w:type="auto"/>
            <w:tcBorders>
              <w:top w:val="nil"/>
              <w:left w:val="nil"/>
              <w:bottom w:val="single" w:sz="4" w:space="0" w:color="auto"/>
              <w:right w:val="single" w:sz="4" w:space="0" w:color="auto"/>
            </w:tcBorders>
            <w:vAlign w:val="center"/>
            <w:hideMark/>
          </w:tcPr>
          <w:p w14:paraId="1DB4B42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113,30</w:t>
            </w:r>
          </w:p>
        </w:tc>
      </w:tr>
      <w:tr w:rsidR="00C22FC1" w:rsidRPr="00C22FC1" w14:paraId="4B89331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D34917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377</w:t>
            </w:r>
          </w:p>
        </w:tc>
        <w:tc>
          <w:tcPr>
            <w:tcW w:w="0" w:type="auto"/>
            <w:tcBorders>
              <w:top w:val="nil"/>
              <w:left w:val="nil"/>
              <w:bottom w:val="single" w:sz="4" w:space="0" w:color="auto"/>
              <w:right w:val="single" w:sz="4" w:space="0" w:color="auto"/>
            </w:tcBorders>
            <w:vAlign w:val="bottom"/>
            <w:hideMark/>
          </w:tcPr>
          <w:p w14:paraId="24BDE24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500 L/min até 1.000 L/min</w:t>
            </w:r>
          </w:p>
        </w:tc>
        <w:tc>
          <w:tcPr>
            <w:tcW w:w="0" w:type="auto"/>
            <w:tcBorders>
              <w:top w:val="nil"/>
              <w:left w:val="nil"/>
              <w:bottom w:val="single" w:sz="4" w:space="0" w:color="auto"/>
              <w:right w:val="single" w:sz="4" w:space="0" w:color="auto"/>
            </w:tcBorders>
            <w:vAlign w:val="center"/>
            <w:hideMark/>
          </w:tcPr>
          <w:p w14:paraId="239E289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453,50</w:t>
            </w:r>
          </w:p>
        </w:tc>
        <w:tc>
          <w:tcPr>
            <w:tcW w:w="0" w:type="auto"/>
            <w:tcBorders>
              <w:top w:val="nil"/>
              <w:left w:val="nil"/>
              <w:bottom w:val="single" w:sz="4" w:space="0" w:color="auto"/>
              <w:right w:val="single" w:sz="4" w:space="0" w:color="auto"/>
            </w:tcBorders>
            <w:vAlign w:val="center"/>
            <w:hideMark/>
          </w:tcPr>
          <w:p w14:paraId="0587F33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150,30</w:t>
            </w:r>
          </w:p>
        </w:tc>
      </w:tr>
      <w:tr w:rsidR="00C22FC1" w:rsidRPr="00C22FC1" w14:paraId="19F17F1B"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697A754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medição para volume de líquidos, exceto água (ensaios realizados em laboratório)</w:t>
            </w:r>
          </w:p>
        </w:tc>
      </w:tr>
      <w:tr w:rsidR="00C22FC1" w:rsidRPr="00C22FC1" w14:paraId="70FE8BA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0A5FAA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5A8D122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Tipo deslocamento positivo e turbina</w:t>
            </w:r>
          </w:p>
        </w:tc>
      </w:tr>
      <w:tr w:rsidR="00C22FC1" w:rsidRPr="00C22FC1" w14:paraId="0A5C665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04080E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1001</w:t>
            </w:r>
          </w:p>
        </w:tc>
        <w:tc>
          <w:tcPr>
            <w:tcW w:w="0" w:type="auto"/>
            <w:tcBorders>
              <w:top w:val="nil"/>
              <w:left w:val="nil"/>
              <w:bottom w:val="single" w:sz="4" w:space="0" w:color="auto"/>
              <w:right w:val="single" w:sz="4" w:space="0" w:color="auto"/>
            </w:tcBorders>
            <w:vAlign w:val="bottom"/>
            <w:hideMark/>
          </w:tcPr>
          <w:p w14:paraId="759ED64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DN 50</w:t>
            </w:r>
          </w:p>
        </w:tc>
        <w:tc>
          <w:tcPr>
            <w:tcW w:w="0" w:type="auto"/>
            <w:tcBorders>
              <w:top w:val="nil"/>
              <w:left w:val="nil"/>
              <w:bottom w:val="single" w:sz="4" w:space="0" w:color="auto"/>
              <w:right w:val="single" w:sz="4" w:space="0" w:color="auto"/>
            </w:tcBorders>
            <w:vAlign w:val="center"/>
            <w:hideMark/>
          </w:tcPr>
          <w:p w14:paraId="698FDF2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720,00</w:t>
            </w:r>
          </w:p>
        </w:tc>
        <w:tc>
          <w:tcPr>
            <w:tcW w:w="0" w:type="auto"/>
            <w:tcBorders>
              <w:top w:val="nil"/>
              <w:left w:val="nil"/>
              <w:bottom w:val="single" w:sz="4" w:space="0" w:color="auto"/>
              <w:right w:val="single" w:sz="4" w:space="0" w:color="auto"/>
            </w:tcBorders>
            <w:vAlign w:val="center"/>
            <w:hideMark/>
          </w:tcPr>
          <w:p w14:paraId="4F6FAD6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600,00</w:t>
            </w:r>
          </w:p>
        </w:tc>
      </w:tr>
      <w:tr w:rsidR="00C22FC1" w:rsidRPr="00C22FC1" w14:paraId="3BC7B61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5CFFA1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1002</w:t>
            </w:r>
          </w:p>
        </w:tc>
        <w:tc>
          <w:tcPr>
            <w:tcW w:w="0" w:type="auto"/>
            <w:tcBorders>
              <w:top w:val="nil"/>
              <w:left w:val="nil"/>
              <w:bottom w:val="single" w:sz="4" w:space="0" w:color="auto"/>
              <w:right w:val="single" w:sz="4" w:space="0" w:color="auto"/>
            </w:tcBorders>
            <w:vAlign w:val="bottom"/>
            <w:hideMark/>
          </w:tcPr>
          <w:p w14:paraId="66BA2B4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50 até DN 100</w:t>
            </w:r>
          </w:p>
        </w:tc>
        <w:tc>
          <w:tcPr>
            <w:tcW w:w="0" w:type="auto"/>
            <w:tcBorders>
              <w:top w:val="nil"/>
              <w:left w:val="nil"/>
              <w:bottom w:val="single" w:sz="4" w:space="0" w:color="auto"/>
              <w:right w:val="single" w:sz="4" w:space="0" w:color="auto"/>
            </w:tcBorders>
            <w:vAlign w:val="center"/>
            <w:hideMark/>
          </w:tcPr>
          <w:p w14:paraId="0F1C3F3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960,00</w:t>
            </w:r>
          </w:p>
        </w:tc>
        <w:tc>
          <w:tcPr>
            <w:tcW w:w="0" w:type="auto"/>
            <w:tcBorders>
              <w:top w:val="nil"/>
              <w:left w:val="nil"/>
              <w:bottom w:val="single" w:sz="4" w:space="0" w:color="auto"/>
              <w:right w:val="single" w:sz="4" w:space="0" w:color="auto"/>
            </w:tcBorders>
            <w:vAlign w:val="center"/>
            <w:hideMark/>
          </w:tcPr>
          <w:p w14:paraId="49B18EF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800,00</w:t>
            </w:r>
          </w:p>
        </w:tc>
      </w:tr>
      <w:tr w:rsidR="00C22FC1" w:rsidRPr="00C22FC1" w14:paraId="35BB726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7A04D1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1003</w:t>
            </w:r>
          </w:p>
        </w:tc>
        <w:tc>
          <w:tcPr>
            <w:tcW w:w="0" w:type="auto"/>
            <w:tcBorders>
              <w:top w:val="nil"/>
              <w:left w:val="nil"/>
              <w:bottom w:val="single" w:sz="4" w:space="0" w:color="auto"/>
              <w:right w:val="single" w:sz="4" w:space="0" w:color="auto"/>
            </w:tcBorders>
            <w:vAlign w:val="bottom"/>
            <w:hideMark/>
          </w:tcPr>
          <w:p w14:paraId="5BBA5DE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100 até DN 150</w:t>
            </w:r>
          </w:p>
        </w:tc>
        <w:tc>
          <w:tcPr>
            <w:tcW w:w="0" w:type="auto"/>
            <w:tcBorders>
              <w:top w:val="nil"/>
              <w:left w:val="nil"/>
              <w:bottom w:val="single" w:sz="4" w:space="0" w:color="auto"/>
              <w:right w:val="single" w:sz="4" w:space="0" w:color="auto"/>
            </w:tcBorders>
            <w:vAlign w:val="center"/>
            <w:hideMark/>
          </w:tcPr>
          <w:p w14:paraId="17B1F63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1.440,00</w:t>
            </w:r>
          </w:p>
        </w:tc>
        <w:tc>
          <w:tcPr>
            <w:tcW w:w="0" w:type="auto"/>
            <w:tcBorders>
              <w:top w:val="nil"/>
              <w:left w:val="nil"/>
              <w:bottom w:val="single" w:sz="4" w:space="0" w:color="auto"/>
              <w:right w:val="single" w:sz="4" w:space="0" w:color="auto"/>
            </w:tcBorders>
            <w:vAlign w:val="center"/>
            <w:hideMark/>
          </w:tcPr>
          <w:p w14:paraId="21402AE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1.200,00</w:t>
            </w:r>
          </w:p>
        </w:tc>
      </w:tr>
      <w:tr w:rsidR="00C22FC1" w:rsidRPr="00C22FC1" w14:paraId="060AC8F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31FDA7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1004</w:t>
            </w:r>
          </w:p>
        </w:tc>
        <w:tc>
          <w:tcPr>
            <w:tcW w:w="0" w:type="auto"/>
            <w:tcBorders>
              <w:top w:val="nil"/>
              <w:left w:val="nil"/>
              <w:bottom w:val="single" w:sz="4" w:space="0" w:color="auto"/>
              <w:right w:val="single" w:sz="4" w:space="0" w:color="auto"/>
            </w:tcBorders>
            <w:vAlign w:val="bottom"/>
            <w:hideMark/>
          </w:tcPr>
          <w:p w14:paraId="280DD2C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150 até DN 200</w:t>
            </w:r>
          </w:p>
        </w:tc>
        <w:tc>
          <w:tcPr>
            <w:tcW w:w="0" w:type="auto"/>
            <w:tcBorders>
              <w:top w:val="nil"/>
              <w:left w:val="nil"/>
              <w:bottom w:val="single" w:sz="4" w:space="0" w:color="auto"/>
              <w:right w:val="single" w:sz="4" w:space="0" w:color="auto"/>
            </w:tcBorders>
            <w:vAlign w:val="center"/>
            <w:hideMark/>
          </w:tcPr>
          <w:p w14:paraId="355C601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1.800,00</w:t>
            </w:r>
          </w:p>
        </w:tc>
        <w:tc>
          <w:tcPr>
            <w:tcW w:w="0" w:type="auto"/>
            <w:tcBorders>
              <w:top w:val="nil"/>
              <w:left w:val="nil"/>
              <w:bottom w:val="single" w:sz="4" w:space="0" w:color="auto"/>
              <w:right w:val="single" w:sz="4" w:space="0" w:color="auto"/>
            </w:tcBorders>
            <w:vAlign w:val="center"/>
            <w:hideMark/>
          </w:tcPr>
          <w:p w14:paraId="33DED12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1.500,00</w:t>
            </w:r>
          </w:p>
        </w:tc>
      </w:tr>
      <w:tr w:rsidR="00C22FC1" w:rsidRPr="00C22FC1" w14:paraId="3704FD7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6CC98F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1005</w:t>
            </w:r>
          </w:p>
        </w:tc>
        <w:tc>
          <w:tcPr>
            <w:tcW w:w="0" w:type="auto"/>
            <w:tcBorders>
              <w:top w:val="nil"/>
              <w:left w:val="nil"/>
              <w:bottom w:val="single" w:sz="4" w:space="0" w:color="auto"/>
              <w:right w:val="single" w:sz="4" w:space="0" w:color="auto"/>
            </w:tcBorders>
            <w:vAlign w:val="bottom"/>
            <w:hideMark/>
          </w:tcPr>
          <w:p w14:paraId="5215823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200 até DN 300</w:t>
            </w:r>
          </w:p>
        </w:tc>
        <w:tc>
          <w:tcPr>
            <w:tcW w:w="0" w:type="auto"/>
            <w:tcBorders>
              <w:top w:val="nil"/>
              <w:left w:val="nil"/>
              <w:bottom w:val="single" w:sz="4" w:space="0" w:color="auto"/>
              <w:right w:val="single" w:sz="4" w:space="0" w:color="auto"/>
            </w:tcBorders>
            <w:vAlign w:val="center"/>
            <w:hideMark/>
          </w:tcPr>
          <w:p w14:paraId="1E31583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2.400,00</w:t>
            </w:r>
          </w:p>
        </w:tc>
        <w:tc>
          <w:tcPr>
            <w:tcW w:w="0" w:type="auto"/>
            <w:tcBorders>
              <w:top w:val="nil"/>
              <w:left w:val="nil"/>
              <w:bottom w:val="single" w:sz="4" w:space="0" w:color="auto"/>
              <w:right w:val="single" w:sz="4" w:space="0" w:color="auto"/>
            </w:tcBorders>
            <w:vAlign w:val="center"/>
            <w:hideMark/>
          </w:tcPr>
          <w:p w14:paraId="66110BF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2.000,00</w:t>
            </w:r>
          </w:p>
        </w:tc>
      </w:tr>
      <w:tr w:rsidR="00C22FC1" w:rsidRPr="00C22FC1" w14:paraId="03701C1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57C85F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1006</w:t>
            </w:r>
          </w:p>
        </w:tc>
        <w:tc>
          <w:tcPr>
            <w:tcW w:w="0" w:type="auto"/>
            <w:tcBorders>
              <w:top w:val="nil"/>
              <w:left w:val="nil"/>
              <w:bottom w:val="single" w:sz="4" w:space="0" w:color="auto"/>
              <w:right w:val="single" w:sz="4" w:space="0" w:color="auto"/>
            </w:tcBorders>
            <w:vAlign w:val="bottom"/>
            <w:hideMark/>
          </w:tcPr>
          <w:p w14:paraId="252B1B8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300 até DN 400</w:t>
            </w:r>
          </w:p>
        </w:tc>
        <w:tc>
          <w:tcPr>
            <w:tcW w:w="0" w:type="auto"/>
            <w:tcBorders>
              <w:top w:val="nil"/>
              <w:left w:val="nil"/>
              <w:bottom w:val="single" w:sz="4" w:space="0" w:color="auto"/>
              <w:right w:val="single" w:sz="4" w:space="0" w:color="auto"/>
            </w:tcBorders>
            <w:vAlign w:val="center"/>
            <w:hideMark/>
          </w:tcPr>
          <w:p w14:paraId="01CB237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3.000,00</w:t>
            </w:r>
          </w:p>
        </w:tc>
        <w:tc>
          <w:tcPr>
            <w:tcW w:w="0" w:type="auto"/>
            <w:tcBorders>
              <w:top w:val="nil"/>
              <w:left w:val="nil"/>
              <w:bottom w:val="single" w:sz="4" w:space="0" w:color="auto"/>
              <w:right w:val="single" w:sz="4" w:space="0" w:color="auto"/>
            </w:tcBorders>
            <w:vAlign w:val="center"/>
            <w:hideMark/>
          </w:tcPr>
          <w:p w14:paraId="691C72E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2.500,00</w:t>
            </w:r>
          </w:p>
        </w:tc>
      </w:tr>
      <w:tr w:rsidR="00C22FC1" w:rsidRPr="00C22FC1" w14:paraId="682D147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EF2CD4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1007</w:t>
            </w:r>
          </w:p>
        </w:tc>
        <w:tc>
          <w:tcPr>
            <w:tcW w:w="0" w:type="auto"/>
            <w:tcBorders>
              <w:top w:val="nil"/>
              <w:left w:val="nil"/>
              <w:bottom w:val="single" w:sz="4" w:space="0" w:color="auto"/>
              <w:right w:val="single" w:sz="4" w:space="0" w:color="auto"/>
            </w:tcBorders>
            <w:vAlign w:val="bottom"/>
            <w:hideMark/>
          </w:tcPr>
          <w:p w14:paraId="43BB54E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400 até DN 500</w:t>
            </w:r>
          </w:p>
        </w:tc>
        <w:tc>
          <w:tcPr>
            <w:tcW w:w="0" w:type="auto"/>
            <w:tcBorders>
              <w:top w:val="nil"/>
              <w:left w:val="nil"/>
              <w:bottom w:val="single" w:sz="4" w:space="0" w:color="auto"/>
              <w:right w:val="single" w:sz="4" w:space="0" w:color="auto"/>
            </w:tcBorders>
            <w:vAlign w:val="center"/>
            <w:hideMark/>
          </w:tcPr>
          <w:p w14:paraId="04B5BA1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3.600,00</w:t>
            </w:r>
          </w:p>
        </w:tc>
        <w:tc>
          <w:tcPr>
            <w:tcW w:w="0" w:type="auto"/>
            <w:tcBorders>
              <w:top w:val="nil"/>
              <w:left w:val="nil"/>
              <w:bottom w:val="single" w:sz="4" w:space="0" w:color="auto"/>
              <w:right w:val="single" w:sz="4" w:space="0" w:color="auto"/>
            </w:tcBorders>
            <w:vAlign w:val="center"/>
            <w:hideMark/>
          </w:tcPr>
          <w:p w14:paraId="4AB04AA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3.000,00</w:t>
            </w:r>
          </w:p>
        </w:tc>
      </w:tr>
      <w:tr w:rsidR="00C22FC1" w:rsidRPr="00C22FC1" w14:paraId="49016B0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477796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1008</w:t>
            </w:r>
          </w:p>
        </w:tc>
        <w:tc>
          <w:tcPr>
            <w:tcW w:w="0" w:type="auto"/>
            <w:tcBorders>
              <w:top w:val="nil"/>
              <w:left w:val="nil"/>
              <w:bottom w:val="single" w:sz="4" w:space="0" w:color="auto"/>
              <w:right w:val="single" w:sz="4" w:space="0" w:color="auto"/>
            </w:tcBorders>
            <w:vAlign w:val="bottom"/>
            <w:hideMark/>
          </w:tcPr>
          <w:p w14:paraId="1679C35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500</w:t>
            </w:r>
          </w:p>
        </w:tc>
        <w:tc>
          <w:tcPr>
            <w:tcW w:w="0" w:type="auto"/>
            <w:tcBorders>
              <w:top w:val="nil"/>
              <w:left w:val="nil"/>
              <w:bottom w:val="single" w:sz="4" w:space="0" w:color="auto"/>
              <w:right w:val="single" w:sz="4" w:space="0" w:color="auto"/>
            </w:tcBorders>
            <w:vAlign w:val="center"/>
            <w:hideMark/>
          </w:tcPr>
          <w:p w14:paraId="584755F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4.800,00</w:t>
            </w:r>
          </w:p>
        </w:tc>
        <w:tc>
          <w:tcPr>
            <w:tcW w:w="0" w:type="auto"/>
            <w:tcBorders>
              <w:top w:val="nil"/>
              <w:left w:val="nil"/>
              <w:bottom w:val="single" w:sz="4" w:space="0" w:color="auto"/>
              <w:right w:val="single" w:sz="4" w:space="0" w:color="auto"/>
            </w:tcBorders>
            <w:vAlign w:val="center"/>
            <w:hideMark/>
          </w:tcPr>
          <w:p w14:paraId="43B9C68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4.000,00</w:t>
            </w:r>
          </w:p>
        </w:tc>
      </w:tr>
      <w:tr w:rsidR="00C22FC1" w:rsidRPr="00C22FC1" w14:paraId="307ECF0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672CFE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0D9F39F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Tipo ultrassônico</w:t>
            </w:r>
          </w:p>
        </w:tc>
      </w:tr>
      <w:tr w:rsidR="00C22FC1" w:rsidRPr="00C22FC1" w14:paraId="01BFBC7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BD84E4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1009</w:t>
            </w:r>
          </w:p>
        </w:tc>
        <w:tc>
          <w:tcPr>
            <w:tcW w:w="0" w:type="auto"/>
            <w:tcBorders>
              <w:top w:val="nil"/>
              <w:left w:val="nil"/>
              <w:bottom w:val="single" w:sz="4" w:space="0" w:color="auto"/>
              <w:right w:val="single" w:sz="4" w:space="0" w:color="auto"/>
            </w:tcBorders>
            <w:vAlign w:val="bottom"/>
            <w:hideMark/>
          </w:tcPr>
          <w:p w14:paraId="043ED4E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DN 50</w:t>
            </w:r>
          </w:p>
        </w:tc>
        <w:tc>
          <w:tcPr>
            <w:tcW w:w="0" w:type="auto"/>
            <w:tcBorders>
              <w:top w:val="nil"/>
              <w:left w:val="nil"/>
              <w:bottom w:val="single" w:sz="4" w:space="0" w:color="auto"/>
              <w:right w:val="single" w:sz="4" w:space="0" w:color="auto"/>
            </w:tcBorders>
            <w:vAlign w:val="center"/>
            <w:hideMark/>
          </w:tcPr>
          <w:p w14:paraId="7979773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1.080,00</w:t>
            </w:r>
          </w:p>
        </w:tc>
        <w:tc>
          <w:tcPr>
            <w:tcW w:w="0" w:type="auto"/>
            <w:tcBorders>
              <w:top w:val="nil"/>
              <w:left w:val="nil"/>
              <w:bottom w:val="single" w:sz="4" w:space="0" w:color="auto"/>
              <w:right w:val="single" w:sz="4" w:space="0" w:color="auto"/>
            </w:tcBorders>
            <w:vAlign w:val="center"/>
            <w:hideMark/>
          </w:tcPr>
          <w:p w14:paraId="43DFF4D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900,00</w:t>
            </w:r>
          </w:p>
        </w:tc>
      </w:tr>
      <w:tr w:rsidR="00C22FC1" w:rsidRPr="00C22FC1" w14:paraId="1B1CCC0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3ACC53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1010</w:t>
            </w:r>
          </w:p>
        </w:tc>
        <w:tc>
          <w:tcPr>
            <w:tcW w:w="0" w:type="auto"/>
            <w:tcBorders>
              <w:top w:val="nil"/>
              <w:left w:val="nil"/>
              <w:bottom w:val="single" w:sz="4" w:space="0" w:color="auto"/>
              <w:right w:val="single" w:sz="4" w:space="0" w:color="auto"/>
            </w:tcBorders>
            <w:vAlign w:val="bottom"/>
            <w:hideMark/>
          </w:tcPr>
          <w:p w14:paraId="0617A9F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50 até DN 100</w:t>
            </w:r>
          </w:p>
        </w:tc>
        <w:tc>
          <w:tcPr>
            <w:tcW w:w="0" w:type="auto"/>
            <w:tcBorders>
              <w:top w:val="nil"/>
              <w:left w:val="nil"/>
              <w:bottom w:val="single" w:sz="4" w:space="0" w:color="auto"/>
              <w:right w:val="single" w:sz="4" w:space="0" w:color="auto"/>
            </w:tcBorders>
            <w:vAlign w:val="center"/>
            <w:hideMark/>
          </w:tcPr>
          <w:p w14:paraId="54E0AD1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1.440,00</w:t>
            </w:r>
          </w:p>
        </w:tc>
        <w:tc>
          <w:tcPr>
            <w:tcW w:w="0" w:type="auto"/>
            <w:tcBorders>
              <w:top w:val="nil"/>
              <w:left w:val="nil"/>
              <w:bottom w:val="single" w:sz="4" w:space="0" w:color="auto"/>
              <w:right w:val="single" w:sz="4" w:space="0" w:color="auto"/>
            </w:tcBorders>
            <w:vAlign w:val="center"/>
            <w:hideMark/>
          </w:tcPr>
          <w:p w14:paraId="4A5E34C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1.200,00</w:t>
            </w:r>
          </w:p>
        </w:tc>
      </w:tr>
      <w:tr w:rsidR="00C22FC1" w:rsidRPr="00C22FC1" w14:paraId="20F33A0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ACC18C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lastRenderedPageBreak/>
              <w:t>1011</w:t>
            </w:r>
          </w:p>
        </w:tc>
        <w:tc>
          <w:tcPr>
            <w:tcW w:w="0" w:type="auto"/>
            <w:tcBorders>
              <w:top w:val="nil"/>
              <w:left w:val="nil"/>
              <w:bottom w:val="single" w:sz="4" w:space="0" w:color="auto"/>
              <w:right w:val="single" w:sz="4" w:space="0" w:color="auto"/>
            </w:tcBorders>
            <w:vAlign w:val="bottom"/>
            <w:hideMark/>
          </w:tcPr>
          <w:p w14:paraId="42DFB49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100 até DN 150</w:t>
            </w:r>
          </w:p>
        </w:tc>
        <w:tc>
          <w:tcPr>
            <w:tcW w:w="0" w:type="auto"/>
            <w:tcBorders>
              <w:top w:val="nil"/>
              <w:left w:val="nil"/>
              <w:bottom w:val="single" w:sz="4" w:space="0" w:color="auto"/>
              <w:right w:val="single" w:sz="4" w:space="0" w:color="auto"/>
            </w:tcBorders>
            <w:vAlign w:val="center"/>
            <w:hideMark/>
          </w:tcPr>
          <w:p w14:paraId="1B20732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1.800,00</w:t>
            </w:r>
          </w:p>
        </w:tc>
        <w:tc>
          <w:tcPr>
            <w:tcW w:w="0" w:type="auto"/>
            <w:tcBorders>
              <w:top w:val="nil"/>
              <w:left w:val="nil"/>
              <w:bottom w:val="single" w:sz="4" w:space="0" w:color="auto"/>
              <w:right w:val="single" w:sz="4" w:space="0" w:color="auto"/>
            </w:tcBorders>
            <w:vAlign w:val="center"/>
            <w:hideMark/>
          </w:tcPr>
          <w:p w14:paraId="46ED842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1.500,00</w:t>
            </w:r>
          </w:p>
        </w:tc>
      </w:tr>
      <w:tr w:rsidR="00C22FC1" w:rsidRPr="00C22FC1" w14:paraId="1C9380A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E0646C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1012</w:t>
            </w:r>
          </w:p>
        </w:tc>
        <w:tc>
          <w:tcPr>
            <w:tcW w:w="0" w:type="auto"/>
            <w:tcBorders>
              <w:top w:val="nil"/>
              <w:left w:val="nil"/>
              <w:bottom w:val="single" w:sz="4" w:space="0" w:color="auto"/>
              <w:right w:val="single" w:sz="4" w:space="0" w:color="auto"/>
            </w:tcBorders>
            <w:vAlign w:val="bottom"/>
            <w:hideMark/>
          </w:tcPr>
          <w:p w14:paraId="41D5520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150 até DN 200</w:t>
            </w:r>
          </w:p>
        </w:tc>
        <w:tc>
          <w:tcPr>
            <w:tcW w:w="0" w:type="auto"/>
            <w:tcBorders>
              <w:top w:val="nil"/>
              <w:left w:val="nil"/>
              <w:bottom w:val="single" w:sz="4" w:space="0" w:color="auto"/>
              <w:right w:val="single" w:sz="4" w:space="0" w:color="auto"/>
            </w:tcBorders>
            <w:vAlign w:val="center"/>
            <w:hideMark/>
          </w:tcPr>
          <w:p w14:paraId="2FB7957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2.400,00</w:t>
            </w:r>
          </w:p>
        </w:tc>
        <w:tc>
          <w:tcPr>
            <w:tcW w:w="0" w:type="auto"/>
            <w:tcBorders>
              <w:top w:val="nil"/>
              <w:left w:val="nil"/>
              <w:bottom w:val="single" w:sz="4" w:space="0" w:color="auto"/>
              <w:right w:val="single" w:sz="4" w:space="0" w:color="auto"/>
            </w:tcBorders>
            <w:vAlign w:val="center"/>
            <w:hideMark/>
          </w:tcPr>
          <w:p w14:paraId="30ED599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2.000,00</w:t>
            </w:r>
          </w:p>
        </w:tc>
      </w:tr>
      <w:tr w:rsidR="00C22FC1" w:rsidRPr="00C22FC1" w14:paraId="7E4E45C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1BC3FD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1013</w:t>
            </w:r>
          </w:p>
        </w:tc>
        <w:tc>
          <w:tcPr>
            <w:tcW w:w="0" w:type="auto"/>
            <w:tcBorders>
              <w:top w:val="nil"/>
              <w:left w:val="nil"/>
              <w:bottom w:val="single" w:sz="4" w:space="0" w:color="auto"/>
              <w:right w:val="single" w:sz="4" w:space="0" w:color="auto"/>
            </w:tcBorders>
            <w:vAlign w:val="bottom"/>
            <w:hideMark/>
          </w:tcPr>
          <w:p w14:paraId="0DEB0B6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200 até DN 300</w:t>
            </w:r>
          </w:p>
        </w:tc>
        <w:tc>
          <w:tcPr>
            <w:tcW w:w="0" w:type="auto"/>
            <w:tcBorders>
              <w:top w:val="nil"/>
              <w:left w:val="nil"/>
              <w:bottom w:val="single" w:sz="4" w:space="0" w:color="auto"/>
              <w:right w:val="single" w:sz="4" w:space="0" w:color="auto"/>
            </w:tcBorders>
            <w:vAlign w:val="center"/>
            <w:hideMark/>
          </w:tcPr>
          <w:p w14:paraId="0D20590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3.000,00</w:t>
            </w:r>
          </w:p>
        </w:tc>
        <w:tc>
          <w:tcPr>
            <w:tcW w:w="0" w:type="auto"/>
            <w:tcBorders>
              <w:top w:val="nil"/>
              <w:left w:val="nil"/>
              <w:bottom w:val="single" w:sz="4" w:space="0" w:color="auto"/>
              <w:right w:val="single" w:sz="4" w:space="0" w:color="auto"/>
            </w:tcBorders>
            <w:vAlign w:val="center"/>
            <w:hideMark/>
          </w:tcPr>
          <w:p w14:paraId="2D039A9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2.500,00</w:t>
            </w:r>
          </w:p>
        </w:tc>
      </w:tr>
      <w:tr w:rsidR="00C22FC1" w:rsidRPr="00C22FC1" w14:paraId="32BFF98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BD8DD7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1014</w:t>
            </w:r>
          </w:p>
        </w:tc>
        <w:tc>
          <w:tcPr>
            <w:tcW w:w="0" w:type="auto"/>
            <w:tcBorders>
              <w:top w:val="nil"/>
              <w:left w:val="nil"/>
              <w:bottom w:val="single" w:sz="4" w:space="0" w:color="auto"/>
              <w:right w:val="single" w:sz="4" w:space="0" w:color="auto"/>
            </w:tcBorders>
            <w:vAlign w:val="bottom"/>
            <w:hideMark/>
          </w:tcPr>
          <w:p w14:paraId="69B4A17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300 até DN 400</w:t>
            </w:r>
          </w:p>
        </w:tc>
        <w:tc>
          <w:tcPr>
            <w:tcW w:w="0" w:type="auto"/>
            <w:tcBorders>
              <w:top w:val="nil"/>
              <w:left w:val="nil"/>
              <w:bottom w:val="single" w:sz="4" w:space="0" w:color="auto"/>
              <w:right w:val="single" w:sz="4" w:space="0" w:color="auto"/>
            </w:tcBorders>
            <w:vAlign w:val="center"/>
            <w:hideMark/>
          </w:tcPr>
          <w:p w14:paraId="51A2B1B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3.600,00</w:t>
            </w:r>
          </w:p>
        </w:tc>
        <w:tc>
          <w:tcPr>
            <w:tcW w:w="0" w:type="auto"/>
            <w:tcBorders>
              <w:top w:val="nil"/>
              <w:left w:val="nil"/>
              <w:bottom w:val="single" w:sz="4" w:space="0" w:color="auto"/>
              <w:right w:val="single" w:sz="4" w:space="0" w:color="auto"/>
            </w:tcBorders>
            <w:vAlign w:val="center"/>
            <w:hideMark/>
          </w:tcPr>
          <w:p w14:paraId="6988736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3.000,00</w:t>
            </w:r>
          </w:p>
        </w:tc>
      </w:tr>
      <w:tr w:rsidR="00C22FC1" w:rsidRPr="00C22FC1" w14:paraId="02EE497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9D58CD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1015</w:t>
            </w:r>
          </w:p>
        </w:tc>
        <w:tc>
          <w:tcPr>
            <w:tcW w:w="0" w:type="auto"/>
            <w:tcBorders>
              <w:top w:val="nil"/>
              <w:left w:val="nil"/>
              <w:bottom w:val="single" w:sz="4" w:space="0" w:color="auto"/>
              <w:right w:val="single" w:sz="4" w:space="0" w:color="auto"/>
            </w:tcBorders>
            <w:vAlign w:val="bottom"/>
            <w:hideMark/>
          </w:tcPr>
          <w:p w14:paraId="6088B5D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400 até DN 500</w:t>
            </w:r>
          </w:p>
        </w:tc>
        <w:tc>
          <w:tcPr>
            <w:tcW w:w="0" w:type="auto"/>
            <w:tcBorders>
              <w:top w:val="nil"/>
              <w:left w:val="nil"/>
              <w:bottom w:val="single" w:sz="4" w:space="0" w:color="auto"/>
              <w:right w:val="single" w:sz="4" w:space="0" w:color="auto"/>
            </w:tcBorders>
            <w:vAlign w:val="center"/>
            <w:hideMark/>
          </w:tcPr>
          <w:p w14:paraId="77B42F7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4.800,00</w:t>
            </w:r>
          </w:p>
        </w:tc>
        <w:tc>
          <w:tcPr>
            <w:tcW w:w="0" w:type="auto"/>
            <w:tcBorders>
              <w:top w:val="nil"/>
              <w:left w:val="nil"/>
              <w:bottom w:val="single" w:sz="4" w:space="0" w:color="auto"/>
              <w:right w:val="single" w:sz="4" w:space="0" w:color="auto"/>
            </w:tcBorders>
            <w:vAlign w:val="center"/>
            <w:hideMark/>
          </w:tcPr>
          <w:p w14:paraId="568D39C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4.000,00</w:t>
            </w:r>
          </w:p>
        </w:tc>
      </w:tr>
      <w:tr w:rsidR="00C22FC1" w:rsidRPr="00C22FC1" w14:paraId="1CEACE4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A84CFE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1016</w:t>
            </w:r>
          </w:p>
        </w:tc>
        <w:tc>
          <w:tcPr>
            <w:tcW w:w="0" w:type="auto"/>
            <w:tcBorders>
              <w:top w:val="nil"/>
              <w:left w:val="nil"/>
              <w:bottom w:val="single" w:sz="4" w:space="0" w:color="auto"/>
              <w:right w:val="single" w:sz="4" w:space="0" w:color="auto"/>
            </w:tcBorders>
            <w:vAlign w:val="bottom"/>
            <w:hideMark/>
          </w:tcPr>
          <w:p w14:paraId="2428352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500</w:t>
            </w:r>
          </w:p>
        </w:tc>
        <w:tc>
          <w:tcPr>
            <w:tcW w:w="0" w:type="auto"/>
            <w:tcBorders>
              <w:top w:val="nil"/>
              <w:left w:val="nil"/>
              <w:bottom w:val="single" w:sz="4" w:space="0" w:color="auto"/>
              <w:right w:val="single" w:sz="4" w:space="0" w:color="auto"/>
            </w:tcBorders>
            <w:vAlign w:val="center"/>
            <w:hideMark/>
          </w:tcPr>
          <w:p w14:paraId="358AC82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7.200,00</w:t>
            </w:r>
          </w:p>
        </w:tc>
        <w:tc>
          <w:tcPr>
            <w:tcW w:w="0" w:type="auto"/>
            <w:tcBorders>
              <w:top w:val="nil"/>
              <w:left w:val="nil"/>
              <w:bottom w:val="single" w:sz="4" w:space="0" w:color="auto"/>
              <w:right w:val="single" w:sz="4" w:space="0" w:color="auto"/>
            </w:tcBorders>
            <w:vAlign w:val="center"/>
            <w:hideMark/>
          </w:tcPr>
          <w:p w14:paraId="282E8D2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6.000,00</w:t>
            </w:r>
          </w:p>
        </w:tc>
      </w:tr>
      <w:tr w:rsidR="00C22FC1" w:rsidRPr="00C22FC1" w14:paraId="1CB919D4"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76F7D52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medição de volume de água (ensaios realizados em laboratório)</w:t>
            </w:r>
          </w:p>
        </w:tc>
      </w:tr>
      <w:tr w:rsidR="00C22FC1" w:rsidRPr="00C22FC1" w14:paraId="47F780D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42099C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71B8573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Tipo velocimétrico, volumétrico ou oscilação fluídica.</w:t>
            </w:r>
          </w:p>
        </w:tc>
      </w:tr>
      <w:tr w:rsidR="00C22FC1" w:rsidRPr="00C22FC1" w14:paraId="45F1498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D17D06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391</w:t>
            </w:r>
          </w:p>
        </w:tc>
        <w:tc>
          <w:tcPr>
            <w:tcW w:w="0" w:type="auto"/>
            <w:tcBorders>
              <w:top w:val="nil"/>
              <w:left w:val="nil"/>
              <w:bottom w:val="single" w:sz="4" w:space="0" w:color="auto"/>
              <w:right w:val="single" w:sz="4" w:space="0" w:color="auto"/>
            </w:tcBorders>
            <w:vAlign w:val="bottom"/>
            <w:hideMark/>
          </w:tcPr>
          <w:p w14:paraId="15A25CF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DN 20</w:t>
            </w:r>
          </w:p>
        </w:tc>
        <w:tc>
          <w:tcPr>
            <w:tcW w:w="0" w:type="auto"/>
            <w:tcBorders>
              <w:top w:val="nil"/>
              <w:left w:val="nil"/>
              <w:bottom w:val="single" w:sz="4" w:space="0" w:color="auto"/>
              <w:right w:val="single" w:sz="4" w:space="0" w:color="auto"/>
            </w:tcBorders>
            <w:vAlign w:val="center"/>
            <w:hideMark/>
          </w:tcPr>
          <w:p w14:paraId="10D4C13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11,80</w:t>
            </w:r>
          </w:p>
        </w:tc>
        <w:tc>
          <w:tcPr>
            <w:tcW w:w="0" w:type="auto"/>
            <w:tcBorders>
              <w:top w:val="nil"/>
              <w:left w:val="nil"/>
              <w:bottom w:val="single" w:sz="4" w:space="0" w:color="auto"/>
              <w:right w:val="single" w:sz="4" w:space="0" w:color="auto"/>
            </w:tcBorders>
            <w:vAlign w:val="center"/>
            <w:hideMark/>
          </w:tcPr>
          <w:p w14:paraId="4D04A31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4,00</w:t>
            </w:r>
          </w:p>
        </w:tc>
      </w:tr>
      <w:tr w:rsidR="00C22FC1" w:rsidRPr="00C22FC1" w14:paraId="14B1E46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49D8A6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392</w:t>
            </w:r>
          </w:p>
        </w:tc>
        <w:tc>
          <w:tcPr>
            <w:tcW w:w="0" w:type="auto"/>
            <w:tcBorders>
              <w:top w:val="nil"/>
              <w:left w:val="nil"/>
              <w:bottom w:val="single" w:sz="4" w:space="0" w:color="auto"/>
              <w:right w:val="single" w:sz="4" w:space="0" w:color="auto"/>
            </w:tcBorders>
            <w:vAlign w:val="bottom"/>
            <w:hideMark/>
          </w:tcPr>
          <w:p w14:paraId="3AD3F95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20 à DN 40</w:t>
            </w:r>
          </w:p>
        </w:tc>
        <w:tc>
          <w:tcPr>
            <w:tcW w:w="0" w:type="auto"/>
            <w:tcBorders>
              <w:top w:val="nil"/>
              <w:left w:val="nil"/>
              <w:bottom w:val="single" w:sz="4" w:space="0" w:color="auto"/>
              <w:right w:val="single" w:sz="4" w:space="0" w:color="auto"/>
            </w:tcBorders>
            <w:vAlign w:val="center"/>
            <w:hideMark/>
          </w:tcPr>
          <w:p w14:paraId="71109F7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15,70</w:t>
            </w:r>
          </w:p>
        </w:tc>
        <w:tc>
          <w:tcPr>
            <w:tcW w:w="0" w:type="auto"/>
            <w:tcBorders>
              <w:top w:val="nil"/>
              <w:left w:val="nil"/>
              <w:bottom w:val="single" w:sz="4" w:space="0" w:color="auto"/>
              <w:right w:val="single" w:sz="4" w:space="0" w:color="auto"/>
            </w:tcBorders>
            <w:vAlign w:val="center"/>
            <w:hideMark/>
          </w:tcPr>
          <w:p w14:paraId="25C1BE6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6,50</w:t>
            </w:r>
          </w:p>
        </w:tc>
      </w:tr>
      <w:tr w:rsidR="00C22FC1" w:rsidRPr="00C22FC1" w14:paraId="4FDF1C8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794611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393</w:t>
            </w:r>
          </w:p>
        </w:tc>
        <w:tc>
          <w:tcPr>
            <w:tcW w:w="0" w:type="auto"/>
            <w:tcBorders>
              <w:top w:val="nil"/>
              <w:left w:val="nil"/>
              <w:bottom w:val="single" w:sz="4" w:space="0" w:color="auto"/>
              <w:right w:val="single" w:sz="4" w:space="0" w:color="auto"/>
            </w:tcBorders>
            <w:vAlign w:val="bottom"/>
            <w:hideMark/>
          </w:tcPr>
          <w:p w14:paraId="625CA99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40 à DN 60</w:t>
            </w:r>
          </w:p>
        </w:tc>
        <w:tc>
          <w:tcPr>
            <w:tcW w:w="0" w:type="auto"/>
            <w:tcBorders>
              <w:top w:val="nil"/>
              <w:left w:val="nil"/>
              <w:bottom w:val="single" w:sz="4" w:space="0" w:color="auto"/>
              <w:right w:val="single" w:sz="4" w:space="0" w:color="auto"/>
            </w:tcBorders>
            <w:vAlign w:val="center"/>
            <w:hideMark/>
          </w:tcPr>
          <w:p w14:paraId="17E396B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39,20</w:t>
            </w:r>
          </w:p>
        </w:tc>
        <w:tc>
          <w:tcPr>
            <w:tcW w:w="0" w:type="auto"/>
            <w:tcBorders>
              <w:top w:val="nil"/>
              <w:left w:val="nil"/>
              <w:bottom w:val="single" w:sz="4" w:space="0" w:color="auto"/>
              <w:right w:val="single" w:sz="4" w:space="0" w:color="auto"/>
            </w:tcBorders>
            <w:vAlign w:val="center"/>
            <w:hideMark/>
          </w:tcPr>
          <w:p w14:paraId="111AE56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13,10</w:t>
            </w:r>
          </w:p>
        </w:tc>
      </w:tr>
      <w:tr w:rsidR="00C22FC1" w:rsidRPr="00C22FC1" w14:paraId="7C2BA82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D56097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394</w:t>
            </w:r>
          </w:p>
        </w:tc>
        <w:tc>
          <w:tcPr>
            <w:tcW w:w="0" w:type="auto"/>
            <w:tcBorders>
              <w:top w:val="nil"/>
              <w:left w:val="nil"/>
              <w:bottom w:val="single" w:sz="4" w:space="0" w:color="auto"/>
              <w:right w:val="single" w:sz="4" w:space="0" w:color="auto"/>
            </w:tcBorders>
            <w:vAlign w:val="bottom"/>
            <w:hideMark/>
          </w:tcPr>
          <w:p w14:paraId="28B4CF7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60 à DN 80</w:t>
            </w:r>
          </w:p>
        </w:tc>
        <w:tc>
          <w:tcPr>
            <w:tcW w:w="0" w:type="auto"/>
            <w:tcBorders>
              <w:top w:val="nil"/>
              <w:left w:val="nil"/>
              <w:bottom w:val="single" w:sz="4" w:space="0" w:color="auto"/>
              <w:right w:val="single" w:sz="4" w:space="0" w:color="auto"/>
            </w:tcBorders>
            <w:vAlign w:val="center"/>
            <w:hideMark/>
          </w:tcPr>
          <w:p w14:paraId="3B88413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98,00</w:t>
            </w:r>
          </w:p>
        </w:tc>
        <w:tc>
          <w:tcPr>
            <w:tcW w:w="0" w:type="auto"/>
            <w:tcBorders>
              <w:top w:val="nil"/>
              <w:left w:val="nil"/>
              <w:bottom w:val="single" w:sz="4" w:space="0" w:color="auto"/>
              <w:right w:val="single" w:sz="4" w:space="0" w:color="auto"/>
            </w:tcBorders>
            <w:vAlign w:val="center"/>
            <w:hideMark/>
          </w:tcPr>
          <w:p w14:paraId="753B39F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32,70</w:t>
            </w:r>
          </w:p>
        </w:tc>
      </w:tr>
      <w:tr w:rsidR="00C22FC1" w:rsidRPr="00C22FC1" w14:paraId="7F8A4AC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1DE978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1017</w:t>
            </w:r>
          </w:p>
        </w:tc>
        <w:tc>
          <w:tcPr>
            <w:tcW w:w="0" w:type="auto"/>
            <w:tcBorders>
              <w:top w:val="nil"/>
              <w:left w:val="nil"/>
              <w:bottom w:val="single" w:sz="4" w:space="0" w:color="auto"/>
              <w:right w:val="single" w:sz="4" w:space="0" w:color="auto"/>
            </w:tcBorders>
            <w:vAlign w:val="bottom"/>
            <w:hideMark/>
          </w:tcPr>
          <w:p w14:paraId="43686BF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80 à DN 100</w:t>
            </w:r>
          </w:p>
        </w:tc>
        <w:tc>
          <w:tcPr>
            <w:tcW w:w="0" w:type="auto"/>
            <w:tcBorders>
              <w:top w:val="nil"/>
              <w:left w:val="nil"/>
              <w:bottom w:val="single" w:sz="4" w:space="0" w:color="auto"/>
              <w:right w:val="single" w:sz="4" w:space="0" w:color="auto"/>
            </w:tcBorders>
            <w:vAlign w:val="center"/>
            <w:hideMark/>
          </w:tcPr>
          <w:p w14:paraId="1802AC9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231,25</w:t>
            </w:r>
          </w:p>
        </w:tc>
        <w:tc>
          <w:tcPr>
            <w:tcW w:w="0" w:type="auto"/>
            <w:tcBorders>
              <w:top w:val="nil"/>
              <w:left w:val="nil"/>
              <w:bottom w:val="single" w:sz="4" w:space="0" w:color="auto"/>
              <w:right w:val="single" w:sz="4" w:space="0" w:color="auto"/>
            </w:tcBorders>
            <w:vAlign w:val="center"/>
            <w:hideMark/>
          </w:tcPr>
          <w:p w14:paraId="39A4BA4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77,06</w:t>
            </w:r>
          </w:p>
        </w:tc>
      </w:tr>
      <w:tr w:rsidR="00C22FC1" w:rsidRPr="00C22FC1" w14:paraId="52E28CD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7643F4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1018</w:t>
            </w:r>
          </w:p>
        </w:tc>
        <w:tc>
          <w:tcPr>
            <w:tcW w:w="0" w:type="auto"/>
            <w:tcBorders>
              <w:top w:val="nil"/>
              <w:left w:val="nil"/>
              <w:bottom w:val="single" w:sz="4" w:space="0" w:color="auto"/>
              <w:right w:val="single" w:sz="4" w:space="0" w:color="auto"/>
            </w:tcBorders>
            <w:vAlign w:val="bottom"/>
            <w:hideMark/>
          </w:tcPr>
          <w:p w14:paraId="5BDBCE5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100</w:t>
            </w:r>
          </w:p>
        </w:tc>
        <w:tc>
          <w:tcPr>
            <w:tcW w:w="0" w:type="auto"/>
            <w:tcBorders>
              <w:top w:val="nil"/>
              <w:left w:val="nil"/>
              <w:bottom w:val="single" w:sz="4" w:space="0" w:color="auto"/>
              <w:right w:val="single" w:sz="4" w:space="0" w:color="auto"/>
            </w:tcBorders>
            <w:vAlign w:val="center"/>
            <w:hideMark/>
          </w:tcPr>
          <w:p w14:paraId="1A88F50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578,10</w:t>
            </w:r>
          </w:p>
        </w:tc>
        <w:tc>
          <w:tcPr>
            <w:tcW w:w="0" w:type="auto"/>
            <w:tcBorders>
              <w:top w:val="nil"/>
              <w:left w:val="nil"/>
              <w:bottom w:val="single" w:sz="4" w:space="0" w:color="auto"/>
              <w:right w:val="single" w:sz="4" w:space="0" w:color="auto"/>
            </w:tcBorders>
            <w:vAlign w:val="center"/>
            <w:hideMark/>
          </w:tcPr>
          <w:p w14:paraId="132D7B5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192,50</w:t>
            </w:r>
          </w:p>
        </w:tc>
      </w:tr>
      <w:tr w:rsidR="00C22FC1" w:rsidRPr="00C22FC1" w14:paraId="49332D7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84280E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0A5710F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Com apresentação de no mínimo 50 unidades</w:t>
            </w:r>
          </w:p>
        </w:tc>
      </w:tr>
      <w:tr w:rsidR="00C22FC1" w:rsidRPr="00C22FC1" w14:paraId="25D9FE7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B644EF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395</w:t>
            </w:r>
          </w:p>
        </w:tc>
        <w:tc>
          <w:tcPr>
            <w:tcW w:w="0" w:type="auto"/>
            <w:tcBorders>
              <w:top w:val="nil"/>
              <w:left w:val="nil"/>
              <w:bottom w:val="single" w:sz="4" w:space="0" w:color="auto"/>
              <w:right w:val="single" w:sz="4" w:space="0" w:color="auto"/>
            </w:tcBorders>
            <w:vAlign w:val="bottom"/>
            <w:hideMark/>
          </w:tcPr>
          <w:p w14:paraId="6235B1D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DN 20</w:t>
            </w:r>
          </w:p>
        </w:tc>
        <w:tc>
          <w:tcPr>
            <w:tcW w:w="0" w:type="auto"/>
            <w:tcBorders>
              <w:top w:val="nil"/>
              <w:left w:val="nil"/>
              <w:bottom w:val="single" w:sz="4" w:space="0" w:color="auto"/>
              <w:right w:val="single" w:sz="4" w:space="0" w:color="auto"/>
            </w:tcBorders>
            <w:vAlign w:val="center"/>
            <w:hideMark/>
          </w:tcPr>
          <w:p w14:paraId="40F5799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10,40</w:t>
            </w:r>
          </w:p>
        </w:tc>
        <w:tc>
          <w:tcPr>
            <w:tcW w:w="0" w:type="auto"/>
            <w:tcBorders>
              <w:top w:val="nil"/>
              <w:left w:val="nil"/>
              <w:bottom w:val="single" w:sz="4" w:space="0" w:color="auto"/>
              <w:right w:val="single" w:sz="4" w:space="0" w:color="auto"/>
            </w:tcBorders>
            <w:vAlign w:val="center"/>
            <w:hideMark/>
          </w:tcPr>
          <w:p w14:paraId="2445D3C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3,20</w:t>
            </w:r>
          </w:p>
        </w:tc>
      </w:tr>
      <w:tr w:rsidR="00C22FC1" w:rsidRPr="00C22FC1" w14:paraId="4D408F3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703E32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396</w:t>
            </w:r>
          </w:p>
        </w:tc>
        <w:tc>
          <w:tcPr>
            <w:tcW w:w="0" w:type="auto"/>
            <w:tcBorders>
              <w:top w:val="nil"/>
              <w:left w:val="nil"/>
              <w:bottom w:val="single" w:sz="4" w:space="0" w:color="auto"/>
              <w:right w:val="single" w:sz="4" w:space="0" w:color="auto"/>
            </w:tcBorders>
            <w:vAlign w:val="bottom"/>
            <w:hideMark/>
          </w:tcPr>
          <w:p w14:paraId="2B2E841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20 à DN 40</w:t>
            </w:r>
          </w:p>
        </w:tc>
        <w:tc>
          <w:tcPr>
            <w:tcW w:w="0" w:type="auto"/>
            <w:tcBorders>
              <w:top w:val="nil"/>
              <w:left w:val="nil"/>
              <w:bottom w:val="single" w:sz="4" w:space="0" w:color="auto"/>
              <w:right w:val="single" w:sz="4" w:space="0" w:color="auto"/>
            </w:tcBorders>
            <w:vAlign w:val="center"/>
            <w:hideMark/>
          </w:tcPr>
          <w:p w14:paraId="328F662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15,70</w:t>
            </w:r>
          </w:p>
        </w:tc>
        <w:tc>
          <w:tcPr>
            <w:tcW w:w="0" w:type="auto"/>
            <w:tcBorders>
              <w:top w:val="nil"/>
              <w:left w:val="nil"/>
              <w:bottom w:val="single" w:sz="4" w:space="0" w:color="auto"/>
              <w:right w:val="single" w:sz="4" w:space="0" w:color="auto"/>
            </w:tcBorders>
            <w:vAlign w:val="center"/>
            <w:hideMark/>
          </w:tcPr>
          <w:p w14:paraId="424E347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5,20</w:t>
            </w:r>
          </w:p>
        </w:tc>
      </w:tr>
      <w:tr w:rsidR="00C22FC1" w:rsidRPr="00C22FC1" w14:paraId="6D41654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0C2980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044F321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Com apresentação de no mínimo 100 unidades</w:t>
            </w:r>
          </w:p>
        </w:tc>
      </w:tr>
      <w:tr w:rsidR="00C22FC1" w:rsidRPr="00C22FC1" w14:paraId="352FD4C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0D68B1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397</w:t>
            </w:r>
          </w:p>
        </w:tc>
        <w:tc>
          <w:tcPr>
            <w:tcW w:w="0" w:type="auto"/>
            <w:tcBorders>
              <w:top w:val="nil"/>
              <w:left w:val="nil"/>
              <w:bottom w:val="single" w:sz="4" w:space="0" w:color="auto"/>
              <w:right w:val="single" w:sz="4" w:space="0" w:color="auto"/>
            </w:tcBorders>
            <w:vAlign w:val="bottom"/>
            <w:hideMark/>
          </w:tcPr>
          <w:p w14:paraId="41A1C8D8"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DN 20</w:t>
            </w:r>
          </w:p>
        </w:tc>
        <w:tc>
          <w:tcPr>
            <w:tcW w:w="0" w:type="auto"/>
            <w:tcBorders>
              <w:top w:val="nil"/>
              <w:left w:val="nil"/>
              <w:bottom w:val="single" w:sz="4" w:space="0" w:color="auto"/>
              <w:right w:val="single" w:sz="4" w:space="0" w:color="auto"/>
            </w:tcBorders>
            <w:vAlign w:val="center"/>
            <w:hideMark/>
          </w:tcPr>
          <w:p w14:paraId="76A2CCC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6,50</w:t>
            </w:r>
          </w:p>
        </w:tc>
        <w:tc>
          <w:tcPr>
            <w:tcW w:w="0" w:type="auto"/>
            <w:tcBorders>
              <w:top w:val="nil"/>
              <w:left w:val="nil"/>
              <w:bottom w:val="single" w:sz="4" w:space="0" w:color="auto"/>
              <w:right w:val="single" w:sz="4" w:space="0" w:color="auto"/>
            </w:tcBorders>
            <w:vAlign w:val="center"/>
            <w:hideMark/>
          </w:tcPr>
          <w:p w14:paraId="5E95D59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2,60</w:t>
            </w:r>
          </w:p>
        </w:tc>
      </w:tr>
      <w:tr w:rsidR="00C22FC1" w:rsidRPr="00C22FC1" w14:paraId="403D056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703993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398</w:t>
            </w:r>
          </w:p>
        </w:tc>
        <w:tc>
          <w:tcPr>
            <w:tcW w:w="0" w:type="auto"/>
            <w:tcBorders>
              <w:top w:val="nil"/>
              <w:left w:val="nil"/>
              <w:bottom w:val="single" w:sz="4" w:space="0" w:color="auto"/>
              <w:right w:val="single" w:sz="4" w:space="0" w:color="auto"/>
            </w:tcBorders>
            <w:vAlign w:val="bottom"/>
            <w:hideMark/>
          </w:tcPr>
          <w:p w14:paraId="301A67B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20 à DN 40</w:t>
            </w:r>
          </w:p>
        </w:tc>
        <w:tc>
          <w:tcPr>
            <w:tcW w:w="0" w:type="auto"/>
            <w:tcBorders>
              <w:top w:val="nil"/>
              <w:left w:val="nil"/>
              <w:bottom w:val="single" w:sz="4" w:space="0" w:color="auto"/>
              <w:right w:val="single" w:sz="4" w:space="0" w:color="auto"/>
            </w:tcBorders>
            <w:vAlign w:val="center"/>
            <w:hideMark/>
          </w:tcPr>
          <w:p w14:paraId="0008C36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11,80</w:t>
            </w:r>
          </w:p>
        </w:tc>
        <w:tc>
          <w:tcPr>
            <w:tcW w:w="0" w:type="auto"/>
            <w:tcBorders>
              <w:top w:val="nil"/>
              <w:left w:val="nil"/>
              <w:bottom w:val="single" w:sz="4" w:space="0" w:color="auto"/>
              <w:right w:val="single" w:sz="4" w:space="0" w:color="auto"/>
            </w:tcBorders>
            <w:vAlign w:val="center"/>
            <w:hideMark/>
          </w:tcPr>
          <w:p w14:paraId="6B3DE31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3,90</w:t>
            </w:r>
          </w:p>
        </w:tc>
      </w:tr>
      <w:tr w:rsidR="00C22FC1" w:rsidRPr="00C22FC1" w14:paraId="329DA5D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0051C3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5F17E44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Tipo eletromagnético</w:t>
            </w:r>
          </w:p>
        </w:tc>
      </w:tr>
      <w:tr w:rsidR="00C22FC1" w:rsidRPr="00C22FC1" w14:paraId="0A4BC5F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4F0820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1019</w:t>
            </w:r>
          </w:p>
        </w:tc>
        <w:tc>
          <w:tcPr>
            <w:tcW w:w="0" w:type="auto"/>
            <w:tcBorders>
              <w:top w:val="nil"/>
              <w:left w:val="nil"/>
              <w:bottom w:val="single" w:sz="4" w:space="0" w:color="auto"/>
              <w:right w:val="single" w:sz="4" w:space="0" w:color="auto"/>
            </w:tcBorders>
            <w:vAlign w:val="bottom"/>
            <w:hideMark/>
          </w:tcPr>
          <w:p w14:paraId="79B8F43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DN 50</w:t>
            </w:r>
          </w:p>
        </w:tc>
        <w:tc>
          <w:tcPr>
            <w:tcW w:w="0" w:type="auto"/>
            <w:tcBorders>
              <w:top w:val="nil"/>
              <w:left w:val="nil"/>
              <w:bottom w:val="single" w:sz="4" w:space="0" w:color="auto"/>
              <w:right w:val="single" w:sz="4" w:space="0" w:color="auto"/>
            </w:tcBorders>
            <w:vAlign w:val="center"/>
            <w:hideMark/>
          </w:tcPr>
          <w:p w14:paraId="477F0D7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480,00</w:t>
            </w:r>
          </w:p>
        </w:tc>
        <w:tc>
          <w:tcPr>
            <w:tcW w:w="0" w:type="auto"/>
            <w:tcBorders>
              <w:top w:val="nil"/>
              <w:left w:val="nil"/>
              <w:bottom w:val="single" w:sz="4" w:space="0" w:color="auto"/>
              <w:right w:val="single" w:sz="4" w:space="0" w:color="auto"/>
            </w:tcBorders>
            <w:vAlign w:val="center"/>
            <w:hideMark/>
          </w:tcPr>
          <w:p w14:paraId="7033B24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400,00</w:t>
            </w:r>
          </w:p>
        </w:tc>
      </w:tr>
      <w:tr w:rsidR="00C22FC1" w:rsidRPr="00C22FC1" w14:paraId="3C34DB4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7F6124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1020</w:t>
            </w:r>
          </w:p>
        </w:tc>
        <w:tc>
          <w:tcPr>
            <w:tcW w:w="0" w:type="auto"/>
            <w:tcBorders>
              <w:top w:val="nil"/>
              <w:left w:val="nil"/>
              <w:bottom w:val="single" w:sz="4" w:space="0" w:color="auto"/>
              <w:right w:val="single" w:sz="4" w:space="0" w:color="auto"/>
            </w:tcBorders>
            <w:vAlign w:val="bottom"/>
            <w:hideMark/>
          </w:tcPr>
          <w:p w14:paraId="5627480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50 até DN 100</w:t>
            </w:r>
          </w:p>
        </w:tc>
        <w:tc>
          <w:tcPr>
            <w:tcW w:w="0" w:type="auto"/>
            <w:tcBorders>
              <w:top w:val="nil"/>
              <w:left w:val="nil"/>
              <w:bottom w:val="single" w:sz="4" w:space="0" w:color="auto"/>
              <w:right w:val="single" w:sz="4" w:space="0" w:color="auto"/>
            </w:tcBorders>
            <w:vAlign w:val="center"/>
            <w:hideMark/>
          </w:tcPr>
          <w:p w14:paraId="3C038E3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720,00</w:t>
            </w:r>
          </w:p>
        </w:tc>
        <w:tc>
          <w:tcPr>
            <w:tcW w:w="0" w:type="auto"/>
            <w:tcBorders>
              <w:top w:val="nil"/>
              <w:left w:val="nil"/>
              <w:bottom w:val="single" w:sz="4" w:space="0" w:color="auto"/>
              <w:right w:val="single" w:sz="4" w:space="0" w:color="auto"/>
            </w:tcBorders>
            <w:vAlign w:val="center"/>
            <w:hideMark/>
          </w:tcPr>
          <w:p w14:paraId="6F737AA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600,00</w:t>
            </w:r>
          </w:p>
        </w:tc>
      </w:tr>
      <w:tr w:rsidR="00C22FC1" w:rsidRPr="00C22FC1" w14:paraId="57B7CFA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2CD8D8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1021</w:t>
            </w:r>
          </w:p>
        </w:tc>
        <w:tc>
          <w:tcPr>
            <w:tcW w:w="0" w:type="auto"/>
            <w:tcBorders>
              <w:top w:val="nil"/>
              <w:left w:val="nil"/>
              <w:bottom w:val="single" w:sz="4" w:space="0" w:color="auto"/>
              <w:right w:val="single" w:sz="4" w:space="0" w:color="auto"/>
            </w:tcBorders>
            <w:vAlign w:val="bottom"/>
            <w:hideMark/>
          </w:tcPr>
          <w:p w14:paraId="32BA961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100 até DN 150</w:t>
            </w:r>
          </w:p>
        </w:tc>
        <w:tc>
          <w:tcPr>
            <w:tcW w:w="0" w:type="auto"/>
            <w:tcBorders>
              <w:top w:val="nil"/>
              <w:left w:val="nil"/>
              <w:bottom w:val="single" w:sz="4" w:space="0" w:color="auto"/>
              <w:right w:val="single" w:sz="4" w:space="0" w:color="auto"/>
            </w:tcBorders>
            <w:vAlign w:val="center"/>
            <w:hideMark/>
          </w:tcPr>
          <w:p w14:paraId="3B1C860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1.080,00</w:t>
            </w:r>
          </w:p>
        </w:tc>
        <w:tc>
          <w:tcPr>
            <w:tcW w:w="0" w:type="auto"/>
            <w:tcBorders>
              <w:top w:val="nil"/>
              <w:left w:val="nil"/>
              <w:bottom w:val="single" w:sz="4" w:space="0" w:color="auto"/>
              <w:right w:val="single" w:sz="4" w:space="0" w:color="auto"/>
            </w:tcBorders>
            <w:vAlign w:val="center"/>
            <w:hideMark/>
          </w:tcPr>
          <w:p w14:paraId="504DE78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900,00</w:t>
            </w:r>
          </w:p>
        </w:tc>
      </w:tr>
      <w:tr w:rsidR="00C22FC1" w:rsidRPr="00C22FC1" w14:paraId="5EF9818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1A5260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1022</w:t>
            </w:r>
          </w:p>
        </w:tc>
        <w:tc>
          <w:tcPr>
            <w:tcW w:w="0" w:type="auto"/>
            <w:tcBorders>
              <w:top w:val="nil"/>
              <w:left w:val="nil"/>
              <w:bottom w:val="single" w:sz="4" w:space="0" w:color="auto"/>
              <w:right w:val="single" w:sz="4" w:space="0" w:color="auto"/>
            </w:tcBorders>
            <w:vAlign w:val="bottom"/>
            <w:hideMark/>
          </w:tcPr>
          <w:p w14:paraId="77B1EDB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150 até DN 200</w:t>
            </w:r>
          </w:p>
        </w:tc>
        <w:tc>
          <w:tcPr>
            <w:tcW w:w="0" w:type="auto"/>
            <w:tcBorders>
              <w:top w:val="nil"/>
              <w:left w:val="nil"/>
              <w:bottom w:val="single" w:sz="4" w:space="0" w:color="auto"/>
              <w:right w:val="single" w:sz="4" w:space="0" w:color="auto"/>
            </w:tcBorders>
            <w:vAlign w:val="center"/>
            <w:hideMark/>
          </w:tcPr>
          <w:p w14:paraId="7FFA086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1.260,00</w:t>
            </w:r>
          </w:p>
        </w:tc>
        <w:tc>
          <w:tcPr>
            <w:tcW w:w="0" w:type="auto"/>
            <w:tcBorders>
              <w:top w:val="nil"/>
              <w:left w:val="nil"/>
              <w:bottom w:val="single" w:sz="4" w:space="0" w:color="auto"/>
              <w:right w:val="single" w:sz="4" w:space="0" w:color="auto"/>
            </w:tcBorders>
            <w:vAlign w:val="center"/>
            <w:hideMark/>
          </w:tcPr>
          <w:p w14:paraId="36225A9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1.050,00</w:t>
            </w:r>
          </w:p>
        </w:tc>
      </w:tr>
      <w:tr w:rsidR="00C22FC1" w:rsidRPr="00C22FC1" w14:paraId="26691F7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4EC21B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1023</w:t>
            </w:r>
          </w:p>
        </w:tc>
        <w:tc>
          <w:tcPr>
            <w:tcW w:w="0" w:type="auto"/>
            <w:tcBorders>
              <w:top w:val="nil"/>
              <w:left w:val="nil"/>
              <w:bottom w:val="single" w:sz="4" w:space="0" w:color="auto"/>
              <w:right w:val="single" w:sz="4" w:space="0" w:color="auto"/>
            </w:tcBorders>
            <w:vAlign w:val="bottom"/>
            <w:hideMark/>
          </w:tcPr>
          <w:p w14:paraId="11D6505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200 até DN 300</w:t>
            </w:r>
          </w:p>
        </w:tc>
        <w:tc>
          <w:tcPr>
            <w:tcW w:w="0" w:type="auto"/>
            <w:tcBorders>
              <w:top w:val="nil"/>
              <w:left w:val="nil"/>
              <w:bottom w:val="single" w:sz="4" w:space="0" w:color="auto"/>
              <w:right w:val="single" w:sz="4" w:space="0" w:color="auto"/>
            </w:tcBorders>
            <w:vAlign w:val="center"/>
            <w:hideMark/>
          </w:tcPr>
          <w:p w14:paraId="65D59BF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1.680,00</w:t>
            </w:r>
          </w:p>
        </w:tc>
        <w:tc>
          <w:tcPr>
            <w:tcW w:w="0" w:type="auto"/>
            <w:tcBorders>
              <w:top w:val="nil"/>
              <w:left w:val="nil"/>
              <w:bottom w:val="single" w:sz="4" w:space="0" w:color="auto"/>
              <w:right w:val="single" w:sz="4" w:space="0" w:color="auto"/>
            </w:tcBorders>
            <w:vAlign w:val="center"/>
            <w:hideMark/>
          </w:tcPr>
          <w:p w14:paraId="4ECCEB3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1.400,00</w:t>
            </w:r>
          </w:p>
        </w:tc>
      </w:tr>
      <w:tr w:rsidR="00C22FC1" w:rsidRPr="00C22FC1" w14:paraId="533E7BF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9E9A4D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1024</w:t>
            </w:r>
          </w:p>
        </w:tc>
        <w:tc>
          <w:tcPr>
            <w:tcW w:w="0" w:type="auto"/>
            <w:tcBorders>
              <w:top w:val="nil"/>
              <w:left w:val="nil"/>
              <w:bottom w:val="single" w:sz="4" w:space="0" w:color="auto"/>
              <w:right w:val="single" w:sz="4" w:space="0" w:color="auto"/>
            </w:tcBorders>
            <w:vAlign w:val="bottom"/>
            <w:hideMark/>
          </w:tcPr>
          <w:p w14:paraId="0365F9A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300 até DN 400</w:t>
            </w:r>
          </w:p>
        </w:tc>
        <w:tc>
          <w:tcPr>
            <w:tcW w:w="0" w:type="auto"/>
            <w:tcBorders>
              <w:top w:val="nil"/>
              <w:left w:val="nil"/>
              <w:bottom w:val="single" w:sz="4" w:space="0" w:color="auto"/>
              <w:right w:val="single" w:sz="4" w:space="0" w:color="auto"/>
            </w:tcBorders>
            <w:vAlign w:val="center"/>
            <w:hideMark/>
          </w:tcPr>
          <w:p w14:paraId="7A26D62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2.100,00</w:t>
            </w:r>
          </w:p>
        </w:tc>
        <w:tc>
          <w:tcPr>
            <w:tcW w:w="0" w:type="auto"/>
            <w:tcBorders>
              <w:top w:val="nil"/>
              <w:left w:val="nil"/>
              <w:bottom w:val="single" w:sz="4" w:space="0" w:color="auto"/>
              <w:right w:val="single" w:sz="4" w:space="0" w:color="auto"/>
            </w:tcBorders>
            <w:vAlign w:val="center"/>
            <w:hideMark/>
          </w:tcPr>
          <w:p w14:paraId="3EF189C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1.750,00</w:t>
            </w:r>
          </w:p>
        </w:tc>
      </w:tr>
      <w:tr w:rsidR="00C22FC1" w:rsidRPr="00C22FC1" w14:paraId="3241839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F269E2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1025</w:t>
            </w:r>
          </w:p>
        </w:tc>
        <w:tc>
          <w:tcPr>
            <w:tcW w:w="0" w:type="auto"/>
            <w:tcBorders>
              <w:top w:val="nil"/>
              <w:left w:val="nil"/>
              <w:bottom w:val="single" w:sz="4" w:space="0" w:color="auto"/>
              <w:right w:val="single" w:sz="4" w:space="0" w:color="auto"/>
            </w:tcBorders>
            <w:vAlign w:val="bottom"/>
            <w:hideMark/>
          </w:tcPr>
          <w:p w14:paraId="278F105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400 até DN 500</w:t>
            </w:r>
          </w:p>
        </w:tc>
        <w:tc>
          <w:tcPr>
            <w:tcW w:w="0" w:type="auto"/>
            <w:tcBorders>
              <w:top w:val="nil"/>
              <w:left w:val="nil"/>
              <w:bottom w:val="single" w:sz="4" w:space="0" w:color="auto"/>
              <w:right w:val="single" w:sz="4" w:space="0" w:color="auto"/>
            </w:tcBorders>
            <w:vAlign w:val="center"/>
            <w:hideMark/>
          </w:tcPr>
          <w:p w14:paraId="3671E9D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2.520,00</w:t>
            </w:r>
          </w:p>
        </w:tc>
        <w:tc>
          <w:tcPr>
            <w:tcW w:w="0" w:type="auto"/>
            <w:tcBorders>
              <w:top w:val="nil"/>
              <w:left w:val="nil"/>
              <w:bottom w:val="single" w:sz="4" w:space="0" w:color="auto"/>
              <w:right w:val="single" w:sz="4" w:space="0" w:color="auto"/>
            </w:tcBorders>
            <w:vAlign w:val="center"/>
            <w:hideMark/>
          </w:tcPr>
          <w:p w14:paraId="4B23AA1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2.100,00</w:t>
            </w:r>
          </w:p>
        </w:tc>
      </w:tr>
      <w:tr w:rsidR="00C22FC1" w:rsidRPr="00C22FC1" w14:paraId="2BF25BB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662BB2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1026</w:t>
            </w:r>
          </w:p>
        </w:tc>
        <w:tc>
          <w:tcPr>
            <w:tcW w:w="0" w:type="auto"/>
            <w:tcBorders>
              <w:top w:val="nil"/>
              <w:left w:val="nil"/>
              <w:bottom w:val="single" w:sz="4" w:space="0" w:color="auto"/>
              <w:right w:val="single" w:sz="4" w:space="0" w:color="auto"/>
            </w:tcBorders>
            <w:vAlign w:val="bottom"/>
            <w:hideMark/>
          </w:tcPr>
          <w:p w14:paraId="64B3C6C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500</w:t>
            </w:r>
          </w:p>
        </w:tc>
        <w:tc>
          <w:tcPr>
            <w:tcW w:w="0" w:type="auto"/>
            <w:tcBorders>
              <w:top w:val="nil"/>
              <w:left w:val="nil"/>
              <w:bottom w:val="single" w:sz="4" w:space="0" w:color="auto"/>
              <w:right w:val="single" w:sz="4" w:space="0" w:color="auto"/>
            </w:tcBorders>
            <w:vAlign w:val="center"/>
            <w:hideMark/>
          </w:tcPr>
          <w:p w14:paraId="5FDE804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3.600,00</w:t>
            </w:r>
          </w:p>
        </w:tc>
        <w:tc>
          <w:tcPr>
            <w:tcW w:w="0" w:type="auto"/>
            <w:tcBorders>
              <w:top w:val="nil"/>
              <w:left w:val="nil"/>
              <w:bottom w:val="single" w:sz="4" w:space="0" w:color="auto"/>
              <w:right w:val="single" w:sz="4" w:space="0" w:color="auto"/>
            </w:tcBorders>
            <w:vAlign w:val="center"/>
            <w:hideMark/>
          </w:tcPr>
          <w:p w14:paraId="75ED4EB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3.000,00</w:t>
            </w:r>
          </w:p>
        </w:tc>
      </w:tr>
      <w:tr w:rsidR="00C22FC1" w:rsidRPr="00C22FC1" w14:paraId="1C9E1FE2"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0BB43D3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medição para gás (ensaios realizados em laboratório)</w:t>
            </w:r>
          </w:p>
        </w:tc>
      </w:tr>
      <w:tr w:rsidR="00C22FC1" w:rsidRPr="00C22FC1" w14:paraId="5F6A3B7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939E8F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3DAAE04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Tipo diafragma</w:t>
            </w:r>
          </w:p>
        </w:tc>
      </w:tr>
      <w:tr w:rsidR="00C22FC1" w:rsidRPr="00C22FC1" w14:paraId="73BC95F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978F96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401</w:t>
            </w:r>
          </w:p>
        </w:tc>
        <w:tc>
          <w:tcPr>
            <w:tcW w:w="0" w:type="auto"/>
            <w:tcBorders>
              <w:top w:val="nil"/>
              <w:left w:val="nil"/>
              <w:bottom w:val="single" w:sz="4" w:space="0" w:color="auto"/>
              <w:right w:val="single" w:sz="4" w:space="0" w:color="auto"/>
            </w:tcBorders>
            <w:vAlign w:val="bottom"/>
            <w:hideMark/>
          </w:tcPr>
          <w:p w14:paraId="01040FA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10 m³/h</w:t>
            </w:r>
          </w:p>
        </w:tc>
        <w:tc>
          <w:tcPr>
            <w:tcW w:w="0" w:type="auto"/>
            <w:tcBorders>
              <w:top w:val="nil"/>
              <w:left w:val="nil"/>
              <w:bottom w:val="single" w:sz="4" w:space="0" w:color="auto"/>
              <w:right w:val="single" w:sz="4" w:space="0" w:color="auto"/>
            </w:tcBorders>
            <w:vAlign w:val="center"/>
            <w:hideMark/>
          </w:tcPr>
          <w:p w14:paraId="13DA28F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15,70</w:t>
            </w:r>
          </w:p>
        </w:tc>
        <w:tc>
          <w:tcPr>
            <w:tcW w:w="0" w:type="auto"/>
            <w:tcBorders>
              <w:top w:val="nil"/>
              <w:left w:val="nil"/>
              <w:bottom w:val="single" w:sz="4" w:space="0" w:color="auto"/>
              <w:right w:val="single" w:sz="4" w:space="0" w:color="auto"/>
            </w:tcBorders>
            <w:vAlign w:val="center"/>
            <w:hideMark/>
          </w:tcPr>
          <w:p w14:paraId="3362E37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5,20</w:t>
            </w:r>
          </w:p>
        </w:tc>
      </w:tr>
      <w:tr w:rsidR="00C22FC1" w:rsidRPr="00C22FC1" w14:paraId="26402D7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4D13AF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402</w:t>
            </w:r>
          </w:p>
        </w:tc>
        <w:tc>
          <w:tcPr>
            <w:tcW w:w="0" w:type="auto"/>
            <w:tcBorders>
              <w:top w:val="nil"/>
              <w:left w:val="nil"/>
              <w:bottom w:val="single" w:sz="4" w:space="0" w:color="auto"/>
              <w:right w:val="single" w:sz="4" w:space="0" w:color="auto"/>
            </w:tcBorders>
            <w:vAlign w:val="bottom"/>
            <w:hideMark/>
          </w:tcPr>
          <w:p w14:paraId="09D01A6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 m³/h até 40 m³/h</w:t>
            </w:r>
          </w:p>
        </w:tc>
        <w:tc>
          <w:tcPr>
            <w:tcW w:w="0" w:type="auto"/>
            <w:tcBorders>
              <w:top w:val="nil"/>
              <w:left w:val="nil"/>
              <w:bottom w:val="single" w:sz="4" w:space="0" w:color="auto"/>
              <w:right w:val="single" w:sz="4" w:space="0" w:color="auto"/>
            </w:tcBorders>
            <w:vAlign w:val="center"/>
            <w:hideMark/>
          </w:tcPr>
          <w:p w14:paraId="0F92BBB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35,30</w:t>
            </w:r>
          </w:p>
        </w:tc>
        <w:tc>
          <w:tcPr>
            <w:tcW w:w="0" w:type="auto"/>
            <w:tcBorders>
              <w:top w:val="nil"/>
              <w:left w:val="nil"/>
              <w:bottom w:val="single" w:sz="4" w:space="0" w:color="auto"/>
              <w:right w:val="single" w:sz="4" w:space="0" w:color="auto"/>
            </w:tcBorders>
            <w:vAlign w:val="center"/>
            <w:hideMark/>
          </w:tcPr>
          <w:p w14:paraId="0B3909F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11,50</w:t>
            </w:r>
          </w:p>
        </w:tc>
      </w:tr>
      <w:tr w:rsidR="00C22FC1" w:rsidRPr="00C22FC1" w14:paraId="7347139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71BD9F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403</w:t>
            </w:r>
          </w:p>
        </w:tc>
        <w:tc>
          <w:tcPr>
            <w:tcW w:w="0" w:type="auto"/>
            <w:tcBorders>
              <w:top w:val="nil"/>
              <w:left w:val="nil"/>
              <w:bottom w:val="single" w:sz="4" w:space="0" w:color="auto"/>
              <w:right w:val="single" w:sz="4" w:space="0" w:color="auto"/>
            </w:tcBorders>
            <w:vAlign w:val="bottom"/>
            <w:hideMark/>
          </w:tcPr>
          <w:p w14:paraId="528575A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40 m³/h até 100 m³/h</w:t>
            </w:r>
          </w:p>
        </w:tc>
        <w:tc>
          <w:tcPr>
            <w:tcW w:w="0" w:type="auto"/>
            <w:tcBorders>
              <w:top w:val="nil"/>
              <w:left w:val="nil"/>
              <w:bottom w:val="single" w:sz="4" w:space="0" w:color="auto"/>
              <w:right w:val="single" w:sz="4" w:space="0" w:color="auto"/>
            </w:tcBorders>
            <w:vAlign w:val="center"/>
            <w:hideMark/>
          </w:tcPr>
          <w:p w14:paraId="64FF65D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69,15</w:t>
            </w:r>
          </w:p>
        </w:tc>
        <w:tc>
          <w:tcPr>
            <w:tcW w:w="0" w:type="auto"/>
            <w:tcBorders>
              <w:top w:val="nil"/>
              <w:left w:val="nil"/>
              <w:bottom w:val="single" w:sz="4" w:space="0" w:color="auto"/>
              <w:right w:val="single" w:sz="4" w:space="0" w:color="auto"/>
            </w:tcBorders>
            <w:vAlign w:val="center"/>
            <w:hideMark/>
          </w:tcPr>
          <w:p w14:paraId="34F3426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23,15</w:t>
            </w:r>
          </w:p>
        </w:tc>
      </w:tr>
      <w:tr w:rsidR="00C22FC1" w:rsidRPr="00C22FC1" w14:paraId="0D25D8C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8C7DEE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404</w:t>
            </w:r>
          </w:p>
        </w:tc>
        <w:tc>
          <w:tcPr>
            <w:tcW w:w="0" w:type="auto"/>
            <w:tcBorders>
              <w:top w:val="nil"/>
              <w:left w:val="nil"/>
              <w:bottom w:val="single" w:sz="4" w:space="0" w:color="auto"/>
              <w:right w:val="single" w:sz="4" w:space="0" w:color="auto"/>
            </w:tcBorders>
            <w:vAlign w:val="bottom"/>
            <w:hideMark/>
          </w:tcPr>
          <w:p w14:paraId="76BF036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100 m³/h até 650 m³/h</w:t>
            </w:r>
          </w:p>
        </w:tc>
        <w:tc>
          <w:tcPr>
            <w:tcW w:w="0" w:type="auto"/>
            <w:tcBorders>
              <w:top w:val="nil"/>
              <w:left w:val="nil"/>
              <w:bottom w:val="single" w:sz="4" w:space="0" w:color="auto"/>
              <w:right w:val="single" w:sz="4" w:space="0" w:color="auto"/>
            </w:tcBorders>
            <w:vAlign w:val="center"/>
            <w:hideMark/>
          </w:tcPr>
          <w:p w14:paraId="18F19AA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167,70</w:t>
            </w:r>
          </w:p>
        </w:tc>
        <w:tc>
          <w:tcPr>
            <w:tcW w:w="0" w:type="auto"/>
            <w:tcBorders>
              <w:top w:val="nil"/>
              <w:left w:val="nil"/>
              <w:bottom w:val="single" w:sz="4" w:space="0" w:color="auto"/>
              <w:right w:val="single" w:sz="4" w:space="0" w:color="auto"/>
            </w:tcBorders>
            <w:vAlign w:val="center"/>
            <w:hideMark/>
          </w:tcPr>
          <w:p w14:paraId="07C78AD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55,80</w:t>
            </w:r>
          </w:p>
        </w:tc>
      </w:tr>
      <w:tr w:rsidR="00C22FC1" w:rsidRPr="00C22FC1" w14:paraId="2A37B30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FF959F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405</w:t>
            </w:r>
          </w:p>
        </w:tc>
        <w:tc>
          <w:tcPr>
            <w:tcW w:w="0" w:type="auto"/>
            <w:tcBorders>
              <w:top w:val="nil"/>
              <w:left w:val="nil"/>
              <w:bottom w:val="single" w:sz="4" w:space="0" w:color="auto"/>
              <w:right w:val="single" w:sz="4" w:space="0" w:color="auto"/>
            </w:tcBorders>
            <w:vAlign w:val="bottom"/>
            <w:hideMark/>
          </w:tcPr>
          <w:p w14:paraId="1BFD9AF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650 m³/h até 2.500 m³/h</w:t>
            </w:r>
          </w:p>
        </w:tc>
        <w:tc>
          <w:tcPr>
            <w:tcW w:w="0" w:type="auto"/>
            <w:tcBorders>
              <w:top w:val="nil"/>
              <w:left w:val="nil"/>
              <w:bottom w:val="single" w:sz="4" w:space="0" w:color="auto"/>
              <w:right w:val="single" w:sz="4" w:space="0" w:color="auto"/>
            </w:tcBorders>
            <w:vAlign w:val="center"/>
            <w:hideMark/>
          </w:tcPr>
          <w:p w14:paraId="6B2E088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295,60</w:t>
            </w:r>
          </w:p>
        </w:tc>
        <w:tc>
          <w:tcPr>
            <w:tcW w:w="0" w:type="auto"/>
            <w:tcBorders>
              <w:top w:val="nil"/>
              <w:left w:val="nil"/>
              <w:bottom w:val="single" w:sz="4" w:space="0" w:color="auto"/>
              <w:right w:val="single" w:sz="4" w:space="0" w:color="auto"/>
            </w:tcBorders>
            <w:vAlign w:val="center"/>
            <w:hideMark/>
          </w:tcPr>
          <w:p w14:paraId="600B3D3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98,70</w:t>
            </w:r>
          </w:p>
        </w:tc>
      </w:tr>
      <w:tr w:rsidR="00C22FC1" w:rsidRPr="00C22FC1" w14:paraId="00FFD01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5DCFEA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7A21E29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Com apresentação de no mínimo 30 unidades</w:t>
            </w:r>
          </w:p>
        </w:tc>
      </w:tr>
      <w:tr w:rsidR="00C22FC1" w:rsidRPr="00C22FC1" w14:paraId="30E8122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0DE020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406</w:t>
            </w:r>
          </w:p>
        </w:tc>
        <w:tc>
          <w:tcPr>
            <w:tcW w:w="0" w:type="auto"/>
            <w:tcBorders>
              <w:top w:val="nil"/>
              <w:left w:val="nil"/>
              <w:bottom w:val="single" w:sz="4" w:space="0" w:color="auto"/>
              <w:right w:val="single" w:sz="4" w:space="0" w:color="auto"/>
            </w:tcBorders>
            <w:vAlign w:val="bottom"/>
            <w:hideMark/>
          </w:tcPr>
          <w:p w14:paraId="0FFFB47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10 m³/h</w:t>
            </w:r>
          </w:p>
        </w:tc>
        <w:tc>
          <w:tcPr>
            <w:tcW w:w="0" w:type="auto"/>
            <w:tcBorders>
              <w:top w:val="nil"/>
              <w:left w:val="nil"/>
              <w:bottom w:val="single" w:sz="4" w:space="0" w:color="auto"/>
              <w:right w:val="single" w:sz="4" w:space="0" w:color="auto"/>
            </w:tcBorders>
            <w:vAlign w:val="center"/>
            <w:hideMark/>
          </w:tcPr>
          <w:p w14:paraId="5FB9E40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12,40</w:t>
            </w:r>
          </w:p>
        </w:tc>
        <w:tc>
          <w:tcPr>
            <w:tcW w:w="0" w:type="auto"/>
            <w:tcBorders>
              <w:top w:val="nil"/>
              <w:left w:val="nil"/>
              <w:bottom w:val="single" w:sz="4" w:space="0" w:color="auto"/>
              <w:right w:val="single" w:sz="4" w:space="0" w:color="auto"/>
            </w:tcBorders>
            <w:vAlign w:val="center"/>
            <w:hideMark/>
          </w:tcPr>
          <w:p w14:paraId="796EF63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4,10</w:t>
            </w:r>
          </w:p>
        </w:tc>
      </w:tr>
      <w:tr w:rsidR="00C22FC1" w:rsidRPr="00C22FC1" w14:paraId="252F5E1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20DB70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407</w:t>
            </w:r>
          </w:p>
        </w:tc>
        <w:tc>
          <w:tcPr>
            <w:tcW w:w="0" w:type="auto"/>
            <w:tcBorders>
              <w:top w:val="nil"/>
              <w:left w:val="nil"/>
              <w:bottom w:val="single" w:sz="4" w:space="0" w:color="auto"/>
              <w:right w:val="single" w:sz="4" w:space="0" w:color="auto"/>
            </w:tcBorders>
            <w:vAlign w:val="bottom"/>
            <w:hideMark/>
          </w:tcPr>
          <w:p w14:paraId="7333D60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 m³/h até 40 m³/h</w:t>
            </w:r>
          </w:p>
        </w:tc>
        <w:tc>
          <w:tcPr>
            <w:tcW w:w="0" w:type="auto"/>
            <w:tcBorders>
              <w:top w:val="nil"/>
              <w:left w:val="nil"/>
              <w:bottom w:val="single" w:sz="4" w:space="0" w:color="auto"/>
              <w:right w:val="single" w:sz="4" w:space="0" w:color="auto"/>
            </w:tcBorders>
            <w:vAlign w:val="center"/>
            <w:hideMark/>
          </w:tcPr>
          <w:p w14:paraId="26A754E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27,20</w:t>
            </w:r>
          </w:p>
        </w:tc>
        <w:tc>
          <w:tcPr>
            <w:tcW w:w="0" w:type="auto"/>
            <w:tcBorders>
              <w:top w:val="nil"/>
              <w:left w:val="nil"/>
              <w:bottom w:val="single" w:sz="4" w:space="0" w:color="auto"/>
              <w:right w:val="single" w:sz="4" w:space="0" w:color="auto"/>
            </w:tcBorders>
            <w:vAlign w:val="center"/>
            <w:hideMark/>
          </w:tcPr>
          <w:p w14:paraId="7C7164A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9,00</w:t>
            </w:r>
          </w:p>
        </w:tc>
      </w:tr>
      <w:tr w:rsidR="00C22FC1" w:rsidRPr="00C22FC1" w14:paraId="5343867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539894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2B54120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Com apresentação de no mínimo 300 unidades</w:t>
            </w:r>
          </w:p>
        </w:tc>
      </w:tr>
      <w:tr w:rsidR="00C22FC1" w:rsidRPr="00C22FC1" w14:paraId="0BC005E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08A050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408</w:t>
            </w:r>
          </w:p>
        </w:tc>
        <w:tc>
          <w:tcPr>
            <w:tcW w:w="0" w:type="auto"/>
            <w:tcBorders>
              <w:top w:val="nil"/>
              <w:left w:val="nil"/>
              <w:bottom w:val="single" w:sz="4" w:space="0" w:color="auto"/>
              <w:right w:val="single" w:sz="4" w:space="0" w:color="auto"/>
            </w:tcBorders>
            <w:vAlign w:val="bottom"/>
            <w:hideMark/>
          </w:tcPr>
          <w:p w14:paraId="29EFC52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10 m³/h</w:t>
            </w:r>
          </w:p>
        </w:tc>
        <w:tc>
          <w:tcPr>
            <w:tcW w:w="0" w:type="auto"/>
            <w:tcBorders>
              <w:top w:val="nil"/>
              <w:left w:val="nil"/>
              <w:bottom w:val="single" w:sz="4" w:space="0" w:color="auto"/>
              <w:right w:val="single" w:sz="4" w:space="0" w:color="auto"/>
            </w:tcBorders>
            <w:vAlign w:val="center"/>
            <w:hideMark/>
          </w:tcPr>
          <w:p w14:paraId="6E6BE47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9,70</w:t>
            </w:r>
          </w:p>
        </w:tc>
        <w:tc>
          <w:tcPr>
            <w:tcW w:w="0" w:type="auto"/>
            <w:tcBorders>
              <w:top w:val="nil"/>
              <w:left w:val="nil"/>
              <w:bottom w:val="single" w:sz="4" w:space="0" w:color="auto"/>
              <w:right w:val="single" w:sz="4" w:space="0" w:color="auto"/>
            </w:tcBorders>
            <w:vAlign w:val="center"/>
            <w:hideMark/>
          </w:tcPr>
          <w:p w14:paraId="3C28FEB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3,30</w:t>
            </w:r>
          </w:p>
        </w:tc>
      </w:tr>
      <w:tr w:rsidR="00C22FC1" w:rsidRPr="00C22FC1" w14:paraId="7AC536C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0AF1F7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411</w:t>
            </w:r>
          </w:p>
        </w:tc>
        <w:tc>
          <w:tcPr>
            <w:tcW w:w="0" w:type="auto"/>
            <w:tcBorders>
              <w:top w:val="nil"/>
              <w:left w:val="nil"/>
              <w:bottom w:val="single" w:sz="4" w:space="0" w:color="auto"/>
              <w:right w:val="single" w:sz="4" w:space="0" w:color="auto"/>
            </w:tcBorders>
            <w:vAlign w:val="bottom"/>
            <w:hideMark/>
          </w:tcPr>
          <w:p w14:paraId="39573368"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Sistema de medição para GNC (ensaios em laboratório ou </w:t>
            </w:r>
            <w:r w:rsidRPr="00C22FC1">
              <w:rPr>
                <w:rFonts w:ascii="Times New Roman" w:eastAsia="Times New Roman" w:hAnsi="Times New Roman" w:cs="Times New Roman"/>
                <w:b/>
                <w:bCs/>
                <w:color w:val="000000"/>
                <w:kern w:val="0"/>
                <w:sz w:val="20"/>
                <w:szCs w:val="20"/>
                <w14:ligatures w14:val="none"/>
              </w:rPr>
              <w:t>in situ</w:t>
            </w: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615BFD7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407,80</w:t>
            </w:r>
          </w:p>
        </w:tc>
        <w:tc>
          <w:tcPr>
            <w:tcW w:w="0" w:type="auto"/>
            <w:tcBorders>
              <w:top w:val="nil"/>
              <w:left w:val="nil"/>
              <w:bottom w:val="single" w:sz="4" w:space="0" w:color="auto"/>
              <w:right w:val="single" w:sz="4" w:space="0" w:color="auto"/>
            </w:tcBorders>
            <w:vAlign w:val="center"/>
            <w:hideMark/>
          </w:tcPr>
          <w:p w14:paraId="211697A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407,80</w:t>
            </w:r>
          </w:p>
        </w:tc>
      </w:tr>
      <w:tr w:rsidR="00C22FC1" w:rsidRPr="00C22FC1" w14:paraId="1E3BC28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AD2C72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1027</w:t>
            </w:r>
          </w:p>
        </w:tc>
        <w:tc>
          <w:tcPr>
            <w:tcW w:w="0" w:type="auto"/>
            <w:tcBorders>
              <w:top w:val="nil"/>
              <w:left w:val="nil"/>
              <w:bottom w:val="single" w:sz="4" w:space="0" w:color="auto"/>
              <w:right w:val="single" w:sz="4" w:space="0" w:color="auto"/>
            </w:tcBorders>
            <w:vAlign w:val="bottom"/>
            <w:hideMark/>
          </w:tcPr>
          <w:p w14:paraId="032F2E2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Sistemas de medição e abastecimento de GLP a granel (ensaios em laboratório ou </w:t>
            </w:r>
            <w:r w:rsidRPr="00C22FC1">
              <w:rPr>
                <w:rFonts w:ascii="Times New Roman" w:eastAsia="Times New Roman" w:hAnsi="Times New Roman" w:cs="Times New Roman"/>
                <w:b/>
                <w:bCs/>
                <w:color w:val="000000"/>
                <w:kern w:val="0"/>
                <w:sz w:val="20"/>
                <w:szCs w:val="20"/>
                <w14:ligatures w14:val="none"/>
              </w:rPr>
              <w:t>in situ</w:t>
            </w: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440AB2A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510,00</w:t>
            </w:r>
          </w:p>
        </w:tc>
        <w:tc>
          <w:tcPr>
            <w:tcW w:w="0" w:type="auto"/>
            <w:tcBorders>
              <w:top w:val="nil"/>
              <w:left w:val="nil"/>
              <w:bottom w:val="single" w:sz="4" w:space="0" w:color="auto"/>
              <w:right w:val="single" w:sz="4" w:space="0" w:color="auto"/>
            </w:tcBorders>
            <w:vAlign w:val="center"/>
            <w:hideMark/>
          </w:tcPr>
          <w:p w14:paraId="6973E59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510,00</w:t>
            </w:r>
          </w:p>
        </w:tc>
      </w:tr>
      <w:tr w:rsidR="00C22FC1" w:rsidRPr="00C22FC1" w14:paraId="551C341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5A355E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1622EE4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Tipo diferencial de pressão</w:t>
            </w:r>
          </w:p>
        </w:tc>
      </w:tr>
      <w:tr w:rsidR="00C22FC1" w:rsidRPr="00C22FC1" w14:paraId="20CC3D8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606704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1028</w:t>
            </w:r>
          </w:p>
        </w:tc>
        <w:tc>
          <w:tcPr>
            <w:tcW w:w="0" w:type="auto"/>
            <w:tcBorders>
              <w:top w:val="nil"/>
              <w:left w:val="nil"/>
              <w:bottom w:val="single" w:sz="4" w:space="0" w:color="auto"/>
              <w:right w:val="single" w:sz="4" w:space="0" w:color="auto"/>
            </w:tcBorders>
            <w:vAlign w:val="bottom"/>
            <w:hideMark/>
          </w:tcPr>
          <w:p w14:paraId="300F2B0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DN 50</w:t>
            </w:r>
          </w:p>
        </w:tc>
        <w:tc>
          <w:tcPr>
            <w:tcW w:w="0" w:type="auto"/>
            <w:tcBorders>
              <w:top w:val="nil"/>
              <w:left w:val="nil"/>
              <w:bottom w:val="single" w:sz="4" w:space="0" w:color="auto"/>
              <w:right w:val="single" w:sz="4" w:space="0" w:color="auto"/>
            </w:tcBorders>
            <w:vAlign w:val="center"/>
            <w:hideMark/>
          </w:tcPr>
          <w:p w14:paraId="50F2FC2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480,00</w:t>
            </w:r>
          </w:p>
        </w:tc>
        <w:tc>
          <w:tcPr>
            <w:tcW w:w="0" w:type="auto"/>
            <w:tcBorders>
              <w:top w:val="nil"/>
              <w:left w:val="nil"/>
              <w:bottom w:val="single" w:sz="4" w:space="0" w:color="auto"/>
              <w:right w:val="single" w:sz="4" w:space="0" w:color="auto"/>
            </w:tcBorders>
            <w:vAlign w:val="center"/>
            <w:hideMark/>
          </w:tcPr>
          <w:p w14:paraId="14BFE54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400,00</w:t>
            </w:r>
          </w:p>
        </w:tc>
      </w:tr>
      <w:tr w:rsidR="00C22FC1" w:rsidRPr="00C22FC1" w14:paraId="740BFF9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660F7E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1029</w:t>
            </w:r>
          </w:p>
        </w:tc>
        <w:tc>
          <w:tcPr>
            <w:tcW w:w="0" w:type="auto"/>
            <w:tcBorders>
              <w:top w:val="nil"/>
              <w:left w:val="nil"/>
              <w:bottom w:val="single" w:sz="4" w:space="0" w:color="auto"/>
              <w:right w:val="single" w:sz="4" w:space="0" w:color="auto"/>
            </w:tcBorders>
            <w:vAlign w:val="bottom"/>
            <w:hideMark/>
          </w:tcPr>
          <w:p w14:paraId="6113119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50 até DN 100</w:t>
            </w:r>
          </w:p>
        </w:tc>
        <w:tc>
          <w:tcPr>
            <w:tcW w:w="0" w:type="auto"/>
            <w:tcBorders>
              <w:top w:val="nil"/>
              <w:left w:val="nil"/>
              <w:bottom w:val="single" w:sz="4" w:space="0" w:color="auto"/>
              <w:right w:val="single" w:sz="4" w:space="0" w:color="auto"/>
            </w:tcBorders>
            <w:vAlign w:val="center"/>
            <w:hideMark/>
          </w:tcPr>
          <w:p w14:paraId="3395A77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720,00</w:t>
            </w:r>
          </w:p>
        </w:tc>
        <w:tc>
          <w:tcPr>
            <w:tcW w:w="0" w:type="auto"/>
            <w:tcBorders>
              <w:top w:val="nil"/>
              <w:left w:val="nil"/>
              <w:bottom w:val="single" w:sz="4" w:space="0" w:color="auto"/>
              <w:right w:val="single" w:sz="4" w:space="0" w:color="auto"/>
            </w:tcBorders>
            <w:vAlign w:val="center"/>
            <w:hideMark/>
          </w:tcPr>
          <w:p w14:paraId="0F4563A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600,00</w:t>
            </w:r>
          </w:p>
        </w:tc>
      </w:tr>
      <w:tr w:rsidR="00C22FC1" w:rsidRPr="00C22FC1" w14:paraId="28A1B7F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B581C9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1030</w:t>
            </w:r>
          </w:p>
        </w:tc>
        <w:tc>
          <w:tcPr>
            <w:tcW w:w="0" w:type="auto"/>
            <w:tcBorders>
              <w:top w:val="nil"/>
              <w:left w:val="nil"/>
              <w:bottom w:val="single" w:sz="4" w:space="0" w:color="auto"/>
              <w:right w:val="single" w:sz="4" w:space="0" w:color="auto"/>
            </w:tcBorders>
            <w:vAlign w:val="bottom"/>
            <w:hideMark/>
          </w:tcPr>
          <w:p w14:paraId="4E4EA30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100 até DN 150</w:t>
            </w:r>
          </w:p>
        </w:tc>
        <w:tc>
          <w:tcPr>
            <w:tcW w:w="0" w:type="auto"/>
            <w:tcBorders>
              <w:top w:val="nil"/>
              <w:left w:val="nil"/>
              <w:bottom w:val="single" w:sz="4" w:space="0" w:color="auto"/>
              <w:right w:val="single" w:sz="4" w:space="0" w:color="auto"/>
            </w:tcBorders>
            <w:vAlign w:val="center"/>
            <w:hideMark/>
          </w:tcPr>
          <w:p w14:paraId="39D218C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1.080,00</w:t>
            </w:r>
          </w:p>
        </w:tc>
        <w:tc>
          <w:tcPr>
            <w:tcW w:w="0" w:type="auto"/>
            <w:tcBorders>
              <w:top w:val="nil"/>
              <w:left w:val="nil"/>
              <w:bottom w:val="single" w:sz="4" w:space="0" w:color="auto"/>
              <w:right w:val="single" w:sz="4" w:space="0" w:color="auto"/>
            </w:tcBorders>
            <w:vAlign w:val="center"/>
            <w:hideMark/>
          </w:tcPr>
          <w:p w14:paraId="4C0CF86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900,00</w:t>
            </w:r>
          </w:p>
        </w:tc>
      </w:tr>
      <w:tr w:rsidR="00C22FC1" w:rsidRPr="00C22FC1" w14:paraId="3998117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F1C76C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1031</w:t>
            </w:r>
          </w:p>
        </w:tc>
        <w:tc>
          <w:tcPr>
            <w:tcW w:w="0" w:type="auto"/>
            <w:tcBorders>
              <w:top w:val="nil"/>
              <w:left w:val="nil"/>
              <w:bottom w:val="single" w:sz="4" w:space="0" w:color="auto"/>
              <w:right w:val="single" w:sz="4" w:space="0" w:color="auto"/>
            </w:tcBorders>
            <w:vAlign w:val="bottom"/>
            <w:hideMark/>
          </w:tcPr>
          <w:p w14:paraId="62063CA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150 até DN 200</w:t>
            </w:r>
          </w:p>
        </w:tc>
        <w:tc>
          <w:tcPr>
            <w:tcW w:w="0" w:type="auto"/>
            <w:tcBorders>
              <w:top w:val="nil"/>
              <w:left w:val="nil"/>
              <w:bottom w:val="single" w:sz="4" w:space="0" w:color="auto"/>
              <w:right w:val="single" w:sz="4" w:space="0" w:color="auto"/>
            </w:tcBorders>
            <w:vAlign w:val="center"/>
            <w:hideMark/>
          </w:tcPr>
          <w:p w14:paraId="2452F7D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1.260,00</w:t>
            </w:r>
          </w:p>
        </w:tc>
        <w:tc>
          <w:tcPr>
            <w:tcW w:w="0" w:type="auto"/>
            <w:tcBorders>
              <w:top w:val="nil"/>
              <w:left w:val="nil"/>
              <w:bottom w:val="single" w:sz="4" w:space="0" w:color="auto"/>
              <w:right w:val="single" w:sz="4" w:space="0" w:color="auto"/>
            </w:tcBorders>
            <w:vAlign w:val="center"/>
            <w:hideMark/>
          </w:tcPr>
          <w:p w14:paraId="1DFACD0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1.050,00</w:t>
            </w:r>
          </w:p>
        </w:tc>
      </w:tr>
      <w:tr w:rsidR="00C22FC1" w:rsidRPr="00C22FC1" w14:paraId="2CA46C0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9E28AC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1032</w:t>
            </w:r>
          </w:p>
        </w:tc>
        <w:tc>
          <w:tcPr>
            <w:tcW w:w="0" w:type="auto"/>
            <w:tcBorders>
              <w:top w:val="nil"/>
              <w:left w:val="nil"/>
              <w:bottom w:val="single" w:sz="4" w:space="0" w:color="auto"/>
              <w:right w:val="single" w:sz="4" w:space="0" w:color="auto"/>
            </w:tcBorders>
            <w:vAlign w:val="bottom"/>
            <w:hideMark/>
          </w:tcPr>
          <w:p w14:paraId="22F29C88"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200 até DN 300</w:t>
            </w:r>
          </w:p>
        </w:tc>
        <w:tc>
          <w:tcPr>
            <w:tcW w:w="0" w:type="auto"/>
            <w:tcBorders>
              <w:top w:val="nil"/>
              <w:left w:val="nil"/>
              <w:bottom w:val="single" w:sz="4" w:space="0" w:color="auto"/>
              <w:right w:val="single" w:sz="4" w:space="0" w:color="auto"/>
            </w:tcBorders>
            <w:vAlign w:val="center"/>
            <w:hideMark/>
          </w:tcPr>
          <w:p w14:paraId="506BD5A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1.680,00</w:t>
            </w:r>
          </w:p>
        </w:tc>
        <w:tc>
          <w:tcPr>
            <w:tcW w:w="0" w:type="auto"/>
            <w:tcBorders>
              <w:top w:val="nil"/>
              <w:left w:val="nil"/>
              <w:bottom w:val="single" w:sz="4" w:space="0" w:color="auto"/>
              <w:right w:val="single" w:sz="4" w:space="0" w:color="auto"/>
            </w:tcBorders>
            <w:vAlign w:val="center"/>
            <w:hideMark/>
          </w:tcPr>
          <w:p w14:paraId="53EFABF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1.400,00</w:t>
            </w:r>
          </w:p>
        </w:tc>
      </w:tr>
      <w:tr w:rsidR="00C22FC1" w:rsidRPr="00C22FC1" w14:paraId="0E42D9A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AD1582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lastRenderedPageBreak/>
              <w:t>1033</w:t>
            </w:r>
          </w:p>
        </w:tc>
        <w:tc>
          <w:tcPr>
            <w:tcW w:w="0" w:type="auto"/>
            <w:tcBorders>
              <w:top w:val="nil"/>
              <w:left w:val="nil"/>
              <w:bottom w:val="single" w:sz="4" w:space="0" w:color="auto"/>
              <w:right w:val="single" w:sz="4" w:space="0" w:color="auto"/>
            </w:tcBorders>
            <w:vAlign w:val="bottom"/>
            <w:hideMark/>
          </w:tcPr>
          <w:p w14:paraId="0C30BE6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300 até DN 400</w:t>
            </w:r>
          </w:p>
        </w:tc>
        <w:tc>
          <w:tcPr>
            <w:tcW w:w="0" w:type="auto"/>
            <w:tcBorders>
              <w:top w:val="nil"/>
              <w:left w:val="nil"/>
              <w:bottom w:val="single" w:sz="4" w:space="0" w:color="auto"/>
              <w:right w:val="single" w:sz="4" w:space="0" w:color="auto"/>
            </w:tcBorders>
            <w:vAlign w:val="center"/>
            <w:hideMark/>
          </w:tcPr>
          <w:p w14:paraId="4505E35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2.100,00</w:t>
            </w:r>
          </w:p>
        </w:tc>
        <w:tc>
          <w:tcPr>
            <w:tcW w:w="0" w:type="auto"/>
            <w:tcBorders>
              <w:top w:val="nil"/>
              <w:left w:val="nil"/>
              <w:bottom w:val="single" w:sz="4" w:space="0" w:color="auto"/>
              <w:right w:val="single" w:sz="4" w:space="0" w:color="auto"/>
            </w:tcBorders>
            <w:vAlign w:val="center"/>
            <w:hideMark/>
          </w:tcPr>
          <w:p w14:paraId="0DEE691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1.750,00</w:t>
            </w:r>
          </w:p>
        </w:tc>
      </w:tr>
      <w:tr w:rsidR="00C22FC1" w:rsidRPr="00C22FC1" w14:paraId="3AD98B9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5A4688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1034</w:t>
            </w:r>
          </w:p>
        </w:tc>
        <w:tc>
          <w:tcPr>
            <w:tcW w:w="0" w:type="auto"/>
            <w:tcBorders>
              <w:top w:val="nil"/>
              <w:left w:val="nil"/>
              <w:bottom w:val="single" w:sz="4" w:space="0" w:color="auto"/>
              <w:right w:val="single" w:sz="4" w:space="0" w:color="auto"/>
            </w:tcBorders>
            <w:vAlign w:val="bottom"/>
            <w:hideMark/>
          </w:tcPr>
          <w:p w14:paraId="7F4BF2B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400 até DN 500</w:t>
            </w:r>
          </w:p>
        </w:tc>
        <w:tc>
          <w:tcPr>
            <w:tcW w:w="0" w:type="auto"/>
            <w:tcBorders>
              <w:top w:val="nil"/>
              <w:left w:val="nil"/>
              <w:bottom w:val="single" w:sz="4" w:space="0" w:color="auto"/>
              <w:right w:val="single" w:sz="4" w:space="0" w:color="auto"/>
            </w:tcBorders>
            <w:vAlign w:val="center"/>
            <w:hideMark/>
          </w:tcPr>
          <w:p w14:paraId="1FAB3C3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2.520,00</w:t>
            </w:r>
          </w:p>
        </w:tc>
        <w:tc>
          <w:tcPr>
            <w:tcW w:w="0" w:type="auto"/>
            <w:tcBorders>
              <w:top w:val="nil"/>
              <w:left w:val="nil"/>
              <w:bottom w:val="single" w:sz="4" w:space="0" w:color="auto"/>
              <w:right w:val="single" w:sz="4" w:space="0" w:color="auto"/>
            </w:tcBorders>
            <w:vAlign w:val="center"/>
            <w:hideMark/>
          </w:tcPr>
          <w:p w14:paraId="0732970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2.100,00</w:t>
            </w:r>
          </w:p>
        </w:tc>
      </w:tr>
      <w:tr w:rsidR="00C22FC1" w:rsidRPr="00C22FC1" w14:paraId="26CA593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6CDE13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1035</w:t>
            </w:r>
          </w:p>
        </w:tc>
        <w:tc>
          <w:tcPr>
            <w:tcW w:w="0" w:type="auto"/>
            <w:tcBorders>
              <w:top w:val="nil"/>
              <w:left w:val="nil"/>
              <w:bottom w:val="single" w:sz="4" w:space="0" w:color="auto"/>
              <w:right w:val="single" w:sz="4" w:space="0" w:color="auto"/>
            </w:tcBorders>
            <w:vAlign w:val="bottom"/>
            <w:hideMark/>
          </w:tcPr>
          <w:p w14:paraId="634623B8"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500</w:t>
            </w:r>
          </w:p>
        </w:tc>
        <w:tc>
          <w:tcPr>
            <w:tcW w:w="0" w:type="auto"/>
            <w:tcBorders>
              <w:top w:val="nil"/>
              <w:left w:val="nil"/>
              <w:bottom w:val="single" w:sz="4" w:space="0" w:color="auto"/>
              <w:right w:val="single" w:sz="4" w:space="0" w:color="auto"/>
            </w:tcBorders>
            <w:vAlign w:val="center"/>
            <w:hideMark/>
          </w:tcPr>
          <w:p w14:paraId="14D525C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3.600,00</w:t>
            </w:r>
          </w:p>
        </w:tc>
        <w:tc>
          <w:tcPr>
            <w:tcW w:w="0" w:type="auto"/>
            <w:tcBorders>
              <w:top w:val="nil"/>
              <w:left w:val="nil"/>
              <w:bottom w:val="single" w:sz="4" w:space="0" w:color="auto"/>
              <w:right w:val="single" w:sz="4" w:space="0" w:color="auto"/>
            </w:tcBorders>
            <w:vAlign w:val="center"/>
            <w:hideMark/>
          </w:tcPr>
          <w:p w14:paraId="50173EA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3.000,00</w:t>
            </w:r>
          </w:p>
        </w:tc>
      </w:tr>
      <w:tr w:rsidR="00C22FC1" w:rsidRPr="00C22FC1" w14:paraId="4803D36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BCD6BB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52A967E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Tipo rotativo</w:t>
            </w:r>
          </w:p>
        </w:tc>
      </w:tr>
      <w:tr w:rsidR="00C22FC1" w:rsidRPr="00C22FC1" w14:paraId="4B73C6C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5D1B8A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1036</w:t>
            </w:r>
          </w:p>
        </w:tc>
        <w:tc>
          <w:tcPr>
            <w:tcW w:w="0" w:type="auto"/>
            <w:tcBorders>
              <w:top w:val="nil"/>
              <w:left w:val="nil"/>
              <w:bottom w:val="single" w:sz="4" w:space="0" w:color="auto"/>
              <w:right w:val="single" w:sz="4" w:space="0" w:color="auto"/>
            </w:tcBorders>
            <w:vAlign w:val="bottom"/>
            <w:hideMark/>
          </w:tcPr>
          <w:p w14:paraId="69A6059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DN 50</w:t>
            </w:r>
          </w:p>
        </w:tc>
        <w:tc>
          <w:tcPr>
            <w:tcW w:w="0" w:type="auto"/>
            <w:tcBorders>
              <w:top w:val="nil"/>
              <w:left w:val="nil"/>
              <w:bottom w:val="single" w:sz="4" w:space="0" w:color="auto"/>
              <w:right w:val="single" w:sz="4" w:space="0" w:color="auto"/>
            </w:tcBorders>
            <w:vAlign w:val="center"/>
            <w:hideMark/>
          </w:tcPr>
          <w:p w14:paraId="2131FFD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240,00</w:t>
            </w:r>
          </w:p>
        </w:tc>
        <w:tc>
          <w:tcPr>
            <w:tcW w:w="0" w:type="auto"/>
            <w:tcBorders>
              <w:top w:val="nil"/>
              <w:left w:val="nil"/>
              <w:bottom w:val="single" w:sz="4" w:space="0" w:color="auto"/>
              <w:right w:val="single" w:sz="4" w:space="0" w:color="auto"/>
            </w:tcBorders>
            <w:vAlign w:val="center"/>
            <w:hideMark/>
          </w:tcPr>
          <w:p w14:paraId="1630067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200,00</w:t>
            </w:r>
          </w:p>
        </w:tc>
      </w:tr>
      <w:tr w:rsidR="00C22FC1" w:rsidRPr="00C22FC1" w14:paraId="038B2C2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39DED8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1037</w:t>
            </w:r>
          </w:p>
        </w:tc>
        <w:tc>
          <w:tcPr>
            <w:tcW w:w="0" w:type="auto"/>
            <w:tcBorders>
              <w:top w:val="nil"/>
              <w:left w:val="nil"/>
              <w:bottom w:val="single" w:sz="4" w:space="0" w:color="auto"/>
              <w:right w:val="single" w:sz="4" w:space="0" w:color="auto"/>
            </w:tcBorders>
            <w:vAlign w:val="bottom"/>
            <w:hideMark/>
          </w:tcPr>
          <w:p w14:paraId="4CAE2C1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50 até DN 100</w:t>
            </w:r>
          </w:p>
        </w:tc>
        <w:tc>
          <w:tcPr>
            <w:tcW w:w="0" w:type="auto"/>
            <w:tcBorders>
              <w:top w:val="nil"/>
              <w:left w:val="nil"/>
              <w:bottom w:val="single" w:sz="4" w:space="0" w:color="auto"/>
              <w:right w:val="single" w:sz="4" w:space="0" w:color="auto"/>
            </w:tcBorders>
            <w:vAlign w:val="center"/>
            <w:hideMark/>
          </w:tcPr>
          <w:p w14:paraId="50DE0BE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360,00</w:t>
            </w:r>
          </w:p>
        </w:tc>
        <w:tc>
          <w:tcPr>
            <w:tcW w:w="0" w:type="auto"/>
            <w:tcBorders>
              <w:top w:val="nil"/>
              <w:left w:val="nil"/>
              <w:bottom w:val="single" w:sz="4" w:space="0" w:color="auto"/>
              <w:right w:val="single" w:sz="4" w:space="0" w:color="auto"/>
            </w:tcBorders>
            <w:vAlign w:val="center"/>
            <w:hideMark/>
          </w:tcPr>
          <w:p w14:paraId="717A7FF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w:t>
            </w:r>
          </w:p>
        </w:tc>
      </w:tr>
      <w:tr w:rsidR="00C22FC1" w:rsidRPr="00C22FC1" w14:paraId="2728C46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D29815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1038</w:t>
            </w:r>
          </w:p>
        </w:tc>
        <w:tc>
          <w:tcPr>
            <w:tcW w:w="0" w:type="auto"/>
            <w:tcBorders>
              <w:top w:val="nil"/>
              <w:left w:val="nil"/>
              <w:bottom w:val="single" w:sz="4" w:space="0" w:color="auto"/>
              <w:right w:val="single" w:sz="4" w:space="0" w:color="auto"/>
            </w:tcBorders>
            <w:vAlign w:val="bottom"/>
            <w:hideMark/>
          </w:tcPr>
          <w:p w14:paraId="0C54217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100 até DN 150</w:t>
            </w:r>
          </w:p>
        </w:tc>
        <w:tc>
          <w:tcPr>
            <w:tcW w:w="0" w:type="auto"/>
            <w:tcBorders>
              <w:top w:val="nil"/>
              <w:left w:val="nil"/>
              <w:bottom w:val="single" w:sz="4" w:space="0" w:color="auto"/>
              <w:right w:val="single" w:sz="4" w:space="0" w:color="auto"/>
            </w:tcBorders>
            <w:vAlign w:val="center"/>
            <w:hideMark/>
          </w:tcPr>
          <w:p w14:paraId="12951F9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540,00</w:t>
            </w:r>
          </w:p>
        </w:tc>
        <w:tc>
          <w:tcPr>
            <w:tcW w:w="0" w:type="auto"/>
            <w:tcBorders>
              <w:top w:val="nil"/>
              <w:left w:val="nil"/>
              <w:bottom w:val="single" w:sz="4" w:space="0" w:color="auto"/>
              <w:right w:val="single" w:sz="4" w:space="0" w:color="auto"/>
            </w:tcBorders>
            <w:vAlign w:val="center"/>
            <w:hideMark/>
          </w:tcPr>
          <w:p w14:paraId="7DEA78C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450,00</w:t>
            </w:r>
          </w:p>
        </w:tc>
      </w:tr>
      <w:tr w:rsidR="00C22FC1" w:rsidRPr="00C22FC1" w14:paraId="534847A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203C0B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1039</w:t>
            </w:r>
          </w:p>
        </w:tc>
        <w:tc>
          <w:tcPr>
            <w:tcW w:w="0" w:type="auto"/>
            <w:tcBorders>
              <w:top w:val="nil"/>
              <w:left w:val="nil"/>
              <w:bottom w:val="single" w:sz="4" w:space="0" w:color="auto"/>
              <w:right w:val="single" w:sz="4" w:space="0" w:color="auto"/>
            </w:tcBorders>
            <w:vAlign w:val="bottom"/>
            <w:hideMark/>
          </w:tcPr>
          <w:p w14:paraId="45042A4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150 até DN 200</w:t>
            </w:r>
          </w:p>
        </w:tc>
        <w:tc>
          <w:tcPr>
            <w:tcW w:w="0" w:type="auto"/>
            <w:tcBorders>
              <w:top w:val="nil"/>
              <w:left w:val="nil"/>
              <w:bottom w:val="single" w:sz="4" w:space="0" w:color="auto"/>
              <w:right w:val="single" w:sz="4" w:space="0" w:color="auto"/>
            </w:tcBorders>
            <w:vAlign w:val="center"/>
            <w:hideMark/>
          </w:tcPr>
          <w:p w14:paraId="4BD5E54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720,00</w:t>
            </w:r>
          </w:p>
        </w:tc>
        <w:tc>
          <w:tcPr>
            <w:tcW w:w="0" w:type="auto"/>
            <w:tcBorders>
              <w:top w:val="nil"/>
              <w:left w:val="nil"/>
              <w:bottom w:val="single" w:sz="4" w:space="0" w:color="auto"/>
              <w:right w:val="single" w:sz="4" w:space="0" w:color="auto"/>
            </w:tcBorders>
            <w:vAlign w:val="center"/>
            <w:hideMark/>
          </w:tcPr>
          <w:p w14:paraId="67CA346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600,00</w:t>
            </w:r>
          </w:p>
        </w:tc>
      </w:tr>
      <w:tr w:rsidR="00C22FC1" w:rsidRPr="00C22FC1" w14:paraId="324289C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6F29AE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1040</w:t>
            </w:r>
          </w:p>
        </w:tc>
        <w:tc>
          <w:tcPr>
            <w:tcW w:w="0" w:type="auto"/>
            <w:tcBorders>
              <w:top w:val="nil"/>
              <w:left w:val="nil"/>
              <w:bottom w:val="single" w:sz="4" w:space="0" w:color="auto"/>
              <w:right w:val="single" w:sz="4" w:space="0" w:color="auto"/>
            </w:tcBorders>
            <w:vAlign w:val="bottom"/>
            <w:hideMark/>
          </w:tcPr>
          <w:p w14:paraId="742D6EB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200</w:t>
            </w:r>
          </w:p>
        </w:tc>
        <w:tc>
          <w:tcPr>
            <w:tcW w:w="0" w:type="auto"/>
            <w:tcBorders>
              <w:top w:val="nil"/>
              <w:left w:val="nil"/>
              <w:bottom w:val="single" w:sz="4" w:space="0" w:color="auto"/>
              <w:right w:val="single" w:sz="4" w:space="0" w:color="auto"/>
            </w:tcBorders>
            <w:vAlign w:val="center"/>
            <w:hideMark/>
          </w:tcPr>
          <w:p w14:paraId="0DFCC09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900,00</w:t>
            </w:r>
          </w:p>
        </w:tc>
        <w:tc>
          <w:tcPr>
            <w:tcW w:w="0" w:type="auto"/>
            <w:tcBorders>
              <w:top w:val="nil"/>
              <w:left w:val="nil"/>
              <w:bottom w:val="single" w:sz="4" w:space="0" w:color="auto"/>
              <w:right w:val="single" w:sz="4" w:space="0" w:color="auto"/>
            </w:tcBorders>
            <w:vAlign w:val="center"/>
            <w:hideMark/>
          </w:tcPr>
          <w:p w14:paraId="34761CF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750,00</w:t>
            </w:r>
          </w:p>
        </w:tc>
      </w:tr>
      <w:tr w:rsidR="00C22FC1" w:rsidRPr="00C22FC1" w14:paraId="2F53866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DAC3A6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134A956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Tipo turbina</w:t>
            </w:r>
          </w:p>
        </w:tc>
      </w:tr>
      <w:tr w:rsidR="00C22FC1" w:rsidRPr="00C22FC1" w14:paraId="184BD95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2574D3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1041</w:t>
            </w:r>
          </w:p>
        </w:tc>
        <w:tc>
          <w:tcPr>
            <w:tcW w:w="0" w:type="auto"/>
            <w:tcBorders>
              <w:top w:val="nil"/>
              <w:left w:val="nil"/>
              <w:bottom w:val="single" w:sz="4" w:space="0" w:color="auto"/>
              <w:right w:val="single" w:sz="4" w:space="0" w:color="auto"/>
            </w:tcBorders>
            <w:vAlign w:val="bottom"/>
            <w:hideMark/>
          </w:tcPr>
          <w:p w14:paraId="5A3B361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DN 50</w:t>
            </w:r>
          </w:p>
        </w:tc>
        <w:tc>
          <w:tcPr>
            <w:tcW w:w="0" w:type="auto"/>
            <w:tcBorders>
              <w:top w:val="nil"/>
              <w:left w:val="nil"/>
              <w:bottom w:val="single" w:sz="4" w:space="0" w:color="auto"/>
              <w:right w:val="single" w:sz="4" w:space="0" w:color="auto"/>
            </w:tcBorders>
            <w:vAlign w:val="center"/>
            <w:hideMark/>
          </w:tcPr>
          <w:p w14:paraId="2C96DFC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720,00</w:t>
            </w:r>
          </w:p>
        </w:tc>
        <w:tc>
          <w:tcPr>
            <w:tcW w:w="0" w:type="auto"/>
            <w:tcBorders>
              <w:top w:val="nil"/>
              <w:left w:val="nil"/>
              <w:bottom w:val="single" w:sz="4" w:space="0" w:color="auto"/>
              <w:right w:val="single" w:sz="4" w:space="0" w:color="auto"/>
            </w:tcBorders>
            <w:vAlign w:val="center"/>
            <w:hideMark/>
          </w:tcPr>
          <w:p w14:paraId="3313C3D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600,00</w:t>
            </w:r>
          </w:p>
        </w:tc>
      </w:tr>
      <w:tr w:rsidR="00C22FC1" w:rsidRPr="00C22FC1" w14:paraId="6E13ED3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0DD526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1042</w:t>
            </w:r>
          </w:p>
        </w:tc>
        <w:tc>
          <w:tcPr>
            <w:tcW w:w="0" w:type="auto"/>
            <w:tcBorders>
              <w:top w:val="nil"/>
              <w:left w:val="nil"/>
              <w:bottom w:val="single" w:sz="4" w:space="0" w:color="auto"/>
              <w:right w:val="single" w:sz="4" w:space="0" w:color="auto"/>
            </w:tcBorders>
            <w:vAlign w:val="bottom"/>
            <w:hideMark/>
          </w:tcPr>
          <w:p w14:paraId="35AEAF3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50 até DN 100</w:t>
            </w:r>
          </w:p>
        </w:tc>
        <w:tc>
          <w:tcPr>
            <w:tcW w:w="0" w:type="auto"/>
            <w:tcBorders>
              <w:top w:val="nil"/>
              <w:left w:val="nil"/>
              <w:bottom w:val="single" w:sz="4" w:space="0" w:color="auto"/>
              <w:right w:val="single" w:sz="4" w:space="0" w:color="auto"/>
            </w:tcBorders>
            <w:vAlign w:val="center"/>
            <w:hideMark/>
          </w:tcPr>
          <w:p w14:paraId="0985294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960,00</w:t>
            </w:r>
          </w:p>
        </w:tc>
        <w:tc>
          <w:tcPr>
            <w:tcW w:w="0" w:type="auto"/>
            <w:tcBorders>
              <w:top w:val="nil"/>
              <w:left w:val="nil"/>
              <w:bottom w:val="single" w:sz="4" w:space="0" w:color="auto"/>
              <w:right w:val="single" w:sz="4" w:space="0" w:color="auto"/>
            </w:tcBorders>
            <w:vAlign w:val="center"/>
            <w:hideMark/>
          </w:tcPr>
          <w:p w14:paraId="548E31A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800,00</w:t>
            </w:r>
          </w:p>
        </w:tc>
      </w:tr>
      <w:tr w:rsidR="00C22FC1" w:rsidRPr="00C22FC1" w14:paraId="0CEAF49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D7F77F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1043</w:t>
            </w:r>
          </w:p>
        </w:tc>
        <w:tc>
          <w:tcPr>
            <w:tcW w:w="0" w:type="auto"/>
            <w:tcBorders>
              <w:top w:val="nil"/>
              <w:left w:val="nil"/>
              <w:bottom w:val="single" w:sz="4" w:space="0" w:color="auto"/>
              <w:right w:val="single" w:sz="4" w:space="0" w:color="auto"/>
            </w:tcBorders>
            <w:vAlign w:val="bottom"/>
            <w:hideMark/>
          </w:tcPr>
          <w:p w14:paraId="6E2A590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100 até DN 150</w:t>
            </w:r>
          </w:p>
        </w:tc>
        <w:tc>
          <w:tcPr>
            <w:tcW w:w="0" w:type="auto"/>
            <w:tcBorders>
              <w:top w:val="nil"/>
              <w:left w:val="nil"/>
              <w:bottom w:val="single" w:sz="4" w:space="0" w:color="auto"/>
              <w:right w:val="single" w:sz="4" w:space="0" w:color="auto"/>
            </w:tcBorders>
            <w:vAlign w:val="center"/>
            <w:hideMark/>
          </w:tcPr>
          <w:p w14:paraId="69A57B7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1.440,00</w:t>
            </w:r>
          </w:p>
        </w:tc>
        <w:tc>
          <w:tcPr>
            <w:tcW w:w="0" w:type="auto"/>
            <w:tcBorders>
              <w:top w:val="nil"/>
              <w:left w:val="nil"/>
              <w:bottom w:val="single" w:sz="4" w:space="0" w:color="auto"/>
              <w:right w:val="single" w:sz="4" w:space="0" w:color="auto"/>
            </w:tcBorders>
            <w:vAlign w:val="center"/>
            <w:hideMark/>
          </w:tcPr>
          <w:p w14:paraId="0C7F5BA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1.200,00</w:t>
            </w:r>
          </w:p>
        </w:tc>
      </w:tr>
      <w:tr w:rsidR="00C22FC1" w:rsidRPr="00C22FC1" w14:paraId="423EE2B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CB5710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1044</w:t>
            </w:r>
          </w:p>
        </w:tc>
        <w:tc>
          <w:tcPr>
            <w:tcW w:w="0" w:type="auto"/>
            <w:tcBorders>
              <w:top w:val="nil"/>
              <w:left w:val="nil"/>
              <w:bottom w:val="single" w:sz="4" w:space="0" w:color="auto"/>
              <w:right w:val="single" w:sz="4" w:space="0" w:color="auto"/>
            </w:tcBorders>
            <w:vAlign w:val="bottom"/>
            <w:hideMark/>
          </w:tcPr>
          <w:p w14:paraId="47BD501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150 até DN 200</w:t>
            </w:r>
          </w:p>
        </w:tc>
        <w:tc>
          <w:tcPr>
            <w:tcW w:w="0" w:type="auto"/>
            <w:tcBorders>
              <w:top w:val="nil"/>
              <w:left w:val="nil"/>
              <w:bottom w:val="single" w:sz="4" w:space="0" w:color="auto"/>
              <w:right w:val="single" w:sz="4" w:space="0" w:color="auto"/>
            </w:tcBorders>
            <w:vAlign w:val="center"/>
            <w:hideMark/>
          </w:tcPr>
          <w:p w14:paraId="44B7421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1.800,00</w:t>
            </w:r>
          </w:p>
        </w:tc>
        <w:tc>
          <w:tcPr>
            <w:tcW w:w="0" w:type="auto"/>
            <w:tcBorders>
              <w:top w:val="nil"/>
              <w:left w:val="nil"/>
              <w:bottom w:val="single" w:sz="4" w:space="0" w:color="auto"/>
              <w:right w:val="single" w:sz="4" w:space="0" w:color="auto"/>
            </w:tcBorders>
            <w:vAlign w:val="center"/>
            <w:hideMark/>
          </w:tcPr>
          <w:p w14:paraId="456EAF1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1.500,00</w:t>
            </w:r>
          </w:p>
        </w:tc>
      </w:tr>
      <w:tr w:rsidR="00C22FC1" w:rsidRPr="00C22FC1" w14:paraId="6FED57F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18B46A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1045</w:t>
            </w:r>
          </w:p>
        </w:tc>
        <w:tc>
          <w:tcPr>
            <w:tcW w:w="0" w:type="auto"/>
            <w:tcBorders>
              <w:top w:val="nil"/>
              <w:left w:val="nil"/>
              <w:bottom w:val="single" w:sz="4" w:space="0" w:color="auto"/>
              <w:right w:val="single" w:sz="4" w:space="0" w:color="auto"/>
            </w:tcBorders>
            <w:vAlign w:val="bottom"/>
            <w:hideMark/>
          </w:tcPr>
          <w:p w14:paraId="5722C19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200 até DN 300</w:t>
            </w:r>
          </w:p>
        </w:tc>
        <w:tc>
          <w:tcPr>
            <w:tcW w:w="0" w:type="auto"/>
            <w:tcBorders>
              <w:top w:val="nil"/>
              <w:left w:val="nil"/>
              <w:bottom w:val="single" w:sz="4" w:space="0" w:color="auto"/>
              <w:right w:val="single" w:sz="4" w:space="0" w:color="auto"/>
            </w:tcBorders>
            <w:vAlign w:val="center"/>
            <w:hideMark/>
          </w:tcPr>
          <w:p w14:paraId="6B69DC4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2.400,00</w:t>
            </w:r>
          </w:p>
        </w:tc>
        <w:tc>
          <w:tcPr>
            <w:tcW w:w="0" w:type="auto"/>
            <w:tcBorders>
              <w:top w:val="nil"/>
              <w:left w:val="nil"/>
              <w:bottom w:val="single" w:sz="4" w:space="0" w:color="auto"/>
              <w:right w:val="single" w:sz="4" w:space="0" w:color="auto"/>
            </w:tcBorders>
            <w:vAlign w:val="center"/>
            <w:hideMark/>
          </w:tcPr>
          <w:p w14:paraId="57338E7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2.000,00</w:t>
            </w:r>
          </w:p>
        </w:tc>
      </w:tr>
      <w:tr w:rsidR="00C22FC1" w:rsidRPr="00C22FC1" w14:paraId="7883056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F53F49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1046</w:t>
            </w:r>
          </w:p>
        </w:tc>
        <w:tc>
          <w:tcPr>
            <w:tcW w:w="0" w:type="auto"/>
            <w:tcBorders>
              <w:top w:val="nil"/>
              <w:left w:val="nil"/>
              <w:bottom w:val="single" w:sz="4" w:space="0" w:color="auto"/>
              <w:right w:val="single" w:sz="4" w:space="0" w:color="auto"/>
            </w:tcBorders>
            <w:vAlign w:val="bottom"/>
            <w:hideMark/>
          </w:tcPr>
          <w:p w14:paraId="52DC4E9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300 até DN 400</w:t>
            </w:r>
          </w:p>
        </w:tc>
        <w:tc>
          <w:tcPr>
            <w:tcW w:w="0" w:type="auto"/>
            <w:tcBorders>
              <w:top w:val="nil"/>
              <w:left w:val="nil"/>
              <w:bottom w:val="single" w:sz="4" w:space="0" w:color="auto"/>
              <w:right w:val="single" w:sz="4" w:space="0" w:color="auto"/>
            </w:tcBorders>
            <w:vAlign w:val="center"/>
            <w:hideMark/>
          </w:tcPr>
          <w:p w14:paraId="68C057D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3.000,00</w:t>
            </w:r>
          </w:p>
        </w:tc>
        <w:tc>
          <w:tcPr>
            <w:tcW w:w="0" w:type="auto"/>
            <w:tcBorders>
              <w:top w:val="nil"/>
              <w:left w:val="nil"/>
              <w:bottom w:val="single" w:sz="4" w:space="0" w:color="auto"/>
              <w:right w:val="single" w:sz="4" w:space="0" w:color="auto"/>
            </w:tcBorders>
            <w:vAlign w:val="center"/>
            <w:hideMark/>
          </w:tcPr>
          <w:p w14:paraId="35F7A50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2.500,00</w:t>
            </w:r>
          </w:p>
        </w:tc>
      </w:tr>
      <w:tr w:rsidR="00C22FC1" w:rsidRPr="00C22FC1" w14:paraId="7089CB5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5728CD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1047</w:t>
            </w:r>
          </w:p>
        </w:tc>
        <w:tc>
          <w:tcPr>
            <w:tcW w:w="0" w:type="auto"/>
            <w:tcBorders>
              <w:top w:val="nil"/>
              <w:left w:val="nil"/>
              <w:bottom w:val="single" w:sz="4" w:space="0" w:color="auto"/>
              <w:right w:val="single" w:sz="4" w:space="0" w:color="auto"/>
            </w:tcBorders>
            <w:vAlign w:val="bottom"/>
            <w:hideMark/>
          </w:tcPr>
          <w:p w14:paraId="2692FBB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400 até DN 500</w:t>
            </w:r>
          </w:p>
        </w:tc>
        <w:tc>
          <w:tcPr>
            <w:tcW w:w="0" w:type="auto"/>
            <w:tcBorders>
              <w:top w:val="nil"/>
              <w:left w:val="nil"/>
              <w:bottom w:val="single" w:sz="4" w:space="0" w:color="auto"/>
              <w:right w:val="single" w:sz="4" w:space="0" w:color="auto"/>
            </w:tcBorders>
            <w:vAlign w:val="center"/>
            <w:hideMark/>
          </w:tcPr>
          <w:p w14:paraId="6FCE5D0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3.600,00</w:t>
            </w:r>
          </w:p>
        </w:tc>
        <w:tc>
          <w:tcPr>
            <w:tcW w:w="0" w:type="auto"/>
            <w:tcBorders>
              <w:top w:val="nil"/>
              <w:left w:val="nil"/>
              <w:bottom w:val="single" w:sz="4" w:space="0" w:color="auto"/>
              <w:right w:val="single" w:sz="4" w:space="0" w:color="auto"/>
            </w:tcBorders>
            <w:vAlign w:val="center"/>
            <w:hideMark/>
          </w:tcPr>
          <w:p w14:paraId="5AD3204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3.000,00</w:t>
            </w:r>
          </w:p>
        </w:tc>
      </w:tr>
      <w:tr w:rsidR="00C22FC1" w:rsidRPr="00C22FC1" w14:paraId="28C6AE7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14B6F8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1048</w:t>
            </w:r>
          </w:p>
        </w:tc>
        <w:tc>
          <w:tcPr>
            <w:tcW w:w="0" w:type="auto"/>
            <w:tcBorders>
              <w:top w:val="nil"/>
              <w:left w:val="nil"/>
              <w:bottom w:val="single" w:sz="4" w:space="0" w:color="auto"/>
              <w:right w:val="single" w:sz="4" w:space="0" w:color="auto"/>
            </w:tcBorders>
            <w:vAlign w:val="bottom"/>
            <w:hideMark/>
          </w:tcPr>
          <w:p w14:paraId="76023F1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500</w:t>
            </w:r>
          </w:p>
        </w:tc>
        <w:tc>
          <w:tcPr>
            <w:tcW w:w="0" w:type="auto"/>
            <w:tcBorders>
              <w:top w:val="nil"/>
              <w:left w:val="nil"/>
              <w:bottom w:val="single" w:sz="4" w:space="0" w:color="auto"/>
              <w:right w:val="single" w:sz="4" w:space="0" w:color="auto"/>
            </w:tcBorders>
            <w:vAlign w:val="center"/>
            <w:hideMark/>
          </w:tcPr>
          <w:p w14:paraId="4F3C613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4.800,00</w:t>
            </w:r>
          </w:p>
        </w:tc>
        <w:tc>
          <w:tcPr>
            <w:tcW w:w="0" w:type="auto"/>
            <w:tcBorders>
              <w:top w:val="nil"/>
              <w:left w:val="nil"/>
              <w:bottom w:val="single" w:sz="4" w:space="0" w:color="auto"/>
              <w:right w:val="single" w:sz="4" w:space="0" w:color="auto"/>
            </w:tcBorders>
            <w:vAlign w:val="center"/>
            <w:hideMark/>
          </w:tcPr>
          <w:p w14:paraId="5A69D2B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4.000,00</w:t>
            </w:r>
          </w:p>
        </w:tc>
      </w:tr>
      <w:tr w:rsidR="00C22FC1" w:rsidRPr="00C22FC1" w14:paraId="79CF939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9201D9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101B13B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Tipo Coriolis</w:t>
            </w:r>
          </w:p>
        </w:tc>
      </w:tr>
      <w:tr w:rsidR="00C22FC1" w:rsidRPr="00C22FC1" w14:paraId="5702764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B5CFDD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1049</w:t>
            </w:r>
          </w:p>
        </w:tc>
        <w:tc>
          <w:tcPr>
            <w:tcW w:w="0" w:type="auto"/>
            <w:tcBorders>
              <w:top w:val="nil"/>
              <w:left w:val="nil"/>
              <w:bottom w:val="single" w:sz="4" w:space="0" w:color="auto"/>
              <w:right w:val="single" w:sz="4" w:space="0" w:color="auto"/>
            </w:tcBorders>
            <w:vAlign w:val="bottom"/>
            <w:hideMark/>
          </w:tcPr>
          <w:p w14:paraId="2982E4C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DN 50</w:t>
            </w:r>
          </w:p>
        </w:tc>
        <w:tc>
          <w:tcPr>
            <w:tcW w:w="0" w:type="auto"/>
            <w:tcBorders>
              <w:top w:val="nil"/>
              <w:left w:val="nil"/>
              <w:bottom w:val="single" w:sz="4" w:space="0" w:color="auto"/>
              <w:right w:val="single" w:sz="4" w:space="0" w:color="auto"/>
            </w:tcBorders>
            <w:vAlign w:val="center"/>
            <w:hideMark/>
          </w:tcPr>
          <w:p w14:paraId="1D8F0DD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720,00</w:t>
            </w:r>
          </w:p>
        </w:tc>
        <w:tc>
          <w:tcPr>
            <w:tcW w:w="0" w:type="auto"/>
            <w:tcBorders>
              <w:top w:val="nil"/>
              <w:left w:val="nil"/>
              <w:bottom w:val="single" w:sz="4" w:space="0" w:color="auto"/>
              <w:right w:val="single" w:sz="4" w:space="0" w:color="auto"/>
            </w:tcBorders>
            <w:vAlign w:val="center"/>
            <w:hideMark/>
          </w:tcPr>
          <w:p w14:paraId="1413CF4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600,00</w:t>
            </w:r>
          </w:p>
        </w:tc>
      </w:tr>
      <w:tr w:rsidR="00C22FC1" w:rsidRPr="00C22FC1" w14:paraId="6DDF127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481870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1050</w:t>
            </w:r>
          </w:p>
        </w:tc>
        <w:tc>
          <w:tcPr>
            <w:tcW w:w="0" w:type="auto"/>
            <w:tcBorders>
              <w:top w:val="nil"/>
              <w:left w:val="nil"/>
              <w:bottom w:val="single" w:sz="4" w:space="0" w:color="auto"/>
              <w:right w:val="single" w:sz="4" w:space="0" w:color="auto"/>
            </w:tcBorders>
            <w:vAlign w:val="bottom"/>
            <w:hideMark/>
          </w:tcPr>
          <w:p w14:paraId="4826A2B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50 até DN 100</w:t>
            </w:r>
          </w:p>
        </w:tc>
        <w:tc>
          <w:tcPr>
            <w:tcW w:w="0" w:type="auto"/>
            <w:tcBorders>
              <w:top w:val="nil"/>
              <w:left w:val="nil"/>
              <w:bottom w:val="single" w:sz="4" w:space="0" w:color="auto"/>
              <w:right w:val="single" w:sz="4" w:space="0" w:color="auto"/>
            </w:tcBorders>
            <w:vAlign w:val="center"/>
            <w:hideMark/>
          </w:tcPr>
          <w:p w14:paraId="0D3DFC2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960,00</w:t>
            </w:r>
          </w:p>
        </w:tc>
        <w:tc>
          <w:tcPr>
            <w:tcW w:w="0" w:type="auto"/>
            <w:tcBorders>
              <w:top w:val="nil"/>
              <w:left w:val="nil"/>
              <w:bottom w:val="single" w:sz="4" w:space="0" w:color="auto"/>
              <w:right w:val="single" w:sz="4" w:space="0" w:color="auto"/>
            </w:tcBorders>
            <w:vAlign w:val="center"/>
            <w:hideMark/>
          </w:tcPr>
          <w:p w14:paraId="1DFF800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800,00</w:t>
            </w:r>
          </w:p>
        </w:tc>
      </w:tr>
      <w:tr w:rsidR="00C22FC1" w:rsidRPr="00C22FC1" w14:paraId="642D9EE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1D4201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1051</w:t>
            </w:r>
          </w:p>
        </w:tc>
        <w:tc>
          <w:tcPr>
            <w:tcW w:w="0" w:type="auto"/>
            <w:tcBorders>
              <w:top w:val="nil"/>
              <w:left w:val="nil"/>
              <w:bottom w:val="single" w:sz="4" w:space="0" w:color="auto"/>
              <w:right w:val="single" w:sz="4" w:space="0" w:color="auto"/>
            </w:tcBorders>
            <w:vAlign w:val="bottom"/>
            <w:hideMark/>
          </w:tcPr>
          <w:p w14:paraId="61E1046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100 até DN 150</w:t>
            </w:r>
          </w:p>
        </w:tc>
        <w:tc>
          <w:tcPr>
            <w:tcW w:w="0" w:type="auto"/>
            <w:tcBorders>
              <w:top w:val="nil"/>
              <w:left w:val="nil"/>
              <w:bottom w:val="single" w:sz="4" w:space="0" w:color="auto"/>
              <w:right w:val="single" w:sz="4" w:space="0" w:color="auto"/>
            </w:tcBorders>
            <w:vAlign w:val="center"/>
            <w:hideMark/>
          </w:tcPr>
          <w:p w14:paraId="1073A82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1.440,00</w:t>
            </w:r>
          </w:p>
        </w:tc>
        <w:tc>
          <w:tcPr>
            <w:tcW w:w="0" w:type="auto"/>
            <w:tcBorders>
              <w:top w:val="nil"/>
              <w:left w:val="nil"/>
              <w:bottom w:val="single" w:sz="4" w:space="0" w:color="auto"/>
              <w:right w:val="single" w:sz="4" w:space="0" w:color="auto"/>
            </w:tcBorders>
            <w:vAlign w:val="center"/>
            <w:hideMark/>
          </w:tcPr>
          <w:p w14:paraId="4006E93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1.200,00</w:t>
            </w:r>
          </w:p>
        </w:tc>
      </w:tr>
      <w:tr w:rsidR="00C22FC1" w:rsidRPr="00C22FC1" w14:paraId="03B7B3C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536A99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1052</w:t>
            </w:r>
          </w:p>
        </w:tc>
        <w:tc>
          <w:tcPr>
            <w:tcW w:w="0" w:type="auto"/>
            <w:tcBorders>
              <w:top w:val="nil"/>
              <w:left w:val="nil"/>
              <w:bottom w:val="single" w:sz="4" w:space="0" w:color="auto"/>
              <w:right w:val="single" w:sz="4" w:space="0" w:color="auto"/>
            </w:tcBorders>
            <w:vAlign w:val="bottom"/>
            <w:hideMark/>
          </w:tcPr>
          <w:p w14:paraId="5D13CD6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150 até DN 200</w:t>
            </w:r>
          </w:p>
        </w:tc>
        <w:tc>
          <w:tcPr>
            <w:tcW w:w="0" w:type="auto"/>
            <w:tcBorders>
              <w:top w:val="nil"/>
              <w:left w:val="nil"/>
              <w:bottom w:val="single" w:sz="4" w:space="0" w:color="auto"/>
              <w:right w:val="single" w:sz="4" w:space="0" w:color="auto"/>
            </w:tcBorders>
            <w:vAlign w:val="center"/>
            <w:hideMark/>
          </w:tcPr>
          <w:p w14:paraId="5BBAFAC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1.800,00</w:t>
            </w:r>
          </w:p>
        </w:tc>
        <w:tc>
          <w:tcPr>
            <w:tcW w:w="0" w:type="auto"/>
            <w:tcBorders>
              <w:top w:val="nil"/>
              <w:left w:val="nil"/>
              <w:bottom w:val="single" w:sz="4" w:space="0" w:color="auto"/>
              <w:right w:val="single" w:sz="4" w:space="0" w:color="auto"/>
            </w:tcBorders>
            <w:vAlign w:val="center"/>
            <w:hideMark/>
          </w:tcPr>
          <w:p w14:paraId="2F3447E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1.500,00</w:t>
            </w:r>
          </w:p>
        </w:tc>
      </w:tr>
      <w:tr w:rsidR="00C22FC1" w:rsidRPr="00C22FC1" w14:paraId="7F49598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9779B2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1053</w:t>
            </w:r>
          </w:p>
        </w:tc>
        <w:tc>
          <w:tcPr>
            <w:tcW w:w="0" w:type="auto"/>
            <w:tcBorders>
              <w:top w:val="nil"/>
              <w:left w:val="nil"/>
              <w:bottom w:val="single" w:sz="4" w:space="0" w:color="auto"/>
              <w:right w:val="single" w:sz="4" w:space="0" w:color="auto"/>
            </w:tcBorders>
            <w:vAlign w:val="bottom"/>
            <w:hideMark/>
          </w:tcPr>
          <w:p w14:paraId="3C86F45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200 até DN 300</w:t>
            </w:r>
          </w:p>
        </w:tc>
        <w:tc>
          <w:tcPr>
            <w:tcW w:w="0" w:type="auto"/>
            <w:tcBorders>
              <w:top w:val="nil"/>
              <w:left w:val="nil"/>
              <w:bottom w:val="single" w:sz="4" w:space="0" w:color="auto"/>
              <w:right w:val="single" w:sz="4" w:space="0" w:color="auto"/>
            </w:tcBorders>
            <w:vAlign w:val="center"/>
            <w:hideMark/>
          </w:tcPr>
          <w:p w14:paraId="20578B2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2.400,00</w:t>
            </w:r>
          </w:p>
        </w:tc>
        <w:tc>
          <w:tcPr>
            <w:tcW w:w="0" w:type="auto"/>
            <w:tcBorders>
              <w:top w:val="nil"/>
              <w:left w:val="nil"/>
              <w:bottom w:val="single" w:sz="4" w:space="0" w:color="auto"/>
              <w:right w:val="single" w:sz="4" w:space="0" w:color="auto"/>
            </w:tcBorders>
            <w:vAlign w:val="center"/>
            <w:hideMark/>
          </w:tcPr>
          <w:p w14:paraId="5982858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2.000,00</w:t>
            </w:r>
          </w:p>
        </w:tc>
      </w:tr>
      <w:tr w:rsidR="00C22FC1" w:rsidRPr="00C22FC1" w14:paraId="16206FE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BFC161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1054</w:t>
            </w:r>
          </w:p>
        </w:tc>
        <w:tc>
          <w:tcPr>
            <w:tcW w:w="0" w:type="auto"/>
            <w:tcBorders>
              <w:top w:val="nil"/>
              <w:left w:val="nil"/>
              <w:bottom w:val="single" w:sz="4" w:space="0" w:color="auto"/>
              <w:right w:val="single" w:sz="4" w:space="0" w:color="auto"/>
            </w:tcBorders>
            <w:vAlign w:val="bottom"/>
            <w:hideMark/>
          </w:tcPr>
          <w:p w14:paraId="50E9256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300 até DN 400</w:t>
            </w:r>
          </w:p>
        </w:tc>
        <w:tc>
          <w:tcPr>
            <w:tcW w:w="0" w:type="auto"/>
            <w:tcBorders>
              <w:top w:val="nil"/>
              <w:left w:val="nil"/>
              <w:bottom w:val="single" w:sz="4" w:space="0" w:color="auto"/>
              <w:right w:val="single" w:sz="4" w:space="0" w:color="auto"/>
            </w:tcBorders>
            <w:vAlign w:val="center"/>
            <w:hideMark/>
          </w:tcPr>
          <w:p w14:paraId="1B4DF76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3.000,00</w:t>
            </w:r>
          </w:p>
        </w:tc>
        <w:tc>
          <w:tcPr>
            <w:tcW w:w="0" w:type="auto"/>
            <w:tcBorders>
              <w:top w:val="nil"/>
              <w:left w:val="nil"/>
              <w:bottom w:val="single" w:sz="4" w:space="0" w:color="auto"/>
              <w:right w:val="single" w:sz="4" w:space="0" w:color="auto"/>
            </w:tcBorders>
            <w:vAlign w:val="center"/>
            <w:hideMark/>
          </w:tcPr>
          <w:p w14:paraId="191A043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2.500,00</w:t>
            </w:r>
          </w:p>
        </w:tc>
      </w:tr>
      <w:tr w:rsidR="00C22FC1" w:rsidRPr="00C22FC1" w14:paraId="1DEB024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570993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1055</w:t>
            </w:r>
          </w:p>
        </w:tc>
        <w:tc>
          <w:tcPr>
            <w:tcW w:w="0" w:type="auto"/>
            <w:tcBorders>
              <w:top w:val="nil"/>
              <w:left w:val="nil"/>
              <w:bottom w:val="single" w:sz="4" w:space="0" w:color="auto"/>
              <w:right w:val="single" w:sz="4" w:space="0" w:color="auto"/>
            </w:tcBorders>
            <w:vAlign w:val="bottom"/>
            <w:hideMark/>
          </w:tcPr>
          <w:p w14:paraId="7BB2158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400 até DN 500</w:t>
            </w:r>
          </w:p>
        </w:tc>
        <w:tc>
          <w:tcPr>
            <w:tcW w:w="0" w:type="auto"/>
            <w:tcBorders>
              <w:top w:val="nil"/>
              <w:left w:val="nil"/>
              <w:bottom w:val="single" w:sz="4" w:space="0" w:color="auto"/>
              <w:right w:val="single" w:sz="4" w:space="0" w:color="auto"/>
            </w:tcBorders>
            <w:vAlign w:val="center"/>
            <w:hideMark/>
          </w:tcPr>
          <w:p w14:paraId="79F12B1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3.600,00</w:t>
            </w:r>
          </w:p>
        </w:tc>
        <w:tc>
          <w:tcPr>
            <w:tcW w:w="0" w:type="auto"/>
            <w:tcBorders>
              <w:top w:val="nil"/>
              <w:left w:val="nil"/>
              <w:bottom w:val="single" w:sz="4" w:space="0" w:color="auto"/>
              <w:right w:val="single" w:sz="4" w:space="0" w:color="auto"/>
            </w:tcBorders>
            <w:vAlign w:val="center"/>
            <w:hideMark/>
          </w:tcPr>
          <w:p w14:paraId="340E269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3.000,00</w:t>
            </w:r>
          </w:p>
        </w:tc>
      </w:tr>
      <w:tr w:rsidR="00C22FC1" w:rsidRPr="00C22FC1" w14:paraId="1D0F4DB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BC29FE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1056</w:t>
            </w:r>
          </w:p>
        </w:tc>
        <w:tc>
          <w:tcPr>
            <w:tcW w:w="0" w:type="auto"/>
            <w:tcBorders>
              <w:top w:val="nil"/>
              <w:left w:val="nil"/>
              <w:bottom w:val="single" w:sz="4" w:space="0" w:color="auto"/>
              <w:right w:val="single" w:sz="4" w:space="0" w:color="auto"/>
            </w:tcBorders>
            <w:vAlign w:val="bottom"/>
            <w:hideMark/>
          </w:tcPr>
          <w:p w14:paraId="547D3968"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500</w:t>
            </w:r>
          </w:p>
        </w:tc>
        <w:tc>
          <w:tcPr>
            <w:tcW w:w="0" w:type="auto"/>
            <w:tcBorders>
              <w:top w:val="nil"/>
              <w:left w:val="nil"/>
              <w:bottom w:val="single" w:sz="4" w:space="0" w:color="auto"/>
              <w:right w:val="single" w:sz="4" w:space="0" w:color="auto"/>
            </w:tcBorders>
            <w:vAlign w:val="center"/>
            <w:hideMark/>
          </w:tcPr>
          <w:p w14:paraId="6310387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4.800,00</w:t>
            </w:r>
          </w:p>
        </w:tc>
        <w:tc>
          <w:tcPr>
            <w:tcW w:w="0" w:type="auto"/>
            <w:tcBorders>
              <w:top w:val="nil"/>
              <w:left w:val="nil"/>
              <w:bottom w:val="single" w:sz="4" w:space="0" w:color="auto"/>
              <w:right w:val="single" w:sz="4" w:space="0" w:color="auto"/>
            </w:tcBorders>
            <w:vAlign w:val="center"/>
            <w:hideMark/>
          </w:tcPr>
          <w:p w14:paraId="0053772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4.000,00</w:t>
            </w:r>
          </w:p>
        </w:tc>
      </w:tr>
      <w:tr w:rsidR="00C22FC1" w:rsidRPr="00C22FC1" w14:paraId="2547C99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F26307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271D2CA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Tipo ultrassônico</w:t>
            </w:r>
          </w:p>
        </w:tc>
      </w:tr>
      <w:tr w:rsidR="00C22FC1" w:rsidRPr="00C22FC1" w14:paraId="1C247D5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E0D1FB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1057</w:t>
            </w:r>
          </w:p>
        </w:tc>
        <w:tc>
          <w:tcPr>
            <w:tcW w:w="0" w:type="auto"/>
            <w:tcBorders>
              <w:top w:val="nil"/>
              <w:left w:val="nil"/>
              <w:bottom w:val="single" w:sz="4" w:space="0" w:color="auto"/>
              <w:right w:val="single" w:sz="4" w:space="0" w:color="auto"/>
            </w:tcBorders>
            <w:vAlign w:val="bottom"/>
            <w:hideMark/>
          </w:tcPr>
          <w:p w14:paraId="6886670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DN 50</w:t>
            </w:r>
          </w:p>
        </w:tc>
        <w:tc>
          <w:tcPr>
            <w:tcW w:w="0" w:type="auto"/>
            <w:tcBorders>
              <w:top w:val="nil"/>
              <w:left w:val="nil"/>
              <w:bottom w:val="single" w:sz="4" w:space="0" w:color="auto"/>
              <w:right w:val="single" w:sz="4" w:space="0" w:color="auto"/>
            </w:tcBorders>
            <w:vAlign w:val="center"/>
            <w:hideMark/>
          </w:tcPr>
          <w:p w14:paraId="072A5BB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1.080,00</w:t>
            </w:r>
          </w:p>
        </w:tc>
        <w:tc>
          <w:tcPr>
            <w:tcW w:w="0" w:type="auto"/>
            <w:tcBorders>
              <w:top w:val="nil"/>
              <w:left w:val="nil"/>
              <w:bottom w:val="single" w:sz="4" w:space="0" w:color="auto"/>
              <w:right w:val="single" w:sz="4" w:space="0" w:color="auto"/>
            </w:tcBorders>
            <w:vAlign w:val="center"/>
            <w:hideMark/>
          </w:tcPr>
          <w:p w14:paraId="7F0C765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900,00</w:t>
            </w:r>
          </w:p>
        </w:tc>
      </w:tr>
      <w:tr w:rsidR="00C22FC1" w:rsidRPr="00C22FC1" w14:paraId="5114E05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EE919C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1058</w:t>
            </w:r>
          </w:p>
        </w:tc>
        <w:tc>
          <w:tcPr>
            <w:tcW w:w="0" w:type="auto"/>
            <w:tcBorders>
              <w:top w:val="nil"/>
              <w:left w:val="nil"/>
              <w:bottom w:val="single" w:sz="4" w:space="0" w:color="auto"/>
              <w:right w:val="single" w:sz="4" w:space="0" w:color="auto"/>
            </w:tcBorders>
            <w:vAlign w:val="bottom"/>
            <w:hideMark/>
          </w:tcPr>
          <w:p w14:paraId="0F8F5A8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50 até DN 100</w:t>
            </w:r>
          </w:p>
        </w:tc>
        <w:tc>
          <w:tcPr>
            <w:tcW w:w="0" w:type="auto"/>
            <w:tcBorders>
              <w:top w:val="nil"/>
              <w:left w:val="nil"/>
              <w:bottom w:val="single" w:sz="4" w:space="0" w:color="auto"/>
              <w:right w:val="single" w:sz="4" w:space="0" w:color="auto"/>
            </w:tcBorders>
            <w:vAlign w:val="center"/>
            <w:hideMark/>
          </w:tcPr>
          <w:p w14:paraId="09901E4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1.440,00</w:t>
            </w:r>
          </w:p>
        </w:tc>
        <w:tc>
          <w:tcPr>
            <w:tcW w:w="0" w:type="auto"/>
            <w:tcBorders>
              <w:top w:val="nil"/>
              <w:left w:val="nil"/>
              <w:bottom w:val="single" w:sz="4" w:space="0" w:color="auto"/>
              <w:right w:val="single" w:sz="4" w:space="0" w:color="auto"/>
            </w:tcBorders>
            <w:vAlign w:val="center"/>
            <w:hideMark/>
          </w:tcPr>
          <w:p w14:paraId="78E700C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1.200,00</w:t>
            </w:r>
          </w:p>
        </w:tc>
      </w:tr>
      <w:tr w:rsidR="00C22FC1" w:rsidRPr="00C22FC1" w14:paraId="420E1E3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8EEC5D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1059</w:t>
            </w:r>
          </w:p>
        </w:tc>
        <w:tc>
          <w:tcPr>
            <w:tcW w:w="0" w:type="auto"/>
            <w:tcBorders>
              <w:top w:val="nil"/>
              <w:left w:val="nil"/>
              <w:bottom w:val="single" w:sz="4" w:space="0" w:color="auto"/>
              <w:right w:val="single" w:sz="4" w:space="0" w:color="auto"/>
            </w:tcBorders>
            <w:vAlign w:val="bottom"/>
            <w:hideMark/>
          </w:tcPr>
          <w:p w14:paraId="6B2996D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100 até DN 150</w:t>
            </w:r>
          </w:p>
        </w:tc>
        <w:tc>
          <w:tcPr>
            <w:tcW w:w="0" w:type="auto"/>
            <w:tcBorders>
              <w:top w:val="nil"/>
              <w:left w:val="nil"/>
              <w:bottom w:val="single" w:sz="4" w:space="0" w:color="auto"/>
              <w:right w:val="single" w:sz="4" w:space="0" w:color="auto"/>
            </w:tcBorders>
            <w:vAlign w:val="center"/>
            <w:hideMark/>
          </w:tcPr>
          <w:p w14:paraId="358C6AA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1.800,00</w:t>
            </w:r>
          </w:p>
        </w:tc>
        <w:tc>
          <w:tcPr>
            <w:tcW w:w="0" w:type="auto"/>
            <w:tcBorders>
              <w:top w:val="nil"/>
              <w:left w:val="nil"/>
              <w:bottom w:val="single" w:sz="4" w:space="0" w:color="auto"/>
              <w:right w:val="single" w:sz="4" w:space="0" w:color="auto"/>
            </w:tcBorders>
            <w:vAlign w:val="center"/>
            <w:hideMark/>
          </w:tcPr>
          <w:p w14:paraId="66E3891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1.500,00</w:t>
            </w:r>
          </w:p>
        </w:tc>
      </w:tr>
      <w:tr w:rsidR="00C22FC1" w:rsidRPr="00C22FC1" w14:paraId="507A06B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2A9803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1060</w:t>
            </w:r>
          </w:p>
        </w:tc>
        <w:tc>
          <w:tcPr>
            <w:tcW w:w="0" w:type="auto"/>
            <w:tcBorders>
              <w:top w:val="nil"/>
              <w:left w:val="nil"/>
              <w:bottom w:val="single" w:sz="4" w:space="0" w:color="auto"/>
              <w:right w:val="single" w:sz="4" w:space="0" w:color="auto"/>
            </w:tcBorders>
            <w:vAlign w:val="bottom"/>
            <w:hideMark/>
          </w:tcPr>
          <w:p w14:paraId="2BA98BB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150 até DN 200</w:t>
            </w:r>
          </w:p>
        </w:tc>
        <w:tc>
          <w:tcPr>
            <w:tcW w:w="0" w:type="auto"/>
            <w:tcBorders>
              <w:top w:val="nil"/>
              <w:left w:val="nil"/>
              <w:bottom w:val="single" w:sz="4" w:space="0" w:color="auto"/>
              <w:right w:val="single" w:sz="4" w:space="0" w:color="auto"/>
            </w:tcBorders>
            <w:vAlign w:val="center"/>
            <w:hideMark/>
          </w:tcPr>
          <w:p w14:paraId="2261A00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3.000,00</w:t>
            </w:r>
          </w:p>
        </w:tc>
        <w:tc>
          <w:tcPr>
            <w:tcW w:w="0" w:type="auto"/>
            <w:tcBorders>
              <w:top w:val="nil"/>
              <w:left w:val="nil"/>
              <w:bottom w:val="single" w:sz="4" w:space="0" w:color="auto"/>
              <w:right w:val="single" w:sz="4" w:space="0" w:color="auto"/>
            </w:tcBorders>
            <w:vAlign w:val="center"/>
            <w:hideMark/>
          </w:tcPr>
          <w:p w14:paraId="16442CD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2.500,00</w:t>
            </w:r>
          </w:p>
        </w:tc>
      </w:tr>
      <w:tr w:rsidR="00C22FC1" w:rsidRPr="00C22FC1" w14:paraId="0CA1B15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460213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1061</w:t>
            </w:r>
          </w:p>
        </w:tc>
        <w:tc>
          <w:tcPr>
            <w:tcW w:w="0" w:type="auto"/>
            <w:tcBorders>
              <w:top w:val="nil"/>
              <w:left w:val="nil"/>
              <w:bottom w:val="single" w:sz="4" w:space="0" w:color="auto"/>
              <w:right w:val="single" w:sz="4" w:space="0" w:color="auto"/>
            </w:tcBorders>
            <w:vAlign w:val="bottom"/>
            <w:hideMark/>
          </w:tcPr>
          <w:p w14:paraId="26E76EE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200 até DN 300</w:t>
            </w:r>
          </w:p>
        </w:tc>
        <w:tc>
          <w:tcPr>
            <w:tcW w:w="0" w:type="auto"/>
            <w:tcBorders>
              <w:top w:val="nil"/>
              <w:left w:val="nil"/>
              <w:bottom w:val="single" w:sz="4" w:space="0" w:color="auto"/>
              <w:right w:val="single" w:sz="4" w:space="0" w:color="auto"/>
            </w:tcBorders>
            <w:vAlign w:val="center"/>
            <w:hideMark/>
          </w:tcPr>
          <w:p w14:paraId="1795B29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3.360,00</w:t>
            </w:r>
          </w:p>
        </w:tc>
        <w:tc>
          <w:tcPr>
            <w:tcW w:w="0" w:type="auto"/>
            <w:tcBorders>
              <w:top w:val="nil"/>
              <w:left w:val="nil"/>
              <w:bottom w:val="single" w:sz="4" w:space="0" w:color="auto"/>
              <w:right w:val="single" w:sz="4" w:space="0" w:color="auto"/>
            </w:tcBorders>
            <w:vAlign w:val="center"/>
            <w:hideMark/>
          </w:tcPr>
          <w:p w14:paraId="64F1003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2.800,00</w:t>
            </w:r>
          </w:p>
        </w:tc>
      </w:tr>
      <w:tr w:rsidR="00C22FC1" w:rsidRPr="00C22FC1" w14:paraId="3930B26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21C55E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1062</w:t>
            </w:r>
          </w:p>
        </w:tc>
        <w:tc>
          <w:tcPr>
            <w:tcW w:w="0" w:type="auto"/>
            <w:tcBorders>
              <w:top w:val="nil"/>
              <w:left w:val="nil"/>
              <w:bottom w:val="single" w:sz="4" w:space="0" w:color="auto"/>
              <w:right w:val="single" w:sz="4" w:space="0" w:color="auto"/>
            </w:tcBorders>
            <w:vAlign w:val="bottom"/>
            <w:hideMark/>
          </w:tcPr>
          <w:p w14:paraId="0417705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300 até DN 400</w:t>
            </w:r>
          </w:p>
        </w:tc>
        <w:tc>
          <w:tcPr>
            <w:tcW w:w="0" w:type="auto"/>
            <w:tcBorders>
              <w:top w:val="nil"/>
              <w:left w:val="nil"/>
              <w:bottom w:val="single" w:sz="4" w:space="0" w:color="auto"/>
              <w:right w:val="single" w:sz="4" w:space="0" w:color="auto"/>
            </w:tcBorders>
            <w:vAlign w:val="center"/>
            <w:hideMark/>
          </w:tcPr>
          <w:p w14:paraId="123D2D5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3.600,00</w:t>
            </w:r>
          </w:p>
        </w:tc>
        <w:tc>
          <w:tcPr>
            <w:tcW w:w="0" w:type="auto"/>
            <w:tcBorders>
              <w:top w:val="nil"/>
              <w:left w:val="nil"/>
              <w:bottom w:val="single" w:sz="4" w:space="0" w:color="auto"/>
              <w:right w:val="single" w:sz="4" w:space="0" w:color="auto"/>
            </w:tcBorders>
            <w:vAlign w:val="center"/>
            <w:hideMark/>
          </w:tcPr>
          <w:p w14:paraId="50005E5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3.000,00</w:t>
            </w:r>
          </w:p>
        </w:tc>
      </w:tr>
      <w:tr w:rsidR="00C22FC1" w:rsidRPr="00C22FC1" w14:paraId="3007C59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C39287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1063</w:t>
            </w:r>
          </w:p>
        </w:tc>
        <w:tc>
          <w:tcPr>
            <w:tcW w:w="0" w:type="auto"/>
            <w:tcBorders>
              <w:top w:val="nil"/>
              <w:left w:val="nil"/>
              <w:bottom w:val="single" w:sz="4" w:space="0" w:color="auto"/>
              <w:right w:val="single" w:sz="4" w:space="0" w:color="auto"/>
            </w:tcBorders>
            <w:vAlign w:val="bottom"/>
            <w:hideMark/>
          </w:tcPr>
          <w:p w14:paraId="57D1E0D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400 até DN 500</w:t>
            </w:r>
          </w:p>
        </w:tc>
        <w:tc>
          <w:tcPr>
            <w:tcW w:w="0" w:type="auto"/>
            <w:tcBorders>
              <w:top w:val="nil"/>
              <w:left w:val="nil"/>
              <w:bottom w:val="single" w:sz="4" w:space="0" w:color="auto"/>
              <w:right w:val="single" w:sz="4" w:space="0" w:color="auto"/>
            </w:tcBorders>
            <w:vAlign w:val="center"/>
            <w:hideMark/>
          </w:tcPr>
          <w:p w14:paraId="29AAF41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4.800,00</w:t>
            </w:r>
          </w:p>
        </w:tc>
        <w:tc>
          <w:tcPr>
            <w:tcW w:w="0" w:type="auto"/>
            <w:tcBorders>
              <w:top w:val="nil"/>
              <w:left w:val="nil"/>
              <w:bottom w:val="single" w:sz="4" w:space="0" w:color="auto"/>
              <w:right w:val="single" w:sz="4" w:space="0" w:color="auto"/>
            </w:tcBorders>
            <w:vAlign w:val="center"/>
            <w:hideMark/>
          </w:tcPr>
          <w:p w14:paraId="1E61FBD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4.000,00</w:t>
            </w:r>
          </w:p>
        </w:tc>
      </w:tr>
      <w:tr w:rsidR="00C22FC1" w:rsidRPr="00C22FC1" w14:paraId="514B657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53330A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1064</w:t>
            </w:r>
          </w:p>
        </w:tc>
        <w:tc>
          <w:tcPr>
            <w:tcW w:w="0" w:type="auto"/>
            <w:tcBorders>
              <w:top w:val="nil"/>
              <w:left w:val="nil"/>
              <w:bottom w:val="single" w:sz="4" w:space="0" w:color="auto"/>
              <w:right w:val="single" w:sz="4" w:space="0" w:color="auto"/>
            </w:tcBorders>
            <w:vAlign w:val="bottom"/>
            <w:hideMark/>
          </w:tcPr>
          <w:p w14:paraId="07DF575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DN 500</w:t>
            </w:r>
          </w:p>
        </w:tc>
        <w:tc>
          <w:tcPr>
            <w:tcW w:w="0" w:type="auto"/>
            <w:tcBorders>
              <w:top w:val="nil"/>
              <w:left w:val="nil"/>
              <w:bottom w:val="single" w:sz="4" w:space="0" w:color="auto"/>
              <w:right w:val="single" w:sz="4" w:space="0" w:color="auto"/>
            </w:tcBorders>
            <w:vAlign w:val="center"/>
            <w:hideMark/>
          </w:tcPr>
          <w:p w14:paraId="1E27173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7.200,00</w:t>
            </w:r>
          </w:p>
        </w:tc>
        <w:tc>
          <w:tcPr>
            <w:tcW w:w="0" w:type="auto"/>
            <w:tcBorders>
              <w:top w:val="nil"/>
              <w:left w:val="nil"/>
              <w:bottom w:val="single" w:sz="4" w:space="0" w:color="auto"/>
              <w:right w:val="single" w:sz="4" w:space="0" w:color="auto"/>
            </w:tcBorders>
            <w:vAlign w:val="center"/>
            <w:hideMark/>
          </w:tcPr>
          <w:p w14:paraId="5CB2C56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6.000,00</w:t>
            </w:r>
          </w:p>
        </w:tc>
      </w:tr>
      <w:tr w:rsidR="00C22FC1" w:rsidRPr="00C22FC1" w14:paraId="15D5A2C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47F914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3CF4C92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Computador de Vazão para Líquidos e gases</w:t>
            </w:r>
          </w:p>
        </w:tc>
      </w:tr>
      <w:tr w:rsidR="00C22FC1" w:rsidRPr="00C22FC1" w14:paraId="101D491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FD27C5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1065</w:t>
            </w:r>
          </w:p>
        </w:tc>
        <w:tc>
          <w:tcPr>
            <w:tcW w:w="0" w:type="auto"/>
            <w:tcBorders>
              <w:top w:val="nil"/>
              <w:left w:val="nil"/>
              <w:bottom w:val="single" w:sz="4" w:space="0" w:color="auto"/>
              <w:right w:val="single" w:sz="4" w:space="0" w:color="auto"/>
            </w:tcBorders>
            <w:vAlign w:val="bottom"/>
            <w:hideMark/>
          </w:tcPr>
          <w:p w14:paraId="08F808F8"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Tipo 1</w:t>
            </w:r>
          </w:p>
        </w:tc>
        <w:tc>
          <w:tcPr>
            <w:tcW w:w="0" w:type="auto"/>
            <w:tcBorders>
              <w:top w:val="nil"/>
              <w:left w:val="nil"/>
              <w:bottom w:val="single" w:sz="4" w:space="0" w:color="auto"/>
              <w:right w:val="single" w:sz="4" w:space="0" w:color="auto"/>
            </w:tcBorders>
            <w:vAlign w:val="center"/>
            <w:hideMark/>
          </w:tcPr>
          <w:p w14:paraId="2E7CC7E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1.440,00</w:t>
            </w:r>
          </w:p>
        </w:tc>
        <w:tc>
          <w:tcPr>
            <w:tcW w:w="0" w:type="auto"/>
            <w:tcBorders>
              <w:top w:val="nil"/>
              <w:left w:val="nil"/>
              <w:bottom w:val="single" w:sz="4" w:space="0" w:color="auto"/>
              <w:right w:val="single" w:sz="4" w:space="0" w:color="auto"/>
            </w:tcBorders>
            <w:vAlign w:val="center"/>
            <w:hideMark/>
          </w:tcPr>
          <w:p w14:paraId="040D5FB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1.200,00</w:t>
            </w:r>
          </w:p>
        </w:tc>
      </w:tr>
      <w:tr w:rsidR="00C22FC1" w:rsidRPr="00C22FC1" w14:paraId="6D0A60F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E8ADDB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1066</w:t>
            </w:r>
          </w:p>
        </w:tc>
        <w:tc>
          <w:tcPr>
            <w:tcW w:w="0" w:type="auto"/>
            <w:tcBorders>
              <w:top w:val="nil"/>
              <w:left w:val="nil"/>
              <w:bottom w:val="single" w:sz="4" w:space="0" w:color="auto"/>
              <w:right w:val="single" w:sz="4" w:space="0" w:color="auto"/>
            </w:tcBorders>
            <w:vAlign w:val="bottom"/>
            <w:hideMark/>
          </w:tcPr>
          <w:p w14:paraId="40696D5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Tipo 2</w:t>
            </w:r>
          </w:p>
        </w:tc>
        <w:tc>
          <w:tcPr>
            <w:tcW w:w="0" w:type="auto"/>
            <w:tcBorders>
              <w:top w:val="nil"/>
              <w:left w:val="nil"/>
              <w:bottom w:val="single" w:sz="4" w:space="0" w:color="auto"/>
              <w:right w:val="single" w:sz="4" w:space="0" w:color="auto"/>
            </w:tcBorders>
            <w:vAlign w:val="center"/>
            <w:hideMark/>
          </w:tcPr>
          <w:p w14:paraId="27942F4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1.080,00</w:t>
            </w:r>
          </w:p>
        </w:tc>
        <w:tc>
          <w:tcPr>
            <w:tcW w:w="0" w:type="auto"/>
            <w:tcBorders>
              <w:top w:val="nil"/>
              <w:left w:val="nil"/>
              <w:bottom w:val="single" w:sz="4" w:space="0" w:color="auto"/>
              <w:right w:val="single" w:sz="4" w:space="0" w:color="auto"/>
            </w:tcBorders>
            <w:vAlign w:val="center"/>
            <w:hideMark/>
          </w:tcPr>
          <w:p w14:paraId="7AE6384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900,00</w:t>
            </w:r>
          </w:p>
        </w:tc>
      </w:tr>
      <w:tr w:rsidR="00C22FC1" w:rsidRPr="00C22FC1" w14:paraId="378AFAA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238090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7AC01FA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Conversores eletrônicos de volumes para gás</w:t>
            </w:r>
          </w:p>
        </w:tc>
      </w:tr>
      <w:tr w:rsidR="00C22FC1" w:rsidRPr="00C22FC1" w14:paraId="072B6AF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9BF6A8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1067</w:t>
            </w:r>
          </w:p>
        </w:tc>
        <w:tc>
          <w:tcPr>
            <w:tcW w:w="0" w:type="auto"/>
            <w:tcBorders>
              <w:top w:val="nil"/>
              <w:left w:val="nil"/>
              <w:bottom w:val="single" w:sz="4" w:space="0" w:color="auto"/>
              <w:right w:val="single" w:sz="4" w:space="0" w:color="auto"/>
            </w:tcBorders>
            <w:vAlign w:val="bottom"/>
            <w:hideMark/>
          </w:tcPr>
          <w:p w14:paraId="6F66B94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Tipo 1</w:t>
            </w:r>
          </w:p>
        </w:tc>
        <w:tc>
          <w:tcPr>
            <w:tcW w:w="0" w:type="auto"/>
            <w:tcBorders>
              <w:top w:val="nil"/>
              <w:left w:val="nil"/>
              <w:bottom w:val="single" w:sz="4" w:space="0" w:color="auto"/>
              <w:right w:val="single" w:sz="4" w:space="0" w:color="auto"/>
            </w:tcBorders>
            <w:vAlign w:val="center"/>
            <w:hideMark/>
          </w:tcPr>
          <w:p w14:paraId="52DE926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1.080,00</w:t>
            </w:r>
          </w:p>
        </w:tc>
        <w:tc>
          <w:tcPr>
            <w:tcW w:w="0" w:type="auto"/>
            <w:tcBorders>
              <w:top w:val="nil"/>
              <w:left w:val="nil"/>
              <w:bottom w:val="single" w:sz="4" w:space="0" w:color="auto"/>
              <w:right w:val="single" w:sz="4" w:space="0" w:color="auto"/>
            </w:tcBorders>
            <w:vAlign w:val="center"/>
            <w:hideMark/>
          </w:tcPr>
          <w:p w14:paraId="3FA3BA3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900,00</w:t>
            </w:r>
          </w:p>
        </w:tc>
      </w:tr>
      <w:tr w:rsidR="00C22FC1" w:rsidRPr="00C22FC1" w14:paraId="09151DE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7B2FB7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1068</w:t>
            </w:r>
          </w:p>
        </w:tc>
        <w:tc>
          <w:tcPr>
            <w:tcW w:w="0" w:type="auto"/>
            <w:tcBorders>
              <w:top w:val="nil"/>
              <w:left w:val="nil"/>
              <w:bottom w:val="single" w:sz="4" w:space="0" w:color="auto"/>
              <w:right w:val="single" w:sz="4" w:space="0" w:color="auto"/>
            </w:tcBorders>
            <w:vAlign w:val="bottom"/>
            <w:hideMark/>
          </w:tcPr>
          <w:p w14:paraId="1865E27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Tipo 2</w:t>
            </w:r>
          </w:p>
        </w:tc>
        <w:tc>
          <w:tcPr>
            <w:tcW w:w="0" w:type="auto"/>
            <w:tcBorders>
              <w:top w:val="nil"/>
              <w:left w:val="nil"/>
              <w:bottom w:val="single" w:sz="4" w:space="0" w:color="auto"/>
              <w:right w:val="single" w:sz="4" w:space="0" w:color="auto"/>
            </w:tcBorders>
            <w:vAlign w:val="center"/>
            <w:hideMark/>
          </w:tcPr>
          <w:p w14:paraId="17AEC29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720,00</w:t>
            </w:r>
          </w:p>
        </w:tc>
        <w:tc>
          <w:tcPr>
            <w:tcW w:w="0" w:type="auto"/>
            <w:tcBorders>
              <w:top w:val="nil"/>
              <w:left w:val="nil"/>
              <w:bottom w:val="single" w:sz="4" w:space="0" w:color="auto"/>
              <w:right w:val="single" w:sz="4" w:space="0" w:color="auto"/>
            </w:tcBorders>
            <w:vAlign w:val="center"/>
            <w:hideMark/>
          </w:tcPr>
          <w:p w14:paraId="266B9A8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600,00</w:t>
            </w:r>
          </w:p>
        </w:tc>
      </w:tr>
      <w:tr w:rsidR="00C22FC1" w:rsidRPr="00C22FC1" w14:paraId="6756A11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A297C2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748D2F2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Termômetro clínico de líquido em vidro</w:t>
            </w:r>
          </w:p>
        </w:tc>
      </w:tr>
      <w:tr w:rsidR="00C22FC1" w:rsidRPr="00C22FC1" w14:paraId="351A6BF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16FCD5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458</w:t>
            </w:r>
          </w:p>
        </w:tc>
        <w:tc>
          <w:tcPr>
            <w:tcW w:w="0" w:type="auto"/>
            <w:tcBorders>
              <w:top w:val="nil"/>
              <w:left w:val="nil"/>
              <w:bottom w:val="single" w:sz="4" w:space="0" w:color="auto"/>
              <w:right w:val="single" w:sz="4" w:space="0" w:color="auto"/>
            </w:tcBorders>
            <w:vAlign w:val="bottom"/>
            <w:hideMark/>
          </w:tcPr>
          <w:p w14:paraId="392593D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50 unidades, cada unidade.</w:t>
            </w:r>
          </w:p>
        </w:tc>
        <w:tc>
          <w:tcPr>
            <w:tcW w:w="0" w:type="auto"/>
            <w:tcBorders>
              <w:top w:val="nil"/>
              <w:left w:val="nil"/>
              <w:bottom w:val="single" w:sz="4" w:space="0" w:color="auto"/>
              <w:right w:val="single" w:sz="4" w:space="0" w:color="auto"/>
            </w:tcBorders>
            <w:vAlign w:val="center"/>
            <w:hideMark/>
          </w:tcPr>
          <w:p w14:paraId="71A4938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51BC050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1,50</w:t>
            </w:r>
          </w:p>
        </w:tc>
      </w:tr>
      <w:tr w:rsidR="00C22FC1" w:rsidRPr="00C22FC1" w14:paraId="02248F4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1AC849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459</w:t>
            </w:r>
          </w:p>
        </w:tc>
        <w:tc>
          <w:tcPr>
            <w:tcW w:w="0" w:type="auto"/>
            <w:tcBorders>
              <w:top w:val="nil"/>
              <w:left w:val="nil"/>
              <w:bottom w:val="single" w:sz="4" w:space="0" w:color="auto"/>
              <w:right w:val="single" w:sz="4" w:space="0" w:color="auto"/>
            </w:tcBorders>
            <w:vAlign w:val="bottom"/>
            <w:hideMark/>
          </w:tcPr>
          <w:p w14:paraId="6267BF5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51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4123692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0686F2F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w:t>
            </w:r>
          </w:p>
        </w:tc>
      </w:tr>
      <w:tr w:rsidR="00C22FC1" w:rsidRPr="00C22FC1" w14:paraId="45466D5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F98850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461</w:t>
            </w:r>
          </w:p>
        </w:tc>
        <w:tc>
          <w:tcPr>
            <w:tcW w:w="0" w:type="auto"/>
            <w:tcBorders>
              <w:top w:val="nil"/>
              <w:left w:val="nil"/>
              <w:bottom w:val="single" w:sz="4" w:space="0" w:color="auto"/>
              <w:right w:val="single" w:sz="4" w:space="0" w:color="auto"/>
            </w:tcBorders>
            <w:vAlign w:val="bottom"/>
            <w:hideMark/>
          </w:tcPr>
          <w:p w14:paraId="29355F2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1.201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7F8F34D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33EA799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0,50</w:t>
            </w:r>
          </w:p>
        </w:tc>
      </w:tr>
      <w:tr w:rsidR="00C22FC1" w:rsidRPr="00C22FC1" w14:paraId="722BEF7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9DD8F4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462</w:t>
            </w:r>
          </w:p>
        </w:tc>
        <w:tc>
          <w:tcPr>
            <w:tcW w:w="0" w:type="auto"/>
            <w:tcBorders>
              <w:top w:val="nil"/>
              <w:left w:val="nil"/>
              <w:bottom w:val="single" w:sz="4" w:space="0" w:color="auto"/>
              <w:right w:val="single" w:sz="4" w:space="0" w:color="auto"/>
            </w:tcBorders>
            <w:vAlign w:val="bottom"/>
            <w:hideMark/>
          </w:tcPr>
          <w:p w14:paraId="03CD72A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10.001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7BB33EE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26825CB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0,20</w:t>
            </w:r>
          </w:p>
        </w:tc>
      </w:tr>
      <w:tr w:rsidR="00C22FC1" w:rsidRPr="00C22FC1" w14:paraId="09332C6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A8E5BE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6269A03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Termômetro clínico digital fixo de dimensões reduzidas, no órgão metrológico</w:t>
            </w:r>
          </w:p>
        </w:tc>
      </w:tr>
      <w:tr w:rsidR="00C22FC1" w:rsidRPr="00C22FC1" w14:paraId="24C5F53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B3B328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463</w:t>
            </w:r>
          </w:p>
        </w:tc>
        <w:tc>
          <w:tcPr>
            <w:tcW w:w="0" w:type="auto"/>
            <w:tcBorders>
              <w:top w:val="nil"/>
              <w:left w:val="nil"/>
              <w:bottom w:val="single" w:sz="4" w:space="0" w:color="auto"/>
              <w:right w:val="single" w:sz="4" w:space="0" w:color="auto"/>
            </w:tcBorders>
            <w:vAlign w:val="bottom"/>
            <w:hideMark/>
          </w:tcPr>
          <w:p w14:paraId="790E26F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50 unidades, cada unidade.</w:t>
            </w:r>
          </w:p>
        </w:tc>
        <w:tc>
          <w:tcPr>
            <w:tcW w:w="0" w:type="auto"/>
            <w:tcBorders>
              <w:top w:val="nil"/>
              <w:left w:val="nil"/>
              <w:bottom w:val="single" w:sz="4" w:space="0" w:color="auto"/>
              <w:right w:val="single" w:sz="4" w:space="0" w:color="auto"/>
            </w:tcBorders>
            <w:vAlign w:val="center"/>
            <w:hideMark/>
          </w:tcPr>
          <w:p w14:paraId="2EFA3F0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5150D34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2,00</w:t>
            </w:r>
          </w:p>
        </w:tc>
      </w:tr>
      <w:tr w:rsidR="00C22FC1" w:rsidRPr="00C22FC1" w14:paraId="6EF3675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95C9E6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464</w:t>
            </w:r>
          </w:p>
        </w:tc>
        <w:tc>
          <w:tcPr>
            <w:tcW w:w="0" w:type="auto"/>
            <w:tcBorders>
              <w:top w:val="nil"/>
              <w:left w:val="nil"/>
              <w:bottom w:val="single" w:sz="4" w:space="0" w:color="auto"/>
              <w:right w:val="single" w:sz="4" w:space="0" w:color="auto"/>
            </w:tcBorders>
            <w:vAlign w:val="bottom"/>
            <w:hideMark/>
          </w:tcPr>
          <w:p w14:paraId="5135154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51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7C7E326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1060DC6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1,20</w:t>
            </w:r>
          </w:p>
        </w:tc>
      </w:tr>
      <w:tr w:rsidR="00C22FC1" w:rsidRPr="00C22FC1" w14:paraId="3E4C289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AD0DA0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465</w:t>
            </w:r>
          </w:p>
        </w:tc>
        <w:tc>
          <w:tcPr>
            <w:tcW w:w="0" w:type="auto"/>
            <w:tcBorders>
              <w:top w:val="nil"/>
              <w:left w:val="nil"/>
              <w:bottom w:val="single" w:sz="4" w:space="0" w:color="auto"/>
              <w:right w:val="single" w:sz="4" w:space="0" w:color="auto"/>
            </w:tcBorders>
            <w:vAlign w:val="bottom"/>
            <w:hideMark/>
          </w:tcPr>
          <w:p w14:paraId="09496C4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1.201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60CCA86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2666515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0,60</w:t>
            </w:r>
          </w:p>
        </w:tc>
      </w:tr>
      <w:tr w:rsidR="00C22FC1" w:rsidRPr="00C22FC1" w14:paraId="601527A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ABEE1F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lastRenderedPageBreak/>
              <w:t>466</w:t>
            </w:r>
          </w:p>
        </w:tc>
        <w:tc>
          <w:tcPr>
            <w:tcW w:w="0" w:type="auto"/>
            <w:tcBorders>
              <w:top w:val="nil"/>
              <w:left w:val="nil"/>
              <w:bottom w:val="single" w:sz="4" w:space="0" w:color="auto"/>
              <w:right w:val="single" w:sz="4" w:space="0" w:color="auto"/>
            </w:tcBorders>
            <w:vAlign w:val="bottom"/>
            <w:hideMark/>
          </w:tcPr>
          <w:p w14:paraId="57F036F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10.001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3578B6C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7309F55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0,20</w:t>
            </w:r>
          </w:p>
        </w:tc>
      </w:tr>
      <w:tr w:rsidR="00C22FC1" w:rsidRPr="00C22FC1" w14:paraId="6A1AACB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69E011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169B97C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Termômetro clínico digital fixo de dimensões reduzidas, no fabricante/importador</w:t>
            </w:r>
          </w:p>
        </w:tc>
      </w:tr>
      <w:tr w:rsidR="00C22FC1" w:rsidRPr="00C22FC1" w14:paraId="06D0FA4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C61F41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467</w:t>
            </w:r>
          </w:p>
        </w:tc>
        <w:tc>
          <w:tcPr>
            <w:tcW w:w="0" w:type="auto"/>
            <w:tcBorders>
              <w:top w:val="nil"/>
              <w:left w:val="nil"/>
              <w:bottom w:val="single" w:sz="4" w:space="0" w:color="auto"/>
              <w:right w:val="single" w:sz="4" w:space="0" w:color="auto"/>
            </w:tcBorders>
            <w:vAlign w:val="bottom"/>
            <w:hideMark/>
          </w:tcPr>
          <w:p w14:paraId="74DE65A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50 unidades, cada unidade.</w:t>
            </w:r>
          </w:p>
        </w:tc>
        <w:tc>
          <w:tcPr>
            <w:tcW w:w="0" w:type="auto"/>
            <w:tcBorders>
              <w:top w:val="nil"/>
              <w:left w:val="nil"/>
              <w:bottom w:val="single" w:sz="4" w:space="0" w:color="auto"/>
              <w:right w:val="single" w:sz="4" w:space="0" w:color="auto"/>
            </w:tcBorders>
            <w:vAlign w:val="center"/>
            <w:hideMark/>
          </w:tcPr>
          <w:p w14:paraId="12EFB50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1101A2D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w:t>
            </w:r>
          </w:p>
        </w:tc>
      </w:tr>
      <w:tr w:rsidR="00C22FC1" w:rsidRPr="00C22FC1" w14:paraId="6ED6E71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A1D7BE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468</w:t>
            </w:r>
          </w:p>
        </w:tc>
        <w:tc>
          <w:tcPr>
            <w:tcW w:w="0" w:type="auto"/>
            <w:tcBorders>
              <w:top w:val="nil"/>
              <w:left w:val="nil"/>
              <w:bottom w:val="single" w:sz="4" w:space="0" w:color="auto"/>
              <w:right w:val="single" w:sz="4" w:space="0" w:color="auto"/>
            </w:tcBorders>
            <w:vAlign w:val="bottom"/>
            <w:hideMark/>
          </w:tcPr>
          <w:p w14:paraId="782678F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51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76FCBE0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5913FCD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0,60</w:t>
            </w:r>
          </w:p>
        </w:tc>
      </w:tr>
      <w:tr w:rsidR="00C22FC1" w:rsidRPr="00C22FC1" w14:paraId="175DD2B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56D5A2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469</w:t>
            </w:r>
          </w:p>
        </w:tc>
        <w:tc>
          <w:tcPr>
            <w:tcW w:w="0" w:type="auto"/>
            <w:tcBorders>
              <w:top w:val="nil"/>
              <w:left w:val="nil"/>
              <w:bottom w:val="single" w:sz="4" w:space="0" w:color="auto"/>
              <w:right w:val="single" w:sz="4" w:space="0" w:color="auto"/>
            </w:tcBorders>
            <w:vAlign w:val="bottom"/>
            <w:hideMark/>
          </w:tcPr>
          <w:p w14:paraId="0F27F4D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1.201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0AE7B25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75B0B6B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0,30</w:t>
            </w:r>
          </w:p>
        </w:tc>
      </w:tr>
      <w:tr w:rsidR="00C22FC1" w:rsidRPr="00C22FC1" w14:paraId="53013DB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56A4AB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470</w:t>
            </w:r>
          </w:p>
        </w:tc>
        <w:tc>
          <w:tcPr>
            <w:tcW w:w="0" w:type="auto"/>
            <w:tcBorders>
              <w:top w:val="nil"/>
              <w:left w:val="nil"/>
              <w:bottom w:val="single" w:sz="4" w:space="0" w:color="auto"/>
              <w:right w:val="single" w:sz="4" w:space="0" w:color="auto"/>
            </w:tcBorders>
            <w:vAlign w:val="bottom"/>
            <w:hideMark/>
          </w:tcPr>
          <w:p w14:paraId="59C229B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10.001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08C6873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433E95A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0,10</w:t>
            </w:r>
          </w:p>
        </w:tc>
      </w:tr>
      <w:tr w:rsidR="00C22FC1" w:rsidRPr="00C22FC1" w14:paraId="2A7AEAE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1A9082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7CAA408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Os códigos 458 a 470 são referentes à realização de verificação inicial por amostragem. No caso de verificação inicial individual, será cobrado o valor referente a até 50 unidades, para cada unidade verificada.</w:t>
            </w:r>
          </w:p>
        </w:tc>
      </w:tr>
      <w:tr w:rsidR="00C22FC1" w:rsidRPr="00C22FC1" w14:paraId="043913D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891F0F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21D5054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Esfigmomanômetro no órgão metrológico ou no fabricante/importador</w:t>
            </w:r>
          </w:p>
        </w:tc>
      </w:tr>
      <w:tr w:rsidR="00C22FC1" w:rsidRPr="00C22FC1" w14:paraId="0EB79AB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CBB1A2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472</w:t>
            </w:r>
          </w:p>
        </w:tc>
        <w:tc>
          <w:tcPr>
            <w:tcW w:w="0" w:type="auto"/>
            <w:tcBorders>
              <w:top w:val="nil"/>
              <w:left w:val="nil"/>
              <w:bottom w:val="single" w:sz="4" w:space="0" w:color="auto"/>
              <w:right w:val="single" w:sz="4" w:space="0" w:color="auto"/>
            </w:tcBorders>
            <w:vAlign w:val="bottom"/>
            <w:hideMark/>
          </w:tcPr>
          <w:p w14:paraId="50E6944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10 unidades, cada unidade.</w:t>
            </w:r>
          </w:p>
        </w:tc>
        <w:tc>
          <w:tcPr>
            <w:tcW w:w="0" w:type="auto"/>
            <w:tcBorders>
              <w:top w:val="nil"/>
              <w:left w:val="nil"/>
              <w:bottom w:val="single" w:sz="4" w:space="0" w:color="auto"/>
              <w:right w:val="single" w:sz="4" w:space="0" w:color="auto"/>
            </w:tcBorders>
            <w:vAlign w:val="center"/>
            <w:hideMark/>
          </w:tcPr>
          <w:p w14:paraId="38D3EA7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9,00</w:t>
            </w:r>
          </w:p>
        </w:tc>
        <w:tc>
          <w:tcPr>
            <w:tcW w:w="0" w:type="auto"/>
            <w:tcBorders>
              <w:top w:val="nil"/>
              <w:left w:val="nil"/>
              <w:bottom w:val="single" w:sz="4" w:space="0" w:color="auto"/>
              <w:right w:val="single" w:sz="4" w:space="0" w:color="auto"/>
            </w:tcBorders>
            <w:vAlign w:val="center"/>
            <w:hideMark/>
          </w:tcPr>
          <w:p w14:paraId="34D5F22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9,00</w:t>
            </w:r>
          </w:p>
        </w:tc>
      </w:tr>
      <w:tr w:rsidR="00C22FC1" w:rsidRPr="00C22FC1" w14:paraId="107A697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4B7EC9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473</w:t>
            </w:r>
          </w:p>
        </w:tc>
        <w:tc>
          <w:tcPr>
            <w:tcW w:w="0" w:type="auto"/>
            <w:tcBorders>
              <w:top w:val="nil"/>
              <w:left w:val="nil"/>
              <w:bottom w:val="single" w:sz="4" w:space="0" w:color="auto"/>
              <w:right w:val="single" w:sz="4" w:space="0" w:color="auto"/>
            </w:tcBorders>
            <w:vAlign w:val="bottom"/>
            <w:hideMark/>
          </w:tcPr>
          <w:p w14:paraId="0EFC7C4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11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0739843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5,40</w:t>
            </w:r>
          </w:p>
        </w:tc>
        <w:tc>
          <w:tcPr>
            <w:tcW w:w="0" w:type="auto"/>
            <w:tcBorders>
              <w:top w:val="nil"/>
              <w:left w:val="nil"/>
              <w:bottom w:val="single" w:sz="4" w:space="0" w:color="auto"/>
              <w:right w:val="single" w:sz="4" w:space="0" w:color="auto"/>
            </w:tcBorders>
            <w:vAlign w:val="center"/>
            <w:hideMark/>
          </w:tcPr>
          <w:p w14:paraId="44912D0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5,40</w:t>
            </w:r>
          </w:p>
        </w:tc>
      </w:tr>
      <w:tr w:rsidR="00C22FC1" w:rsidRPr="00C22FC1" w14:paraId="23CF44A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32C21D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474</w:t>
            </w:r>
          </w:p>
        </w:tc>
        <w:tc>
          <w:tcPr>
            <w:tcW w:w="0" w:type="auto"/>
            <w:tcBorders>
              <w:top w:val="nil"/>
              <w:left w:val="nil"/>
              <w:bottom w:val="single" w:sz="4" w:space="0" w:color="auto"/>
              <w:right w:val="single" w:sz="4" w:space="0" w:color="auto"/>
            </w:tcBorders>
            <w:vAlign w:val="bottom"/>
            <w:hideMark/>
          </w:tcPr>
          <w:p w14:paraId="0F1A1BE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101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77AC4F1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4,20</w:t>
            </w:r>
          </w:p>
        </w:tc>
        <w:tc>
          <w:tcPr>
            <w:tcW w:w="0" w:type="auto"/>
            <w:tcBorders>
              <w:top w:val="nil"/>
              <w:left w:val="nil"/>
              <w:bottom w:val="single" w:sz="4" w:space="0" w:color="auto"/>
              <w:right w:val="single" w:sz="4" w:space="0" w:color="auto"/>
            </w:tcBorders>
            <w:vAlign w:val="center"/>
            <w:hideMark/>
          </w:tcPr>
          <w:p w14:paraId="28641D9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4,20</w:t>
            </w:r>
          </w:p>
        </w:tc>
      </w:tr>
      <w:tr w:rsidR="00C22FC1" w:rsidRPr="00C22FC1" w14:paraId="5203A55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1889F1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475</w:t>
            </w:r>
          </w:p>
        </w:tc>
        <w:tc>
          <w:tcPr>
            <w:tcW w:w="0" w:type="auto"/>
            <w:tcBorders>
              <w:top w:val="nil"/>
              <w:left w:val="nil"/>
              <w:bottom w:val="single" w:sz="4" w:space="0" w:color="auto"/>
              <w:right w:val="single" w:sz="4" w:space="0" w:color="auto"/>
            </w:tcBorders>
            <w:vAlign w:val="bottom"/>
            <w:hideMark/>
          </w:tcPr>
          <w:p w14:paraId="514D187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300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15AF790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2,90</w:t>
            </w:r>
          </w:p>
        </w:tc>
        <w:tc>
          <w:tcPr>
            <w:tcW w:w="0" w:type="auto"/>
            <w:tcBorders>
              <w:top w:val="nil"/>
              <w:left w:val="nil"/>
              <w:bottom w:val="single" w:sz="4" w:space="0" w:color="auto"/>
              <w:right w:val="single" w:sz="4" w:space="0" w:color="auto"/>
            </w:tcBorders>
            <w:vAlign w:val="center"/>
            <w:hideMark/>
          </w:tcPr>
          <w:p w14:paraId="07C2AA1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2,90</w:t>
            </w:r>
          </w:p>
        </w:tc>
      </w:tr>
      <w:tr w:rsidR="00C22FC1" w:rsidRPr="00C22FC1" w14:paraId="2084470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0EBFAC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27FFEF1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Esfigmomanômetro no local de uso</w:t>
            </w:r>
          </w:p>
        </w:tc>
      </w:tr>
      <w:tr w:rsidR="00C22FC1" w:rsidRPr="00C22FC1" w14:paraId="5914988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DA6CE0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476</w:t>
            </w:r>
          </w:p>
        </w:tc>
        <w:tc>
          <w:tcPr>
            <w:tcW w:w="0" w:type="auto"/>
            <w:tcBorders>
              <w:top w:val="nil"/>
              <w:left w:val="nil"/>
              <w:bottom w:val="single" w:sz="4" w:space="0" w:color="auto"/>
              <w:right w:val="single" w:sz="4" w:space="0" w:color="auto"/>
            </w:tcBorders>
            <w:vAlign w:val="bottom"/>
            <w:hideMark/>
          </w:tcPr>
          <w:p w14:paraId="533B02F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Uma unidade</w:t>
            </w:r>
          </w:p>
        </w:tc>
        <w:tc>
          <w:tcPr>
            <w:tcW w:w="0" w:type="auto"/>
            <w:tcBorders>
              <w:top w:val="nil"/>
              <w:left w:val="nil"/>
              <w:bottom w:val="single" w:sz="4" w:space="0" w:color="auto"/>
              <w:right w:val="single" w:sz="4" w:space="0" w:color="auto"/>
            </w:tcBorders>
            <w:vAlign w:val="center"/>
            <w:hideMark/>
          </w:tcPr>
          <w:p w14:paraId="19ED937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34,00</w:t>
            </w:r>
          </w:p>
        </w:tc>
        <w:tc>
          <w:tcPr>
            <w:tcW w:w="0" w:type="auto"/>
            <w:tcBorders>
              <w:top w:val="nil"/>
              <w:left w:val="nil"/>
              <w:bottom w:val="single" w:sz="4" w:space="0" w:color="auto"/>
              <w:right w:val="single" w:sz="4" w:space="0" w:color="auto"/>
            </w:tcBorders>
            <w:vAlign w:val="center"/>
            <w:hideMark/>
          </w:tcPr>
          <w:p w14:paraId="4A3E74D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r>
      <w:tr w:rsidR="00C22FC1" w:rsidRPr="00C22FC1" w14:paraId="56D5839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62C064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477</w:t>
            </w:r>
          </w:p>
        </w:tc>
        <w:tc>
          <w:tcPr>
            <w:tcW w:w="0" w:type="auto"/>
            <w:tcBorders>
              <w:top w:val="nil"/>
              <w:left w:val="nil"/>
              <w:bottom w:val="single" w:sz="4" w:space="0" w:color="auto"/>
              <w:right w:val="single" w:sz="4" w:space="0" w:color="auto"/>
            </w:tcBorders>
            <w:vAlign w:val="bottom"/>
            <w:hideMark/>
          </w:tcPr>
          <w:p w14:paraId="61FA859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2</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 cada unidade.</w:t>
            </w:r>
          </w:p>
        </w:tc>
        <w:tc>
          <w:tcPr>
            <w:tcW w:w="0" w:type="auto"/>
            <w:tcBorders>
              <w:top w:val="nil"/>
              <w:left w:val="nil"/>
              <w:bottom w:val="single" w:sz="4" w:space="0" w:color="auto"/>
              <w:right w:val="single" w:sz="4" w:space="0" w:color="auto"/>
            </w:tcBorders>
            <w:vAlign w:val="center"/>
            <w:hideMark/>
          </w:tcPr>
          <w:p w14:paraId="62E41F5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14,60</w:t>
            </w:r>
          </w:p>
        </w:tc>
        <w:tc>
          <w:tcPr>
            <w:tcW w:w="0" w:type="auto"/>
            <w:tcBorders>
              <w:top w:val="nil"/>
              <w:left w:val="nil"/>
              <w:bottom w:val="single" w:sz="4" w:space="0" w:color="auto"/>
              <w:right w:val="single" w:sz="4" w:space="0" w:color="auto"/>
            </w:tcBorders>
            <w:vAlign w:val="center"/>
            <w:hideMark/>
          </w:tcPr>
          <w:p w14:paraId="64922D0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r>
      <w:tr w:rsidR="00C22FC1" w:rsidRPr="00C22FC1" w14:paraId="67AD18D1"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5826E85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medição para energia elétrica</w:t>
            </w:r>
          </w:p>
        </w:tc>
      </w:tr>
      <w:tr w:rsidR="00C22FC1" w:rsidRPr="00C22FC1" w14:paraId="55D1A74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69DEC6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2382390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Medidor de energia elétrica diretamente ligado para energia ativa, reativa ou aparente até 1 kV de tensão nominal, com a inclusão dos ensaios de medidores-base (composto de um dispositivo de medição e um totalizador de tarifa); para medidor combinado, direto ou como medidor transformador de medição (por exemplo, medidor de energia ativa ou reativa em uma mesma caixa), o valor será computado para cada medidor base completo.</w:t>
            </w:r>
          </w:p>
        </w:tc>
      </w:tr>
      <w:tr w:rsidR="00C22FC1" w:rsidRPr="00C22FC1" w14:paraId="3D401FE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70AB59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20E6470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Medidor monofásico de corrente alternada</w:t>
            </w:r>
          </w:p>
        </w:tc>
      </w:tr>
      <w:tr w:rsidR="00C22FC1" w:rsidRPr="00C22FC1" w14:paraId="6F66A3B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014AF8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481</w:t>
            </w:r>
          </w:p>
        </w:tc>
        <w:tc>
          <w:tcPr>
            <w:tcW w:w="0" w:type="auto"/>
            <w:tcBorders>
              <w:top w:val="nil"/>
              <w:left w:val="nil"/>
              <w:bottom w:val="single" w:sz="4" w:space="0" w:color="auto"/>
              <w:right w:val="single" w:sz="4" w:space="0" w:color="auto"/>
            </w:tcBorders>
            <w:vAlign w:val="bottom"/>
            <w:hideMark/>
          </w:tcPr>
          <w:p w14:paraId="149E498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20 unidades</w:t>
            </w:r>
          </w:p>
        </w:tc>
        <w:tc>
          <w:tcPr>
            <w:tcW w:w="0" w:type="auto"/>
            <w:tcBorders>
              <w:top w:val="nil"/>
              <w:left w:val="nil"/>
              <w:bottom w:val="single" w:sz="4" w:space="0" w:color="auto"/>
              <w:right w:val="single" w:sz="4" w:space="0" w:color="auto"/>
            </w:tcBorders>
            <w:vAlign w:val="center"/>
            <w:hideMark/>
          </w:tcPr>
          <w:p w14:paraId="17785D9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36,00</w:t>
            </w:r>
          </w:p>
        </w:tc>
        <w:tc>
          <w:tcPr>
            <w:tcW w:w="0" w:type="auto"/>
            <w:tcBorders>
              <w:top w:val="nil"/>
              <w:left w:val="nil"/>
              <w:bottom w:val="single" w:sz="4" w:space="0" w:color="auto"/>
              <w:right w:val="single" w:sz="4" w:space="0" w:color="auto"/>
            </w:tcBorders>
            <w:vAlign w:val="center"/>
            <w:hideMark/>
          </w:tcPr>
          <w:p w14:paraId="7FAB72F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12,50</w:t>
            </w:r>
          </w:p>
        </w:tc>
      </w:tr>
      <w:tr w:rsidR="00C22FC1" w:rsidRPr="00C22FC1" w14:paraId="381A0DA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FA41EB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482</w:t>
            </w:r>
          </w:p>
        </w:tc>
        <w:tc>
          <w:tcPr>
            <w:tcW w:w="0" w:type="auto"/>
            <w:tcBorders>
              <w:top w:val="nil"/>
              <w:left w:val="nil"/>
              <w:bottom w:val="single" w:sz="4" w:space="0" w:color="auto"/>
              <w:right w:val="single" w:sz="4" w:space="0" w:color="auto"/>
            </w:tcBorders>
            <w:vAlign w:val="bottom"/>
            <w:hideMark/>
          </w:tcPr>
          <w:p w14:paraId="663B2DF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21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w:t>
            </w:r>
          </w:p>
        </w:tc>
        <w:tc>
          <w:tcPr>
            <w:tcW w:w="0" w:type="auto"/>
            <w:tcBorders>
              <w:top w:val="nil"/>
              <w:left w:val="nil"/>
              <w:bottom w:val="single" w:sz="4" w:space="0" w:color="auto"/>
              <w:right w:val="single" w:sz="4" w:space="0" w:color="auto"/>
            </w:tcBorders>
            <w:vAlign w:val="center"/>
            <w:hideMark/>
          </w:tcPr>
          <w:p w14:paraId="075F549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22,70</w:t>
            </w:r>
          </w:p>
        </w:tc>
        <w:tc>
          <w:tcPr>
            <w:tcW w:w="0" w:type="auto"/>
            <w:tcBorders>
              <w:top w:val="nil"/>
              <w:left w:val="nil"/>
              <w:bottom w:val="single" w:sz="4" w:space="0" w:color="auto"/>
              <w:right w:val="single" w:sz="4" w:space="0" w:color="auto"/>
            </w:tcBorders>
            <w:vAlign w:val="center"/>
            <w:hideMark/>
          </w:tcPr>
          <w:p w14:paraId="6F3DFCD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8,00</w:t>
            </w:r>
          </w:p>
        </w:tc>
      </w:tr>
      <w:tr w:rsidR="00C22FC1" w:rsidRPr="00C22FC1" w14:paraId="2266424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A8AFDE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483</w:t>
            </w:r>
          </w:p>
        </w:tc>
        <w:tc>
          <w:tcPr>
            <w:tcW w:w="0" w:type="auto"/>
            <w:tcBorders>
              <w:top w:val="nil"/>
              <w:left w:val="nil"/>
              <w:bottom w:val="single" w:sz="4" w:space="0" w:color="auto"/>
              <w:right w:val="single" w:sz="4" w:space="0" w:color="auto"/>
            </w:tcBorders>
            <w:vAlign w:val="bottom"/>
            <w:hideMark/>
          </w:tcPr>
          <w:p w14:paraId="213BB49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100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w:t>
            </w:r>
          </w:p>
        </w:tc>
        <w:tc>
          <w:tcPr>
            <w:tcW w:w="0" w:type="auto"/>
            <w:tcBorders>
              <w:top w:val="nil"/>
              <w:left w:val="nil"/>
              <w:bottom w:val="single" w:sz="4" w:space="0" w:color="auto"/>
              <w:right w:val="single" w:sz="4" w:space="0" w:color="auto"/>
            </w:tcBorders>
            <w:vAlign w:val="center"/>
            <w:hideMark/>
          </w:tcPr>
          <w:p w14:paraId="0A8C537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20,00</w:t>
            </w:r>
          </w:p>
        </w:tc>
        <w:tc>
          <w:tcPr>
            <w:tcW w:w="0" w:type="auto"/>
            <w:tcBorders>
              <w:top w:val="nil"/>
              <w:left w:val="nil"/>
              <w:bottom w:val="single" w:sz="4" w:space="0" w:color="auto"/>
              <w:right w:val="single" w:sz="4" w:space="0" w:color="auto"/>
            </w:tcBorders>
            <w:vAlign w:val="center"/>
            <w:hideMark/>
          </w:tcPr>
          <w:p w14:paraId="44699AD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6,90</w:t>
            </w:r>
          </w:p>
        </w:tc>
      </w:tr>
      <w:tr w:rsidR="00C22FC1" w:rsidRPr="00C22FC1" w14:paraId="0D88C63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809C0F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484</w:t>
            </w:r>
          </w:p>
        </w:tc>
        <w:tc>
          <w:tcPr>
            <w:tcW w:w="0" w:type="auto"/>
            <w:tcBorders>
              <w:top w:val="nil"/>
              <w:left w:val="nil"/>
              <w:bottom w:val="single" w:sz="4" w:space="0" w:color="auto"/>
              <w:right w:val="single" w:sz="4" w:space="0" w:color="auto"/>
            </w:tcBorders>
            <w:vAlign w:val="bottom"/>
            <w:hideMark/>
          </w:tcPr>
          <w:p w14:paraId="393D74E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1.000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w:t>
            </w:r>
          </w:p>
        </w:tc>
        <w:tc>
          <w:tcPr>
            <w:tcW w:w="0" w:type="auto"/>
            <w:tcBorders>
              <w:top w:val="nil"/>
              <w:left w:val="nil"/>
              <w:bottom w:val="single" w:sz="4" w:space="0" w:color="auto"/>
              <w:right w:val="single" w:sz="4" w:space="0" w:color="auto"/>
            </w:tcBorders>
            <w:vAlign w:val="center"/>
            <w:hideMark/>
          </w:tcPr>
          <w:p w14:paraId="05BB080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17,00</w:t>
            </w:r>
          </w:p>
        </w:tc>
        <w:tc>
          <w:tcPr>
            <w:tcW w:w="0" w:type="auto"/>
            <w:tcBorders>
              <w:top w:val="nil"/>
              <w:left w:val="nil"/>
              <w:bottom w:val="single" w:sz="4" w:space="0" w:color="auto"/>
              <w:right w:val="single" w:sz="4" w:space="0" w:color="auto"/>
            </w:tcBorders>
            <w:vAlign w:val="center"/>
            <w:hideMark/>
          </w:tcPr>
          <w:p w14:paraId="732FD84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5,90</w:t>
            </w:r>
          </w:p>
        </w:tc>
      </w:tr>
      <w:tr w:rsidR="00C22FC1" w:rsidRPr="00C22FC1" w14:paraId="5B211B3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3288B8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557DEE0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Medidor polifásico de corrente alternada</w:t>
            </w:r>
          </w:p>
        </w:tc>
      </w:tr>
      <w:tr w:rsidR="00C22FC1" w:rsidRPr="00C22FC1" w14:paraId="5C2B132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01D1DC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485</w:t>
            </w:r>
          </w:p>
        </w:tc>
        <w:tc>
          <w:tcPr>
            <w:tcW w:w="0" w:type="auto"/>
            <w:tcBorders>
              <w:top w:val="nil"/>
              <w:left w:val="nil"/>
              <w:bottom w:val="single" w:sz="4" w:space="0" w:color="auto"/>
              <w:right w:val="single" w:sz="4" w:space="0" w:color="auto"/>
            </w:tcBorders>
            <w:vAlign w:val="bottom"/>
            <w:hideMark/>
          </w:tcPr>
          <w:p w14:paraId="180C92F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20 unidades</w:t>
            </w:r>
          </w:p>
        </w:tc>
        <w:tc>
          <w:tcPr>
            <w:tcW w:w="0" w:type="auto"/>
            <w:tcBorders>
              <w:top w:val="nil"/>
              <w:left w:val="nil"/>
              <w:bottom w:val="single" w:sz="4" w:space="0" w:color="auto"/>
              <w:right w:val="single" w:sz="4" w:space="0" w:color="auto"/>
            </w:tcBorders>
            <w:vAlign w:val="center"/>
            <w:hideMark/>
          </w:tcPr>
          <w:p w14:paraId="356E091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45,22</w:t>
            </w:r>
          </w:p>
        </w:tc>
        <w:tc>
          <w:tcPr>
            <w:tcW w:w="0" w:type="auto"/>
            <w:tcBorders>
              <w:top w:val="nil"/>
              <w:left w:val="nil"/>
              <w:bottom w:val="single" w:sz="4" w:space="0" w:color="auto"/>
              <w:right w:val="single" w:sz="4" w:space="0" w:color="auto"/>
            </w:tcBorders>
            <w:vAlign w:val="center"/>
            <w:hideMark/>
          </w:tcPr>
          <w:p w14:paraId="59603DA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15,16</w:t>
            </w:r>
          </w:p>
        </w:tc>
      </w:tr>
      <w:tr w:rsidR="00C22FC1" w:rsidRPr="00C22FC1" w14:paraId="74426D5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B89A76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486</w:t>
            </w:r>
          </w:p>
        </w:tc>
        <w:tc>
          <w:tcPr>
            <w:tcW w:w="0" w:type="auto"/>
            <w:tcBorders>
              <w:top w:val="nil"/>
              <w:left w:val="nil"/>
              <w:bottom w:val="single" w:sz="4" w:space="0" w:color="auto"/>
              <w:right w:val="single" w:sz="4" w:space="0" w:color="auto"/>
            </w:tcBorders>
            <w:vAlign w:val="bottom"/>
            <w:hideMark/>
          </w:tcPr>
          <w:p w14:paraId="6AE95458"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21</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w:t>
            </w:r>
          </w:p>
        </w:tc>
        <w:tc>
          <w:tcPr>
            <w:tcW w:w="0" w:type="auto"/>
            <w:tcBorders>
              <w:top w:val="nil"/>
              <w:left w:val="nil"/>
              <w:bottom w:val="single" w:sz="4" w:space="0" w:color="auto"/>
              <w:right w:val="single" w:sz="4" w:space="0" w:color="auto"/>
            </w:tcBorders>
            <w:vAlign w:val="center"/>
            <w:hideMark/>
          </w:tcPr>
          <w:p w14:paraId="14559A1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30,20</w:t>
            </w:r>
          </w:p>
        </w:tc>
        <w:tc>
          <w:tcPr>
            <w:tcW w:w="0" w:type="auto"/>
            <w:tcBorders>
              <w:top w:val="nil"/>
              <w:left w:val="nil"/>
              <w:bottom w:val="single" w:sz="4" w:space="0" w:color="auto"/>
              <w:right w:val="single" w:sz="4" w:space="0" w:color="auto"/>
            </w:tcBorders>
            <w:vAlign w:val="center"/>
            <w:hideMark/>
          </w:tcPr>
          <w:p w14:paraId="33057AB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10,20</w:t>
            </w:r>
          </w:p>
        </w:tc>
      </w:tr>
      <w:tr w:rsidR="00C22FC1" w:rsidRPr="00C22FC1" w14:paraId="0EA3882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36983C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487</w:t>
            </w:r>
          </w:p>
        </w:tc>
        <w:tc>
          <w:tcPr>
            <w:tcW w:w="0" w:type="auto"/>
            <w:tcBorders>
              <w:top w:val="nil"/>
              <w:left w:val="nil"/>
              <w:bottom w:val="single" w:sz="4" w:space="0" w:color="auto"/>
              <w:right w:val="single" w:sz="4" w:space="0" w:color="auto"/>
            </w:tcBorders>
            <w:vAlign w:val="bottom"/>
            <w:hideMark/>
          </w:tcPr>
          <w:p w14:paraId="71F1A67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100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w:t>
            </w:r>
          </w:p>
        </w:tc>
        <w:tc>
          <w:tcPr>
            <w:tcW w:w="0" w:type="auto"/>
            <w:tcBorders>
              <w:top w:val="nil"/>
              <w:left w:val="nil"/>
              <w:bottom w:val="single" w:sz="4" w:space="0" w:color="auto"/>
              <w:right w:val="single" w:sz="4" w:space="0" w:color="auto"/>
            </w:tcBorders>
            <w:vAlign w:val="center"/>
            <w:hideMark/>
          </w:tcPr>
          <w:p w14:paraId="5E8CD58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25,10</w:t>
            </w:r>
          </w:p>
        </w:tc>
        <w:tc>
          <w:tcPr>
            <w:tcW w:w="0" w:type="auto"/>
            <w:tcBorders>
              <w:top w:val="nil"/>
              <w:left w:val="nil"/>
              <w:bottom w:val="single" w:sz="4" w:space="0" w:color="auto"/>
              <w:right w:val="single" w:sz="4" w:space="0" w:color="auto"/>
            </w:tcBorders>
            <w:vAlign w:val="center"/>
            <w:hideMark/>
          </w:tcPr>
          <w:p w14:paraId="5BE8D79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8,20</w:t>
            </w:r>
          </w:p>
        </w:tc>
      </w:tr>
      <w:tr w:rsidR="00C22FC1" w:rsidRPr="00C22FC1" w14:paraId="4D6AF4B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2AA56B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488</w:t>
            </w:r>
          </w:p>
        </w:tc>
        <w:tc>
          <w:tcPr>
            <w:tcW w:w="0" w:type="auto"/>
            <w:tcBorders>
              <w:top w:val="nil"/>
              <w:left w:val="nil"/>
              <w:bottom w:val="single" w:sz="4" w:space="0" w:color="auto"/>
              <w:right w:val="single" w:sz="4" w:space="0" w:color="auto"/>
            </w:tcBorders>
            <w:vAlign w:val="bottom"/>
            <w:hideMark/>
          </w:tcPr>
          <w:p w14:paraId="4BCEA16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 partir da 1.000</w:t>
            </w:r>
            <w:r w:rsidRPr="00C22FC1">
              <w:rPr>
                <w:rFonts w:ascii="Times New Roman" w:eastAsia="Times New Roman" w:hAnsi="Times New Roman" w:cs="Times New Roman"/>
                <w:color w:val="000000"/>
                <w:kern w:val="0"/>
                <w:sz w:val="20"/>
                <w:szCs w:val="20"/>
                <w:u w:val="single"/>
                <w:vertAlign w:val="superscript"/>
                <w14:ligatures w14:val="none"/>
              </w:rPr>
              <w:t>a</w:t>
            </w:r>
            <w:r w:rsidRPr="00C22FC1">
              <w:rPr>
                <w:rFonts w:ascii="Times New Roman" w:eastAsia="Times New Roman" w:hAnsi="Times New Roman" w:cs="Times New Roman"/>
                <w:color w:val="000000"/>
                <w:kern w:val="0"/>
                <w:sz w:val="20"/>
                <w:szCs w:val="20"/>
                <w14:ligatures w14:val="none"/>
              </w:rPr>
              <w:t> unidade</w:t>
            </w:r>
          </w:p>
        </w:tc>
        <w:tc>
          <w:tcPr>
            <w:tcW w:w="0" w:type="auto"/>
            <w:tcBorders>
              <w:top w:val="nil"/>
              <w:left w:val="nil"/>
              <w:bottom w:val="single" w:sz="4" w:space="0" w:color="auto"/>
              <w:right w:val="single" w:sz="4" w:space="0" w:color="auto"/>
            </w:tcBorders>
            <w:vAlign w:val="center"/>
            <w:hideMark/>
          </w:tcPr>
          <w:p w14:paraId="5113836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22,00</w:t>
            </w:r>
          </w:p>
        </w:tc>
        <w:tc>
          <w:tcPr>
            <w:tcW w:w="0" w:type="auto"/>
            <w:tcBorders>
              <w:top w:val="nil"/>
              <w:left w:val="nil"/>
              <w:bottom w:val="single" w:sz="4" w:space="0" w:color="auto"/>
              <w:right w:val="single" w:sz="4" w:space="0" w:color="auto"/>
            </w:tcBorders>
            <w:vAlign w:val="center"/>
            <w:hideMark/>
          </w:tcPr>
          <w:p w14:paraId="74A3DD3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7,30</w:t>
            </w:r>
          </w:p>
        </w:tc>
      </w:tr>
      <w:tr w:rsidR="00C22FC1" w:rsidRPr="00C22FC1" w14:paraId="13D6904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B3B6AC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489</w:t>
            </w:r>
          </w:p>
        </w:tc>
        <w:tc>
          <w:tcPr>
            <w:tcW w:w="0" w:type="auto"/>
            <w:tcBorders>
              <w:top w:val="nil"/>
              <w:left w:val="nil"/>
              <w:bottom w:val="single" w:sz="4" w:space="0" w:color="auto"/>
              <w:right w:val="single" w:sz="4" w:space="0" w:color="auto"/>
            </w:tcBorders>
            <w:vAlign w:val="bottom"/>
            <w:hideMark/>
          </w:tcPr>
          <w:p w14:paraId="517AFFC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Medidor transformador de medição</w:t>
            </w:r>
          </w:p>
        </w:tc>
        <w:tc>
          <w:tcPr>
            <w:tcW w:w="0" w:type="auto"/>
            <w:tcBorders>
              <w:top w:val="nil"/>
              <w:left w:val="nil"/>
              <w:bottom w:val="single" w:sz="4" w:space="0" w:color="auto"/>
              <w:right w:val="single" w:sz="4" w:space="0" w:color="auto"/>
            </w:tcBorders>
            <w:vAlign w:val="center"/>
            <w:hideMark/>
          </w:tcPr>
          <w:p w14:paraId="76B409D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40,30</w:t>
            </w:r>
          </w:p>
        </w:tc>
        <w:tc>
          <w:tcPr>
            <w:tcW w:w="0" w:type="auto"/>
            <w:tcBorders>
              <w:top w:val="nil"/>
              <w:left w:val="nil"/>
              <w:bottom w:val="single" w:sz="4" w:space="0" w:color="auto"/>
              <w:right w:val="single" w:sz="4" w:space="0" w:color="auto"/>
            </w:tcBorders>
            <w:vAlign w:val="center"/>
            <w:hideMark/>
          </w:tcPr>
          <w:p w14:paraId="73EADAB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40,30</w:t>
            </w:r>
          </w:p>
        </w:tc>
      </w:tr>
      <w:tr w:rsidR="00C22FC1" w:rsidRPr="00C22FC1" w14:paraId="350EC6A5"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2968D06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Observação:</w:t>
            </w:r>
          </w:p>
        </w:tc>
      </w:tr>
      <w:tr w:rsidR="00C22FC1" w:rsidRPr="00C22FC1" w14:paraId="56D7E26A"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12E784A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 Os valores dos códigos 481 a 489 valem para o ensaio de medidores base (composto de um dispositivo de medição e um totalizador de tarifa).</w:t>
            </w:r>
          </w:p>
        </w:tc>
      </w:tr>
      <w:tr w:rsidR="00C22FC1" w:rsidRPr="00C22FC1" w14:paraId="6742EC36"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3315D2C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 Para medidor combinado, direto ou como medidor transformador de medição (por exemplo, medidor de energia ativa ou reativa em uma mesma caixa), o valor será computado para cada medidor base completo</w:t>
            </w:r>
          </w:p>
        </w:tc>
      </w:tr>
      <w:tr w:rsidR="00C22FC1" w:rsidRPr="00C22FC1" w14:paraId="2FDDBAA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D6CB30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1E1BE99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Dispositivos adicionais para medidores de eletricidade</w:t>
            </w:r>
          </w:p>
        </w:tc>
      </w:tr>
      <w:tr w:rsidR="00C22FC1" w:rsidRPr="00C22FC1" w14:paraId="226FCD6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84E35E3"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1B763F87"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Dispositivo multitarifa e dispositivo tarifa máxima, por totalizador adicional e por canal de medição.</w:t>
            </w:r>
          </w:p>
        </w:tc>
      </w:tr>
      <w:tr w:rsidR="00C22FC1" w:rsidRPr="00C22FC1" w14:paraId="7C2C394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627941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491</w:t>
            </w:r>
          </w:p>
        </w:tc>
        <w:tc>
          <w:tcPr>
            <w:tcW w:w="0" w:type="auto"/>
            <w:tcBorders>
              <w:top w:val="nil"/>
              <w:left w:val="nil"/>
              <w:bottom w:val="single" w:sz="4" w:space="0" w:color="auto"/>
              <w:right w:val="single" w:sz="4" w:space="0" w:color="auto"/>
            </w:tcBorders>
            <w:vAlign w:val="bottom"/>
            <w:hideMark/>
          </w:tcPr>
          <w:p w14:paraId="27697F5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Em ensaio metrológico</w:t>
            </w:r>
          </w:p>
        </w:tc>
        <w:tc>
          <w:tcPr>
            <w:tcW w:w="0" w:type="auto"/>
            <w:tcBorders>
              <w:top w:val="nil"/>
              <w:left w:val="nil"/>
              <w:bottom w:val="single" w:sz="4" w:space="0" w:color="auto"/>
              <w:right w:val="single" w:sz="4" w:space="0" w:color="auto"/>
            </w:tcBorders>
            <w:vAlign w:val="center"/>
            <w:hideMark/>
          </w:tcPr>
          <w:p w14:paraId="1546000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13,50</w:t>
            </w:r>
          </w:p>
        </w:tc>
        <w:tc>
          <w:tcPr>
            <w:tcW w:w="0" w:type="auto"/>
            <w:tcBorders>
              <w:top w:val="nil"/>
              <w:left w:val="nil"/>
              <w:bottom w:val="single" w:sz="4" w:space="0" w:color="auto"/>
              <w:right w:val="single" w:sz="4" w:space="0" w:color="auto"/>
            </w:tcBorders>
            <w:vAlign w:val="center"/>
            <w:hideMark/>
          </w:tcPr>
          <w:p w14:paraId="397C99F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4,40</w:t>
            </w:r>
          </w:p>
        </w:tc>
      </w:tr>
      <w:tr w:rsidR="00C22FC1" w:rsidRPr="00C22FC1" w14:paraId="34E9FA75"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79E45B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492</w:t>
            </w:r>
          </w:p>
        </w:tc>
        <w:tc>
          <w:tcPr>
            <w:tcW w:w="0" w:type="auto"/>
            <w:tcBorders>
              <w:top w:val="nil"/>
              <w:left w:val="nil"/>
              <w:bottom w:val="single" w:sz="4" w:space="0" w:color="auto"/>
              <w:right w:val="single" w:sz="4" w:space="0" w:color="auto"/>
            </w:tcBorders>
            <w:vAlign w:val="bottom"/>
            <w:hideMark/>
          </w:tcPr>
          <w:p w14:paraId="1DE641B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Em controle de funções</w:t>
            </w:r>
          </w:p>
        </w:tc>
        <w:tc>
          <w:tcPr>
            <w:tcW w:w="0" w:type="auto"/>
            <w:tcBorders>
              <w:top w:val="nil"/>
              <w:left w:val="nil"/>
              <w:bottom w:val="single" w:sz="4" w:space="0" w:color="auto"/>
              <w:right w:val="single" w:sz="4" w:space="0" w:color="auto"/>
            </w:tcBorders>
            <w:vAlign w:val="center"/>
            <w:hideMark/>
          </w:tcPr>
          <w:p w14:paraId="257321E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4,60</w:t>
            </w:r>
          </w:p>
        </w:tc>
        <w:tc>
          <w:tcPr>
            <w:tcW w:w="0" w:type="auto"/>
            <w:tcBorders>
              <w:top w:val="nil"/>
              <w:left w:val="nil"/>
              <w:bottom w:val="single" w:sz="4" w:space="0" w:color="auto"/>
              <w:right w:val="single" w:sz="4" w:space="0" w:color="auto"/>
            </w:tcBorders>
            <w:vAlign w:val="center"/>
            <w:hideMark/>
          </w:tcPr>
          <w:p w14:paraId="4CE9804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1,70</w:t>
            </w:r>
          </w:p>
        </w:tc>
      </w:tr>
      <w:tr w:rsidR="00C22FC1" w:rsidRPr="00C22FC1" w14:paraId="358DB69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F3A20D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493</w:t>
            </w:r>
          </w:p>
        </w:tc>
        <w:tc>
          <w:tcPr>
            <w:tcW w:w="0" w:type="auto"/>
            <w:tcBorders>
              <w:top w:val="nil"/>
              <w:left w:val="nil"/>
              <w:bottom w:val="single" w:sz="4" w:space="0" w:color="auto"/>
              <w:right w:val="single" w:sz="4" w:space="0" w:color="auto"/>
            </w:tcBorders>
            <w:vAlign w:val="bottom"/>
            <w:hideMark/>
          </w:tcPr>
          <w:p w14:paraId="440B874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Dispositivo de medição de excesso de consumo de energia</w:t>
            </w:r>
          </w:p>
        </w:tc>
        <w:tc>
          <w:tcPr>
            <w:tcW w:w="0" w:type="auto"/>
            <w:tcBorders>
              <w:top w:val="nil"/>
              <w:left w:val="nil"/>
              <w:bottom w:val="single" w:sz="4" w:space="0" w:color="auto"/>
              <w:right w:val="single" w:sz="4" w:space="0" w:color="auto"/>
            </w:tcBorders>
            <w:vAlign w:val="center"/>
            <w:hideMark/>
          </w:tcPr>
          <w:p w14:paraId="0951126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13,50</w:t>
            </w:r>
          </w:p>
        </w:tc>
        <w:tc>
          <w:tcPr>
            <w:tcW w:w="0" w:type="auto"/>
            <w:tcBorders>
              <w:top w:val="nil"/>
              <w:left w:val="nil"/>
              <w:bottom w:val="single" w:sz="4" w:space="0" w:color="auto"/>
              <w:right w:val="single" w:sz="4" w:space="0" w:color="auto"/>
            </w:tcBorders>
            <w:vAlign w:val="center"/>
            <w:hideMark/>
          </w:tcPr>
          <w:p w14:paraId="063B8C9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4,40</w:t>
            </w:r>
          </w:p>
        </w:tc>
      </w:tr>
      <w:tr w:rsidR="00C22FC1" w:rsidRPr="00C22FC1" w14:paraId="17F2009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18A316C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kern w:val="0"/>
                <w:sz w:val="20"/>
                <w:szCs w:val="20"/>
                <w14:ligatures w14:val="none"/>
              </w:rPr>
              <w:t> </w:t>
            </w:r>
          </w:p>
        </w:tc>
        <w:tc>
          <w:tcPr>
            <w:tcW w:w="0" w:type="auto"/>
            <w:gridSpan w:val="3"/>
            <w:tcBorders>
              <w:top w:val="nil"/>
              <w:left w:val="nil"/>
              <w:bottom w:val="single" w:sz="4" w:space="0" w:color="auto"/>
              <w:right w:val="single" w:sz="4" w:space="0" w:color="auto"/>
            </w:tcBorders>
            <w:vAlign w:val="bottom"/>
            <w:hideMark/>
          </w:tcPr>
          <w:p w14:paraId="43AE7CA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Ensaios adicionais em medidores de eletricidade e dispositivos adicionais</w:t>
            </w:r>
          </w:p>
        </w:tc>
      </w:tr>
      <w:tr w:rsidR="00C22FC1" w:rsidRPr="00C22FC1" w14:paraId="5F73779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A0E8C5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494</w:t>
            </w:r>
          </w:p>
        </w:tc>
        <w:tc>
          <w:tcPr>
            <w:tcW w:w="0" w:type="auto"/>
            <w:tcBorders>
              <w:top w:val="nil"/>
              <w:left w:val="nil"/>
              <w:bottom w:val="single" w:sz="4" w:space="0" w:color="auto"/>
              <w:right w:val="single" w:sz="4" w:space="0" w:color="auto"/>
            </w:tcBorders>
            <w:vAlign w:val="bottom"/>
            <w:hideMark/>
          </w:tcPr>
          <w:p w14:paraId="5B2A780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ponto de ensaio metrológico adicional (ex. ensaio de duas direções de energia, entrada e saída de impulso), cada ensaio</w:t>
            </w:r>
          </w:p>
        </w:tc>
        <w:tc>
          <w:tcPr>
            <w:tcW w:w="0" w:type="auto"/>
            <w:tcBorders>
              <w:top w:val="nil"/>
              <w:left w:val="nil"/>
              <w:bottom w:val="single" w:sz="4" w:space="0" w:color="auto"/>
              <w:right w:val="single" w:sz="4" w:space="0" w:color="auto"/>
            </w:tcBorders>
            <w:vAlign w:val="center"/>
            <w:hideMark/>
          </w:tcPr>
          <w:p w14:paraId="074BE55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13,40</w:t>
            </w:r>
          </w:p>
        </w:tc>
        <w:tc>
          <w:tcPr>
            <w:tcW w:w="0" w:type="auto"/>
            <w:tcBorders>
              <w:top w:val="nil"/>
              <w:left w:val="nil"/>
              <w:bottom w:val="single" w:sz="4" w:space="0" w:color="auto"/>
              <w:right w:val="single" w:sz="4" w:space="0" w:color="auto"/>
            </w:tcBorders>
            <w:vAlign w:val="center"/>
            <w:hideMark/>
          </w:tcPr>
          <w:p w14:paraId="05A9D59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4,40</w:t>
            </w:r>
          </w:p>
        </w:tc>
      </w:tr>
      <w:tr w:rsidR="00C22FC1" w:rsidRPr="00C22FC1" w14:paraId="6E8A4FA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BBFBA1D"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495</w:t>
            </w:r>
          </w:p>
        </w:tc>
        <w:tc>
          <w:tcPr>
            <w:tcW w:w="0" w:type="auto"/>
            <w:tcBorders>
              <w:top w:val="nil"/>
              <w:left w:val="nil"/>
              <w:bottom w:val="single" w:sz="4" w:space="0" w:color="auto"/>
              <w:right w:val="single" w:sz="4" w:space="0" w:color="auto"/>
            </w:tcBorders>
            <w:vAlign w:val="bottom"/>
            <w:hideMark/>
          </w:tcPr>
          <w:p w14:paraId="3553D7B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controle de função adicional outras características (ex. bloqueio de retrocesso, comando de saída, comando de entrada, registro de resultado, armazenamento de dados, indicador eletrônico</w:t>
            </w:r>
          </w:p>
        </w:tc>
        <w:tc>
          <w:tcPr>
            <w:tcW w:w="0" w:type="auto"/>
            <w:tcBorders>
              <w:top w:val="nil"/>
              <w:left w:val="nil"/>
              <w:bottom w:val="single" w:sz="4" w:space="0" w:color="auto"/>
              <w:right w:val="single" w:sz="4" w:space="0" w:color="auto"/>
            </w:tcBorders>
            <w:vAlign w:val="center"/>
            <w:hideMark/>
          </w:tcPr>
          <w:p w14:paraId="6C87074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4,60</w:t>
            </w:r>
          </w:p>
        </w:tc>
        <w:tc>
          <w:tcPr>
            <w:tcW w:w="0" w:type="auto"/>
            <w:tcBorders>
              <w:top w:val="nil"/>
              <w:left w:val="nil"/>
              <w:bottom w:val="single" w:sz="4" w:space="0" w:color="auto"/>
              <w:right w:val="single" w:sz="4" w:space="0" w:color="auto"/>
            </w:tcBorders>
            <w:vAlign w:val="center"/>
            <w:hideMark/>
          </w:tcPr>
          <w:p w14:paraId="132E33E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1,70</w:t>
            </w:r>
          </w:p>
        </w:tc>
      </w:tr>
      <w:tr w:rsidR="00C22FC1" w:rsidRPr="00C22FC1" w14:paraId="6A1229F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B1F9E7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lastRenderedPageBreak/>
              <w:t>496</w:t>
            </w:r>
          </w:p>
        </w:tc>
        <w:tc>
          <w:tcPr>
            <w:tcW w:w="0" w:type="auto"/>
            <w:tcBorders>
              <w:top w:val="nil"/>
              <w:left w:val="nil"/>
              <w:bottom w:val="single" w:sz="4" w:space="0" w:color="auto"/>
              <w:right w:val="single" w:sz="4" w:space="0" w:color="auto"/>
            </w:tcBorders>
            <w:vAlign w:val="bottom"/>
            <w:hideMark/>
          </w:tcPr>
          <w:p w14:paraId="170F874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Verificação de bancadas de medidores de energia elétrica</w:t>
            </w:r>
          </w:p>
        </w:tc>
        <w:tc>
          <w:tcPr>
            <w:tcW w:w="0" w:type="auto"/>
            <w:tcBorders>
              <w:top w:val="nil"/>
              <w:left w:val="nil"/>
              <w:bottom w:val="single" w:sz="4" w:space="0" w:color="auto"/>
              <w:right w:val="single" w:sz="4" w:space="0" w:color="auto"/>
            </w:tcBorders>
            <w:vAlign w:val="center"/>
            <w:hideMark/>
          </w:tcPr>
          <w:p w14:paraId="49C4E01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c>
          <w:tcPr>
            <w:tcW w:w="0" w:type="auto"/>
            <w:tcBorders>
              <w:top w:val="nil"/>
              <w:left w:val="nil"/>
              <w:bottom w:val="single" w:sz="4" w:space="0" w:color="auto"/>
              <w:right w:val="single" w:sz="4" w:space="0" w:color="auto"/>
            </w:tcBorders>
            <w:vAlign w:val="center"/>
            <w:hideMark/>
          </w:tcPr>
          <w:p w14:paraId="20D6C36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r>
      <w:tr w:rsidR="00C22FC1" w:rsidRPr="00C22FC1" w14:paraId="2ECDFC16"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55E0DEB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Outros instrumentos de medição e dispositivos</w:t>
            </w:r>
          </w:p>
        </w:tc>
      </w:tr>
      <w:tr w:rsidR="00C22FC1" w:rsidRPr="00C22FC1" w14:paraId="6130E294"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F4CA26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501</w:t>
            </w:r>
          </w:p>
        </w:tc>
        <w:tc>
          <w:tcPr>
            <w:tcW w:w="0" w:type="auto"/>
            <w:tcBorders>
              <w:top w:val="nil"/>
              <w:left w:val="nil"/>
              <w:bottom w:val="single" w:sz="4" w:space="0" w:color="auto"/>
              <w:right w:val="single" w:sz="4" w:space="0" w:color="auto"/>
            </w:tcBorders>
            <w:vAlign w:val="bottom"/>
            <w:hideMark/>
          </w:tcPr>
          <w:p w14:paraId="29FEE4B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Manômetros</w:t>
            </w:r>
          </w:p>
        </w:tc>
        <w:tc>
          <w:tcPr>
            <w:tcW w:w="0" w:type="auto"/>
            <w:tcBorders>
              <w:top w:val="nil"/>
              <w:left w:val="nil"/>
              <w:bottom w:val="single" w:sz="4" w:space="0" w:color="auto"/>
              <w:right w:val="single" w:sz="4" w:space="0" w:color="auto"/>
            </w:tcBorders>
            <w:vAlign w:val="center"/>
            <w:hideMark/>
          </w:tcPr>
          <w:p w14:paraId="329838A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46,50</w:t>
            </w:r>
          </w:p>
        </w:tc>
        <w:tc>
          <w:tcPr>
            <w:tcW w:w="0" w:type="auto"/>
            <w:tcBorders>
              <w:top w:val="nil"/>
              <w:left w:val="nil"/>
              <w:bottom w:val="single" w:sz="4" w:space="0" w:color="auto"/>
              <w:right w:val="single" w:sz="4" w:space="0" w:color="auto"/>
            </w:tcBorders>
            <w:vAlign w:val="center"/>
            <w:hideMark/>
          </w:tcPr>
          <w:p w14:paraId="14C192F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15,30</w:t>
            </w:r>
          </w:p>
        </w:tc>
      </w:tr>
      <w:tr w:rsidR="00C22FC1" w:rsidRPr="00C22FC1" w14:paraId="663017B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B712C7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502</w:t>
            </w:r>
          </w:p>
        </w:tc>
        <w:tc>
          <w:tcPr>
            <w:tcW w:w="0" w:type="auto"/>
            <w:tcBorders>
              <w:top w:val="nil"/>
              <w:left w:val="nil"/>
              <w:bottom w:val="single" w:sz="4" w:space="0" w:color="auto"/>
              <w:right w:val="single" w:sz="4" w:space="0" w:color="auto"/>
            </w:tcBorders>
            <w:vAlign w:val="bottom"/>
            <w:hideMark/>
          </w:tcPr>
          <w:p w14:paraId="2FC3D63B"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 de medição multidimensional</w:t>
            </w:r>
          </w:p>
        </w:tc>
        <w:tc>
          <w:tcPr>
            <w:tcW w:w="0" w:type="auto"/>
            <w:tcBorders>
              <w:top w:val="nil"/>
              <w:left w:val="nil"/>
              <w:bottom w:val="single" w:sz="4" w:space="0" w:color="auto"/>
              <w:right w:val="single" w:sz="4" w:space="0" w:color="auto"/>
            </w:tcBorders>
            <w:vAlign w:val="center"/>
            <w:hideMark/>
          </w:tcPr>
          <w:p w14:paraId="06FE58B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c>
          <w:tcPr>
            <w:tcW w:w="0" w:type="auto"/>
            <w:tcBorders>
              <w:top w:val="nil"/>
              <w:left w:val="nil"/>
              <w:bottom w:val="single" w:sz="4" w:space="0" w:color="auto"/>
              <w:right w:val="single" w:sz="4" w:space="0" w:color="auto"/>
            </w:tcBorders>
            <w:vAlign w:val="center"/>
            <w:hideMark/>
          </w:tcPr>
          <w:p w14:paraId="669E690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r>
      <w:tr w:rsidR="00C22FC1" w:rsidRPr="00C22FC1" w14:paraId="08B7964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E0BCAE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503</w:t>
            </w:r>
          </w:p>
        </w:tc>
        <w:tc>
          <w:tcPr>
            <w:tcW w:w="0" w:type="auto"/>
            <w:tcBorders>
              <w:top w:val="nil"/>
              <w:left w:val="nil"/>
              <w:bottom w:val="single" w:sz="4" w:space="0" w:color="auto"/>
              <w:right w:val="single" w:sz="4" w:space="0" w:color="auto"/>
            </w:tcBorders>
            <w:vAlign w:val="bottom"/>
            <w:hideMark/>
          </w:tcPr>
          <w:p w14:paraId="057516C8"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Medidor de nível de som</w:t>
            </w:r>
          </w:p>
        </w:tc>
        <w:tc>
          <w:tcPr>
            <w:tcW w:w="0" w:type="auto"/>
            <w:tcBorders>
              <w:top w:val="nil"/>
              <w:left w:val="nil"/>
              <w:bottom w:val="single" w:sz="4" w:space="0" w:color="auto"/>
              <w:right w:val="single" w:sz="4" w:space="0" w:color="auto"/>
            </w:tcBorders>
            <w:vAlign w:val="center"/>
            <w:hideMark/>
          </w:tcPr>
          <w:p w14:paraId="77F7B5F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625,20</w:t>
            </w:r>
          </w:p>
        </w:tc>
        <w:tc>
          <w:tcPr>
            <w:tcW w:w="0" w:type="auto"/>
            <w:tcBorders>
              <w:top w:val="nil"/>
              <w:left w:val="nil"/>
              <w:bottom w:val="single" w:sz="4" w:space="0" w:color="auto"/>
              <w:right w:val="single" w:sz="4" w:space="0" w:color="auto"/>
            </w:tcBorders>
            <w:vAlign w:val="center"/>
            <w:hideMark/>
          </w:tcPr>
          <w:p w14:paraId="750CD79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205,60</w:t>
            </w:r>
          </w:p>
        </w:tc>
      </w:tr>
      <w:tr w:rsidR="00C22FC1" w:rsidRPr="00C22FC1" w14:paraId="7C0F316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60D9E61"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504</w:t>
            </w:r>
          </w:p>
        </w:tc>
        <w:tc>
          <w:tcPr>
            <w:tcW w:w="0" w:type="auto"/>
            <w:tcBorders>
              <w:top w:val="nil"/>
              <w:left w:val="nil"/>
              <w:bottom w:val="single" w:sz="4" w:space="0" w:color="auto"/>
              <w:right w:val="single" w:sz="4" w:space="0" w:color="auto"/>
            </w:tcBorders>
            <w:vAlign w:val="bottom"/>
            <w:hideMark/>
          </w:tcPr>
          <w:p w14:paraId="5381AEA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Caminhões para carga sólida</w:t>
            </w:r>
          </w:p>
        </w:tc>
        <w:tc>
          <w:tcPr>
            <w:tcW w:w="0" w:type="auto"/>
            <w:tcBorders>
              <w:top w:val="nil"/>
              <w:left w:val="nil"/>
              <w:bottom w:val="single" w:sz="4" w:space="0" w:color="auto"/>
              <w:right w:val="single" w:sz="4" w:space="0" w:color="auto"/>
            </w:tcBorders>
            <w:vAlign w:val="center"/>
            <w:hideMark/>
          </w:tcPr>
          <w:p w14:paraId="3115239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148,00</w:t>
            </w:r>
          </w:p>
        </w:tc>
        <w:tc>
          <w:tcPr>
            <w:tcW w:w="0" w:type="auto"/>
            <w:tcBorders>
              <w:top w:val="nil"/>
              <w:left w:val="nil"/>
              <w:bottom w:val="single" w:sz="4" w:space="0" w:color="auto"/>
              <w:right w:val="single" w:sz="4" w:space="0" w:color="auto"/>
            </w:tcBorders>
            <w:vAlign w:val="center"/>
            <w:hideMark/>
          </w:tcPr>
          <w:p w14:paraId="13032E2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148,00</w:t>
            </w:r>
          </w:p>
        </w:tc>
      </w:tr>
      <w:tr w:rsidR="00C22FC1" w:rsidRPr="00C22FC1" w14:paraId="250D45D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DE78AC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505</w:t>
            </w:r>
          </w:p>
        </w:tc>
        <w:tc>
          <w:tcPr>
            <w:tcW w:w="0" w:type="auto"/>
            <w:tcBorders>
              <w:top w:val="nil"/>
              <w:left w:val="nil"/>
              <w:bottom w:val="single" w:sz="4" w:space="0" w:color="auto"/>
              <w:right w:val="single" w:sz="4" w:space="0" w:color="auto"/>
            </w:tcBorders>
            <w:vAlign w:val="bottom"/>
            <w:hideMark/>
          </w:tcPr>
          <w:p w14:paraId="66C38AB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Instrumentos de medição especiais</w:t>
            </w:r>
          </w:p>
        </w:tc>
        <w:tc>
          <w:tcPr>
            <w:tcW w:w="0" w:type="auto"/>
            <w:tcBorders>
              <w:top w:val="nil"/>
              <w:left w:val="nil"/>
              <w:bottom w:val="single" w:sz="4" w:space="0" w:color="auto"/>
              <w:right w:val="single" w:sz="4" w:space="0" w:color="auto"/>
            </w:tcBorders>
            <w:vAlign w:val="center"/>
            <w:hideMark/>
          </w:tcPr>
          <w:p w14:paraId="76ACB47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c>
          <w:tcPr>
            <w:tcW w:w="0" w:type="auto"/>
            <w:tcBorders>
              <w:top w:val="nil"/>
              <w:left w:val="nil"/>
              <w:bottom w:val="single" w:sz="4" w:space="0" w:color="auto"/>
              <w:right w:val="single" w:sz="4" w:space="0" w:color="auto"/>
            </w:tcBorders>
            <w:vAlign w:val="center"/>
            <w:hideMark/>
          </w:tcPr>
          <w:p w14:paraId="5A9519D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r>
      <w:tr w:rsidR="00C22FC1" w:rsidRPr="00C22FC1" w14:paraId="162321DF"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093C2E4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Seção 2</w:t>
            </w:r>
          </w:p>
          <w:p w14:paraId="64C935D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Outras atividades</w:t>
            </w:r>
          </w:p>
        </w:tc>
      </w:tr>
      <w:tr w:rsidR="00C22FC1" w:rsidRPr="00C22FC1" w14:paraId="4232687F"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5CD7144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Autorização de postos de ensaio e autoverificadores</w:t>
            </w:r>
          </w:p>
        </w:tc>
      </w:tr>
      <w:tr w:rsidR="00C22FC1" w:rsidRPr="00C22FC1" w14:paraId="3F56187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2DFB58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801</w:t>
            </w:r>
          </w:p>
        </w:tc>
        <w:tc>
          <w:tcPr>
            <w:tcW w:w="0" w:type="auto"/>
            <w:tcBorders>
              <w:top w:val="nil"/>
              <w:left w:val="nil"/>
              <w:bottom w:val="single" w:sz="4" w:space="0" w:color="auto"/>
              <w:right w:val="single" w:sz="4" w:space="0" w:color="auto"/>
            </w:tcBorders>
            <w:vAlign w:val="bottom"/>
            <w:hideMark/>
          </w:tcPr>
          <w:p w14:paraId="7B43599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Autorização oficial de postos de ensaios e autoverificadores para instrumentos de medição previsto em Resolução do Conmetro.</w:t>
            </w:r>
          </w:p>
        </w:tc>
        <w:tc>
          <w:tcPr>
            <w:tcW w:w="0" w:type="auto"/>
            <w:tcBorders>
              <w:top w:val="nil"/>
              <w:left w:val="nil"/>
              <w:bottom w:val="single" w:sz="4" w:space="0" w:color="auto"/>
              <w:right w:val="single" w:sz="4" w:space="0" w:color="auto"/>
            </w:tcBorders>
            <w:vAlign w:val="center"/>
            <w:hideMark/>
          </w:tcPr>
          <w:p w14:paraId="61D0475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0E4D1CCA"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r>
      <w:tr w:rsidR="00C22FC1" w:rsidRPr="00C22FC1" w14:paraId="626FA9A6"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64F692E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Observação:</w:t>
            </w:r>
          </w:p>
        </w:tc>
      </w:tr>
      <w:tr w:rsidR="00C22FC1" w:rsidRPr="00C22FC1" w14:paraId="62521A6C"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70CC227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 A apropriação de custo do serviço de autorização é estabelecida por tipo de instrumento de medição.</w:t>
            </w:r>
          </w:p>
        </w:tc>
      </w:tr>
      <w:tr w:rsidR="00C22FC1" w:rsidRPr="00C22FC1" w14:paraId="7B2147FC"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02CC854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 A apropriação de custo do serviço de autorização não contempla os custos dos ensaios dos instrumentos padrão e bancadas de ensaio. Para isso, será computada apropriação adicional.</w:t>
            </w:r>
          </w:p>
        </w:tc>
      </w:tr>
      <w:tr w:rsidR="00C22FC1" w:rsidRPr="00C22FC1" w14:paraId="39862D8D"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46D376E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 A apropriação de custo do serviço de autorização não contempla os custos para a verificação de amostra de lotes de instrumentos já ensaiados. Para isso, deverão ser consultados, nesta tabela, os códigos do serviço por instrumento.</w:t>
            </w:r>
          </w:p>
        </w:tc>
      </w:tr>
      <w:tr w:rsidR="00C22FC1" w:rsidRPr="00C22FC1" w14:paraId="4DBA614E"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6B8E50B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Autorização suplementar ou modificação no posto de ensaio ou no autoverificador</w:t>
            </w:r>
          </w:p>
        </w:tc>
      </w:tr>
      <w:tr w:rsidR="00C22FC1" w:rsidRPr="00C22FC1" w14:paraId="24C3C68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233C06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806</w:t>
            </w:r>
          </w:p>
        </w:tc>
        <w:tc>
          <w:tcPr>
            <w:tcW w:w="0" w:type="auto"/>
            <w:tcBorders>
              <w:top w:val="nil"/>
              <w:left w:val="nil"/>
              <w:bottom w:val="single" w:sz="4" w:space="0" w:color="auto"/>
              <w:right w:val="single" w:sz="4" w:space="0" w:color="auto"/>
            </w:tcBorders>
            <w:vAlign w:val="bottom"/>
            <w:hideMark/>
          </w:tcPr>
          <w:p w14:paraId="166A26A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para modificação de escopo ou alteração da capacidade produtiva</w:t>
            </w:r>
          </w:p>
        </w:tc>
        <w:tc>
          <w:tcPr>
            <w:tcW w:w="0" w:type="auto"/>
            <w:tcBorders>
              <w:top w:val="nil"/>
              <w:left w:val="nil"/>
              <w:bottom w:val="single" w:sz="4" w:space="0" w:color="auto"/>
              <w:right w:val="single" w:sz="4" w:space="0" w:color="auto"/>
            </w:tcBorders>
            <w:vAlign w:val="center"/>
            <w:hideMark/>
          </w:tcPr>
          <w:p w14:paraId="0159EE0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720E2C3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1.830,00</w:t>
            </w:r>
          </w:p>
        </w:tc>
      </w:tr>
      <w:tr w:rsidR="00C22FC1" w:rsidRPr="00C22FC1" w14:paraId="7C0A5812"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05A3E81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Observação:</w:t>
            </w:r>
          </w:p>
        </w:tc>
      </w:tr>
      <w:tr w:rsidR="00C22FC1" w:rsidRPr="00C22FC1" w14:paraId="702FB17F"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33E1957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 Os custos dos ensaios dos instrumentos padrão e bancadas de ensaio para a modificação/alteração não estão contidos no valor. Para isso, será computado valor adicional por apropriação de custos.</w:t>
            </w:r>
          </w:p>
        </w:tc>
      </w:tr>
      <w:tr w:rsidR="00C22FC1" w:rsidRPr="00C22FC1" w14:paraId="0F3171C5"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70B948F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 Os custos para a verificação de amostra de lotes de instrumentos já ensaiados não estão incluídos nos valores. Para isso, deverão ser consultados, nesta tabela, os códigos do serviço por instrumento.</w:t>
            </w:r>
          </w:p>
        </w:tc>
      </w:tr>
      <w:tr w:rsidR="00C22FC1" w:rsidRPr="00C22FC1" w14:paraId="7B8CE07E"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76E6490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Supervisão de postos de ensaio oficialmente autorizados e de autoverificadores</w:t>
            </w:r>
          </w:p>
        </w:tc>
      </w:tr>
      <w:tr w:rsidR="00C22FC1" w:rsidRPr="00C22FC1" w14:paraId="54BBD470"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68D364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811</w:t>
            </w:r>
          </w:p>
        </w:tc>
        <w:tc>
          <w:tcPr>
            <w:tcW w:w="0" w:type="auto"/>
            <w:tcBorders>
              <w:top w:val="nil"/>
              <w:left w:val="nil"/>
              <w:bottom w:val="single" w:sz="4" w:space="0" w:color="auto"/>
              <w:right w:val="single" w:sz="4" w:space="0" w:color="auto"/>
            </w:tcBorders>
            <w:hideMark/>
          </w:tcPr>
          <w:p w14:paraId="526879B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1.500 instrumentos de medição</w:t>
            </w:r>
          </w:p>
        </w:tc>
        <w:tc>
          <w:tcPr>
            <w:tcW w:w="0" w:type="auto"/>
            <w:tcBorders>
              <w:top w:val="nil"/>
              <w:left w:val="nil"/>
              <w:bottom w:val="single" w:sz="4" w:space="0" w:color="auto"/>
              <w:right w:val="single" w:sz="4" w:space="0" w:color="auto"/>
            </w:tcBorders>
            <w:vAlign w:val="center"/>
            <w:hideMark/>
          </w:tcPr>
          <w:p w14:paraId="0D13451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374E5FB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2.350,00</w:t>
            </w:r>
          </w:p>
        </w:tc>
      </w:tr>
      <w:tr w:rsidR="00C22FC1" w:rsidRPr="00C22FC1" w14:paraId="59EE476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4D1B36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812</w:t>
            </w:r>
          </w:p>
        </w:tc>
        <w:tc>
          <w:tcPr>
            <w:tcW w:w="0" w:type="auto"/>
            <w:tcBorders>
              <w:top w:val="nil"/>
              <w:left w:val="nil"/>
              <w:bottom w:val="single" w:sz="4" w:space="0" w:color="auto"/>
              <w:right w:val="single" w:sz="4" w:space="0" w:color="auto"/>
            </w:tcBorders>
            <w:hideMark/>
          </w:tcPr>
          <w:p w14:paraId="3BDCC47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1.500 até 4.000 instrumentos de medição</w:t>
            </w:r>
          </w:p>
        </w:tc>
        <w:tc>
          <w:tcPr>
            <w:tcW w:w="0" w:type="auto"/>
            <w:tcBorders>
              <w:top w:val="nil"/>
              <w:left w:val="nil"/>
              <w:bottom w:val="single" w:sz="4" w:space="0" w:color="auto"/>
              <w:right w:val="single" w:sz="4" w:space="0" w:color="auto"/>
            </w:tcBorders>
            <w:vAlign w:val="center"/>
            <w:hideMark/>
          </w:tcPr>
          <w:p w14:paraId="1F6A1D1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44E9D71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3.590,00</w:t>
            </w:r>
          </w:p>
        </w:tc>
      </w:tr>
      <w:tr w:rsidR="00C22FC1" w:rsidRPr="00C22FC1" w14:paraId="77172E5D"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53537E5"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813</w:t>
            </w:r>
          </w:p>
        </w:tc>
        <w:tc>
          <w:tcPr>
            <w:tcW w:w="0" w:type="auto"/>
            <w:tcBorders>
              <w:top w:val="nil"/>
              <w:left w:val="nil"/>
              <w:bottom w:val="single" w:sz="4" w:space="0" w:color="auto"/>
              <w:right w:val="single" w:sz="4" w:space="0" w:color="auto"/>
            </w:tcBorders>
            <w:hideMark/>
          </w:tcPr>
          <w:p w14:paraId="05AE1600"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4.000 até 10.000 instrumentos de medição</w:t>
            </w:r>
          </w:p>
        </w:tc>
        <w:tc>
          <w:tcPr>
            <w:tcW w:w="0" w:type="auto"/>
            <w:tcBorders>
              <w:top w:val="nil"/>
              <w:left w:val="nil"/>
              <w:bottom w:val="single" w:sz="4" w:space="0" w:color="auto"/>
              <w:right w:val="single" w:sz="4" w:space="0" w:color="auto"/>
            </w:tcBorders>
            <w:vAlign w:val="center"/>
            <w:hideMark/>
          </w:tcPr>
          <w:p w14:paraId="028EAE42"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36BFCC8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4.570,00</w:t>
            </w:r>
          </w:p>
        </w:tc>
      </w:tr>
      <w:tr w:rsidR="00C22FC1" w:rsidRPr="00C22FC1" w14:paraId="36A99D0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F5AA144"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814</w:t>
            </w:r>
          </w:p>
        </w:tc>
        <w:tc>
          <w:tcPr>
            <w:tcW w:w="0" w:type="auto"/>
            <w:tcBorders>
              <w:top w:val="nil"/>
              <w:left w:val="nil"/>
              <w:bottom w:val="single" w:sz="4" w:space="0" w:color="auto"/>
              <w:right w:val="single" w:sz="4" w:space="0" w:color="auto"/>
            </w:tcBorders>
            <w:hideMark/>
          </w:tcPr>
          <w:p w14:paraId="62E994B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10.000 até 50.000 instrumentos de medição</w:t>
            </w:r>
          </w:p>
        </w:tc>
        <w:tc>
          <w:tcPr>
            <w:tcW w:w="0" w:type="auto"/>
            <w:tcBorders>
              <w:top w:val="nil"/>
              <w:left w:val="nil"/>
              <w:bottom w:val="single" w:sz="4" w:space="0" w:color="auto"/>
              <w:right w:val="single" w:sz="4" w:space="0" w:color="auto"/>
            </w:tcBorders>
            <w:vAlign w:val="center"/>
            <w:hideMark/>
          </w:tcPr>
          <w:p w14:paraId="35FB9A68"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105F64C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5.880,00</w:t>
            </w:r>
          </w:p>
        </w:tc>
      </w:tr>
      <w:tr w:rsidR="00C22FC1" w:rsidRPr="00C22FC1" w14:paraId="61774742"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3F8F520"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815</w:t>
            </w:r>
          </w:p>
        </w:tc>
        <w:tc>
          <w:tcPr>
            <w:tcW w:w="0" w:type="auto"/>
            <w:tcBorders>
              <w:top w:val="nil"/>
              <w:left w:val="nil"/>
              <w:bottom w:val="single" w:sz="4" w:space="0" w:color="auto"/>
              <w:right w:val="single" w:sz="4" w:space="0" w:color="auto"/>
            </w:tcBorders>
            <w:hideMark/>
          </w:tcPr>
          <w:p w14:paraId="20E0843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50.000 até 150.000 instrumentos de medição</w:t>
            </w:r>
          </w:p>
        </w:tc>
        <w:tc>
          <w:tcPr>
            <w:tcW w:w="0" w:type="auto"/>
            <w:tcBorders>
              <w:top w:val="nil"/>
              <w:left w:val="nil"/>
              <w:bottom w:val="single" w:sz="4" w:space="0" w:color="auto"/>
              <w:right w:val="single" w:sz="4" w:space="0" w:color="auto"/>
            </w:tcBorders>
            <w:vAlign w:val="center"/>
            <w:hideMark/>
          </w:tcPr>
          <w:p w14:paraId="603D500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2B33134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7.840,00</w:t>
            </w:r>
          </w:p>
        </w:tc>
      </w:tr>
      <w:tr w:rsidR="00C22FC1" w:rsidRPr="00C22FC1" w14:paraId="7250A3A8"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7F59F3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816</w:t>
            </w:r>
          </w:p>
        </w:tc>
        <w:tc>
          <w:tcPr>
            <w:tcW w:w="0" w:type="auto"/>
            <w:tcBorders>
              <w:top w:val="nil"/>
              <w:left w:val="nil"/>
              <w:bottom w:val="single" w:sz="4" w:space="0" w:color="auto"/>
              <w:right w:val="single" w:sz="4" w:space="0" w:color="auto"/>
            </w:tcBorders>
            <w:hideMark/>
          </w:tcPr>
          <w:p w14:paraId="64EA04ED"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150.000 instrumentos de medição</w:t>
            </w:r>
          </w:p>
        </w:tc>
        <w:tc>
          <w:tcPr>
            <w:tcW w:w="0" w:type="auto"/>
            <w:tcBorders>
              <w:top w:val="nil"/>
              <w:left w:val="nil"/>
              <w:bottom w:val="single" w:sz="4" w:space="0" w:color="auto"/>
              <w:right w:val="single" w:sz="4" w:space="0" w:color="auto"/>
            </w:tcBorders>
            <w:vAlign w:val="center"/>
            <w:hideMark/>
          </w:tcPr>
          <w:p w14:paraId="00CBF349"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2B40DC5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9.800,00</w:t>
            </w:r>
          </w:p>
        </w:tc>
      </w:tr>
      <w:tr w:rsidR="00C22FC1" w:rsidRPr="00C22FC1" w14:paraId="0581DF1A" w14:textId="77777777" w:rsidTr="00C22FC1">
        <w:trPr>
          <w:jc w:val="center"/>
        </w:trPr>
        <w:tc>
          <w:tcPr>
            <w:tcW w:w="0" w:type="auto"/>
            <w:gridSpan w:val="4"/>
            <w:tcBorders>
              <w:top w:val="nil"/>
              <w:left w:val="single" w:sz="4" w:space="0" w:color="auto"/>
              <w:bottom w:val="single" w:sz="4" w:space="0" w:color="auto"/>
              <w:right w:val="single" w:sz="4" w:space="0" w:color="auto"/>
            </w:tcBorders>
            <w:hideMark/>
          </w:tcPr>
          <w:p w14:paraId="1AA34B0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Observação:</w:t>
            </w:r>
          </w:p>
        </w:tc>
      </w:tr>
      <w:tr w:rsidR="00C22FC1" w:rsidRPr="00C22FC1" w14:paraId="7EBB4360" w14:textId="77777777" w:rsidTr="00C22FC1">
        <w:trPr>
          <w:jc w:val="center"/>
        </w:trPr>
        <w:tc>
          <w:tcPr>
            <w:tcW w:w="0" w:type="auto"/>
            <w:gridSpan w:val="4"/>
            <w:tcBorders>
              <w:top w:val="nil"/>
              <w:left w:val="single" w:sz="4" w:space="0" w:color="auto"/>
              <w:bottom w:val="single" w:sz="4" w:space="0" w:color="auto"/>
              <w:right w:val="single" w:sz="4" w:space="0" w:color="auto"/>
            </w:tcBorders>
            <w:hideMark/>
          </w:tcPr>
          <w:p w14:paraId="6258AB9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 Os valores serão computados a cada serviço prestado, conforme periodicidade determinada no Regulamento Técnico Metrológico-RTM específico.</w:t>
            </w:r>
          </w:p>
        </w:tc>
      </w:tr>
      <w:tr w:rsidR="00C22FC1" w:rsidRPr="00C22FC1" w14:paraId="408A21BD" w14:textId="77777777" w:rsidTr="00C22FC1">
        <w:trPr>
          <w:jc w:val="center"/>
        </w:trPr>
        <w:tc>
          <w:tcPr>
            <w:tcW w:w="0" w:type="auto"/>
            <w:gridSpan w:val="4"/>
            <w:tcBorders>
              <w:top w:val="nil"/>
              <w:left w:val="single" w:sz="4" w:space="0" w:color="auto"/>
              <w:bottom w:val="single" w:sz="4" w:space="0" w:color="auto"/>
              <w:right w:val="single" w:sz="4" w:space="0" w:color="auto"/>
            </w:tcBorders>
            <w:hideMark/>
          </w:tcPr>
          <w:p w14:paraId="7114A85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 Os valores dos serviços não contemplam os custos dos ensaios dos instrumentos padrão e bancadas de ensaio. Para isso, será computada apropriação referente ao serviço solicitado.</w:t>
            </w:r>
          </w:p>
        </w:tc>
      </w:tr>
      <w:tr w:rsidR="00C22FC1" w:rsidRPr="00C22FC1" w14:paraId="5A59F196"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0E3D224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 Os custos para a verificação de amostra de lotes de instrumentos já ensaiados não estão incluídos nos valores. Para isso, deverão ser consultados, nesta tabela, os códigos do serviço por instrumento.</w:t>
            </w:r>
          </w:p>
        </w:tc>
      </w:tr>
      <w:tr w:rsidR="00C22FC1" w:rsidRPr="00C22FC1" w14:paraId="5DACF7A2" w14:textId="77777777" w:rsidTr="00C22FC1">
        <w:trPr>
          <w:jc w:val="center"/>
        </w:trPr>
        <w:tc>
          <w:tcPr>
            <w:tcW w:w="0" w:type="auto"/>
            <w:gridSpan w:val="4"/>
            <w:tcBorders>
              <w:top w:val="nil"/>
              <w:left w:val="single" w:sz="4" w:space="0" w:color="auto"/>
              <w:bottom w:val="single" w:sz="4" w:space="0" w:color="auto"/>
              <w:right w:val="single" w:sz="4" w:space="0" w:color="auto"/>
            </w:tcBorders>
            <w:hideMark/>
          </w:tcPr>
          <w:p w14:paraId="4795ECD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 A quantidade de instrumentos indicada se refere à produção anual autorizada.</w:t>
            </w:r>
          </w:p>
        </w:tc>
      </w:tr>
      <w:tr w:rsidR="00C22FC1" w:rsidRPr="00C22FC1" w14:paraId="051C497E" w14:textId="77777777" w:rsidTr="00C22FC1">
        <w:trPr>
          <w:jc w:val="center"/>
        </w:trPr>
        <w:tc>
          <w:tcPr>
            <w:tcW w:w="0" w:type="auto"/>
            <w:gridSpan w:val="4"/>
            <w:tcBorders>
              <w:top w:val="nil"/>
              <w:left w:val="single" w:sz="4" w:space="0" w:color="auto"/>
              <w:bottom w:val="single" w:sz="4" w:space="0" w:color="auto"/>
              <w:right w:val="single" w:sz="4" w:space="0" w:color="auto"/>
            </w:tcBorders>
            <w:hideMark/>
          </w:tcPr>
          <w:p w14:paraId="4FA4ECC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Outros procedimentos de autorização e supervisão</w:t>
            </w:r>
          </w:p>
        </w:tc>
      </w:tr>
      <w:tr w:rsidR="00C22FC1" w:rsidRPr="00C22FC1" w14:paraId="32DF4F9E"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93C06E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884</w:t>
            </w:r>
          </w:p>
        </w:tc>
        <w:tc>
          <w:tcPr>
            <w:tcW w:w="0" w:type="auto"/>
            <w:tcBorders>
              <w:top w:val="nil"/>
              <w:left w:val="nil"/>
              <w:bottom w:val="single" w:sz="4" w:space="0" w:color="auto"/>
              <w:right w:val="single" w:sz="4" w:space="0" w:color="auto"/>
            </w:tcBorders>
            <w:vAlign w:val="bottom"/>
            <w:hideMark/>
          </w:tcPr>
          <w:p w14:paraId="7EE23C49"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Supervisão de dispositivos adicionais e auxiliares</w:t>
            </w:r>
          </w:p>
        </w:tc>
        <w:tc>
          <w:tcPr>
            <w:tcW w:w="0" w:type="auto"/>
            <w:tcBorders>
              <w:top w:val="nil"/>
              <w:left w:val="nil"/>
              <w:bottom w:val="single" w:sz="4" w:space="0" w:color="auto"/>
              <w:right w:val="single" w:sz="4" w:space="0" w:color="auto"/>
            </w:tcBorders>
            <w:vAlign w:val="center"/>
            <w:hideMark/>
          </w:tcPr>
          <w:p w14:paraId="482FB15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68B2EA9C"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205,00</w:t>
            </w:r>
          </w:p>
        </w:tc>
      </w:tr>
      <w:tr w:rsidR="00C22FC1" w:rsidRPr="00C22FC1" w14:paraId="685DD36C"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BFE3E4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885</w:t>
            </w:r>
          </w:p>
        </w:tc>
        <w:tc>
          <w:tcPr>
            <w:tcW w:w="0" w:type="auto"/>
            <w:tcBorders>
              <w:top w:val="nil"/>
              <w:left w:val="nil"/>
              <w:bottom w:val="single" w:sz="4" w:space="0" w:color="auto"/>
              <w:right w:val="single" w:sz="4" w:space="0" w:color="auto"/>
            </w:tcBorders>
            <w:vAlign w:val="bottom"/>
            <w:hideMark/>
          </w:tcPr>
          <w:p w14:paraId="23A840D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Supervisão do volume de enchimento de recipientes para consumo imediato de bebidas, por lote.</w:t>
            </w:r>
          </w:p>
        </w:tc>
        <w:tc>
          <w:tcPr>
            <w:tcW w:w="0" w:type="auto"/>
            <w:tcBorders>
              <w:top w:val="nil"/>
              <w:left w:val="nil"/>
              <w:bottom w:val="single" w:sz="4" w:space="0" w:color="auto"/>
              <w:right w:val="single" w:sz="4" w:space="0" w:color="auto"/>
            </w:tcBorders>
            <w:vAlign w:val="center"/>
            <w:hideMark/>
          </w:tcPr>
          <w:p w14:paraId="08CCA5D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2E03F1B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r>
      <w:tr w:rsidR="00C22FC1" w:rsidRPr="00C22FC1" w14:paraId="2DDA67F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284C86C"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887</w:t>
            </w:r>
          </w:p>
        </w:tc>
        <w:tc>
          <w:tcPr>
            <w:tcW w:w="0" w:type="auto"/>
            <w:tcBorders>
              <w:top w:val="nil"/>
              <w:left w:val="nil"/>
              <w:bottom w:val="single" w:sz="4" w:space="0" w:color="auto"/>
              <w:right w:val="single" w:sz="4" w:space="0" w:color="auto"/>
            </w:tcBorders>
            <w:vAlign w:val="bottom"/>
            <w:hideMark/>
          </w:tcPr>
          <w:p w14:paraId="6B09D08A"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Fornecimento de certificados e tabelas</w:t>
            </w:r>
          </w:p>
        </w:tc>
        <w:tc>
          <w:tcPr>
            <w:tcW w:w="0" w:type="auto"/>
            <w:tcBorders>
              <w:top w:val="nil"/>
              <w:left w:val="nil"/>
              <w:bottom w:val="single" w:sz="4" w:space="0" w:color="auto"/>
              <w:right w:val="single" w:sz="4" w:space="0" w:color="auto"/>
            </w:tcBorders>
            <w:vAlign w:val="center"/>
            <w:hideMark/>
          </w:tcPr>
          <w:p w14:paraId="7292415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6FE135D0"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r>
      <w:tr w:rsidR="00C22FC1" w:rsidRPr="00C22FC1" w14:paraId="56BABF4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2ED3753A"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888</w:t>
            </w:r>
          </w:p>
        </w:tc>
        <w:tc>
          <w:tcPr>
            <w:tcW w:w="0" w:type="auto"/>
            <w:tcBorders>
              <w:top w:val="nil"/>
              <w:left w:val="nil"/>
              <w:bottom w:val="single" w:sz="4" w:space="0" w:color="auto"/>
              <w:right w:val="single" w:sz="4" w:space="0" w:color="auto"/>
            </w:tcBorders>
            <w:vAlign w:val="bottom"/>
            <w:hideMark/>
          </w:tcPr>
          <w:p w14:paraId="01450DA3"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Utilização de marca de autoverificação para cada 100 unidades.</w:t>
            </w:r>
          </w:p>
        </w:tc>
        <w:tc>
          <w:tcPr>
            <w:tcW w:w="0" w:type="auto"/>
            <w:tcBorders>
              <w:top w:val="nil"/>
              <w:left w:val="nil"/>
              <w:bottom w:val="single" w:sz="4" w:space="0" w:color="auto"/>
              <w:right w:val="single" w:sz="4" w:space="0" w:color="auto"/>
            </w:tcBorders>
            <w:vAlign w:val="center"/>
            <w:hideMark/>
          </w:tcPr>
          <w:p w14:paraId="5128D85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27006F4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100,00</w:t>
            </w:r>
          </w:p>
        </w:tc>
      </w:tr>
      <w:tr w:rsidR="00C22FC1" w:rsidRPr="00C22FC1" w14:paraId="4CFB7BFF"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5548EC9F"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889</w:t>
            </w:r>
          </w:p>
        </w:tc>
        <w:tc>
          <w:tcPr>
            <w:tcW w:w="0" w:type="auto"/>
            <w:tcBorders>
              <w:top w:val="nil"/>
              <w:left w:val="nil"/>
              <w:bottom w:val="single" w:sz="4" w:space="0" w:color="auto"/>
              <w:right w:val="single" w:sz="4" w:space="0" w:color="auto"/>
            </w:tcBorders>
            <w:vAlign w:val="bottom"/>
            <w:hideMark/>
          </w:tcPr>
          <w:p w14:paraId="69AA63D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Fornecimento de marca de reparo, cada unidade.</w:t>
            </w:r>
          </w:p>
        </w:tc>
        <w:tc>
          <w:tcPr>
            <w:tcW w:w="0" w:type="auto"/>
            <w:tcBorders>
              <w:top w:val="nil"/>
              <w:left w:val="nil"/>
              <w:bottom w:val="single" w:sz="4" w:space="0" w:color="auto"/>
              <w:right w:val="single" w:sz="4" w:space="0" w:color="auto"/>
            </w:tcBorders>
            <w:vAlign w:val="center"/>
            <w:hideMark/>
          </w:tcPr>
          <w:p w14:paraId="48C4B493"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3D504F3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1,50</w:t>
            </w:r>
          </w:p>
        </w:tc>
      </w:tr>
      <w:tr w:rsidR="00C22FC1" w:rsidRPr="00C22FC1" w14:paraId="33E9FFD9"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6D0B402"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891</w:t>
            </w:r>
          </w:p>
        </w:tc>
        <w:tc>
          <w:tcPr>
            <w:tcW w:w="0" w:type="auto"/>
            <w:tcBorders>
              <w:top w:val="nil"/>
              <w:left w:val="nil"/>
              <w:bottom w:val="single" w:sz="4" w:space="0" w:color="auto"/>
              <w:right w:val="single" w:sz="4" w:space="0" w:color="auto"/>
            </w:tcBorders>
            <w:vAlign w:val="bottom"/>
            <w:hideMark/>
          </w:tcPr>
          <w:p w14:paraId="6F96B0C7"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Utilização de marca de ensaio para posto de ensaio, cada 100 unidades.</w:t>
            </w:r>
          </w:p>
        </w:tc>
        <w:tc>
          <w:tcPr>
            <w:tcW w:w="0" w:type="auto"/>
            <w:tcBorders>
              <w:top w:val="nil"/>
              <w:left w:val="nil"/>
              <w:bottom w:val="single" w:sz="4" w:space="0" w:color="auto"/>
              <w:right w:val="single" w:sz="4" w:space="0" w:color="auto"/>
            </w:tcBorders>
            <w:vAlign w:val="center"/>
            <w:hideMark/>
          </w:tcPr>
          <w:p w14:paraId="0308AC6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7ECA59F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100,00</w:t>
            </w:r>
          </w:p>
        </w:tc>
      </w:tr>
      <w:tr w:rsidR="00C22FC1" w:rsidRPr="00C22FC1" w14:paraId="5EA30C07"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308EB58"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lastRenderedPageBreak/>
              <w:t>892</w:t>
            </w:r>
          </w:p>
        </w:tc>
        <w:tc>
          <w:tcPr>
            <w:tcW w:w="0" w:type="auto"/>
            <w:tcBorders>
              <w:top w:val="nil"/>
              <w:left w:val="nil"/>
              <w:bottom w:val="single" w:sz="4" w:space="0" w:color="auto"/>
              <w:right w:val="single" w:sz="4" w:space="0" w:color="auto"/>
            </w:tcBorders>
            <w:vAlign w:val="bottom"/>
            <w:hideMark/>
          </w:tcPr>
          <w:p w14:paraId="78395BB1"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Utilização de carga numérica fornecida para numeração identificadora de postos de ensaio, cada 100 unidades</w:t>
            </w:r>
          </w:p>
        </w:tc>
        <w:tc>
          <w:tcPr>
            <w:tcW w:w="0" w:type="auto"/>
            <w:tcBorders>
              <w:top w:val="nil"/>
              <w:left w:val="nil"/>
              <w:bottom w:val="single" w:sz="4" w:space="0" w:color="auto"/>
              <w:right w:val="single" w:sz="4" w:space="0" w:color="auto"/>
            </w:tcBorders>
            <w:vAlign w:val="center"/>
            <w:hideMark/>
          </w:tcPr>
          <w:p w14:paraId="4B7F9581"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7897479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100,00</w:t>
            </w:r>
          </w:p>
        </w:tc>
      </w:tr>
      <w:tr w:rsidR="00C22FC1" w:rsidRPr="00C22FC1" w14:paraId="5C60AEE1"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3011592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893</w:t>
            </w:r>
          </w:p>
        </w:tc>
        <w:tc>
          <w:tcPr>
            <w:tcW w:w="0" w:type="auto"/>
            <w:tcBorders>
              <w:top w:val="nil"/>
              <w:left w:val="nil"/>
              <w:bottom w:val="single" w:sz="4" w:space="0" w:color="auto"/>
              <w:right w:val="single" w:sz="4" w:space="0" w:color="auto"/>
            </w:tcBorders>
            <w:vAlign w:val="bottom"/>
            <w:hideMark/>
          </w:tcPr>
          <w:p w14:paraId="249653F6"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Utilização de carga numérica fornecida para numeração identificadora de autoverificadores, cada 100 unidades</w:t>
            </w:r>
          </w:p>
        </w:tc>
        <w:tc>
          <w:tcPr>
            <w:tcW w:w="0" w:type="auto"/>
            <w:tcBorders>
              <w:top w:val="nil"/>
              <w:left w:val="nil"/>
              <w:bottom w:val="single" w:sz="4" w:space="0" w:color="auto"/>
              <w:right w:val="single" w:sz="4" w:space="0" w:color="auto"/>
            </w:tcBorders>
            <w:vAlign w:val="center"/>
            <w:hideMark/>
          </w:tcPr>
          <w:p w14:paraId="361FC495"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7BC55527"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100,00</w:t>
            </w:r>
          </w:p>
        </w:tc>
      </w:tr>
      <w:tr w:rsidR="00C22FC1" w:rsidRPr="00C22FC1" w14:paraId="774F966B"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0421D55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894</w:t>
            </w:r>
          </w:p>
        </w:tc>
        <w:tc>
          <w:tcPr>
            <w:tcW w:w="0" w:type="auto"/>
            <w:tcBorders>
              <w:top w:val="nil"/>
              <w:left w:val="nil"/>
              <w:bottom w:val="single" w:sz="4" w:space="0" w:color="auto"/>
              <w:right w:val="single" w:sz="4" w:space="0" w:color="auto"/>
            </w:tcBorders>
            <w:vAlign w:val="bottom"/>
            <w:hideMark/>
          </w:tcPr>
          <w:p w14:paraId="210332A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Autorização e supervisão de serviços de reparo e manutenção de oficinas de esfigmomanômetros e de taximetros.</w:t>
            </w:r>
          </w:p>
        </w:tc>
        <w:tc>
          <w:tcPr>
            <w:tcW w:w="0" w:type="auto"/>
            <w:tcBorders>
              <w:top w:val="nil"/>
              <w:left w:val="nil"/>
              <w:bottom w:val="single" w:sz="4" w:space="0" w:color="auto"/>
              <w:right w:val="single" w:sz="4" w:space="0" w:color="auto"/>
            </w:tcBorders>
            <w:vAlign w:val="center"/>
            <w:hideMark/>
          </w:tcPr>
          <w:p w14:paraId="12BA9FF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1C9766CD"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350,00</w:t>
            </w:r>
          </w:p>
        </w:tc>
      </w:tr>
      <w:tr w:rsidR="00C22FC1" w:rsidRPr="00C22FC1" w14:paraId="440C3FD3"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434A7FCE"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895</w:t>
            </w:r>
          </w:p>
        </w:tc>
        <w:tc>
          <w:tcPr>
            <w:tcW w:w="0" w:type="auto"/>
            <w:tcBorders>
              <w:top w:val="nil"/>
              <w:left w:val="nil"/>
              <w:bottom w:val="single" w:sz="4" w:space="0" w:color="auto"/>
              <w:right w:val="single" w:sz="4" w:space="0" w:color="auto"/>
            </w:tcBorders>
            <w:vAlign w:val="bottom"/>
            <w:hideMark/>
          </w:tcPr>
          <w:p w14:paraId="1C15E24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Autorização e supervisão de serviços de reparo e manutenção de oficinas para os demais instrumentos</w:t>
            </w:r>
          </w:p>
        </w:tc>
        <w:tc>
          <w:tcPr>
            <w:tcW w:w="0" w:type="auto"/>
            <w:tcBorders>
              <w:top w:val="nil"/>
              <w:left w:val="nil"/>
              <w:bottom w:val="single" w:sz="4" w:space="0" w:color="auto"/>
              <w:right w:val="single" w:sz="4" w:space="0" w:color="auto"/>
            </w:tcBorders>
            <w:vAlign w:val="center"/>
            <w:hideMark/>
          </w:tcPr>
          <w:p w14:paraId="0E96422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35742716"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550,00</w:t>
            </w:r>
          </w:p>
        </w:tc>
      </w:tr>
      <w:tr w:rsidR="00C22FC1" w:rsidRPr="00C22FC1" w14:paraId="0AA85FEF"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24F94A69"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Apreciação Técnica de Modelo</w:t>
            </w:r>
          </w:p>
        </w:tc>
      </w:tr>
      <w:tr w:rsidR="00C22FC1" w:rsidRPr="00C22FC1" w14:paraId="347E3456"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787519BB"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896</w:t>
            </w:r>
          </w:p>
        </w:tc>
        <w:tc>
          <w:tcPr>
            <w:tcW w:w="0" w:type="auto"/>
            <w:tcBorders>
              <w:top w:val="nil"/>
              <w:left w:val="nil"/>
              <w:bottom w:val="single" w:sz="4" w:space="0" w:color="auto"/>
              <w:right w:val="single" w:sz="4" w:space="0" w:color="auto"/>
            </w:tcBorders>
            <w:vAlign w:val="bottom"/>
            <w:hideMark/>
          </w:tcPr>
          <w:p w14:paraId="3F6906D5"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Apreciação técnica de modelo de instrumentos ou sistemas de medição e medidas materializadas</w:t>
            </w:r>
          </w:p>
        </w:tc>
        <w:tc>
          <w:tcPr>
            <w:tcW w:w="0" w:type="auto"/>
            <w:tcBorders>
              <w:top w:val="nil"/>
              <w:left w:val="nil"/>
              <w:bottom w:val="single" w:sz="4" w:space="0" w:color="auto"/>
              <w:right w:val="single" w:sz="4" w:space="0" w:color="auto"/>
            </w:tcBorders>
            <w:vAlign w:val="center"/>
            <w:hideMark/>
          </w:tcPr>
          <w:p w14:paraId="3B37E26F"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69F699FB"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w:t>
            </w:r>
          </w:p>
        </w:tc>
      </w:tr>
      <w:tr w:rsidR="00C22FC1" w:rsidRPr="00C22FC1" w14:paraId="5FE3DA0A" w14:textId="77777777" w:rsidTr="00C22FC1">
        <w:trPr>
          <w:jc w:val="center"/>
        </w:trPr>
        <w:tc>
          <w:tcPr>
            <w:tcW w:w="0" w:type="auto"/>
            <w:tcBorders>
              <w:top w:val="nil"/>
              <w:left w:val="single" w:sz="4" w:space="0" w:color="auto"/>
              <w:bottom w:val="single" w:sz="4" w:space="0" w:color="auto"/>
              <w:right w:val="single" w:sz="4" w:space="0" w:color="auto"/>
            </w:tcBorders>
            <w:vAlign w:val="center"/>
            <w:hideMark/>
          </w:tcPr>
          <w:p w14:paraId="68AA8E46" w14:textId="77777777" w:rsidR="00C22FC1" w:rsidRPr="00C22FC1" w:rsidRDefault="00C22FC1" w:rsidP="00C22FC1">
            <w:pPr>
              <w:spacing w:before="100" w:beforeAutospacing="1" w:after="100" w:afterAutospacing="1" w:line="260" w:lineRule="atLeast"/>
              <w:ind w:left="57"/>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897</w:t>
            </w:r>
          </w:p>
        </w:tc>
        <w:tc>
          <w:tcPr>
            <w:tcW w:w="0" w:type="auto"/>
            <w:tcBorders>
              <w:top w:val="nil"/>
              <w:left w:val="nil"/>
              <w:bottom w:val="single" w:sz="4" w:space="0" w:color="auto"/>
              <w:right w:val="single" w:sz="4" w:space="0" w:color="auto"/>
            </w:tcBorders>
            <w:vAlign w:val="bottom"/>
            <w:hideMark/>
          </w:tcPr>
          <w:p w14:paraId="7220F4C2"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Fornecimento de relatório de exame preliminar de dispositivo indicador R$85,00</w:t>
            </w:r>
          </w:p>
        </w:tc>
        <w:tc>
          <w:tcPr>
            <w:tcW w:w="0" w:type="auto"/>
            <w:tcBorders>
              <w:top w:val="nil"/>
              <w:left w:val="nil"/>
              <w:bottom w:val="single" w:sz="4" w:space="0" w:color="auto"/>
              <w:right w:val="single" w:sz="4" w:space="0" w:color="auto"/>
            </w:tcBorders>
            <w:vAlign w:val="center"/>
            <w:hideMark/>
          </w:tcPr>
          <w:p w14:paraId="755AB4CE"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c>
          <w:tcPr>
            <w:tcW w:w="0" w:type="auto"/>
            <w:tcBorders>
              <w:top w:val="nil"/>
              <w:left w:val="nil"/>
              <w:bottom w:val="single" w:sz="4" w:space="0" w:color="auto"/>
              <w:right w:val="single" w:sz="4" w:space="0" w:color="auto"/>
            </w:tcBorders>
            <w:vAlign w:val="center"/>
            <w:hideMark/>
          </w:tcPr>
          <w:p w14:paraId="33D72644" w14:textId="77777777" w:rsidR="00C22FC1" w:rsidRPr="00C22FC1" w:rsidRDefault="00C22FC1" w:rsidP="00C22FC1">
            <w:pPr>
              <w:spacing w:before="100" w:beforeAutospacing="1" w:after="100" w:afterAutospacing="1"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r>
      <w:tr w:rsidR="00C22FC1" w:rsidRPr="00C22FC1" w14:paraId="7754525E"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43309B95"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                                                                         Seção 3</w:t>
            </w:r>
          </w:p>
          <w:p w14:paraId="3ACD76D3" w14:textId="77777777" w:rsidR="00C22FC1" w:rsidRPr="00C22FC1" w:rsidRDefault="00C22FC1" w:rsidP="00C22FC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                                                                            Disposições Gerais</w:t>
            </w:r>
          </w:p>
        </w:tc>
      </w:tr>
      <w:tr w:rsidR="00C22FC1" w:rsidRPr="00C22FC1" w14:paraId="17C8BBE5"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78E8D88E"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 A inclusão de novos instrumentos regulamentados observará o tempo de serviço em relação ao valor fixado para a hora de serviço de R$203,00 (duzentos e três reais).</w:t>
            </w:r>
          </w:p>
        </w:tc>
      </w:tr>
      <w:tr w:rsidR="00C22FC1" w:rsidRPr="00C22FC1" w14:paraId="5B76A208"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0ADD00DC"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 Para os códigos assinalados com a letra A e para os serviços não contemplados nesta tabela, os valores serão determinados por apropriação de custo, observando o valor da hora de serviço de R$203,00 (duzentos e três reais).</w:t>
            </w:r>
          </w:p>
        </w:tc>
      </w:tr>
      <w:tr w:rsidR="00C22FC1" w:rsidRPr="00C22FC1" w14:paraId="4943B9A0"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7132E9E4"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 A realização dos serviços está condicionada à apresentação do comprovante de pagamento da respectiva taxa de serviços metrológicos.</w:t>
            </w:r>
          </w:p>
        </w:tc>
      </w:tr>
      <w:tr w:rsidR="00C22FC1" w:rsidRPr="00C22FC1" w14:paraId="7E631DD8"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46351B3F" w14:textId="77777777" w:rsidR="00C22FC1" w:rsidRPr="00C22FC1" w:rsidRDefault="00C22FC1" w:rsidP="00C22FC1">
            <w:pPr>
              <w:spacing w:before="100" w:beforeAutospacing="1" w:after="100" w:afterAutospacing="1" w:line="260" w:lineRule="atLeast"/>
              <w:ind w:left="57"/>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 A verificação voluntária deve ser cobrada conforme o valor da taxa metrológica correspondente ao código do instrumento, bem como de acordo com as despesas com diárias, passagens e deslocamentos, caso ocorram.</w:t>
            </w:r>
          </w:p>
        </w:tc>
      </w:tr>
      <w:tr w:rsidR="00C22FC1" w:rsidRPr="00C22FC1" w14:paraId="5BEC2741" w14:textId="77777777" w:rsidTr="00C22FC1">
        <w:trPr>
          <w:jc w:val="center"/>
        </w:trPr>
        <w:tc>
          <w:tcPr>
            <w:tcW w:w="0" w:type="auto"/>
            <w:gridSpan w:val="4"/>
            <w:tcBorders>
              <w:top w:val="nil"/>
              <w:left w:val="single" w:sz="4" w:space="0" w:color="auto"/>
              <w:bottom w:val="single" w:sz="4" w:space="0" w:color="auto"/>
              <w:right w:val="single" w:sz="4" w:space="0" w:color="auto"/>
            </w:tcBorders>
            <w:vAlign w:val="bottom"/>
            <w:hideMark/>
          </w:tcPr>
          <w:p w14:paraId="3B7CDF21" w14:textId="77777777" w:rsidR="00C22FC1" w:rsidRPr="00C22FC1" w:rsidRDefault="00C22FC1" w:rsidP="00C22FC1">
            <w:pPr>
              <w:spacing w:after="0" w:line="240" w:lineRule="auto"/>
              <w:rPr>
                <w:rFonts w:ascii="Times New Roman" w:eastAsia="Times New Roman" w:hAnsi="Times New Roman" w:cs="Times New Roman"/>
                <w:kern w:val="0"/>
                <w:sz w:val="24"/>
                <w:szCs w:val="24"/>
                <w14:ligatures w14:val="none"/>
              </w:rPr>
            </w:pPr>
            <w:bookmarkStart w:id="260" w:name="anexo2s35"/>
            <w:bookmarkEnd w:id="260"/>
            <w:r w:rsidRPr="00C22FC1">
              <w:rPr>
                <w:rFonts w:ascii="Arial" w:eastAsia="Times New Roman" w:hAnsi="Arial" w:cs="Arial"/>
                <w:strike/>
                <w:kern w:val="0"/>
                <w:sz w:val="20"/>
                <w:szCs w:val="20"/>
                <w14:ligatures w14:val="none"/>
              </w:rPr>
              <w:t>5. Para o código assinalado com a letra B, será pago, anualmente, pela montadora de veículos que atenda à regulamentação específica, o valor de R$ 90,09 (noventa reais e nove centavos), para a realização das verificações subsequentes dos cronotacógrafos instalados nos veículos produzidos e cujas atividades materiais e acessórias que subsidiam as verificações sejam executadas pela montadora, independentemente da quantidade de verificações realizadas por ano.   </w:t>
            </w:r>
            <w:hyperlink r:id="rId504" w:history="1">
              <w:r w:rsidRPr="00C22FC1">
                <w:rPr>
                  <w:rFonts w:ascii="Arial" w:eastAsia="Times New Roman" w:hAnsi="Arial" w:cs="Arial"/>
                  <w:strike/>
                  <w:color w:val="0000FF"/>
                  <w:kern w:val="0"/>
                  <w:sz w:val="20"/>
                  <w:szCs w:val="20"/>
                  <w:u w:val="single"/>
                  <w14:ligatures w14:val="none"/>
                </w:rPr>
                <w:t>(Vide Medida Provisória nº 1.145, de 2022)</w:t>
              </w:r>
            </w:hyperlink>
            <w:r w:rsidRPr="00C22FC1">
              <w:rPr>
                <w:rFonts w:ascii="Arial" w:eastAsia="Times New Roman" w:hAnsi="Arial" w:cs="Arial"/>
                <w:strike/>
                <w:kern w:val="0"/>
                <w:sz w:val="20"/>
                <w:szCs w:val="20"/>
                <w14:ligatures w14:val="none"/>
              </w:rPr>
              <w:t>   </w:t>
            </w:r>
            <w:hyperlink r:id="rId505" w:anchor="art2" w:history="1">
              <w:r w:rsidRPr="00C22FC1">
                <w:rPr>
                  <w:rFonts w:ascii="Arial" w:eastAsia="Times New Roman" w:hAnsi="Arial" w:cs="Arial"/>
                  <w:strike/>
                  <w:color w:val="0000FF"/>
                  <w:kern w:val="0"/>
                  <w:sz w:val="20"/>
                  <w:szCs w:val="20"/>
                  <w:u w:val="single"/>
                  <w14:ligatures w14:val="none"/>
                </w:rPr>
                <w:t>(Produção de efeitos)</w:t>
              </w:r>
            </w:hyperlink>
          </w:p>
          <w:p w14:paraId="4088D1F9" w14:textId="77777777" w:rsidR="00C22FC1" w:rsidRPr="00C22FC1" w:rsidRDefault="00C22FC1" w:rsidP="00C22FC1">
            <w:pPr>
              <w:spacing w:before="100" w:beforeAutospacing="1" w:after="100" w:afterAutospacing="1" w:line="240" w:lineRule="auto"/>
              <w:rPr>
                <w:rFonts w:ascii="Times New Roman" w:eastAsia="Times New Roman" w:hAnsi="Times New Roman" w:cs="Times New Roman"/>
                <w:kern w:val="0"/>
                <w:sz w:val="24"/>
                <w:szCs w:val="24"/>
                <w14:ligatures w14:val="none"/>
              </w:rPr>
            </w:pPr>
            <w:bookmarkStart w:id="261" w:name="anexo2s35.0"/>
            <w:bookmarkEnd w:id="261"/>
            <w:r w:rsidRPr="00C22FC1">
              <w:rPr>
                <w:rFonts w:ascii="Arial" w:eastAsia="Times New Roman" w:hAnsi="Arial" w:cs="Arial"/>
                <w:color w:val="000000"/>
                <w:kern w:val="0"/>
                <w:sz w:val="20"/>
                <w:szCs w:val="20"/>
                <w14:ligatures w14:val="none"/>
              </w:rPr>
              <w:t>5. Para o código assinalado com a letra B, será pago, anualmente, pela montadora de veículos que atenda à regulamentação específica, o valor de R$ 90,09 (noventa reais e nove centavos), para a execução das atividades materiais e acessórias que subsidiam a realização da primeira verificação subsequente dos cronotacógrafos instalados nos veículos por ela produzidos, independentemente da quantidade de ensaios realizados por ano.    </w:t>
            </w:r>
            <w:hyperlink r:id="rId506" w:anchor="art2" w:history="1">
              <w:r w:rsidRPr="00C22FC1">
                <w:rPr>
                  <w:rFonts w:ascii="Arial" w:eastAsia="Times New Roman" w:hAnsi="Arial" w:cs="Arial"/>
                  <w:color w:val="0000FF"/>
                  <w:kern w:val="0"/>
                  <w:sz w:val="20"/>
                  <w:szCs w:val="20"/>
                  <w:u w:val="single"/>
                  <w14:ligatures w14:val="none"/>
                </w:rPr>
                <w:t>(Incluído pela Lei nº 14.565, de 2023)</w:t>
              </w:r>
            </w:hyperlink>
            <w:r w:rsidRPr="00C22FC1">
              <w:rPr>
                <w:rFonts w:ascii="Arial" w:eastAsia="Times New Roman" w:hAnsi="Arial" w:cs="Arial"/>
                <w:color w:val="000000"/>
                <w:kern w:val="0"/>
                <w:sz w:val="20"/>
                <w:szCs w:val="20"/>
                <w14:ligatures w14:val="none"/>
              </w:rPr>
              <w:t>   </w:t>
            </w:r>
            <w:hyperlink r:id="rId507" w:anchor="art3" w:history="1">
              <w:r w:rsidRPr="00C22FC1">
                <w:rPr>
                  <w:rFonts w:ascii="Arial" w:eastAsia="Times New Roman" w:hAnsi="Arial" w:cs="Arial"/>
                  <w:color w:val="0000FF"/>
                  <w:kern w:val="0"/>
                  <w:sz w:val="20"/>
                  <w:szCs w:val="20"/>
                  <w:u w:val="single"/>
                  <w14:ligatures w14:val="none"/>
                </w:rPr>
                <w:t>(Produção de efeitos)</w:t>
              </w:r>
            </w:hyperlink>
          </w:p>
        </w:tc>
      </w:tr>
    </w:tbl>
    <w:p w14:paraId="0DAAD4BD"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bookmarkStart w:id="262" w:name="anexoiii"/>
      <w:bookmarkEnd w:id="262"/>
      <w:r w:rsidRPr="00C22FC1">
        <w:rPr>
          <w:rFonts w:ascii="Arial" w:eastAsia="Times New Roman" w:hAnsi="Arial" w:cs="Arial"/>
          <w:color w:val="000000"/>
          <w:kern w:val="0"/>
          <w:sz w:val="20"/>
          <w:szCs w:val="20"/>
          <w14:ligatures w14:val="none"/>
        </w:rPr>
        <w:t> </w:t>
      </w:r>
      <w:bookmarkStart w:id="263" w:name="anexo3"/>
      <w:bookmarkEnd w:id="263"/>
      <w:r w:rsidRPr="00C22FC1">
        <w:rPr>
          <w:rFonts w:ascii="Arial" w:eastAsia="Times New Roman" w:hAnsi="Arial" w:cs="Arial"/>
          <w:color w:val="000000"/>
          <w:kern w:val="0"/>
          <w:sz w:val="20"/>
          <w:szCs w:val="20"/>
          <w14:ligatures w14:val="none"/>
        </w:rPr>
        <w:t>ANEXO III</w:t>
      </w:r>
    </w:p>
    <w:p w14:paraId="6DB00E41"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hyperlink r:id="rId508" w:anchor="anexoiii." w:history="1">
        <w:r w:rsidRPr="00C22FC1">
          <w:rPr>
            <w:rFonts w:ascii="Arial" w:eastAsia="Times New Roman" w:hAnsi="Arial" w:cs="Arial"/>
            <w:color w:val="0000FF"/>
            <w:kern w:val="0"/>
            <w:sz w:val="20"/>
            <w:szCs w:val="20"/>
            <w:u w:val="single"/>
            <w14:ligatures w14:val="none"/>
          </w:rPr>
          <w:t>(Lei n</w:t>
        </w:r>
        <w:r w:rsidRPr="00C22FC1">
          <w:rPr>
            <w:rFonts w:ascii="Arial" w:eastAsia="Times New Roman" w:hAnsi="Arial" w:cs="Arial"/>
            <w:color w:val="0000FF"/>
            <w:kern w:val="0"/>
            <w:sz w:val="20"/>
            <w:szCs w:val="20"/>
            <w:u w:val="single"/>
            <w:vertAlign w:val="superscript"/>
            <w14:ligatures w14:val="none"/>
          </w:rPr>
          <w:t>o</w:t>
        </w:r>
        <w:r w:rsidRPr="00C22FC1">
          <w:rPr>
            <w:rFonts w:ascii="Arial" w:eastAsia="Times New Roman" w:hAnsi="Arial" w:cs="Arial"/>
            <w:color w:val="0000FF"/>
            <w:kern w:val="0"/>
            <w:sz w:val="20"/>
            <w:szCs w:val="20"/>
            <w:u w:val="single"/>
            <w14:ligatures w14:val="none"/>
          </w:rPr>
          <w:t> 11.775, de 17 de setembro de 2008)</w:t>
        </w:r>
      </w:hyperlink>
    </w:p>
    <w:p w14:paraId="161FCB47"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Programa de Recuperação da Lavoura Cacaueira Baiana - etapas 1 e 2:</w:t>
      </w:r>
    </w:p>
    <w:p w14:paraId="5CC6196A"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desconto para liquidação da operação até 30 de dezembro de 2010</w:t>
      </w:r>
    </w:p>
    <w:tbl>
      <w:tblPr>
        <w:tblW w:w="5000" w:type="pct"/>
        <w:jc w:val="center"/>
        <w:tblCellMar>
          <w:left w:w="0" w:type="dxa"/>
          <w:right w:w="0" w:type="dxa"/>
        </w:tblCellMar>
        <w:tblLook w:val="04A0" w:firstRow="1" w:lastRow="0" w:firstColumn="1" w:lastColumn="0" w:noHBand="0" w:noVBand="1"/>
      </w:tblPr>
      <w:tblGrid>
        <w:gridCol w:w="4596"/>
        <w:gridCol w:w="972"/>
        <w:gridCol w:w="2926"/>
      </w:tblGrid>
      <w:tr w:rsidR="00C22FC1" w:rsidRPr="00C22FC1" w14:paraId="1DBA4B3F" w14:textId="77777777" w:rsidTr="00C22FC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9E14F"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Soma dos saldos devedores consolidados das etapas 1 e 2 do Programa em 31/3/2008</w:t>
            </w:r>
          </w:p>
          <w:p w14:paraId="79D55974"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 mil)</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8D5BB78"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Desconto</w:t>
            </w:r>
          </w:p>
          <w:p w14:paraId="0A8595AE"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(em %)</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1CBF8B2"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Desconto de valor fixo, após o desconto percentual</w:t>
            </w:r>
          </w:p>
          <w:p w14:paraId="49109F41"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w:t>
            </w:r>
          </w:p>
        </w:tc>
      </w:tr>
      <w:tr w:rsidR="00C22FC1" w:rsidRPr="00C22FC1" w14:paraId="06D20B80"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EE56012"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10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10A33E27"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619406B4"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r>
      <w:tr w:rsidR="00C22FC1" w:rsidRPr="00C22FC1" w14:paraId="09394E6C"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0FD463"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 até 50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5153BE38"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14B54589"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1.000,00</w:t>
            </w:r>
          </w:p>
        </w:tc>
      </w:tr>
      <w:tr w:rsidR="00C22FC1" w:rsidRPr="00C22FC1" w14:paraId="05670CA7"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823ACE"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7D16EC2A"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55</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736F06DC"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8.500,00</w:t>
            </w:r>
          </w:p>
        </w:tc>
      </w:tr>
    </w:tbl>
    <w:p w14:paraId="5D5D1757"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bookmarkStart w:id="264" w:name="anexoiv"/>
      <w:bookmarkEnd w:id="264"/>
      <w:r w:rsidRPr="00C22FC1">
        <w:rPr>
          <w:rFonts w:ascii="Arial" w:eastAsia="Times New Roman" w:hAnsi="Arial" w:cs="Arial"/>
          <w:color w:val="000000"/>
          <w:kern w:val="0"/>
          <w:sz w:val="20"/>
          <w:szCs w:val="20"/>
          <w14:ligatures w14:val="none"/>
        </w:rPr>
        <w:lastRenderedPageBreak/>
        <w:t> </w:t>
      </w:r>
      <w:bookmarkStart w:id="265" w:name="anexo4"/>
      <w:bookmarkEnd w:id="265"/>
      <w:r w:rsidRPr="00C22FC1">
        <w:rPr>
          <w:rFonts w:ascii="Arial" w:eastAsia="Times New Roman" w:hAnsi="Arial" w:cs="Arial"/>
          <w:color w:val="000000"/>
          <w:kern w:val="0"/>
          <w:sz w:val="20"/>
          <w:szCs w:val="20"/>
          <w14:ligatures w14:val="none"/>
        </w:rPr>
        <w:t>ANEXO IV</w:t>
      </w:r>
    </w:p>
    <w:p w14:paraId="5755590B"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hyperlink r:id="rId509" w:anchor="anexoiv" w:history="1">
        <w:r w:rsidRPr="00C22FC1">
          <w:rPr>
            <w:rFonts w:ascii="Arial" w:eastAsia="Times New Roman" w:hAnsi="Arial" w:cs="Arial"/>
            <w:color w:val="0000FF"/>
            <w:kern w:val="0"/>
            <w:sz w:val="20"/>
            <w:szCs w:val="20"/>
            <w:u w:val="single"/>
            <w14:ligatures w14:val="none"/>
          </w:rPr>
          <w:t>(Lei nº 11.775, de 17 de setembro de 2008)</w:t>
        </w:r>
      </w:hyperlink>
    </w:p>
    <w:p w14:paraId="0045DF2E"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Programa de Recuperação da Lavoura Cacaueira Baiana - etapas 1 e 2:</w:t>
      </w:r>
    </w:p>
    <w:p w14:paraId="138F9592"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desconto para renegociação da operação</w:t>
      </w:r>
    </w:p>
    <w:tbl>
      <w:tblPr>
        <w:tblW w:w="5000" w:type="pct"/>
        <w:jc w:val="center"/>
        <w:tblCellMar>
          <w:left w:w="0" w:type="dxa"/>
          <w:right w:w="0" w:type="dxa"/>
        </w:tblCellMar>
        <w:tblLook w:val="04A0" w:firstRow="1" w:lastRow="0" w:firstColumn="1" w:lastColumn="0" w:noHBand="0" w:noVBand="1"/>
      </w:tblPr>
      <w:tblGrid>
        <w:gridCol w:w="4596"/>
        <w:gridCol w:w="972"/>
        <w:gridCol w:w="2926"/>
      </w:tblGrid>
      <w:tr w:rsidR="00C22FC1" w:rsidRPr="00C22FC1" w14:paraId="2B6FC079" w14:textId="77777777" w:rsidTr="00C22FC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9BBD0"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Soma dos saldos devedores consolidados das etapas 1 e 2 do Programa em 31/3/2008</w:t>
            </w:r>
          </w:p>
          <w:p w14:paraId="2156DE22"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 mil)</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947389"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Desconto</w:t>
            </w:r>
          </w:p>
          <w:p w14:paraId="062108C5"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(em %)</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C5A114F"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Desconto de valor fixo, após o desconto percentual</w:t>
            </w:r>
          </w:p>
          <w:p w14:paraId="6656CFD3"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w:t>
            </w:r>
          </w:p>
        </w:tc>
      </w:tr>
      <w:tr w:rsidR="00C22FC1" w:rsidRPr="00C22FC1" w14:paraId="432D71C1"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37AE3B"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10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68240A30"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75</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49A7BDE9"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r>
      <w:tr w:rsidR="00C22FC1" w:rsidRPr="00C22FC1" w14:paraId="46C788F7"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71D859"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 até 50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4785A300"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65</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6CCB1A94"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1.000,00</w:t>
            </w:r>
          </w:p>
        </w:tc>
      </w:tr>
      <w:tr w:rsidR="00C22FC1" w:rsidRPr="00C22FC1" w14:paraId="02CE29A1"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FDE4677"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3D424229"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31F0ED58"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8.500,00</w:t>
            </w:r>
          </w:p>
        </w:tc>
      </w:tr>
    </w:tbl>
    <w:p w14:paraId="3A1FC51A"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bookmarkStart w:id="266" w:name="anexov"/>
      <w:bookmarkEnd w:id="266"/>
      <w:r w:rsidRPr="00C22FC1">
        <w:rPr>
          <w:rFonts w:ascii="Arial" w:eastAsia="Times New Roman" w:hAnsi="Arial" w:cs="Arial"/>
          <w:color w:val="000000"/>
          <w:kern w:val="0"/>
          <w:sz w:val="20"/>
          <w:szCs w:val="20"/>
          <w14:ligatures w14:val="none"/>
        </w:rPr>
        <w:t> </w:t>
      </w:r>
      <w:bookmarkStart w:id="267" w:name="anexo5"/>
      <w:bookmarkEnd w:id="267"/>
      <w:r w:rsidRPr="00C22FC1">
        <w:rPr>
          <w:rFonts w:ascii="Arial" w:eastAsia="Times New Roman" w:hAnsi="Arial" w:cs="Arial"/>
          <w:color w:val="000000"/>
          <w:kern w:val="0"/>
          <w:sz w:val="20"/>
          <w:szCs w:val="20"/>
          <w14:ligatures w14:val="none"/>
        </w:rPr>
        <w:t>ANEXO V</w:t>
      </w:r>
    </w:p>
    <w:p w14:paraId="6FD95874"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hyperlink r:id="rId510" w:anchor="anexov." w:history="1">
        <w:r w:rsidRPr="00C22FC1">
          <w:rPr>
            <w:rFonts w:ascii="Arial" w:eastAsia="Times New Roman" w:hAnsi="Arial" w:cs="Arial"/>
            <w:color w:val="0000FF"/>
            <w:kern w:val="0"/>
            <w:sz w:val="20"/>
            <w:szCs w:val="20"/>
            <w:u w:val="single"/>
            <w14:ligatures w14:val="none"/>
          </w:rPr>
          <w:t>(Lei nº 11.775, de 17 de setembro de 2008)</w:t>
        </w:r>
      </w:hyperlink>
    </w:p>
    <w:p w14:paraId="00233B1A"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Programa de Recuperação da Lavoura Cacaueira Baiana - etapa 3:</w:t>
      </w:r>
    </w:p>
    <w:p w14:paraId="629F09B8"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desconto para liquidação da operação até 30 de dezembro de 2010</w:t>
      </w:r>
    </w:p>
    <w:tbl>
      <w:tblPr>
        <w:tblW w:w="5000" w:type="pct"/>
        <w:jc w:val="center"/>
        <w:tblCellMar>
          <w:left w:w="0" w:type="dxa"/>
          <w:right w:w="0" w:type="dxa"/>
        </w:tblCellMar>
        <w:tblLook w:val="04A0" w:firstRow="1" w:lastRow="0" w:firstColumn="1" w:lastColumn="0" w:noHBand="0" w:noVBand="1"/>
      </w:tblPr>
      <w:tblGrid>
        <w:gridCol w:w="4499"/>
        <w:gridCol w:w="972"/>
        <w:gridCol w:w="3023"/>
      </w:tblGrid>
      <w:tr w:rsidR="00C22FC1" w:rsidRPr="00C22FC1" w14:paraId="1C980BF5" w14:textId="77777777" w:rsidTr="00C22FC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4B74F"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Soma dos saldos devedores consolidados da etapa 3 do Programa em 31/3/2008</w:t>
            </w:r>
          </w:p>
          <w:p w14:paraId="0938FCF0"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 mil)</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A4C2F3E"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Desconto</w:t>
            </w:r>
          </w:p>
          <w:p w14:paraId="07BD563D"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(em %)</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5A2072E"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Desconto de valor fixo, após o desconto percentual</w:t>
            </w:r>
          </w:p>
          <w:p w14:paraId="33FA18D9"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w:t>
            </w:r>
          </w:p>
        </w:tc>
      </w:tr>
      <w:tr w:rsidR="00C22FC1" w:rsidRPr="00C22FC1" w14:paraId="4145B75B"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0F88A7"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10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3EFA2F8E"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1EFF3FF7"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r>
      <w:tr w:rsidR="00C22FC1" w:rsidRPr="00C22FC1" w14:paraId="56B9C981"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A97E29F"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 até 50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1FDDA8F5"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15A78584"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500,00</w:t>
            </w:r>
          </w:p>
        </w:tc>
      </w:tr>
      <w:tr w:rsidR="00C22FC1" w:rsidRPr="00C22FC1" w14:paraId="4183A730"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744EAE"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78FB2381"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558DF1D7"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3.000,00</w:t>
            </w:r>
          </w:p>
        </w:tc>
      </w:tr>
    </w:tbl>
    <w:p w14:paraId="72B1AD5B"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bookmarkStart w:id="268" w:name="anexovi"/>
      <w:bookmarkEnd w:id="268"/>
      <w:r w:rsidRPr="00C22FC1">
        <w:rPr>
          <w:rFonts w:ascii="Arial" w:eastAsia="Times New Roman" w:hAnsi="Arial" w:cs="Arial"/>
          <w:color w:val="000000"/>
          <w:kern w:val="0"/>
          <w:sz w:val="20"/>
          <w:szCs w:val="20"/>
          <w14:ligatures w14:val="none"/>
        </w:rPr>
        <w:t> </w:t>
      </w:r>
      <w:bookmarkStart w:id="269" w:name="anexo6"/>
      <w:bookmarkEnd w:id="269"/>
      <w:r w:rsidRPr="00C22FC1">
        <w:rPr>
          <w:rFonts w:ascii="Arial" w:eastAsia="Times New Roman" w:hAnsi="Arial" w:cs="Arial"/>
          <w:color w:val="000000"/>
          <w:kern w:val="0"/>
          <w:sz w:val="20"/>
          <w:szCs w:val="20"/>
          <w14:ligatures w14:val="none"/>
        </w:rPr>
        <w:t>ANEXO VI</w:t>
      </w:r>
    </w:p>
    <w:p w14:paraId="255482DB"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hyperlink r:id="rId511" w:anchor="anexovi" w:history="1">
        <w:r w:rsidRPr="00C22FC1">
          <w:rPr>
            <w:rFonts w:ascii="Arial" w:eastAsia="Times New Roman" w:hAnsi="Arial" w:cs="Arial"/>
            <w:color w:val="0000FF"/>
            <w:kern w:val="0"/>
            <w:sz w:val="20"/>
            <w:szCs w:val="20"/>
            <w:u w:val="single"/>
            <w14:ligatures w14:val="none"/>
          </w:rPr>
          <w:t>(Lei nº 11.775, de 17 de setembro de 2008)</w:t>
        </w:r>
      </w:hyperlink>
    </w:p>
    <w:p w14:paraId="362CDCB5"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Programa de Recuperação da Lavoura Cacaueira Baiana - etapa 3:</w:t>
      </w:r>
    </w:p>
    <w:p w14:paraId="721BDABA"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desconto para renegociação da operação</w:t>
      </w:r>
    </w:p>
    <w:tbl>
      <w:tblPr>
        <w:tblW w:w="5000" w:type="pct"/>
        <w:jc w:val="center"/>
        <w:tblCellMar>
          <w:left w:w="0" w:type="dxa"/>
          <w:right w:w="0" w:type="dxa"/>
        </w:tblCellMar>
        <w:tblLook w:val="04A0" w:firstRow="1" w:lastRow="0" w:firstColumn="1" w:lastColumn="0" w:noHBand="0" w:noVBand="1"/>
      </w:tblPr>
      <w:tblGrid>
        <w:gridCol w:w="4499"/>
        <w:gridCol w:w="972"/>
        <w:gridCol w:w="3023"/>
      </w:tblGrid>
      <w:tr w:rsidR="00C22FC1" w:rsidRPr="00C22FC1" w14:paraId="3A9EFBAC" w14:textId="77777777" w:rsidTr="00C22FC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2FCA5"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Soma dos saldos devedores consolidados da etapa 3 do Programa em 31/3/2008</w:t>
            </w:r>
          </w:p>
          <w:p w14:paraId="54C30F25"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 mil)</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28EA0A"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Desconto</w:t>
            </w:r>
          </w:p>
          <w:p w14:paraId="6EA7552D"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(em %)</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7B8D7F"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Desconto de valor fixo, após o desconto percentual</w:t>
            </w:r>
          </w:p>
          <w:p w14:paraId="32EFF537"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w:t>
            </w:r>
          </w:p>
        </w:tc>
      </w:tr>
      <w:tr w:rsidR="00C22FC1" w:rsidRPr="00C22FC1" w14:paraId="200CDBFE"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029D446"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10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5FC12C49"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45</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10CCE8D5"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r>
      <w:tr w:rsidR="00C22FC1" w:rsidRPr="00C22FC1" w14:paraId="0B84E7FD"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6063FC"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 até 50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14E883AE"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3710687A"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500,00</w:t>
            </w:r>
          </w:p>
        </w:tc>
      </w:tr>
      <w:tr w:rsidR="00C22FC1" w:rsidRPr="00C22FC1" w14:paraId="73759378"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C49C52"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05ADAD3D"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72DBC085"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5.500,00</w:t>
            </w:r>
          </w:p>
        </w:tc>
      </w:tr>
    </w:tbl>
    <w:p w14:paraId="00A744D4"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bookmarkStart w:id="270" w:name="anexovii"/>
      <w:bookmarkEnd w:id="270"/>
      <w:r w:rsidRPr="00C22FC1">
        <w:rPr>
          <w:rFonts w:ascii="Arial" w:eastAsia="Times New Roman" w:hAnsi="Arial" w:cs="Arial"/>
          <w:color w:val="000000"/>
          <w:kern w:val="0"/>
          <w:sz w:val="20"/>
          <w:szCs w:val="20"/>
          <w14:ligatures w14:val="none"/>
        </w:rPr>
        <w:t> </w:t>
      </w:r>
      <w:bookmarkStart w:id="271" w:name="anexo7"/>
      <w:bookmarkEnd w:id="271"/>
      <w:r w:rsidRPr="00C22FC1">
        <w:rPr>
          <w:rFonts w:ascii="Arial" w:eastAsia="Times New Roman" w:hAnsi="Arial" w:cs="Arial"/>
          <w:color w:val="000000"/>
          <w:kern w:val="0"/>
          <w:sz w:val="20"/>
          <w:szCs w:val="20"/>
          <w14:ligatures w14:val="none"/>
        </w:rPr>
        <w:t>ANEXO VII</w:t>
      </w:r>
    </w:p>
    <w:p w14:paraId="2C083197"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hyperlink r:id="rId512" w:anchor="anexovii." w:history="1">
        <w:r w:rsidRPr="00C22FC1">
          <w:rPr>
            <w:rFonts w:ascii="Arial" w:eastAsia="Times New Roman" w:hAnsi="Arial" w:cs="Arial"/>
            <w:color w:val="0000FF"/>
            <w:kern w:val="0"/>
            <w:sz w:val="20"/>
            <w:szCs w:val="20"/>
            <w:u w:val="single"/>
            <w14:ligatures w14:val="none"/>
          </w:rPr>
          <w:t>(Lei nº 11.775, de 17 de setembro de 2008)</w:t>
        </w:r>
      </w:hyperlink>
    </w:p>
    <w:p w14:paraId="516326A7"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Programa de Recuperação da Lavoura Cacaueira Baiana - etapa 4:</w:t>
      </w:r>
    </w:p>
    <w:p w14:paraId="63CEADDE"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desconto para liquidação da operação até 30 de dezembro de 2010</w:t>
      </w:r>
    </w:p>
    <w:tbl>
      <w:tblPr>
        <w:tblW w:w="5000" w:type="pct"/>
        <w:jc w:val="center"/>
        <w:tblCellMar>
          <w:left w:w="0" w:type="dxa"/>
          <w:right w:w="0" w:type="dxa"/>
        </w:tblCellMar>
        <w:tblLook w:val="04A0" w:firstRow="1" w:lastRow="0" w:firstColumn="1" w:lastColumn="0" w:noHBand="0" w:noVBand="1"/>
      </w:tblPr>
      <w:tblGrid>
        <w:gridCol w:w="4499"/>
        <w:gridCol w:w="972"/>
        <w:gridCol w:w="3023"/>
      </w:tblGrid>
      <w:tr w:rsidR="00C22FC1" w:rsidRPr="00C22FC1" w14:paraId="6443BE4D" w14:textId="77777777" w:rsidTr="00C22FC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1140A"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lastRenderedPageBreak/>
              <w:t>Soma dos saldos devedores consolidados da etapa 4 do Programa em 31/3/2008</w:t>
            </w:r>
          </w:p>
          <w:p w14:paraId="5D9A76CF"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 mil)</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CCBF5D"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Desconto</w:t>
            </w:r>
          </w:p>
          <w:p w14:paraId="0ED6164D"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(em %)</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6222E56"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Desconto de valor fixo, após o desconto percentual</w:t>
            </w:r>
          </w:p>
          <w:p w14:paraId="28587315"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w:t>
            </w:r>
          </w:p>
        </w:tc>
      </w:tr>
      <w:tr w:rsidR="00C22FC1" w:rsidRPr="00C22FC1" w14:paraId="3907EB72"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5E8695D"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10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101EE303"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35</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0BF7B5D9"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r>
      <w:tr w:rsidR="00C22FC1" w:rsidRPr="00C22FC1" w14:paraId="5449FDEE"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FE0554B"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 até 50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5C351921"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7C11DCA1"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500,00</w:t>
            </w:r>
          </w:p>
        </w:tc>
      </w:tr>
      <w:tr w:rsidR="00C22FC1" w:rsidRPr="00C22FC1" w14:paraId="2F56C6EB"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9F6D9A"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403C7421"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6A3FDEE4"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3.000,00</w:t>
            </w:r>
          </w:p>
        </w:tc>
      </w:tr>
    </w:tbl>
    <w:p w14:paraId="2F19E30A"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bookmarkStart w:id="272" w:name="anexoviii"/>
      <w:bookmarkEnd w:id="272"/>
      <w:r w:rsidRPr="00C22FC1">
        <w:rPr>
          <w:rFonts w:ascii="Arial" w:eastAsia="Times New Roman" w:hAnsi="Arial" w:cs="Arial"/>
          <w:color w:val="000000"/>
          <w:kern w:val="0"/>
          <w:sz w:val="20"/>
          <w:szCs w:val="20"/>
          <w14:ligatures w14:val="none"/>
        </w:rPr>
        <w:t> </w:t>
      </w:r>
      <w:bookmarkStart w:id="273" w:name="anexo8"/>
      <w:bookmarkEnd w:id="273"/>
      <w:r w:rsidRPr="00C22FC1">
        <w:rPr>
          <w:rFonts w:ascii="Arial" w:eastAsia="Times New Roman" w:hAnsi="Arial" w:cs="Arial"/>
          <w:color w:val="000000"/>
          <w:kern w:val="0"/>
          <w:sz w:val="20"/>
          <w:szCs w:val="20"/>
          <w14:ligatures w14:val="none"/>
        </w:rPr>
        <w:t>ANEXO VIII</w:t>
      </w:r>
    </w:p>
    <w:p w14:paraId="0F27BCEB"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hyperlink r:id="rId513" w:anchor="anexoviii" w:history="1">
        <w:r w:rsidRPr="00C22FC1">
          <w:rPr>
            <w:rFonts w:ascii="Arial" w:eastAsia="Times New Roman" w:hAnsi="Arial" w:cs="Arial"/>
            <w:color w:val="0000FF"/>
            <w:kern w:val="0"/>
            <w:sz w:val="20"/>
            <w:szCs w:val="20"/>
            <w:u w:val="single"/>
            <w14:ligatures w14:val="none"/>
          </w:rPr>
          <w:t>(Lei nº 11.775, de 17 de setembro de 2008)</w:t>
        </w:r>
      </w:hyperlink>
    </w:p>
    <w:p w14:paraId="02874563"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Programa de recuperação da Lavoura Cacaueira Baiana - etapa 4:</w:t>
      </w:r>
    </w:p>
    <w:p w14:paraId="1A7D9B6B"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desconto para renegociação da operação</w:t>
      </w:r>
    </w:p>
    <w:tbl>
      <w:tblPr>
        <w:tblW w:w="5000" w:type="pct"/>
        <w:jc w:val="center"/>
        <w:tblCellMar>
          <w:left w:w="0" w:type="dxa"/>
          <w:right w:w="0" w:type="dxa"/>
        </w:tblCellMar>
        <w:tblLook w:val="04A0" w:firstRow="1" w:lastRow="0" w:firstColumn="1" w:lastColumn="0" w:noHBand="0" w:noVBand="1"/>
      </w:tblPr>
      <w:tblGrid>
        <w:gridCol w:w="4499"/>
        <w:gridCol w:w="972"/>
        <w:gridCol w:w="3023"/>
      </w:tblGrid>
      <w:tr w:rsidR="00C22FC1" w:rsidRPr="00C22FC1" w14:paraId="3CDA7BC5" w14:textId="77777777" w:rsidTr="00C22FC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0110B"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Soma dos saldos devedores consolidados da etapa 4 do Programa em 31/3/2008</w:t>
            </w:r>
          </w:p>
          <w:p w14:paraId="665AB42D"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 mil)</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BF12BE"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Desconto</w:t>
            </w:r>
          </w:p>
          <w:p w14:paraId="7D3EC82E"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(em %)</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927FA6"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Desconto de valor fixo, após o desconto percentual</w:t>
            </w:r>
          </w:p>
          <w:p w14:paraId="4B37F5B8"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w:t>
            </w:r>
          </w:p>
        </w:tc>
      </w:tr>
      <w:tr w:rsidR="00C22FC1" w:rsidRPr="00C22FC1" w14:paraId="04476CF2"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CB0BEF"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10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1C95A1B9"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3369FE24"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r>
      <w:tr w:rsidR="00C22FC1" w:rsidRPr="00C22FC1" w14:paraId="3705297A"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2B266D"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 até 50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696E0B5F"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15</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3DB72B4E"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r>
      <w:tr w:rsidR="00C22FC1" w:rsidRPr="00C22FC1" w14:paraId="2DBF64EA"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C14F480"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2AF4C1C5"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0ABA724B"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2.500,00</w:t>
            </w:r>
          </w:p>
        </w:tc>
      </w:tr>
    </w:tbl>
    <w:p w14:paraId="228F2B4B"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bookmarkStart w:id="274" w:name="anexoix"/>
      <w:bookmarkEnd w:id="274"/>
      <w:r w:rsidRPr="00C22FC1">
        <w:rPr>
          <w:rFonts w:ascii="Arial" w:eastAsia="Times New Roman" w:hAnsi="Arial" w:cs="Arial"/>
          <w:color w:val="000000"/>
          <w:kern w:val="0"/>
          <w:sz w:val="20"/>
          <w:szCs w:val="20"/>
          <w14:ligatures w14:val="none"/>
        </w:rPr>
        <w:t> </w:t>
      </w:r>
      <w:bookmarkStart w:id="275" w:name="anexo9"/>
      <w:bookmarkEnd w:id="275"/>
      <w:r w:rsidRPr="00C22FC1">
        <w:rPr>
          <w:rFonts w:ascii="Arial" w:eastAsia="Times New Roman" w:hAnsi="Arial" w:cs="Arial"/>
          <w:color w:val="000000"/>
          <w:kern w:val="0"/>
          <w:sz w:val="20"/>
          <w:szCs w:val="20"/>
          <w14:ligatures w14:val="none"/>
        </w:rPr>
        <w:t>ANEXO IX</w:t>
      </w:r>
    </w:p>
    <w:p w14:paraId="697C9E41"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hyperlink r:id="rId514" w:anchor="anexoix." w:history="1">
        <w:r w:rsidRPr="00C22FC1">
          <w:rPr>
            <w:rFonts w:ascii="Arial" w:eastAsia="Times New Roman" w:hAnsi="Arial" w:cs="Arial"/>
            <w:color w:val="0000FF"/>
            <w:kern w:val="0"/>
            <w:sz w:val="20"/>
            <w:szCs w:val="20"/>
            <w:u w:val="single"/>
            <w14:ligatures w14:val="none"/>
          </w:rPr>
          <w:t>(Lei nº 11.775, de 17 de setembro de 2008)</w:t>
        </w:r>
      </w:hyperlink>
    </w:p>
    <w:p w14:paraId="6CD024CA"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 Operações de Crédito Rural inscritas na Dívida Ativa da União:</w:t>
      </w:r>
    </w:p>
    <w:p w14:paraId="082038EC" w14:textId="77777777" w:rsidR="00C22FC1" w:rsidRPr="00C22FC1" w:rsidRDefault="00C22FC1" w:rsidP="00C22FC1">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C22FC1">
        <w:rPr>
          <w:rFonts w:ascii="Arial" w:eastAsia="Times New Roman" w:hAnsi="Arial" w:cs="Arial"/>
          <w:color w:val="000000"/>
          <w:kern w:val="0"/>
          <w:sz w:val="20"/>
          <w:szCs w:val="20"/>
          <w14:ligatures w14:val="none"/>
        </w:rPr>
        <w:t>descontos para liquidação até 30 de novembro de 2010</w:t>
      </w:r>
    </w:p>
    <w:tbl>
      <w:tblPr>
        <w:tblW w:w="5000" w:type="pct"/>
        <w:jc w:val="center"/>
        <w:tblCellMar>
          <w:left w:w="0" w:type="dxa"/>
          <w:right w:w="0" w:type="dxa"/>
        </w:tblCellMar>
        <w:tblLook w:val="04A0" w:firstRow="1" w:lastRow="0" w:firstColumn="1" w:lastColumn="0" w:noHBand="0" w:noVBand="1"/>
      </w:tblPr>
      <w:tblGrid>
        <w:gridCol w:w="3811"/>
        <w:gridCol w:w="972"/>
        <w:gridCol w:w="3711"/>
      </w:tblGrid>
      <w:tr w:rsidR="00C22FC1" w:rsidRPr="00C22FC1" w14:paraId="71F7F8E7" w14:textId="77777777" w:rsidTr="00C22FC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459A0"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Soma dos saldos devedores na data da renegociação</w:t>
            </w:r>
          </w:p>
          <w:p w14:paraId="0E5F2931"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 mil)</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BBFD03"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Desconto</w:t>
            </w:r>
          </w:p>
          <w:p w14:paraId="0DE64F7C"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 </w:t>
            </w:r>
          </w:p>
          <w:p w14:paraId="5783F108"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(em %)</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C2A774"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Desconto de valor fixo, após o desconto percentual</w:t>
            </w:r>
          </w:p>
          <w:p w14:paraId="759F0E64"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(R$)</w:t>
            </w:r>
          </w:p>
        </w:tc>
      </w:tr>
      <w:tr w:rsidR="00C22FC1" w:rsidRPr="00C22FC1" w14:paraId="670329A0"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114A962"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Até 10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20B2EAFF"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70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0AEDFCAD"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w:t>
            </w:r>
          </w:p>
        </w:tc>
      </w:tr>
      <w:tr w:rsidR="00C22FC1" w:rsidRPr="00C22FC1" w14:paraId="0E057A0D"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F60C27A"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 até 50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3E11BCFA"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58</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498BA9FF"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1.200,00</w:t>
            </w:r>
          </w:p>
        </w:tc>
      </w:tr>
      <w:tr w:rsidR="00C22FC1" w:rsidRPr="00C22FC1" w14:paraId="35A0B5D0"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327F31B"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50 até 100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2EA616FF"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48</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34CCF35B"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6.200,00</w:t>
            </w:r>
          </w:p>
        </w:tc>
      </w:tr>
      <w:tr w:rsidR="00C22FC1" w:rsidRPr="00C22FC1" w14:paraId="390A7DF9"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16BB889"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100 até 200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4C936704"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41</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4DE3D90C"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13.200,00</w:t>
            </w:r>
          </w:p>
        </w:tc>
      </w:tr>
      <w:tr w:rsidR="00C22FC1" w:rsidRPr="00C22FC1" w14:paraId="269388FD" w14:textId="77777777" w:rsidTr="00C22FC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28F806A" w14:textId="77777777" w:rsidR="00C22FC1" w:rsidRPr="00C22FC1" w:rsidRDefault="00C22FC1" w:rsidP="00C22FC1">
            <w:pPr>
              <w:spacing w:after="0" w:line="260" w:lineRule="atLeast"/>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Acima de 200</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363E3CDF"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38</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0CB2131A" w14:textId="77777777" w:rsidR="00C22FC1" w:rsidRPr="00C22FC1" w:rsidRDefault="00C22FC1" w:rsidP="00C22FC1">
            <w:pPr>
              <w:spacing w:after="0" w:line="260" w:lineRule="atLeast"/>
              <w:jc w:val="center"/>
              <w:rPr>
                <w:rFonts w:ascii="Times New Roman" w:eastAsia="Times New Roman" w:hAnsi="Times New Roman" w:cs="Times New Roman"/>
                <w:kern w:val="0"/>
                <w:sz w:val="24"/>
                <w:szCs w:val="24"/>
                <w14:ligatures w14:val="none"/>
              </w:rPr>
            </w:pPr>
            <w:r w:rsidRPr="00C22FC1">
              <w:rPr>
                <w:rFonts w:ascii="Times New Roman" w:eastAsia="Times New Roman" w:hAnsi="Times New Roman" w:cs="Times New Roman"/>
                <w:color w:val="000000"/>
                <w:kern w:val="0"/>
                <w:sz w:val="20"/>
                <w:szCs w:val="20"/>
                <w14:ligatures w14:val="none"/>
              </w:rPr>
              <w:t>19.200,00</w:t>
            </w:r>
          </w:p>
        </w:tc>
      </w:tr>
    </w:tbl>
    <w:p w14:paraId="04FB22C3" w14:textId="77777777" w:rsidR="00C22FC1" w:rsidRPr="00C22FC1" w:rsidRDefault="00C22FC1" w:rsidP="00C22FC1">
      <w:pPr>
        <w:spacing w:before="300" w:after="300" w:line="260" w:lineRule="atLeast"/>
        <w:jc w:val="center"/>
        <w:rPr>
          <w:rFonts w:ascii="Times New Roman" w:eastAsia="Times New Roman" w:hAnsi="Times New Roman" w:cs="Times New Roman"/>
          <w:color w:val="000000"/>
          <w:kern w:val="0"/>
          <w:sz w:val="27"/>
          <w:szCs w:val="27"/>
          <w14:ligatures w14:val="none"/>
        </w:rPr>
      </w:pPr>
      <w:r w:rsidRPr="00C22FC1">
        <w:rPr>
          <w:rFonts w:ascii="Times New Roman" w:eastAsia="Times New Roman" w:hAnsi="Times New Roman" w:cs="Times New Roman"/>
          <w:color w:val="FF0000"/>
          <w:kern w:val="0"/>
          <w:sz w:val="27"/>
          <w:szCs w:val="27"/>
          <w14:ligatures w14:val="none"/>
        </w:rPr>
        <w:t>*</w:t>
      </w:r>
    </w:p>
    <w:p w14:paraId="317145F1" w14:textId="77777777" w:rsidR="00C22FC1" w:rsidRPr="00C22FC1" w:rsidRDefault="00C22FC1" w:rsidP="00C22FC1">
      <w:pPr>
        <w:spacing w:before="300" w:after="300" w:line="260" w:lineRule="atLeast"/>
        <w:jc w:val="center"/>
        <w:rPr>
          <w:rFonts w:ascii="Times New Roman" w:eastAsia="Times New Roman" w:hAnsi="Times New Roman" w:cs="Times New Roman"/>
          <w:color w:val="000000"/>
          <w:kern w:val="0"/>
          <w:sz w:val="27"/>
          <w:szCs w:val="27"/>
          <w14:ligatures w14:val="none"/>
        </w:rPr>
      </w:pPr>
      <w:r w:rsidRPr="00C22FC1">
        <w:rPr>
          <w:rFonts w:ascii="Times New Roman" w:eastAsia="Times New Roman" w:hAnsi="Times New Roman" w:cs="Times New Roman"/>
          <w:color w:val="000000"/>
          <w:kern w:val="0"/>
          <w:sz w:val="27"/>
          <w:szCs w:val="27"/>
          <w14:ligatures w14:val="none"/>
        </w:rPr>
        <w:t> </w:t>
      </w:r>
    </w:p>
    <w:p w14:paraId="619503BE" w14:textId="77777777" w:rsidR="00C22FC1" w:rsidRPr="00C22FC1" w:rsidRDefault="00C22FC1" w:rsidP="00C22FC1">
      <w:pPr>
        <w:spacing w:before="300" w:after="300" w:line="260" w:lineRule="atLeast"/>
        <w:jc w:val="center"/>
        <w:rPr>
          <w:rFonts w:ascii="Times New Roman" w:eastAsia="Times New Roman" w:hAnsi="Times New Roman" w:cs="Times New Roman"/>
          <w:color w:val="000000"/>
          <w:kern w:val="0"/>
          <w:sz w:val="27"/>
          <w:szCs w:val="27"/>
          <w14:ligatures w14:val="none"/>
        </w:rPr>
      </w:pPr>
      <w:r w:rsidRPr="00C22FC1">
        <w:rPr>
          <w:rFonts w:ascii="Times New Roman" w:eastAsia="Times New Roman" w:hAnsi="Times New Roman" w:cs="Times New Roman"/>
          <w:color w:val="000000"/>
          <w:kern w:val="0"/>
          <w:sz w:val="27"/>
          <w:szCs w:val="27"/>
          <w14:ligatures w14:val="none"/>
        </w:rPr>
        <w:t> </w:t>
      </w:r>
    </w:p>
    <w:p w14:paraId="2CBD7E05" w14:textId="77777777" w:rsidR="00C22FC1" w:rsidRPr="00C22FC1" w:rsidRDefault="00C22FC1" w:rsidP="00C22FC1">
      <w:pPr>
        <w:spacing w:before="300" w:after="300" w:line="260" w:lineRule="atLeast"/>
        <w:jc w:val="center"/>
        <w:rPr>
          <w:rFonts w:ascii="Times New Roman" w:eastAsia="Times New Roman" w:hAnsi="Times New Roman" w:cs="Times New Roman"/>
          <w:color w:val="000000"/>
          <w:kern w:val="0"/>
          <w:sz w:val="27"/>
          <w:szCs w:val="27"/>
          <w14:ligatures w14:val="none"/>
        </w:rPr>
      </w:pPr>
      <w:r w:rsidRPr="00C22FC1">
        <w:rPr>
          <w:rFonts w:ascii="Times New Roman" w:eastAsia="Times New Roman" w:hAnsi="Times New Roman" w:cs="Times New Roman"/>
          <w:color w:val="000000"/>
          <w:kern w:val="0"/>
          <w:sz w:val="27"/>
          <w:szCs w:val="27"/>
          <w14:ligatures w14:val="none"/>
        </w:rPr>
        <w:t> </w:t>
      </w:r>
    </w:p>
    <w:p w14:paraId="7C98522A" w14:textId="77777777" w:rsidR="00C22FC1" w:rsidRPr="00C22FC1" w:rsidRDefault="00C22FC1" w:rsidP="00C22FC1">
      <w:pPr>
        <w:spacing w:before="300" w:after="300" w:line="260" w:lineRule="atLeast"/>
        <w:jc w:val="center"/>
        <w:rPr>
          <w:rFonts w:ascii="Times New Roman" w:eastAsia="Times New Roman" w:hAnsi="Times New Roman" w:cs="Times New Roman"/>
          <w:color w:val="000000"/>
          <w:kern w:val="0"/>
          <w:sz w:val="27"/>
          <w:szCs w:val="27"/>
          <w14:ligatures w14:val="none"/>
        </w:rPr>
      </w:pPr>
      <w:r w:rsidRPr="00C22FC1">
        <w:rPr>
          <w:rFonts w:ascii="Times New Roman" w:eastAsia="Times New Roman" w:hAnsi="Times New Roman" w:cs="Times New Roman"/>
          <w:color w:val="000000"/>
          <w:kern w:val="0"/>
          <w:sz w:val="27"/>
          <w:szCs w:val="27"/>
          <w14:ligatures w14:val="none"/>
        </w:rPr>
        <w:t> </w:t>
      </w:r>
    </w:p>
    <w:p w14:paraId="7A9518FA" w14:textId="77777777" w:rsidR="00C22FC1" w:rsidRPr="00C22FC1" w:rsidRDefault="00C22FC1" w:rsidP="00C22FC1">
      <w:pPr>
        <w:spacing w:before="300" w:after="300" w:line="260" w:lineRule="atLeast"/>
        <w:jc w:val="center"/>
        <w:rPr>
          <w:rFonts w:ascii="Times New Roman" w:eastAsia="Times New Roman" w:hAnsi="Times New Roman" w:cs="Times New Roman"/>
          <w:color w:val="000000"/>
          <w:kern w:val="0"/>
          <w:sz w:val="27"/>
          <w:szCs w:val="27"/>
          <w14:ligatures w14:val="none"/>
        </w:rPr>
      </w:pPr>
      <w:r w:rsidRPr="00C22FC1">
        <w:rPr>
          <w:rFonts w:ascii="Times New Roman" w:eastAsia="Times New Roman" w:hAnsi="Times New Roman" w:cs="Times New Roman"/>
          <w:color w:val="000000"/>
          <w:kern w:val="0"/>
          <w:sz w:val="27"/>
          <w:szCs w:val="27"/>
          <w14:ligatures w14:val="none"/>
        </w:rPr>
        <w:t> </w:t>
      </w:r>
    </w:p>
    <w:p w14:paraId="44EC3B9C" w14:textId="77777777" w:rsidR="00C22FC1" w:rsidRPr="00C22FC1" w:rsidRDefault="00C22FC1" w:rsidP="00C22FC1">
      <w:pPr>
        <w:spacing w:before="300" w:after="300" w:line="260" w:lineRule="atLeast"/>
        <w:jc w:val="center"/>
        <w:rPr>
          <w:rFonts w:ascii="Times New Roman" w:eastAsia="Times New Roman" w:hAnsi="Times New Roman" w:cs="Times New Roman"/>
          <w:color w:val="000000"/>
          <w:kern w:val="0"/>
          <w:sz w:val="27"/>
          <w:szCs w:val="27"/>
          <w14:ligatures w14:val="none"/>
        </w:rPr>
      </w:pPr>
      <w:r w:rsidRPr="00C22FC1">
        <w:rPr>
          <w:rFonts w:ascii="Times New Roman" w:eastAsia="Times New Roman" w:hAnsi="Times New Roman" w:cs="Times New Roman"/>
          <w:color w:val="000000"/>
          <w:kern w:val="0"/>
          <w:sz w:val="27"/>
          <w:szCs w:val="27"/>
          <w14:ligatures w14:val="none"/>
        </w:rPr>
        <w:lastRenderedPageBreak/>
        <w:t> </w:t>
      </w:r>
    </w:p>
    <w:p w14:paraId="35B7B533" w14:textId="77777777" w:rsidR="00C22FC1" w:rsidRPr="00C22FC1" w:rsidRDefault="00C22FC1" w:rsidP="00C22FC1">
      <w:pPr>
        <w:spacing w:before="300" w:after="300" w:line="260" w:lineRule="atLeast"/>
        <w:jc w:val="center"/>
        <w:rPr>
          <w:rFonts w:ascii="Times New Roman" w:eastAsia="Times New Roman" w:hAnsi="Times New Roman" w:cs="Times New Roman"/>
          <w:color w:val="000000"/>
          <w:kern w:val="0"/>
          <w:sz w:val="27"/>
          <w:szCs w:val="27"/>
          <w14:ligatures w14:val="none"/>
        </w:rPr>
      </w:pPr>
      <w:r w:rsidRPr="00C22FC1">
        <w:rPr>
          <w:rFonts w:ascii="Times New Roman" w:eastAsia="Times New Roman" w:hAnsi="Times New Roman" w:cs="Times New Roman"/>
          <w:color w:val="000000"/>
          <w:kern w:val="0"/>
          <w:sz w:val="27"/>
          <w:szCs w:val="27"/>
          <w14:ligatures w14:val="none"/>
        </w:rPr>
        <w:t> </w:t>
      </w:r>
    </w:p>
    <w:p w14:paraId="63AF4416" w14:textId="77777777" w:rsidR="00C22FC1" w:rsidRPr="00C22FC1" w:rsidRDefault="00C22FC1" w:rsidP="00C22FC1">
      <w:pPr>
        <w:spacing w:before="300" w:after="300" w:line="260" w:lineRule="atLeast"/>
        <w:jc w:val="center"/>
        <w:rPr>
          <w:rFonts w:ascii="Times New Roman" w:eastAsia="Times New Roman" w:hAnsi="Times New Roman" w:cs="Times New Roman"/>
          <w:color w:val="000000"/>
          <w:kern w:val="0"/>
          <w:sz w:val="27"/>
          <w:szCs w:val="27"/>
          <w14:ligatures w14:val="none"/>
        </w:rPr>
      </w:pPr>
      <w:r w:rsidRPr="00C22FC1">
        <w:rPr>
          <w:rFonts w:ascii="Times New Roman" w:eastAsia="Times New Roman" w:hAnsi="Times New Roman" w:cs="Times New Roman"/>
          <w:color w:val="000000"/>
          <w:kern w:val="0"/>
          <w:sz w:val="27"/>
          <w:szCs w:val="27"/>
          <w14:ligatures w14:val="none"/>
        </w:rPr>
        <w:t> </w:t>
      </w:r>
    </w:p>
    <w:p w14:paraId="55D3E2AC" w14:textId="77777777" w:rsidR="00C22FC1" w:rsidRPr="00C22FC1" w:rsidRDefault="00C22FC1" w:rsidP="00C22FC1">
      <w:pPr>
        <w:spacing w:before="300" w:after="300" w:line="260" w:lineRule="atLeast"/>
        <w:jc w:val="center"/>
        <w:rPr>
          <w:rFonts w:ascii="Times New Roman" w:eastAsia="Times New Roman" w:hAnsi="Times New Roman" w:cs="Times New Roman"/>
          <w:color w:val="000000"/>
          <w:kern w:val="0"/>
          <w:sz w:val="27"/>
          <w:szCs w:val="27"/>
          <w14:ligatures w14:val="none"/>
        </w:rPr>
      </w:pPr>
      <w:r w:rsidRPr="00C22FC1">
        <w:rPr>
          <w:rFonts w:ascii="Times New Roman" w:eastAsia="Times New Roman" w:hAnsi="Times New Roman" w:cs="Times New Roman"/>
          <w:color w:val="000000"/>
          <w:kern w:val="0"/>
          <w:sz w:val="27"/>
          <w:szCs w:val="27"/>
          <w14:ligatures w14:val="none"/>
        </w:rPr>
        <w:t> </w:t>
      </w:r>
    </w:p>
    <w:p w14:paraId="3CABC2CA" w14:textId="77777777" w:rsidR="00C22FC1" w:rsidRPr="00C22FC1" w:rsidRDefault="00C22FC1" w:rsidP="00C22FC1">
      <w:pPr>
        <w:spacing w:before="300" w:after="300" w:line="260" w:lineRule="atLeast"/>
        <w:jc w:val="center"/>
        <w:rPr>
          <w:rFonts w:ascii="Times New Roman" w:eastAsia="Times New Roman" w:hAnsi="Times New Roman" w:cs="Times New Roman"/>
          <w:color w:val="000000"/>
          <w:kern w:val="0"/>
          <w:sz w:val="27"/>
          <w:szCs w:val="27"/>
          <w14:ligatures w14:val="none"/>
        </w:rPr>
      </w:pPr>
      <w:r w:rsidRPr="00C22FC1">
        <w:rPr>
          <w:rFonts w:ascii="Times New Roman" w:eastAsia="Times New Roman" w:hAnsi="Times New Roman" w:cs="Times New Roman"/>
          <w:color w:val="000000"/>
          <w:kern w:val="0"/>
          <w:sz w:val="27"/>
          <w:szCs w:val="27"/>
          <w14:ligatures w14:val="none"/>
        </w:rPr>
        <w:t> </w:t>
      </w:r>
    </w:p>
    <w:p w14:paraId="245CA536" w14:textId="77777777" w:rsidR="00C22FC1" w:rsidRPr="00C22FC1" w:rsidRDefault="00C22FC1" w:rsidP="00C22FC1">
      <w:pPr>
        <w:spacing w:before="300" w:after="300" w:line="260" w:lineRule="atLeast"/>
        <w:jc w:val="center"/>
        <w:rPr>
          <w:rFonts w:ascii="Times New Roman" w:eastAsia="Times New Roman" w:hAnsi="Times New Roman" w:cs="Times New Roman"/>
          <w:color w:val="000000"/>
          <w:kern w:val="0"/>
          <w:sz w:val="27"/>
          <w:szCs w:val="27"/>
          <w14:ligatures w14:val="none"/>
        </w:rPr>
      </w:pPr>
      <w:r w:rsidRPr="00C22FC1">
        <w:rPr>
          <w:rFonts w:ascii="Times New Roman" w:eastAsia="Times New Roman" w:hAnsi="Times New Roman" w:cs="Times New Roman"/>
          <w:color w:val="000000"/>
          <w:kern w:val="0"/>
          <w:sz w:val="27"/>
          <w:szCs w:val="27"/>
          <w14:ligatures w14:val="none"/>
        </w:rPr>
        <w:t> </w:t>
      </w:r>
    </w:p>
    <w:p w14:paraId="0D2348C6" w14:textId="77777777" w:rsidR="00A6094F" w:rsidRDefault="00A6094F"/>
    <w:sectPr w:rsidR="00A60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687"/>
    <w:rsid w:val="00A6094F"/>
    <w:rsid w:val="00AB5687"/>
    <w:rsid w:val="00C22FC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EBAEDE-67F1-4800-8692-692E5C5F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C22FC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C22FC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Forte">
    <w:name w:val="Strong"/>
    <w:basedOn w:val="Fontepargpadro"/>
    <w:uiPriority w:val="22"/>
    <w:qFormat/>
    <w:rsid w:val="00C22FC1"/>
    <w:rPr>
      <w:b/>
      <w:bCs/>
    </w:rPr>
  </w:style>
  <w:style w:type="character" w:styleId="Hyperlink">
    <w:name w:val="Hyperlink"/>
    <w:basedOn w:val="Fontepargpadro"/>
    <w:uiPriority w:val="99"/>
    <w:semiHidden/>
    <w:unhideWhenUsed/>
    <w:rsid w:val="00C22FC1"/>
    <w:rPr>
      <w:color w:val="0000FF"/>
      <w:u w:val="single"/>
    </w:rPr>
  </w:style>
  <w:style w:type="character" w:styleId="HiperlinkVisitado">
    <w:name w:val="FollowedHyperlink"/>
    <w:basedOn w:val="Fontepargpadro"/>
    <w:uiPriority w:val="99"/>
    <w:semiHidden/>
    <w:unhideWhenUsed/>
    <w:rsid w:val="00C22FC1"/>
    <w:rPr>
      <w:color w:val="800080"/>
      <w:u w:val="single"/>
    </w:rPr>
  </w:style>
  <w:style w:type="paragraph" w:customStyle="1" w:styleId="texto2">
    <w:name w:val="texto2"/>
    <w:basedOn w:val="Normal"/>
    <w:rsid w:val="00C22FC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1">
    <w:name w:val="texto1"/>
    <w:basedOn w:val="Normal"/>
    <w:rsid w:val="00C22FC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body">
    <w:name w:val="textbody"/>
    <w:basedOn w:val="Normal"/>
    <w:rsid w:val="00C22FC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04partenormativa">
    <w:name w:val="04partenormativa"/>
    <w:basedOn w:val="Normal"/>
    <w:rsid w:val="00C22FC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artart">
    <w:name w:val="artart"/>
    <w:basedOn w:val="Normal"/>
    <w:rsid w:val="00C22FC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Corpodetexto">
    <w:name w:val="Body Text"/>
    <w:basedOn w:val="Normal"/>
    <w:link w:val="CorpodetextoChar"/>
    <w:uiPriority w:val="99"/>
    <w:semiHidden/>
    <w:unhideWhenUsed/>
    <w:rsid w:val="00C22FC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orpodetextoChar">
    <w:name w:val="Corpo de texto Char"/>
    <w:basedOn w:val="Fontepargpadro"/>
    <w:link w:val="Corpodetexto"/>
    <w:uiPriority w:val="99"/>
    <w:semiHidden/>
    <w:rsid w:val="00C22FC1"/>
    <w:rPr>
      <w:rFonts w:ascii="Times New Roman" w:eastAsia="Times New Roman" w:hAnsi="Times New Roman" w:cs="Times New Roman"/>
      <w:kern w:val="0"/>
      <w:sz w:val="24"/>
      <w:szCs w:val="24"/>
      <w14:ligatures w14:val="none"/>
    </w:rPr>
  </w:style>
  <w:style w:type="paragraph" w:customStyle="1" w:styleId="contedodatabela">
    <w:name w:val="contedodatabela"/>
    <w:basedOn w:val="Normal"/>
    <w:rsid w:val="00C22FC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5-texto1">
    <w:name w:val="5-texto1"/>
    <w:basedOn w:val="Normal"/>
    <w:rsid w:val="00C22FC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41106">
      <w:bodyDiv w:val="1"/>
      <w:marLeft w:val="0"/>
      <w:marRight w:val="0"/>
      <w:marTop w:val="0"/>
      <w:marBottom w:val="0"/>
      <w:divBdr>
        <w:top w:val="none" w:sz="0" w:space="0" w:color="auto"/>
        <w:left w:val="none" w:sz="0" w:space="0" w:color="auto"/>
        <w:bottom w:val="none" w:sz="0" w:space="0" w:color="auto"/>
        <w:right w:val="none" w:sz="0" w:space="0" w:color="auto"/>
      </w:divBdr>
      <w:divsChild>
        <w:div w:id="430470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43035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49665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3994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91472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49744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49551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2715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900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1821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15449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8940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18317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5605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7962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995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19731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4046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7450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73928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8837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91266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59521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98124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57933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5381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3450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97220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0507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2229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9490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20299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05901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18061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01339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8578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3134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63243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34289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05916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8289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04401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44276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38805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42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82167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0181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50474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88863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5440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12331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880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1-2014/2013/Mpv/mpv608.htm" TargetMode="External"/><Relationship Id="rId21" Type="http://schemas.openxmlformats.org/officeDocument/2006/relationships/hyperlink" Target="http://www.planalto.gov.br/ccivil_03/_ato2007-2010/2010/lei/L12249.htm" TargetMode="External"/><Relationship Id="rId63" Type="http://schemas.openxmlformats.org/officeDocument/2006/relationships/hyperlink" Target="http://www.planalto.gov.br/ccivil_03/LEIS/L9430.htm" TargetMode="External"/><Relationship Id="rId159" Type="http://schemas.openxmlformats.org/officeDocument/2006/relationships/hyperlink" Target="http://www.planalto.gov.br/ccivil_03/_Ato2011-2014/2013/Mpv/mpv608.htm" TargetMode="External"/><Relationship Id="rId324" Type="http://schemas.openxmlformats.org/officeDocument/2006/relationships/hyperlink" Target="http://www.planalto.gov.br/ccivil_03/_Ato2004-2006/2006/Decreto/D6006.htm" TargetMode="External"/><Relationship Id="rId366" Type="http://schemas.openxmlformats.org/officeDocument/2006/relationships/hyperlink" Target="http://www.planalto.gov.br/ccivil_03/_Ato2015-2018/2018/Mpv/mpv817.htm" TargetMode="External"/><Relationship Id="rId170" Type="http://schemas.openxmlformats.org/officeDocument/2006/relationships/hyperlink" Target="http://www.planalto.gov.br/ccivil_03/_ato2007-2010/2010/lei/L12249.htm" TargetMode="External"/><Relationship Id="rId226" Type="http://schemas.openxmlformats.org/officeDocument/2006/relationships/hyperlink" Target="http://www.planalto.gov.br/ccivil_03/_Ato2011-2014/2013/Lei/L12844.htm" TargetMode="External"/><Relationship Id="rId433" Type="http://schemas.openxmlformats.org/officeDocument/2006/relationships/hyperlink" Target="http://www.planalto.gov.br/ccivil_03/_Ato2011-2014/2011/Mpv/542.htm" TargetMode="External"/><Relationship Id="rId268" Type="http://schemas.openxmlformats.org/officeDocument/2006/relationships/hyperlink" Target="http://www.planalto.gov.br/ccivil_03/LEIS/L5615.htm" TargetMode="External"/><Relationship Id="rId475" Type="http://schemas.openxmlformats.org/officeDocument/2006/relationships/hyperlink" Target="http://www.planalto.gov.br/ccivil_03/MPV/2158-35.htm" TargetMode="External"/><Relationship Id="rId32" Type="http://schemas.openxmlformats.org/officeDocument/2006/relationships/hyperlink" Target="http://www.planalto.gov.br/ccivil_03/LEIS/L8248.htm" TargetMode="External"/><Relationship Id="rId74" Type="http://schemas.openxmlformats.org/officeDocument/2006/relationships/hyperlink" Target="http://www.planalto.gov.br/ccivil_03/_Ato2011-2014/2011/Decreto/D7451.htm" TargetMode="External"/><Relationship Id="rId128" Type="http://schemas.openxmlformats.org/officeDocument/2006/relationships/hyperlink" Target="http://www.planalto.gov.br/ccivil_03/_Ato2011-2014/2013/Mpv/mpv608.htm" TargetMode="External"/><Relationship Id="rId335" Type="http://schemas.openxmlformats.org/officeDocument/2006/relationships/hyperlink" Target="http://www.planalto.gov.br/ccivil_03/LEIS/L8727.htm" TargetMode="External"/><Relationship Id="rId377" Type="http://schemas.openxmlformats.org/officeDocument/2006/relationships/hyperlink" Target="http://www.planalto.gov.br/ccivil_03/_Ato2015-2018/2018/Mpv/mpv817.htm" TargetMode="External"/><Relationship Id="rId500" Type="http://schemas.openxmlformats.org/officeDocument/2006/relationships/hyperlink" Target="http://www.planalto.gov.br/ccivil_03/_Ato2019-2022/2022/Mpv/mpv1145.htm" TargetMode="External"/><Relationship Id="rId5" Type="http://schemas.openxmlformats.org/officeDocument/2006/relationships/hyperlink" Target="http://www.planalto.gov.br/ccivil_03/_ato2007-2010/2010/Msg/VEP-295-10.htm" TargetMode="External"/><Relationship Id="rId181" Type="http://schemas.openxmlformats.org/officeDocument/2006/relationships/hyperlink" Target="http://www.planalto.gov.br/ccivil_03/_ato2007-2010/2010/lei/L12249.htm" TargetMode="External"/><Relationship Id="rId237" Type="http://schemas.openxmlformats.org/officeDocument/2006/relationships/hyperlink" Target="http://www.planalto.gov.br/ccivil_03/_Ato2015-2018/2016/Mpv/mpv713.htm" TargetMode="External"/><Relationship Id="rId402" Type="http://schemas.openxmlformats.org/officeDocument/2006/relationships/hyperlink" Target="http://www.planalto.gov.br/ccivil_03/_Ato2011-2014/2011/Decreto/D7514.htm" TargetMode="External"/><Relationship Id="rId279" Type="http://schemas.openxmlformats.org/officeDocument/2006/relationships/hyperlink" Target="http://www.planalto.gov.br/ccivil_03/_Ato2011-2014/2013/Lei/L12872.htm" TargetMode="External"/><Relationship Id="rId444" Type="http://schemas.openxmlformats.org/officeDocument/2006/relationships/hyperlink" Target="http://www.planalto.gov.br/ccivil_03/_Ato2011-2014/2012/Mpv/558.htm" TargetMode="External"/><Relationship Id="rId486" Type="http://schemas.openxmlformats.org/officeDocument/2006/relationships/hyperlink" Target="http://www.planalto.gov.br/ccivil_03/LEIS/L7944.htm" TargetMode="External"/><Relationship Id="rId43" Type="http://schemas.openxmlformats.org/officeDocument/2006/relationships/hyperlink" Target="http://www.planalto.gov.br/ccivil_03/_ato2007-2010/2007/Lei/L11484.htm" TargetMode="External"/><Relationship Id="rId139" Type="http://schemas.openxmlformats.org/officeDocument/2006/relationships/hyperlink" Target="http://www.planalto.gov.br/ccivil_03/_Ato2011-2014/2013/Mpv/mpv608.htm" TargetMode="External"/><Relationship Id="rId290" Type="http://schemas.openxmlformats.org/officeDocument/2006/relationships/hyperlink" Target="http://www.planalto.gov.br/ccivil_03/_Ato2004-2006/2006/Lei/L11322.htm" TargetMode="External"/><Relationship Id="rId304" Type="http://schemas.openxmlformats.org/officeDocument/2006/relationships/hyperlink" Target="http://www.planalto.gov.br/ccivil_03/_Ato2011-2014/2012/Lei/L12599.htm" TargetMode="External"/><Relationship Id="rId346" Type="http://schemas.openxmlformats.org/officeDocument/2006/relationships/hyperlink" Target="http://www.planalto.gov.br/ccivil_03/_Ato2011-2014/2013/Lei/L12800.htm" TargetMode="External"/><Relationship Id="rId388" Type="http://schemas.openxmlformats.org/officeDocument/2006/relationships/hyperlink" Target="http://www.planalto.gov.br/ccivil_03/_Ato2011-2014/2011/Decreto/D7514.htm" TargetMode="External"/><Relationship Id="rId511" Type="http://schemas.openxmlformats.org/officeDocument/2006/relationships/hyperlink" Target="http://www.planalto.gov.br/ccivil_03/_ato2007-2010/2008/Lei/L11775.htm" TargetMode="External"/><Relationship Id="rId85" Type="http://schemas.openxmlformats.org/officeDocument/2006/relationships/hyperlink" Target="http://www.planalto.gov.br/ccivil_03/_ato2007-2010/2010/lei/L12249.htm" TargetMode="External"/><Relationship Id="rId150" Type="http://schemas.openxmlformats.org/officeDocument/2006/relationships/hyperlink" Target="http://www.planalto.gov.br/ccivil_03/_Ato2011-2014/2013/Lei/L12838.htm" TargetMode="External"/><Relationship Id="rId192" Type="http://schemas.openxmlformats.org/officeDocument/2006/relationships/hyperlink" Target="http://www.planalto.gov.br/ccivil_03/_ato2007-2010/2010/lei/L12249.htm" TargetMode="External"/><Relationship Id="rId206" Type="http://schemas.openxmlformats.org/officeDocument/2006/relationships/hyperlink" Target="http://www.planalto.gov.br/ccivil_03/_Ato2019-2022/2022/Mpv/mpv1138.htm" TargetMode="External"/><Relationship Id="rId413" Type="http://schemas.openxmlformats.org/officeDocument/2006/relationships/hyperlink" Target="http://www.planalto.gov.br/ccivil_03/decreto/D3112.htm" TargetMode="External"/><Relationship Id="rId248" Type="http://schemas.openxmlformats.org/officeDocument/2006/relationships/hyperlink" Target="http://www.planalto.gov.br/ccivil_03/_ato2007-2010/2010/Mpv/513.htm" TargetMode="External"/><Relationship Id="rId455" Type="http://schemas.openxmlformats.org/officeDocument/2006/relationships/hyperlink" Target="http://www.planalto.gov.br/ccivil_03/_Ato2011-2014/2012/Lei/L12678.htm" TargetMode="External"/><Relationship Id="rId497" Type="http://schemas.openxmlformats.org/officeDocument/2006/relationships/hyperlink" Target="http://www.planalto.gov.br/ccivil_03/_Ato2019-2022/2022/Mpv/mpv1145.htm" TargetMode="External"/><Relationship Id="rId12" Type="http://schemas.openxmlformats.org/officeDocument/2006/relationships/hyperlink" Target="http://www.planalto.gov.br/ccivil_03/LEIS/LCP/Lcp123.htm" TargetMode="External"/><Relationship Id="rId108" Type="http://schemas.openxmlformats.org/officeDocument/2006/relationships/hyperlink" Target="http://www.planalto.gov.br/ccivil_03/_Ato2011-2014/2013/Mpv/mpv608.htm" TargetMode="External"/><Relationship Id="rId315" Type="http://schemas.openxmlformats.org/officeDocument/2006/relationships/hyperlink" Target="http://www.planalto.gov.br/ccivil_03/Decreto-Lei/Del9295.htm" TargetMode="External"/><Relationship Id="rId357" Type="http://schemas.openxmlformats.org/officeDocument/2006/relationships/hyperlink" Target="http://www.planalto.gov.br/ccivil_03/LEIS/LCP/Lcp41.htm" TargetMode="External"/><Relationship Id="rId54" Type="http://schemas.openxmlformats.org/officeDocument/2006/relationships/hyperlink" Target="http://www.planalto.gov.br/ccivil_03/LEIS/L4506.htm" TargetMode="External"/><Relationship Id="rId96" Type="http://schemas.openxmlformats.org/officeDocument/2006/relationships/hyperlink" Target="http://www.planalto.gov.br/ccivil_03/_Ato2011-2014/2013/Mpv/mpv608.htm" TargetMode="External"/><Relationship Id="rId161" Type="http://schemas.openxmlformats.org/officeDocument/2006/relationships/hyperlink" Target="http://www.planalto.gov.br/ccivil_03/_Ato2011-2014/2013/Lei/L12838.htm" TargetMode="External"/><Relationship Id="rId217" Type="http://schemas.openxmlformats.org/officeDocument/2006/relationships/hyperlink" Target="http://www.planalto.gov.br/ccivil_03/_Ato2019-2022/2022/Mpv/mpv1138.htm" TargetMode="External"/><Relationship Id="rId399" Type="http://schemas.openxmlformats.org/officeDocument/2006/relationships/hyperlink" Target="http://www.planalto.gov.br/ccivil_03/_Ato2011-2014/2011/Decreto/D7514.htm" TargetMode="External"/><Relationship Id="rId259" Type="http://schemas.openxmlformats.org/officeDocument/2006/relationships/hyperlink" Target="http://www.planalto.gov.br/ccivil_03/_Ato2011-2014/2014/Lei/L12973.htm" TargetMode="External"/><Relationship Id="rId424" Type="http://schemas.openxmlformats.org/officeDocument/2006/relationships/hyperlink" Target="http://www.planalto.gov.br/ccivil_03/_ato2007-2010/2008/Dnn/Dnn11612.htm" TargetMode="External"/><Relationship Id="rId466" Type="http://schemas.openxmlformats.org/officeDocument/2006/relationships/hyperlink" Target="http://www.planalto.gov.br/ccivil_03/_ato2007-2010/2009/Lei/L11941.htm" TargetMode="External"/><Relationship Id="rId23" Type="http://schemas.openxmlformats.org/officeDocument/2006/relationships/hyperlink" Target="http://www.planalto.gov.br/ccivil_03/LEIS/2002/L10637.htm" TargetMode="External"/><Relationship Id="rId119" Type="http://schemas.openxmlformats.org/officeDocument/2006/relationships/hyperlink" Target="http://www.planalto.gov.br/ccivil_03/_Ato2011-2014/2013/Lei/L12838.htm" TargetMode="External"/><Relationship Id="rId270" Type="http://schemas.openxmlformats.org/officeDocument/2006/relationships/hyperlink" Target="http://www.planalto.gov.br/ccivil_03/LEIS/L5615.htm" TargetMode="External"/><Relationship Id="rId326" Type="http://schemas.openxmlformats.org/officeDocument/2006/relationships/hyperlink" Target="http://www.planalto.gov.br/ccivil_03/LEIS/L9065.htm" TargetMode="External"/><Relationship Id="rId65" Type="http://schemas.openxmlformats.org/officeDocument/2006/relationships/hyperlink" Target="http://www.planalto.gov.br/ccivil_03/MPV/2158-35.htm" TargetMode="External"/><Relationship Id="rId130" Type="http://schemas.openxmlformats.org/officeDocument/2006/relationships/hyperlink" Target="http://www.planalto.gov.br/ccivil_03/_Ato2011-2014/2013/Lei/L12838.htm" TargetMode="External"/><Relationship Id="rId368" Type="http://schemas.openxmlformats.org/officeDocument/2006/relationships/hyperlink" Target="http://www.planalto.gov.br/ccivil_03/_Ato2015-2018/2018/Mpv/mpv817.htm" TargetMode="External"/><Relationship Id="rId172" Type="http://schemas.openxmlformats.org/officeDocument/2006/relationships/hyperlink" Target="http://www.planalto.gov.br/ccivil_03/_ato2007-2010/2009/Lei/L11977.htm" TargetMode="External"/><Relationship Id="rId228" Type="http://schemas.openxmlformats.org/officeDocument/2006/relationships/hyperlink" Target="http://www.planalto.gov.br/ccivil_03/LEIS/L9430.htm" TargetMode="External"/><Relationship Id="rId435" Type="http://schemas.openxmlformats.org/officeDocument/2006/relationships/hyperlink" Target="http://www.planalto.gov.br/ccivil_03/_Ato2011-2014/2011/Mpv/542.htm" TargetMode="External"/><Relationship Id="rId477" Type="http://schemas.openxmlformats.org/officeDocument/2006/relationships/hyperlink" Target="http://www.planalto.gov.br/ccivil_03/_ato2007-2010/2008/Lei/L11775.htm" TargetMode="External"/><Relationship Id="rId281" Type="http://schemas.openxmlformats.org/officeDocument/2006/relationships/hyperlink" Target="http://www.planalto.gov.br/ccivil_03/_Ato2004-2006/2006/Lei/L11322.htm" TargetMode="External"/><Relationship Id="rId337" Type="http://schemas.openxmlformats.org/officeDocument/2006/relationships/hyperlink" Target="http://www.planalto.gov.br/ccivil_03/LEIS/L9469.htm" TargetMode="External"/><Relationship Id="rId502" Type="http://schemas.openxmlformats.org/officeDocument/2006/relationships/hyperlink" Target="http://www.planalto.gov.br/ccivil_03/_Ato2023-2026/2023/Lei/L14565.htm" TargetMode="External"/><Relationship Id="rId34" Type="http://schemas.openxmlformats.org/officeDocument/2006/relationships/hyperlink" Target="http://www.planalto.gov.br/ccivil_03/_ato2007-2010/2010/lei/L12249.htm" TargetMode="External"/><Relationship Id="rId76" Type="http://schemas.openxmlformats.org/officeDocument/2006/relationships/hyperlink" Target="http://www.planalto.gov.br/ccivil_03/LEIS/2002/L10637.htm" TargetMode="External"/><Relationship Id="rId141" Type="http://schemas.openxmlformats.org/officeDocument/2006/relationships/hyperlink" Target="http://www.planalto.gov.br/ccivil_03/_Ato2011-2014/2013/Lei/L12838.htm" TargetMode="External"/><Relationship Id="rId379" Type="http://schemas.openxmlformats.org/officeDocument/2006/relationships/hyperlink" Target="http://www.planalto.gov.br/ccivil_03/_Ato2011-2014/2011/Decreto/D7514.htm" TargetMode="External"/><Relationship Id="rId7" Type="http://schemas.openxmlformats.org/officeDocument/2006/relationships/hyperlink" Target="http://www.stf.jus.br/portal/peticaoInicial/verPeticaoInicial.asp?base=ADIN&amp;s1=4717&amp;processo=4717" TargetMode="External"/><Relationship Id="rId183" Type="http://schemas.openxmlformats.org/officeDocument/2006/relationships/hyperlink" Target="http://www.planalto.gov.br/ccivil_03/_ato2007-2010/2010/lei/L12249.htm" TargetMode="External"/><Relationship Id="rId239" Type="http://schemas.openxmlformats.org/officeDocument/2006/relationships/hyperlink" Target="http://www.planalto.gov.br/ccivil_03/_Ato2011-2014/2013/Lei/L12844.htm" TargetMode="External"/><Relationship Id="rId390" Type="http://schemas.openxmlformats.org/officeDocument/2006/relationships/hyperlink" Target="http://www.planalto.gov.br/ccivil_03/_Ato2011-2014/2011/Decreto/D7514.htm" TargetMode="External"/><Relationship Id="rId404" Type="http://schemas.openxmlformats.org/officeDocument/2006/relationships/hyperlink" Target="http://www.planalto.gov.br/ccivil_03/_Ato2015-2018/2018/Mpv/mpv817.htm" TargetMode="External"/><Relationship Id="rId446" Type="http://schemas.openxmlformats.org/officeDocument/2006/relationships/hyperlink" Target="http://www.planalto.gov.br/ccivil_03/_Ato2011-2014/2012/Lei/L12678.htm" TargetMode="External"/><Relationship Id="rId250" Type="http://schemas.openxmlformats.org/officeDocument/2006/relationships/hyperlink" Target="http://www.planalto.gov.br/ccivil_03/_Ato2011-2014/2013/Lei/L12865.htm" TargetMode="External"/><Relationship Id="rId292" Type="http://schemas.openxmlformats.org/officeDocument/2006/relationships/hyperlink" Target="http://www.planalto.gov.br/ccivil_03/_Ato2004-2006/2006/Lei/L11322.htm" TargetMode="External"/><Relationship Id="rId306" Type="http://schemas.openxmlformats.org/officeDocument/2006/relationships/hyperlink" Target="http://www.planalto.gov.br/ccivil_03/_Ato2011-2014/2012/Lei/L12599.htm" TargetMode="External"/><Relationship Id="rId488" Type="http://schemas.openxmlformats.org/officeDocument/2006/relationships/hyperlink" Target="http://www.planalto.gov.br/ccivil_03/LEIS/L8981.htm" TargetMode="External"/><Relationship Id="rId45" Type="http://schemas.openxmlformats.org/officeDocument/2006/relationships/hyperlink" Target="http://www.planalto.gov.br/ccivil_03/_ato2007-2010/2007/Lei/L11484.htm" TargetMode="External"/><Relationship Id="rId87" Type="http://schemas.openxmlformats.org/officeDocument/2006/relationships/hyperlink" Target="http://www.planalto.gov.br/ccivil_03/_Ato2011-2014/2013/Lei/L12788.htm" TargetMode="External"/><Relationship Id="rId110" Type="http://schemas.openxmlformats.org/officeDocument/2006/relationships/hyperlink" Target="http://www.planalto.gov.br/ccivil_03/_Ato2011-2014/2013/Lei/L12838.htm" TargetMode="External"/><Relationship Id="rId348" Type="http://schemas.openxmlformats.org/officeDocument/2006/relationships/hyperlink" Target="http://www.planalto.gov.br/ccivil_03/_Ato2011-2014/2013/Lei/L12800.htm" TargetMode="External"/><Relationship Id="rId513" Type="http://schemas.openxmlformats.org/officeDocument/2006/relationships/hyperlink" Target="http://www.planalto.gov.br/ccivil_03/_ato2007-2010/2008/Lei/L11775.htm" TargetMode="External"/><Relationship Id="rId152" Type="http://schemas.openxmlformats.org/officeDocument/2006/relationships/hyperlink" Target="http://www.planalto.gov.br/ccivil_03/_Ato2011-2014/2013/Mpv/mpv608.htm" TargetMode="External"/><Relationship Id="rId194" Type="http://schemas.openxmlformats.org/officeDocument/2006/relationships/hyperlink" Target="http://www.planalto.gov.br/ccivil_03/LEIS/L9430.htm" TargetMode="External"/><Relationship Id="rId208" Type="http://schemas.openxmlformats.org/officeDocument/2006/relationships/hyperlink" Target="http://www.planalto.gov.br/ccivil_03/_Ato2019-2022/2019/Mpv/mpv907.htm" TargetMode="External"/><Relationship Id="rId415" Type="http://schemas.openxmlformats.org/officeDocument/2006/relationships/hyperlink" Target="http://www.planalto.gov.br/ccivil_03/LEIS/LCP/Lcp101.htm" TargetMode="External"/><Relationship Id="rId457" Type="http://schemas.openxmlformats.org/officeDocument/2006/relationships/hyperlink" Target="http://www.planalto.gov.br/ccivil_03/_Ato2011-2014/2012/Mpv/558.htm" TargetMode="External"/><Relationship Id="rId261" Type="http://schemas.openxmlformats.org/officeDocument/2006/relationships/hyperlink" Target="http://www.planalto.gov.br/ccivil_03/_Ato2011-2014/2011/Lei/L12402.htm" TargetMode="External"/><Relationship Id="rId499" Type="http://schemas.openxmlformats.org/officeDocument/2006/relationships/hyperlink" Target="http://www.planalto.gov.br/ccivil_03/_Ato2023-2026/2023/Lei/L14565.htm" TargetMode="External"/><Relationship Id="rId14" Type="http://schemas.openxmlformats.org/officeDocument/2006/relationships/hyperlink" Target="http://www.planalto.gov.br/ccivil_03/LEIS/2003/L10.833.htm" TargetMode="External"/><Relationship Id="rId56" Type="http://schemas.openxmlformats.org/officeDocument/2006/relationships/hyperlink" Target="http://www.planalto.gov.br/ccivil_03/LEIS/L9430.htm" TargetMode="External"/><Relationship Id="rId317" Type="http://schemas.openxmlformats.org/officeDocument/2006/relationships/hyperlink" Target="http://www.planalto.gov.br/ccivil_03/Decreto-Lei/Del9295.htm" TargetMode="External"/><Relationship Id="rId359" Type="http://schemas.openxmlformats.org/officeDocument/2006/relationships/hyperlink" Target="http://www.planalto.gov.br/ccivil_03/_Ato2011-2014/2011/Decreto/D7514.htm" TargetMode="External"/><Relationship Id="rId98" Type="http://schemas.openxmlformats.org/officeDocument/2006/relationships/hyperlink" Target="http://www.planalto.gov.br/ccivil_03/_Ato2011-2014/2013/Lei/L12838.htm" TargetMode="External"/><Relationship Id="rId121" Type="http://schemas.openxmlformats.org/officeDocument/2006/relationships/hyperlink" Target="http://www.planalto.gov.br/ccivil_03/_Ato2011-2014/2013/Mpv/mpv608.htm" TargetMode="External"/><Relationship Id="rId163" Type="http://schemas.openxmlformats.org/officeDocument/2006/relationships/hyperlink" Target="http://www.planalto.gov.br/ccivil_03/_Ato2019-2022/2020/Mpv/mpv930.htm" TargetMode="External"/><Relationship Id="rId219" Type="http://schemas.openxmlformats.org/officeDocument/2006/relationships/hyperlink" Target="http://www.planalto.gov.br/ccivil_03/_Ato2019-2022/2022/Mpv/mpv1138.htm" TargetMode="External"/><Relationship Id="rId370" Type="http://schemas.openxmlformats.org/officeDocument/2006/relationships/hyperlink" Target="http://www.planalto.gov.br/ccivil_03/_Ato2011-2014/2011/Decreto/D7514.htm" TargetMode="External"/><Relationship Id="rId426" Type="http://schemas.openxmlformats.org/officeDocument/2006/relationships/hyperlink" Target="http://www.planalto.gov.br/ccivil_03/_Ato2011-2014/2012/Lei/L12678.htm" TargetMode="External"/><Relationship Id="rId230" Type="http://schemas.openxmlformats.org/officeDocument/2006/relationships/hyperlink" Target="http://www.planalto.gov.br/ccivil_03/LEIS/L9430.htm" TargetMode="External"/><Relationship Id="rId468" Type="http://schemas.openxmlformats.org/officeDocument/2006/relationships/hyperlink" Target="http://www.planalto.gov.br/ccivil_03/_Ato2011-2014/2014/Lei/L12973.htm" TargetMode="External"/><Relationship Id="rId25" Type="http://schemas.openxmlformats.org/officeDocument/2006/relationships/hyperlink" Target="http://www.planalto.gov.br/ccivil_03/_ato2007-2010/2010/lei/L12249.htm" TargetMode="External"/><Relationship Id="rId67" Type="http://schemas.openxmlformats.org/officeDocument/2006/relationships/hyperlink" Target="http://www.planalto.gov.br/ccivil_03/LEIS/L9430.htm" TargetMode="External"/><Relationship Id="rId272" Type="http://schemas.openxmlformats.org/officeDocument/2006/relationships/hyperlink" Target="http://www.planalto.gov.br/ccivil_03/_ato2007-2010/2010/Decreto/D7339.htm" TargetMode="External"/><Relationship Id="rId328" Type="http://schemas.openxmlformats.org/officeDocument/2006/relationships/hyperlink" Target="http://www.planalto.gov.br/ccivil_03/_Ato2019-2022/2021/Mpv/mpv1072.htm" TargetMode="External"/><Relationship Id="rId132" Type="http://schemas.openxmlformats.org/officeDocument/2006/relationships/hyperlink" Target="http://www.planalto.gov.br/ccivil_03/_ato2007-2010/2010/lei/L12249.htm" TargetMode="External"/><Relationship Id="rId174" Type="http://schemas.openxmlformats.org/officeDocument/2006/relationships/hyperlink" Target="http://www.planalto.gov.br/ccivil_03/_ato2007-2010/2009/Lei/L11977.htm" TargetMode="External"/><Relationship Id="rId381" Type="http://schemas.openxmlformats.org/officeDocument/2006/relationships/hyperlink" Target="http://www.planalto.gov.br/ccivil_03/_Ato2011-2014/2011/Decreto/D7514.htm" TargetMode="External"/><Relationship Id="rId241" Type="http://schemas.openxmlformats.org/officeDocument/2006/relationships/hyperlink" Target="http://www.planalto.gov.br/ccivil_03/_Ato2015-2018/2016/Lei/L13315.htm" TargetMode="External"/><Relationship Id="rId437" Type="http://schemas.openxmlformats.org/officeDocument/2006/relationships/hyperlink" Target="http://www.planalto.gov.br/ccivil_03/_Ato2011-2014/2011/Mpv/542.htm" TargetMode="External"/><Relationship Id="rId479" Type="http://schemas.openxmlformats.org/officeDocument/2006/relationships/hyperlink" Target="http://www.planalto.gov.br/ccivil_03/_ato2007-2010/2008/Lei/L11775.htm" TargetMode="External"/><Relationship Id="rId36" Type="http://schemas.openxmlformats.org/officeDocument/2006/relationships/hyperlink" Target="http://www.planalto.gov.br/ccivil_03/LEIS/L8387.htm" TargetMode="External"/><Relationship Id="rId283" Type="http://schemas.openxmlformats.org/officeDocument/2006/relationships/hyperlink" Target="http://www.planalto.gov.br/ccivil_03/_ato2007-2010/2008/Lei/L11775.htm" TargetMode="External"/><Relationship Id="rId339" Type="http://schemas.openxmlformats.org/officeDocument/2006/relationships/hyperlink" Target="http://www.planalto.gov.br/ccivil_03/Constituicao/Emendas/Emc/emc60.htm" TargetMode="External"/><Relationship Id="rId490" Type="http://schemas.openxmlformats.org/officeDocument/2006/relationships/hyperlink" Target="http://www.planalto.gov.br/ccivil_03/LEIS/L5025.htm" TargetMode="External"/><Relationship Id="rId504" Type="http://schemas.openxmlformats.org/officeDocument/2006/relationships/hyperlink" Target="http://www.planalto.gov.br/ccivil_03/_Ato2019-2022/2022/Mpv/mpv1145.htm" TargetMode="External"/><Relationship Id="rId78" Type="http://schemas.openxmlformats.org/officeDocument/2006/relationships/hyperlink" Target="http://www.planalto.gov.br/ccivil_03/_Ato2004-2006/2004/Lei/L10.865.htm" TargetMode="External"/><Relationship Id="rId101" Type="http://schemas.openxmlformats.org/officeDocument/2006/relationships/hyperlink" Target="http://www.planalto.gov.br/ccivil_03/_Ato2011-2014/2013/Mpv/mpv608.htm" TargetMode="External"/><Relationship Id="rId143" Type="http://schemas.openxmlformats.org/officeDocument/2006/relationships/hyperlink" Target="http://www.planalto.gov.br/ccivil_03/_Ato2011-2014/2013/Mpv/mpv608.htm" TargetMode="External"/><Relationship Id="rId185" Type="http://schemas.openxmlformats.org/officeDocument/2006/relationships/hyperlink" Target="http://www.planalto.gov.br/ccivil_03/_ato2007-2010/2010/lei/L12249.htm" TargetMode="External"/><Relationship Id="rId350" Type="http://schemas.openxmlformats.org/officeDocument/2006/relationships/hyperlink" Target="http://www.planalto.gov.br/ccivil_03/_Ato2015-2018/2018/Mpv/mpv817.htm" TargetMode="External"/><Relationship Id="rId406" Type="http://schemas.openxmlformats.org/officeDocument/2006/relationships/hyperlink" Target="http://www.planalto.gov.br/ccivil_03/_Ato2011-2014/2011/Decreto/D7514.htm" TargetMode="External"/><Relationship Id="rId9" Type="http://schemas.openxmlformats.org/officeDocument/2006/relationships/hyperlink" Target="http://www.planalto.gov.br/ccivil_03/_Ato2019-2022/2022/Mpv/mpv1152.htm" TargetMode="External"/><Relationship Id="rId210" Type="http://schemas.openxmlformats.org/officeDocument/2006/relationships/hyperlink" Target="http://www.planalto.gov.br/ccivil_03/_Ato2019-2022/2019/Mpv/mpv907.htm" TargetMode="External"/><Relationship Id="rId392" Type="http://schemas.openxmlformats.org/officeDocument/2006/relationships/hyperlink" Target="http://www.planalto.gov.br/ccivil_03/_Ato2015-2018/2018/Mpv/mpv817.htm" TargetMode="External"/><Relationship Id="rId448" Type="http://schemas.openxmlformats.org/officeDocument/2006/relationships/hyperlink" Target="http://www.planalto.gov.br/ccivil_03/_Ato2011-2014/2012/Lei/L12678.htm" TargetMode="External"/><Relationship Id="rId252" Type="http://schemas.openxmlformats.org/officeDocument/2006/relationships/hyperlink" Target="http://www.planalto.gov.br/ccivil_03/_Ato2011-2014/2014/Mpv/mpv651.htm" TargetMode="External"/><Relationship Id="rId294" Type="http://schemas.openxmlformats.org/officeDocument/2006/relationships/hyperlink" Target="http://www.planalto.gov.br/ccivil_03/_Ato2004-2006/2006/Lei/L11322.htm" TargetMode="External"/><Relationship Id="rId308" Type="http://schemas.openxmlformats.org/officeDocument/2006/relationships/hyperlink" Target="http://www.planalto.gov.br/ccivil_03/LEIS/L9126.htm" TargetMode="External"/><Relationship Id="rId515" Type="http://schemas.openxmlformats.org/officeDocument/2006/relationships/fontTable" Target="fontTable.xml"/><Relationship Id="rId47" Type="http://schemas.openxmlformats.org/officeDocument/2006/relationships/hyperlink" Target="http://www.planalto.gov.br/ccivil_03/_ato2007-2010/2007/Lei/L11484.htm" TargetMode="External"/><Relationship Id="rId89" Type="http://schemas.openxmlformats.org/officeDocument/2006/relationships/hyperlink" Target="http://www.planalto.gov.br/ccivil_03/_Ato2011-2014/2013/Lei/L12788.htm" TargetMode="External"/><Relationship Id="rId112" Type="http://schemas.openxmlformats.org/officeDocument/2006/relationships/hyperlink" Target="http://www.planalto.gov.br/ccivil_03/_Ato2011-2014/2013/Mpv/mpv608.htm" TargetMode="External"/><Relationship Id="rId154" Type="http://schemas.openxmlformats.org/officeDocument/2006/relationships/hyperlink" Target="http://www.planalto.gov.br/ccivil_03/_Ato2011-2014/2013/Lei/L12838.htm" TargetMode="External"/><Relationship Id="rId361" Type="http://schemas.openxmlformats.org/officeDocument/2006/relationships/hyperlink" Target="http://www.planalto.gov.br/ccivil_03/_Ato2015-2018/2018/Mpv/mpv817.htm" TargetMode="External"/><Relationship Id="rId196" Type="http://schemas.openxmlformats.org/officeDocument/2006/relationships/hyperlink" Target="http://www.planalto.gov.br/ccivil_03/_Ato2011-2014/2013/Lei/L12810.htm" TargetMode="External"/><Relationship Id="rId417" Type="http://schemas.openxmlformats.org/officeDocument/2006/relationships/hyperlink" Target="http://www.planalto.gov.br/ccivil_03/_ato2007-2010/2010/Decreto/D7300.htm" TargetMode="External"/><Relationship Id="rId459" Type="http://schemas.openxmlformats.org/officeDocument/2006/relationships/hyperlink" Target="http://www.planalto.gov.br/ccivil_03/_ato2007-2010/2007/Dnn/Dnn11457.htm" TargetMode="External"/><Relationship Id="rId16" Type="http://schemas.openxmlformats.org/officeDocument/2006/relationships/hyperlink" Target="http://www.planalto.gov.br/ccivil_03/_ato2007-2010/2010/Decreto/D7320.htm" TargetMode="External"/><Relationship Id="rId221" Type="http://schemas.openxmlformats.org/officeDocument/2006/relationships/hyperlink" Target="http://www.planalto.gov.br/ccivil_03/_Ato2023-2026/2023/Lei/L14537.htm" TargetMode="External"/><Relationship Id="rId263" Type="http://schemas.openxmlformats.org/officeDocument/2006/relationships/hyperlink" Target="http://www.planalto.gov.br/ccivil_03/Decreto-Lei/Del2335.htm" TargetMode="External"/><Relationship Id="rId319" Type="http://schemas.openxmlformats.org/officeDocument/2006/relationships/hyperlink" Target="http://www.planalto.gov.br/ccivil_03/Decreto-Lei/Del9295.htm" TargetMode="External"/><Relationship Id="rId470" Type="http://schemas.openxmlformats.org/officeDocument/2006/relationships/hyperlink" Target="http://www.planalto.gov.br/ccivil_03/LEIS/L5172.htm" TargetMode="External"/><Relationship Id="rId58" Type="http://schemas.openxmlformats.org/officeDocument/2006/relationships/hyperlink" Target="http://www.planalto.gov.br/ccivil_03/LEIS/L9430.htm" TargetMode="External"/><Relationship Id="rId123" Type="http://schemas.openxmlformats.org/officeDocument/2006/relationships/hyperlink" Target="http://www.planalto.gov.br/ccivil_03/_Ato2011-2014/2013/Lei/L12838.htm" TargetMode="External"/><Relationship Id="rId330" Type="http://schemas.openxmlformats.org/officeDocument/2006/relationships/hyperlink" Target="http://www.planalto.gov.br/ccivil_03/_Ato2019-2022/2022/Lei/L14317.htm" TargetMode="External"/><Relationship Id="rId165" Type="http://schemas.openxmlformats.org/officeDocument/2006/relationships/hyperlink" Target="http://www.planalto.gov.br/ccivil_03/_ato2007-2010/2010/lei/L12249.htm" TargetMode="External"/><Relationship Id="rId372" Type="http://schemas.openxmlformats.org/officeDocument/2006/relationships/hyperlink" Target="http://www.planalto.gov.br/ccivil_03/_Ato2015-2018/2018/Mpv/mpv817.htm" TargetMode="External"/><Relationship Id="rId428" Type="http://schemas.openxmlformats.org/officeDocument/2006/relationships/hyperlink" Target="http://www.planalto.gov.br/ccivil_03/_ato2007-2010/2008/Dnn/Dnn11612.htm" TargetMode="External"/><Relationship Id="rId232" Type="http://schemas.openxmlformats.org/officeDocument/2006/relationships/hyperlink" Target="http://www.planalto.gov.br/ccivil_03/_Ato2015-2018/2016/Mpv/mpv713.htm" TargetMode="External"/><Relationship Id="rId274" Type="http://schemas.openxmlformats.org/officeDocument/2006/relationships/hyperlink" Target="http://www.planalto.gov.br/ccivil_03/_ato2007-2010/2008/Lei/L11775.htm" TargetMode="External"/><Relationship Id="rId481" Type="http://schemas.openxmlformats.org/officeDocument/2006/relationships/hyperlink" Target="http://www.planalto.gov.br/ccivil_03/_ato2007-2010/2008/Lei/L11775.htm" TargetMode="External"/><Relationship Id="rId27" Type="http://schemas.openxmlformats.org/officeDocument/2006/relationships/hyperlink" Target="http://www.planalto.gov.br/ccivil_03/_ato2007-2010/2010/lei/L12249.htm" TargetMode="External"/><Relationship Id="rId69" Type="http://schemas.openxmlformats.org/officeDocument/2006/relationships/hyperlink" Target="http://www.planalto.gov.br/ccivil_03/_Ato2004-2006/2004/Lei/L10.865.htm" TargetMode="External"/><Relationship Id="rId134" Type="http://schemas.openxmlformats.org/officeDocument/2006/relationships/hyperlink" Target="http://www.planalto.gov.br/ccivil_03/_Ato2011-2014/2013/Mpv/mpv608.htm" TargetMode="External"/><Relationship Id="rId80" Type="http://schemas.openxmlformats.org/officeDocument/2006/relationships/hyperlink" Target="http://www.planalto.gov.br/ccivil_03/LEIS/2002/L10637.htm" TargetMode="External"/><Relationship Id="rId176" Type="http://schemas.openxmlformats.org/officeDocument/2006/relationships/hyperlink" Target="http://www.planalto.gov.br/ccivil_03/_ato2007-2010/2009/Lei/L11977.htm" TargetMode="External"/><Relationship Id="rId341" Type="http://schemas.openxmlformats.org/officeDocument/2006/relationships/hyperlink" Target="http://www.planalto.gov.br/ccivil_03/_Ato2011-2014/2013/Lei/L12800.htm" TargetMode="External"/><Relationship Id="rId383" Type="http://schemas.openxmlformats.org/officeDocument/2006/relationships/hyperlink" Target="http://www.planalto.gov.br/ccivil_03/_Ato2015-2018/2018/Mpv/mpv817.htm" TargetMode="External"/><Relationship Id="rId439" Type="http://schemas.openxmlformats.org/officeDocument/2006/relationships/hyperlink" Target="http://www.planalto.gov.br/ccivil_03/_ato2007-2010/2008/Dnn/Dnn11612.htm" TargetMode="External"/><Relationship Id="rId201" Type="http://schemas.openxmlformats.org/officeDocument/2006/relationships/hyperlink" Target="http://www.planalto.gov.br/ccivil_03/_Ato2011-2014/2013/Lei/L12844.htm" TargetMode="External"/><Relationship Id="rId243" Type="http://schemas.openxmlformats.org/officeDocument/2006/relationships/hyperlink" Target="http://www.planalto.gov.br/ccivil_03/_ato2007-2010/2009/Lei/L11945.htm" TargetMode="External"/><Relationship Id="rId285" Type="http://schemas.openxmlformats.org/officeDocument/2006/relationships/hyperlink" Target="http://www.planalto.gov.br/ccivil_03/_Ato2004-2006/2006/Lei/L11322.htm" TargetMode="External"/><Relationship Id="rId450" Type="http://schemas.openxmlformats.org/officeDocument/2006/relationships/hyperlink" Target="http://www.planalto.gov.br/ccivil_03/_Ato2011-2014/2012/Lei/L12678.htm" TargetMode="External"/><Relationship Id="rId506" Type="http://schemas.openxmlformats.org/officeDocument/2006/relationships/hyperlink" Target="http://www.planalto.gov.br/ccivil_03/_Ato2023-2026/2023/Lei/L14565.htm" TargetMode="External"/><Relationship Id="rId38" Type="http://schemas.openxmlformats.org/officeDocument/2006/relationships/hyperlink" Target="http://www.planalto.gov.br/ccivil_03/_Ato2004-2006/2005/Lei/L11196.htm" TargetMode="External"/><Relationship Id="rId103" Type="http://schemas.openxmlformats.org/officeDocument/2006/relationships/hyperlink" Target="http://www.planalto.gov.br/ccivil_03/_Ato2011-2014/2013/Lei/L12838.htm" TargetMode="External"/><Relationship Id="rId310" Type="http://schemas.openxmlformats.org/officeDocument/2006/relationships/hyperlink" Target="http://www.planalto.gov.br/ccivil_03/_Ato2004-2006/2005/Lei/L11110.htm" TargetMode="External"/><Relationship Id="rId492" Type="http://schemas.openxmlformats.org/officeDocument/2006/relationships/hyperlink" Target="http://www.planalto.gov.br/ccivil_03/Decreto-Lei/Del0423.htm" TargetMode="External"/><Relationship Id="rId91" Type="http://schemas.openxmlformats.org/officeDocument/2006/relationships/hyperlink" Target="http://www.planalto.gov.br/ccivil_03/_Ato2011-2014/2013/Lei/L12788.htm" TargetMode="External"/><Relationship Id="rId145" Type="http://schemas.openxmlformats.org/officeDocument/2006/relationships/hyperlink" Target="http://www.planalto.gov.br/ccivil_03/_Ato2011-2014/2013/Lei/L12838.htm" TargetMode="External"/><Relationship Id="rId187" Type="http://schemas.openxmlformats.org/officeDocument/2006/relationships/hyperlink" Target="http://www.planalto.gov.br/ccivil_03/_ato2007-2010/2010/lei/L12249.htm" TargetMode="External"/><Relationship Id="rId352" Type="http://schemas.openxmlformats.org/officeDocument/2006/relationships/hyperlink" Target="http://www.planalto.gov.br/ccivil_03/LEIS/LCP/Lcp41.htm" TargetMode="External"/><Relationship Id="rId394" Type="http://schemas.openxmlformats.org/officeDocument/2006/relationships/hyperlink" Target="http://www.planalto.gov.br/ccivil_03/_Ato2011-2014/2011/Decreto/D7514.htm" TargetMode="External"/><Relationship Id="rId408" Type="http://schemas.openxmlformats.org/officeDocument/2006/relationships/hyperlink" Target="http://www.planalto.gov.br/ccivil_03/_Ato2011-2014/2011/Decreto/D7514.htm" TargetMode="External"/><Relationship Id="rId212" Type="http://schemas.openxmlformats.org/officeDocument/2006/relationships/hyperlink" Target="http://www.planalto.gov.br/ccivil_03/_Ato2019-2022/2019/Mpv/mpv907.htm" TargetMode="External"/><Relationship Id="rId254" Type="http://schemas.openxmlformats.org/officeDocument/2006/relationships/hyperlink" Target="http://www.planalto.gov.br/ccivil_03/LEIS/L5869.htm" TargetMode="External"/><Relationship Id="rId49" Type="http://schemas.openxmlformats.org/officeDocument/2006/relationships/hyperlink" Target="http://www.planalto.gov.br/ccivil_03/LEIS/L9718.htm" TargetMode="External"/><Relationship Id="rId114" Type="http://schemas.openxmlformats.org/officeDocument/2006/relationships/hyperlink" Target="http://www.planalto.gov.br/ccivil_03/_Ato2011-2014/2013/Lei/L12838.htm" TargetMode="External"/><Relationship Id="rId296" Type="http://schemas.openxmlformats.org/officeDocument/2006/relationships/hyperlink" Target="http://www.planalto.gov.br/ccivil_03/_Ato2011-2014/2012/Lei/L12599.htm" TargetMode="External"/><Relationship Id="rId461" Type="http://schemas.openxmlformats.org/officeDocument/2006/relationships/hyperlink" Target="http://www.planalto.gov.br/ccivil_03/Decreto-Lei/Del3365.htm" TargetMode="External"/><Relationship Id="rId60" Type="http://schemas.openxmlformats.org/officeDocument/2006/relationships/hyperlink" Target="http://www.planalto.gov.br/ccivil_03/LEIS/L4506.htm" TargetMode="External"/><Relationship Id="rId156" Type="http://schemas.openxmlformats.org/officeDocument/2006/relationships/hyperlink" Target="http://www.planalto.gov.br/ccivil_03/_Ato2011-2014/2013/Mpv/mpv608.htm" TargetMode="External"/><Relationship Id="rId198" Type="http://schemas.openxmlformats.org/officeDocument/2006/relationships/hyperlink" Target="http://www.planalto.gov.br/ccivil_03/LEIS/L9430.htm" TargetMode="External"/><Relationship Id="rId321" Type="http://schemas.openxmlformats.org/officeDocument/2006/relationships/hyperlink" Target="http://www.planalto.gov.br/ccivil_03/_Ato2004-2006/2004/Lei/L10.865.htm" TargetMode="External"/><Relationship Id="rId363" Type="http://schemas.openxmlformats.org/officeDocument/2006/relationships/hyperlink" Target="http://www.planalto.gov.br/ccivil_03/_Ato2015-2018/2018/Mpv/mpv817.htm" TargetMode="External"/><Relationship Id="rId419" Type="http://schemas.openxmlformats.org/officeDocument/2006/relationships/hyperlink" Target="http://www.planalto.gov.br/ccivil_03/_ato2007-2010/2009/Lei/L12029.htm" TargetMode="External"/><Relationship Id="rId223" Type="http://schemas.openxmlformats.org/officeDocument/2006/relationships/hyperlink" Target="http://www.planalto.gov.br/ccivil_03/_Ato2023-2026/2023/Lei/L14537.htm" TargetMode="External"/><Relationship Id="rId430" Type="http://schemas.openxmlformats.org/officeDocument/2006/relationships/hyperlink" Target="http://www.planalto.gov.br/ccivil_03/_ato2007-2010/2008/Dnn/Dnn11612.htm" TargetMode="External"/><Relationship Id="rId18" Type="http://schemas.openxmlformats.org/officeDocument/2006/relationships/hyperlink" Target="http://www.planalto.gov.br/ccivil_03/_ato2007-2010/2010/lei/L12249.htm" TargetMode="External"/><Relationship Id="rId265" Type="http://schemas.openxmlformats.org/officeDocument/2006/relationships/hyperlink" Target="http://www.planalto.gov.br/ccivil_03/LEIS/L8024.htm" TargetMode="External"/><Relationship Id="rId472" Type="http://schemas.openxmlformats.org/officeDocument/2006/relationships/hyperlink" Target="http://www.planalto.gov.br/ccivil_03/_ato2007-2010/2009/Lei/L11941.htm" TargetMode="External"/><Relationship Id="rId125" Type="http://schemas.openxmlformats.org/officeDocument/2006/relationships/hyperlink" Target="http://www.planalto.gov.br/ccivil_03/_Ato2011-2014/2013/Mpv/mpv608.htm" TargetMode="External"/><Relationship Id="rId167" Type="http://schemas.openxmlformats.org/officeDocument/2006/relationships/hyperlink" Target="http://www.planalto.gov.br/ccivil_03/_ato2007-2010/2010/lei/L12249.htm" TargetMode="External"/><Relationship Id="rId332" Type="http://schemas.openxmlformats.org/officeDocument/2006/relationships/hyperlink" Target="http://www.planalto.gov.br/ccivil_03/_ato2007-2010/2007/Lei/L11578.htm" TargetMode="External"/><Relationship Id="rId374" Type="http://schemas.openxmlformats.org/officeDocument/2006/relationships/hyperlink" Target="http://www.planalto.gov.br/ccivil_03/_Ato2015-2018/2018/Mpv/mpv817.htm" TargetMode="External"/><Relationship Id="rId71" Type="http://schemas.openxmlformats.org/officeDocument/2006/relationships/hyperlink" Target="http://www.planalto.gov.br/ccivil_03/_ato2007-2010/2010/lei/L12249.htm" TargetMode="External"/><Relationship Id="rId234" Type="http://schemas.openxmlformats.org/officeDocument/2006/relationships/hyperlink" Target="http://www.planalto.gov.br/ccivil_03/LEIS/L9430.htm" TargetMode="External"/><Relationship Id="rId2" Type="http://schemas.openxmlformats.org/officeDocument/2006/relationships/settings" Target="settings.xml"/><Relationship Id="rId29" Type="http://schemas.openxmlformats.org/officeDocument/2006/relationships/hyperlink" Target="http://www.planalto.gov.br/ccivil_03/_ato2007-2010/2010/lei/L12249.htm" TargetMode="External"/><Relationship Id="rId276" Type="http://schemas.openxmlformats.org/officeDocument/2006/relationships/hyperlink" Target="https://legislacao.planalto.gov.br/LEGISLA/Legislacao.nsf/viwTodos/87962492E1FBD1EA032569FA0068B30E?OpenDocument&amp;HIGHLIGHT=1," TargetMode="External"/><Relationship Id="rId441" Type="http://schemas.openxmlformats.org/officeDocument/2006/relationships/hyperlink" Target="http://www.planalto.gov.br/ccivil_03/_Ato2011-2014/2012/Mpv/558.htm" TargetMode="External"/><Relationship Id="rId483" Type="http://schemas.openxmlformats.org/officeDocument/2006/relationships/hyperlink" Target="http://www.planalto.gov.br/ccivil_03/_ato2007-2010/2010/lei/L12249.htm" TargetMode="External"/><Relationship Id="rId40" Type="http://schemas.openxmlformats.org/officeDocument/2006/relationships/hyperlink" Target="http://www.planalto.gov.br/ccivil_03/LEIS/L9430.htm" TargetMode="External"/><Relationship Id="rId136" Type="http://schemas.openxmlformats.org/officeDocument/2006/relationships/hyperlink" Target="http://www.planalto.gov.br/ccivil_03/_Ato2011-2014/2013/Lei/L12838.htm" TargetMode="External"/><Relationship Id="rId178" Type="http://schemas.openxmlformats.org/officeDocument/2006/relationships/hyperlink" Target="http://www.planalto.gov.br/ccivil_03/LEIS/L6404consol.htm" TargetMode="External"/><Relationship Id="rId301" Type="http://schemas.openxmlformats.org/officeDocument/2006/relationships/hyperlink" Target="http://www.planalto.gov.br/ccivil_03/_Ato2011-2014/2013/Mpv/mpv610.htm" TargetMode="External"/><Relationship Id="rId343" Type="http://schemas.openxmlformats.org/officeDocument/2006/relationships/hyperlink" Target="http://www.planalto.gov.br/ccivil_03/Constituicao/Constitui%C3%A7ao.htm" TargetMode="External"/><Relationship Id="rId82" Type="http://schemas.openxmlformats.org/officeDocument/2006/relationships/hyperlink" Target="http://www.planalto.gov.br/ccivil_03/_Ato2011-2014/2011/Decreto/D7451.htm" TargetMode="External"/><Relationship Id="rId203" Type="http://schemas.openxmlformats.org/officeDocument/2006/relationships/hyperlink" Target="http://www.planalto.gov.br/ccivil_03/_Ato2015-2018/2016/Lei/L13315.htm" TargetMode="External"/><Relationship Id="rId385" Type="http://schemas.openxmlformats.org/officeDocument/2006/relationships/hyperlink" Target="http://www.planalto.gov.br/ccivil_03/_Ato2011-2014/2011/Decreto/D7514.htm" TargetMode="External"/><Relationship Id="rId245" Type="http://schemas.openxmlformats.org/officeDocument/2006/relationships/hyperlink" Target="http://www.planalto.gov.br/ccivil_03/_Ato2011-2014/2013/Lei/L12872.htm" TargetMode="External"/><Relationship Id="rId287" Type="http://schemas.openxmlformats.org/officeDocument/2006/relationships/hyperlink" Target="http://www.planalto.gov.br/ccivil_03/_ato2007-2010/2008/Lei/L11775.htm" TargetMode="External"/><Relationship Id="rId410" Type="http://schemas.openxmlformats.org/officeDocument/2006/relationships/hyperlink" Target="http://www.planalto.gov.br/ccivil_03/decreto/D3112.htm" TargetMode="External"/><Relationship Id="rId452" Type="http://schemas.openxmlformats.org/officeDocument/2006/relationships/hyperlink" Target="http://www.planalto.gov.br/ccivil_03/_Ato2011-2014/2012/Lei/L12678.htm" TargetMode="External"/><Relationship Id="rId494" Type="http://schemas.openxmlformats.org/officeDocument/2006/relationships/hyperlink" Target="http://www.planalto.gov.br/ccivil_03/_ato2007-2010/2010/lei/L12189.htm" TargetMode="External"/><Relationship Id="rId508" Type="http://schemas.openxmlformats.org/officeDocument/2006/relationships/hyperlink" Target="http://www.planalto.gov.br/ccivil_03/_ato2007-2010/2008/Lei/L11775.htm" TargetMode="External"/><Relationship Id="rId105" Type="http://schemas.openxmlformats.org/officeDocument/2006/relationships/hyperlink" Target="http://www.planalto.gov.br/ccivil_03/_Ato2011-2014/2013/Mpv/mpv608.htm" TargetMode="External"/><Relationship Id="rId147" Type="http://schemas.openxmlformats.org/officeDocument/2006/relationships/hyperlink" Target="http://www.planalto.gov.br/ccivil_03/_Ato2011-2014/2013/Mpv/mpv608.htm" TargetMode="External"/><Relationship Id="rId312" Type="http://schemas.openxmlformats.org/officeDocument/2006/relationships/hyperlink" Target="http://www.planalto.gov.br/ccivil_03/Decreto-Lei/Del9295.htm" TargetMode="External"/><Relationship Id="rId354" Type="http://schemas.openxmlformats.org/officeDocument/2006/relationships/hyperlink" Target="http://www.planalto.gov.br/ccivil_03/_Ato2015-2018/2018/Mpv/mpv817.htm" TargetMode="External"/><Relationship Id="rId51" Type="http://schemas.openxmlformats.org/officeDocument/2006/relationships/hyperlink" Target="http://www.planalto.gov.br/ccivil_03/LEIS/L9430.htm" TargetMode="External"/><Relationship Id="rId93" Type="http://schemas.openxmlformats.org/officeDocument/2006/relationships/hyperlink" Target="http://www.planalto.gov.br/ccivil_03/_ato2007-2010/2010/lei/L12249.htm" TargetMode="External"/><Relationship Id="rId189" Type="http://schemas.openxmlformats.org/officeDocument/2006/relationships/hyperlink" Target="http://www.planalto.gov.br/ccivil_03/_ato2007-2010/2010/lei/L12249.htm" TargetMode="External"/><Relationship Id="rId396" Type="http://schemas.openxmlformats.org/officeDocument/2006/relationships/hyperlink" Target="http://www.planalto.gov.br/ccivil_03/_Ato2011-2014/2011/Decreto/D7514.htm" TargetMode="External"/><Relationship Id="rId214" Type="http://schemas.openxmlformats.org/officeDocument/2006/relationships/hyperlink" Target="http://www.planalto.gov.br/ccivil_03/_Ato2019-2022/2019/Mpv/mpv907.htm" TargetMode="External"/><Relationship Id="rId256" Type="http://schemas.openxmlformats.org/officeDocument/2006/relationships/hyperlink" Target="http://www.planalto.gov.br/ccivil_03/_Ato2011-2014/2013/Lei/L12865.htm" TargetMode="External"/><Relationship Id="rId298" Type="http://schemas.openxmlformats.org/officeDocument/2006/relationships/hyperlink" Target="http://www.planalto.gov.br/ccivil_03/_Ato2011-2014/2013/Lei/L12844.htm" TargetMode="External"/><Relationship Id="rId421" Type="http://schemas.openxmlformats.org/officeDocument/2006/relationships/hyperlink" Target="http://www.planalto.gov.br/ccivil_03/decreto/1980-1989/D96188.htm" TargetMode="External"/><Relationship Id="rId463" Type="http://schemas.openxmlformats.org/officeDocument/2006/relationships/hyperlink" Target="http://www.planalto.gov.br/ccivil_03/_ato2007-2010/2009/Lei/L11941.htm" TargetMode="External"/><Relationship Id="rId116" Type="http://schemas.openxmlformats.org/officeDocument/2006/relationships/hyperlink" Target="http://www.planalto.gov.br/ccivil_03/_Ato2011-2014/2013/Mpv/mpv608.htm" TargetMode="External"/><Relationship Id="rId158" Type="http://schemas.openxmlformats.org/officeDocument/2006/relationships/hyperlink" Target="http://www.planalto.gov.br/ccivil_03/_Ato2011-2014/2013/Lei/L12838.htm" TargetMode="External"/><Relationship Id="rId323" Type="http://schemas.openxmlformats.org/officeDocument/2006/relationships/hyperlink" Target="http://www.planalto.gov.br/ccivil_03/Decreto-Lei/Del0491.htm" TargetMode="External"/><Relationship Id="rId20" Type="http://schemas.openxmlformats.org/officeDocument/2006/relationships/hyperlink" Target="http://www.planalto.gov.br/ccivil_03/_ato2007-2010/2010/lei/L12249.htm" TargetMode="External"/><Relationship Id="rId62" Type="http://schemas.openxmlformats.org/officeDocument/2006/relationships/hyperlink" Target="http://www.planalto.gov.br/ccivil_03/LEIS/L9430.htm" TargetMode="External"/><Relationship Id="rId365" Type="http://schemas.openxmlformats.org/officeDocument/2006/relationships/hyperlink" Target="http://www.planalto.gov.br/ccivil_03/_Ato2015-2018/2018/Mpv/mpv817.htm" TargetMode="External"/><Relationship Id="rId225" Type="http://schemas.openxmlformats.org/officeDocument/2006/relationships/hyperlink" Target="http://www.planalto.gov.br/ccivil_03/_Ato2023-2026/2023/Lei/L14537.htm" TargetMode="External"/><Relationship Id="rId267" Type="http://schemas.openxmlformats.org/officeDocument/2006/relationships/hyperlink" Target="http://www.planalto.gov.br/ccivil_03/_Ato2015-2018/2017/Lei/L13496.htm" TargetMode="External"/><Relationship Id="rId432" Type="http://schemas.openxmlformats.org/officeDocument/2006/relationships/hyperlink" Target="http://www.planalto.gov.br/ccivil_03/_Ato2011-2014/2011/Mpv/542.htm" TargetMode="External"/><Relationship Id="rId474" Type="http://schemas.openxmlformats.org/officeDocument/2006/relationships/hyperlink" Target="http://www.planalto.gov.br/ccivil_03/_Ato2011-2014/2011/Lei/L12490.htm" TargetMode="External"/><Relationship Id="rId127" Type="http://schemas.openxmlformats.org/officeDocument/2006/relationships/hyperlink" Target="http://www.planalto.gov.br/ccivil_03/_Ato2011-2014/2013/Lei/L12838.htm" TargetMode="External"/><Relationship Id="rId31" Type="http://schemas.openxmlformats.org/officeDocument/2006/relationships/hyperlink" Target="http://www.planalto.gov.br/ccivil_03/_ato2007-2010/2010/lei/L12249.htm" TargetMode="External"/><Relationship Id="rId73" Type="http://schemas.openxmlformats.org/officeDocument/2006/relationships/hyperlink" Target="http://www.planalto.gov.br/ccivil_03/_ato2007-2010/2010/lei/L12249.htm" TargetMode="External"/><Relationship Id="rId169" Type="http://schemas.openxmlformats.org/officeDocument/2006/relationships/hyperlink" Target="http://www.planalto.gov.br/ccivil_03/_ato2007-2010/2010/lei/L12249.htmart139" TargetMode="External"/><Relationship Id="rId334" Type="http://schemas.openxmlformats.org/officeDocument/2006/relationships/hyperlink" Target="http://www.planalto.gov.br/ccivil_03/LEIS/L9496.htm" TargetMode="External"/><Relationship Id="rId376" Type="http://schemas.openxmlformats.org/officeDocument/2006/relationships/hyperlink" Target="http://www.planalto.gov.br/ccivil_03/_Ato2011-2014/2011/Decreto/D7514.htm" TargetMode="External"/><Relationship Id="rId4" Type="http://schemas.openxmlformats.org/officeDocument/2006/relationships/hyperlink" Target="http://legislacao.planalto.gov.br/legisla/legislacao.nsf/Viw_Identificacao/lei%2012.249-2010?OpenDocument" TargetMode="External"/><Relationship Id="rId180" Type="http://schemas.openxmlformats.org/officeDocument/2006/relationships/hyperlink" Target="http://www.planalto.gov.br/ccivil_03/_ato2007-2010/2010/lei/L12249.htm" TargetMode="External"/><Relationship Id="rId236" Type="http://schemas.openxmlformats.org/officeDocument/2006/relationships/hyperlink" Target="http://www.planalto.gov.br/ccivil_03/_Ato2011-2014/2013/Lei/L12844.htm" TargetMode="External"/><Relationship Id="rId278" Type="http://schemas.openxmlformats.org/officeDocument/2006/relationships/hyperlink" Target="https://legislacao.planalto.gov.br/LEGISLA/Legislacao.nsf/viwTodos/87962492E1FBD1EA032569FA0068B30E?OpenDocument&amp;HIGHLIGHT=1," TargetMode="External"/><Relationship Id="rId401" Type="http://schemas.openxmlformats.org/officeDocument/2006/relationships/hyperlink" Target="http://www.planalto.gov.br/ccivil_03/_Ato2015-2018/2018/Mpv/mpv817.htm" TargetMode="External"/><Relationship Id="rId443" Type="http://schemas.openxmlformats.org/officeDocument/2006/relationships/hyperlink" Target="http://www.planalto.gov.br/ccivil_03/_Ato2011-2014/2012/Mpv/558.htm" TargetMode="External"/><Relationship Id="rId303" Type="http://schemas.openxmlformats.org/officeDocument/2006/relationships/hyperlink" Target="http://www.planalto.gov.br/ccivil_03/_ato2007-2010/2010/Decreto/D7339.htm" TargetMode="External"/><Relationship Id="rId485" Type="http://schemas.openxmlformats.org/officeDocument/2006/relationships/hyperlink" Target="http://www.planalto.gov.br/ccivil_03/_ato2007-2010/2010/lei/L12249.htm" TargetMode="External"/><Relationship Id="rId42" Type="http://schemas.openxmlformats.org/officeDocument/2006/relationships/hyperlink" Target="http://www.planalto.gov.br/ccivil_03/_Ato2004-2006/2004/Lei/L10.865.htm" TargetMode="External"/><Relationship Id="rId84" Type="http://schemas.openxmlformats.org/officeDocument/2006/relationships/hyperlink" Target="http://www.planalto.gov.br/ccivil_03/_Ato2011-2014/2011/Decreto/D7451.htm" TargetMode="External"/><Relationship Id="rId138" Type="http://schemas.openxmlformats.org/officeDocument/2006/relationships/hyperlink" Target="http://www.planalto.gov.br/ccivil_03/_Ato2011-2014/2013/Mpv/mpv608.htm" TargetMode="External"/><Relationship Id="rId345" Type="http://schemas.openxmlformats.org/officeDocument/2006/relationships/hyperlink" Target="http://www.planalto.gov.br/ccivil_03/_Ato2011-2014/2011/Decreto/D7514.htm" TargetMode="External"/><Relationship Id="rId387" Type="http://schemas.openxmlformats.org/officeDocument/2006/relationships/hyperlink" Target="http://www.planalto.gov.br/ccivil_03/_Ato2011-2014/2011/Decreto/D7514.htm" TargetMode="External"/><Relationship Id="rId510" Type="http://schemas.openxmlformats.org/officeDocument/2006/relationships/hyperlink" Target="http://www.planalto.gov.br/ccivil_03/_ato2007-2010/2008/Lei/L11775.htm" TargetMode="External"/><Relationship Id="rId191" Type="http://schemas.openxmlformats.org/officeDocument/2006/relationships/hyperlink" Target="http://www.planalto.gov.br/ccivil_03/LEIS/L9933.htm" TargetMode="External"/><Relationship Id="rId205" Type="http://schemas.openxmlformats.org/officeDocument/2006/relationships/hyperlink" Target="http://www.planalto.gov.br/ccivil_03/_Ato2019-2022/2019/Mpv/mpv907.htm" TargetMode="External"/><Relationship Id="rId247" Type="http://schemas.openxmlformats.org/officeDocument/2006/relationships/hyperlink" Target="http://www.planalto.gov.br/ccivil_03/LEIS/L9430.htm" TargetMode="External"/><Relationship Id="rId412" Type="http://schemas.openxmlformats.org/officeDocument/2006/relationships/hyperlink" Target="http://www.planalto.gov.br/ccivil_03/LEIS/L9796.htm" TargetMode="External"/><Relationship Id="rId107" Type="http://schemas.openxmlformats.org/officeDocument/2006/relationships/hyperlink" Target="http://www.planalto.gov.br/ccivil_03/_Ato2011-2014/2013/Lei/L12838.htm" TargetMode="External"/><Relationship Id="rId289" Type="http://schemas.openxmlformats.org/officeDocument/2006/relationships/hyperlink" Target="http://www.planalto.gov.br/ccivil_03/_Ato2004-2006/2006/Lei/L11322.htm" TargetMode="External"/><Relationship Id="rId454" Type="http://schemas.openxmlformats.org/officeDocument/2006/relationships/hyperlink" Target="http://www.planalto.gov.br/ccivil_03/_Ato2011-2014/2012/Mpv/558.htm" TargetMode="External"/><Relationship Id="rId496" Type="http://schemas.openxmlformats.org/officeDocument/2006/relationships/hyperlink" Target="http://www.planalto.gov.br/ccivil_03/_Ato2019-2022/2022/Mpv/mpv1145.htm" TargetMode="External"/><Relationship Id="rId11" Type="http://schemas.openxmlformats.org/officeDocument/2006/relationships/hyperlink" Target="http://www.planalto.gov.br/ccivil_03/_ato2007-2010/2010/Decreto/D7320.htm" TargetMode="External"/><Relationship Id="rId53" Type="http://schemas.openxmlformats.org/officeDocument/2006/relationships/hyperlink" Target="http://www.planalto.gov.br/ccivil_03/LEIS/L4506.htm" TargetMode="External"/><Relationship Id="rId149" Type="http://schemas.openxmlformats.org/officeDocument/2006/relationships/hyperlink" Target="http://www.planalto.gov.br/ccivil_03/_Ato2011-2014/2013/Lei/L12838.htm" TargetMode="External"/><Relationship Id="rId314" Type="http://schemas.openxmlformats.org/officeDocument/2006/relationships/hyperlink" Target="http://www.planalto.gov.br/ccivil_03/Decreto-Lei/Del9295.htm" TargetMode="External"/><Relationship Id="rId356" Type="http://schemas.openxmlformats.org/officeDocument/2006/relationships/hyperlink" Target="http://www.planalto.gov.br/ccivil_03/_Ato2011-2014/2013/Lei/L12800.htm" TargetMode="External"/><Relationship Id="rId398" Type="http://schemas.openxmlformats.org/officeDocument/2006/relationships/hyperlink" Target="http://www.planalto.gov.br/ccivil_03/_Ato2015-2018/2018/Mpv/mpv817.htm" TargetMode="External"/><Relationship Id="rId95" Type="http://schemas.openxmlformats.org/officeDocument/2006/relationships/hyperlink" Target="http://www.planalto.gov.br/ccivil_03/_Ato2011-2014/2013/Mpv/mpv608.htm" TargetMode="External"/><Relationship Id="rId160" Type="http://schemas.openxmlformats.org/officeDocument/2006/relationships/hyperlink" Target="http://www.planalto.gov.br/ccivil_03/_Ato2011-2014/2013/Mpv/mpv608.htm" TargetMode="External"/><Relationship Id="rId216" Type="http://schemas.openxmlformats.org/officeDocument/2006/relationships/hyperlink" Target="http://www.planalto.gov.br/ccivil_03/_Ato2019-2022/2019/Mpv/mpv907.htm" TargetMode="External"/><Relationship Id="rId423" Type="http://schemas.openxmlformats.org/officeDocument/2006/relationships/hyperlink" Target="http://www.planalto.gov.br/ccivil_03/_Ato2011-2014/2011/Congresso/apn-047-mpv542.htm" TargetMode="External"/><Relationship Id="rId258" Type="http://schemas.openxmlformats.org/officeDocument/2006/relationships/hyperlink" Target="http://www.planalto.gov.br/ccivil_03/_Ato2011-2014/2011/Lei/L12402.htm" TargetMode="External"/><Relationship Id="rId465" Type="http://schemas.openxmlformats.org/officeDocument/2006/relationships/hyperlink" Target="http://www.planalto.gov.br/ccivil_03/_ato2007-2010/2009/Lei/L11941.htm" TargetMode="External"/><Relationship Id="rId22" Type="http://schemas.openxmlformats.org/officeDocument/2006/relationships/hyperlink" Target="http://www.planalto.gov.br/ccivil_03/LEIS/LCP/Lcp123.htm" TargetMode="External"/><Relationship Id="rId64" Type="http://schemas.openxmlformats.org/officeDocument/2006/relationships/hyperlink" Target="http://www.planalto.gov.br/ccivil_03/LEIS/L9249.htm" TargetMode="External"/><Relationship Id="rId118" Type="http://schemas.openxmlformats.org/officeDocument/2006/relationships/hyperlink" Target="http://www.planalto.gov.br/ccivil_03/_Ato2011-2014/2013/Lei/L12838.htm" TargetMode="External"/><Relationship Id="rId325" Type="http://schemas.openxmlformats.org/officeDocument/2006/relationships/hyperlink" Target="http://www.planalto.gov.br/ccivil_03/LEIS/L8981.htm" TargetMode="External"/><Relationship Id="rId367" Type="http://schemas.openxmlformats.org/officeDocument/2006/relationships/hyperlink" Target="http://www.planalto.gov.br/ccivil_03/_Ato2015-2018/2018/Mpv/mpv817.htm" TargetMode="External"/><Relationship Id="rId171" Type="http://schemas.openxmlformats.org/officeDocument/2006/relationships/hyperlink" Target="http://www.planalto.gov.br/ccivil_03/_ato2007-2010/2009/Lei/L11977.htm" TargetMode="External"/><Relationship Id="rId227" Type="http://schemas.openxmlformats.org/officeDocument/2006/relationships/hyperlink" Target="http://www.planalto.gov.br/ccivil_03/LEIS/L9430.htm" TargetMode="External"/><Relationship Id="rId269" Type="http://schemas.openxmlformats.org/officeDocument/2006/relationships/hyperlink" Target="http://www.planalto.gov.br/ccivil_03/LEIS/L5615.htm" TargetMode="External"/><Relationship Id="rId434" Type="http://schemas.openxmlformats.org/officeDocument/2006/relationships/hyperlink" Target="http://www.planalto.gov.br/ccivil_03/_Ato2011-2014/2011/Mpv/542.htm" TargetMode="External"/><Relationship Id="rId476" Type="http://schemas.openxmlformats.org/officeDocument/2006/relationships/hyperlink" Target="http://www.planalto.gov.br/ccivil_03/_ato2007-2010/2008/Lei/L11775.htm" TargetMode="External"/><Relationship Id="rId33" Type="http://schemas.openxmlformats.org/officeDocument/2006/relationships/hyperlink" Target="http://www.planalto.gov.br/ccivil_03/LEIS/L8248.htm" TargetMode="External"/><Relationship Id="rId129" Type="http://schemas.openxmlformats.org/officeDocument/2006/relationships/hyperlink" Target="http://www.planalto.gov.br/ccivil_03/_Ato2011-2014/2013/Mpv/mpv608.htm" TargetMode="External"/><Relationship Id="rId280" Type="http://schemas.openxmlformats.org/officeDocument/2006/relationships/hyperlink" Target="http://www.planalto.gov.br/ccivil_03/_Ato2011-2014/2013/Lei/L12872.htm" TargetMode="External"/><Relationship Id="rId336" Type="http://schemas.openxmlformats.org/officeDocument/2006/relationships/hyperlink" Target="http://www.planalto.gov.br/ccivil_03/MPV/2185-35.htm" TargetMode="External"/><Relationship Id="rId501" Type="http://schemas.openxmlformats.org/officeDocument/2006/relationships/hyperlink" Target="http://www.planalto.gov.br/ccivil_03/_Ato2019-2022/2022/Mpv/mpv1145.htm" TargetMode="External"/><Relationship Id="rId75" Type="http://schemas.openxmlformats.org/officeDocument/2006/relationships/hyperlink" Target="http://www.planalto.gov.br/ccivil_03/LEIS/LCP/Lcp123.htm" TargetMode="External"/><Relationship Id="rId140" Type="http://schemas.openxmlformats.org/officeDocument/2006/relationships/hyperlink" Target="http://www.planalto.gov.br/ccivil_03/_Ato2011-2014/2013/Lei/L12838.htm" TargetMode="External"/><Relationship Id="rId182" Type="http://schemas.openxmlformats.org/officeDocument/2006/relationships/hyperlink" Target="http://www.planalto.gov.br/ccivil_03/_ato2007-2010/2010/lei/L12249.htm" TargetMode="External"/><Relationship Id="rId378" Type="http://schemas.openxmlformats.org/officeDocument/2006/relationships/hyperlink" Target="http://www.planalto.gov.br/ccivil_03/_Ato2011-2014/2011/Decreto/D7514.htm" TargetMode="External"/><Relationship Id="rId403" Type="http://schemas.openxmlformats.org/officeDocument/2006/relationships/hyperlink" Target="http://www.planalto.gov.br/ccivil_03/_Ato2011-2014/2011/Decreto/D7514.htm" TargetMode="External"/><Relationship Id="rId6" Type="http://schemas.openxmlformats.org/officeDocument/2006/relationships/hyperlink" Target="http://www.planalto.gov.br/ccivil_03/MPV/Quadro/_Quadro%20Geral.htm" TargetMode="External"/><Relationship Id="rId238" Type="http://schemas.openxmlformats.org/officeDocument/2006/relationships/hyperlink" Target="http://www.planalto.gov.br/ccivil_03/_Ato2015-2018/2016/Lei/L13315.htm" TargetMode="External"/><Relationship Id="rId445" Type="http://schemas.openxmlformats.org/officeDocument/2006/relationships/hyperlink" Target="http://www.planalto.gov.br/ccivil_03/_Ato2011-2014/2012/Mpv/558.htm" TargetMode="External"/><Relationship Id="rId487" Type="http://schemas.openxmlformats.org/officeDocument/2006/relationships/hyperlink" Target="http://www.planalto.gov.br/ccivil_03/LEIS/L8003.htm" TargetMode="External"/><Relationship Id="rId291" Type="http://schemas.openxmlformats.org/officeDocument/2006/relationships/hyperlink" Target="http://www.planalto.gov.br/ccivil_03/_ato2007-2010/2008/Lei/L11775.htm" TargetMode="External"/><Relationship Id="rId305" Type="http://schemas.openxmlformats.org/officeDocument/2006/relationships/hyperlink" Target="http://www.planalto.gov.br/ccivil_03/_Ato2011-2014/2012/Lei/L12599.htm" TargetMode="External"/><Relationship Id="rId347" Type="http://schemas.openxmlformats.org/officeDocument/2006/relationships/hyperlink" Target="http://www.planalto.gov.br/ccivil_03/_Ato2011-2014/2011/Decreto/D7514.htm" TargetMode="External"/><Relationship Id="rId512" Type="http://schemas.openxmlformats.org/officeDocument/2006/relationships/hyperlink" Target="http://www.planalto.gov.br/ccivil_03/_ato2007-2010/2008/Lei/L11775.htm" TargetMode="External"/><Relationship Id="rId44" Type="http://schemas.openxmlformats.org/officeDocument/2006/relationships/hyperlink" Target="http://www.planalto.gov.br/ccivil_03/_ato2007-2010/2007/Lei/L11484.htm" TargetMode="External"/><Relationship Id="rId86" Type="http://schemas.openxmlformats.org/officeDocument/2006/relationships/hyperlink" Target="http://www.planalto.gov.br/ccivil_03/_ato2007-2010/2010/lei/L12249.htm" TargetMode="External"/><Relationship Id="rId151" Type="http://schemas.openxmlformats.org/officeDocument/2006/relationships/hyperlink" Target="http://www.planalto.gov.br/ccivil_03/_Ato2011-2014/2013/Mpv/mpv608.htm" TargetMode="External"/><Relationship Id="rId389" Type="http://schemas.openxmlformats.org/officeDocument/2006/relationships/hyperlink" Target="http://www.planalto.gov.br/ccivil_03/_Ato2015-2018/2018/Mpv/mpv817.htm" TargetMode="External"/><Relationship Id="rId193" Type="http://schemas.openxmlformats.org/officeDocument/2006/relationships/hyperlink" Target="http://www.planalto.gov.br/ccivil_03/_ato2007-2010/2010/lei/L12249.htm" TargetMode="External"/><Relationship Id="rId207" Type="http://schemas.openxmlformats.org/officeDocument/2006/relationships/hyperlink" Target="http://www.planalto.gov.br/ccivil_03/_Ato2019-2022/2019/Mpv/mpv907.htm" TargetMode="External"/><Relationship Id="rId249" Type="http://schemas.openxmlformats.org/officeDocument/2006/relationships/hyperlink" Target="http://www.planalto.gov.br/ccivil_03/_Ato2011-2014/2011/Lei/L12409.htm" TargetMode="External"/><Relationship Id="rId414" Type="http://schemas.openxmlformats.org/officeDocument/2006/relationships/hyperlink" Target="http://www.planalto.gov.br/ccivil_03/_Ato2015-2018/2018/Mpv/mpv817.htm" TargetMode="External"/><Relationship Id="rId456" Type="http://schemas.openxmlformats.org/officeDocument/2006/relationships/hyperlink" Target="http://www.planalto.gov.br/ccivil_03/_Ato2011-2014/2011/Mpv/542.htm" TargetMode="External"/><Relationship Id="rId498" Type="http://schemas.openxmlformats.org/officeDocument/2006/relationships/hyperlink" Target="http://www.planalto.gov.br/ccivil_03/_Ato2023-2026/2023/Lei/L14565.htm" TargetMode="External"/><Relationship Id="rId13" Type="http://schemas.openxmlformats.org/officeDocument/2006/relationships/hyperlink" Target="http://www.planalto.gov.br/ccivil_03/LEIS/2002/L10637.htm" TargetMode="External"/><Relationship Id="rId109" Type="http://schemas.openxmlformats.org/officeDocument/2006/relationships/hyperlink" Target="http://www.planalto.gov.br/ccivil_03/_Ato2011-2014/2013/Mpv/mpv608.htm" TargetMode="External"/><Relationship Id="rId260" Type="http://schemas.openxmlformats.org/officeDocument/2006/relationships/hyperlink" Target="http://www.planalto.gov.br/ccivil_03/_Ato2011-2014/2011/Lei/L12402.htm" TargetMode="External"/><Relationship Id="rId316" Type="http://schemas.openxmlformats.org/officeDocument/2006/relationships/hyperlink" Target="http://www.planalto.gov.br/ccivil_03/Decreto-Lei/Del9295.htm" TargetMode="External"/><Relationship Id="rId55" Type="http://schemas.openxmlformats.org/officeDocument/2006/relationships/hyperlink" Target="http://www.planalto.gov.br/ccivil_03/LEIS/L8212cons.htm" TargetMode="External"/><Relationship Id="rId97" Type="http://schemas.openxmlformats.org/officeDocument/2006/relationships/hyperlink" Target="http://www.planalto.gov.br/ccivil_03/_Ato2011-2014/2013/Lei/L12838.htm" TargetMode="External"/><Relationship Id="rId120" Type="http://schemas.openxmlformats.org/officeDocument/2006/relationships/hyperlink" Target="http://www.planalto.gov.br/ccivil_03/_Ato2011-2014/2013/Mpv/mpv608.htm" TargetMode="External"/><Relationship Id="rId358" Type="http://schemas.openxmlformats.org/officeDocument/2006/relationships/hyperlink" Target="http://www.planalto.gov.br/ccivil_03/_Ato2015-2018/2018/Mpv/mpv817.htm" TargetMode="External"/><Relationship Id="rId162" Type="http://schemas.openxmlformats.org/officeDocument/2006/relationships/hyperlink" Target="http://www.planalto.gov.br/ccivil_03/_Ato2011-2014/2013/Lei/L12838.htm" TargetMode="External"/><Relationship Id="rId218" Type="http://schemas.openxmlformats.org/officeDocument/2006/relationships/hyperlink" Target="http://www.planalto.gov.br/ccivil_03/_Ato2019-2022/2022/Mpv/mpv1138.htm" TargetMode="External"/><Relationship Id="rId425" Type="http://schemas.openxmlformats.org/officeDocument/2006/relationships/hyperlink" Target="http://www.planalto.gov.br/ccivil_03/_Ato2011-2014/2012/Mpv/558.htm" TargetMode="External"/><Relationship Id="rId467" Type="http://schemas.openxmlformats.org/officeDocument/2006/relationships/hyperlink" Target="http://www.planalto.gov.br/ccivil_03/_Ato2011-2014/2013/Lei/L12865.htm" TargetMode="External"/><Relationship Id="rId271" Type="http://schemas.openxmlformats.org/officeDocument/2006/relationships/hyperlink" Target="http://www.planalto.gov.br/ccivil_03/_Ato2004-2006/2006/Lei/L11322.htm" TargetMode="External"/><Relationship Id="rId24" Type="http://schemas.openxmlformats.org/officeDocument/2006/relationships/hyperlink" Target="http://www.planalto.gov.br/ccivil_03/LEIS/2003/L10.833.htm" TargetMode="External"/><Relationship Id="rId66" Type="http://schemas.openxmlformats.org/officeDocument/2006/relationships/hyperlink" Target="http://www.planalto.gov.br/ccivil_03/LEIS/L9430.htm" TargetMode="External"/><Relationship Id="rId131" Type="http://schemas.openxmlformats.org/officeDocument/2006/relationships/hyperlink" Target="http://www.planalto.gov.br/ccivil_03/_Ato2011-2014/2013/Lei/L12838.htm" TargetMode="External"/><Relationship Id="rId327" Type="http://schemas.openxmlformats.org/officeDocument/2006/relationships/hyperlink" Target="http://www.planalto.gov.br/ccivil_03/_Ato2019-2022/2021/Mpv/mpv1072.htm" TargetMode="External"/><Relationship Id="rId369" Type="http://schemas.openxmlformats.org/officeDocument/2006/relationships/hyperlink" Target="http://www.planalto.gov.br/ccivil_03/_Ato2015-2018/2018/Mpv/mpv817.htm" TargetMode="External"/><Relationship Id="rId173" Type="http://schemas.openxmlformats.org/officeDocument/2006/relationships/hyperlink" Target="http://www.planalto.gov.br/ccivil_03/_ato2007-2010/2009/Lei/L11977.htm" TargetMode="External"/><Relationship Id="rId229" Type="http://schemas.openxmlformats.org/officeDocument/2006/relationships/hyperlink" Target="http://www.planalto.gov.br/ccivil_03/_Ato2011-2014/2013/Lei/L12844.htm" TargetMode="External"/><Relationship Id="rId380" Type="http://schemas.openxmlformats.org/officeDocument/2006/relationships/hyperlink" Target="http://www.planalto.gov.br/ccivil_03/_Ato2015-2018/2018/Mpv/mpv817.htm" TargetMode="External"/><Relationship Id="rId436" Type="http://schemas.openxmlformats.org/officeDocument/2006/relationships/hyperlink" Target="http://www.planalto.gov.br/ccivil_03/_Ato2011-2014/2011/Mpv/542.htm" TargetMode="External"/><Relationship Id="rId240" Type="http://schemas.openxmlformats.org/officeDocument/2006/relationships/hyperlink" Target="http://www.planalto.gov.br/ccivil_03/_Ato2015-2018/2016/Mpv/mpv713.htm" TargetMode="External"/><Relationship Id="rId478" Type="http://schemas.openxmlformats.org/officeDocument/2006/relationships/hyperlink" Target="http://www.planalto.gov.br/ccivil_03/_ato2007-2010/2008/Lei/L11775.htm" TargetMode="External"/><Relationship Id="rId35" Type="http://schemas.openxmlformats.org/officeDocument/2006/relationships/hyperlink" Target="http://www.planalto.gov.br/ccivil_03/LEIS/L8387.htm" TargetMode="External"/><Relationship Id="rId77" Type="http://schemas.openxmlformats.org/officeDocument/2006/relationships/hyperlink" Target="http://www.planalto.gov.br/ccivil_03/LEIS/2003/L10.833.htm" TargetMode="External"/><Relationship Id="rId100" Type="http://schemas.openxmlformats.org/officeDocument/2006/relationships/hyperlink" Target="http://www.planalto.gov.br/ccivil_03/_Ato2011-2014/2013/Mpv/mpv608.htm" TargetMode="External"/><Relationship Id="rId282" Type="http://schemas.openxmlformats.org/officeDocument/2006/relationships/hyperlink" Target="http://www.planalto.gov.br/ccivil_03/_Ato2004-2006/2006/Lei/L11322.htm" TargetMode="External"/><Relationship Id="rId338" Type="http://schemas.openxmlformats.org/officeDocument/2006/relationships/hyperlink" Target="http://www.planalto.gov.br/ccivil_03/Constituicao/Constitui%C3%A7ao.htm" TargetMode="External"/><Relationship Id="rId503" Type="http://schemas.openxmlformats.org/officeDocument/2006/relationships/hyperlink" Target="http://www.planalto.gov.br/ccivil_03/_Ato2023-2026/2023/Lei/L14565.htm" TargetMode="External"/><Relationship Id="rId8" Type="http://schemas.openxmlformats.org/officeDocument/2006/relationships/hyperlink" Target="http://www.planalto.gov.br/ccivil_03/_Ato2019-2022/2022/Mpv/mpv1152.htm" TargetMode="External"/><Relationship Id="rId142" Type="http://schemas.openxmlformats.org/officeDocument/2006/relationships/hyperlink" Target="http://www.planalto.gov.br/ccivil_03/_ato2007-2010/2010/lei/L12249.htm" TargetMode="External"/><Relationship Id="rId184" Type="http://schemas.openxmlformats.org/officeDocument/2006/relationships/hyperlink" Target="http://www.planalto.gov.br/ccivil_03/_ato2007-2010/2010/lei/L12249.htm" TargetMode="External"/><Relationship Id="rId391" Type="http://schemas.openxmlformats.org/officeDocument/2006/relationships/hyperlink" Target="http://www.planalto.gov.br/ccivil_03/_Ato2011-2014/2011/Decreto/D7514.htm" TargetMode="External"/><Relationship Id="rId405" Type="http://schemas.openxmlformats.org/officeDocument/2006/relationships/hyperlink" Target="http://www.planalto.gov.br/ccivil_03/_Ato2011-2014/2011/Decreto/D7514.htm" TargetMode="External"/><Relationship Id="rId447" Type="http://schemas.openxmlformats.org/officeDocument/2006/relationships/hyperlink" Target="http://www.planalto.gov.br/ccivil_03/_Ato2011-2014/2012/Lei/L12678.htm" TargetMode="External"/><Relationship Id="rId251" Type="http://schemas.openxmlformats.org/officeDocument/2006/relationships/hyperlink" Target="http://www.planalto.gov.br/ccivil_03/_Ato2011-2014/2014/Lei/L12996.htm" TargetMode="External"/><Relationship Id="rId489" Type="http://schemas.openxmlformats.org/officeDocument/2006/relationships/hyperlink" Target="http://www.planalto.gov.br/ccivil_03/LEIS/2003/L10.829.htm" TargetMode="External"/><Relationship Id="rId46" Type="http://schemas.openxmlformats.org/officeDocument/2006/relationships/hyperlink" Target="http://www.planalto.gov.br/ccivil_03/_ato2007-2010/2007/Lei/L11484.htm" TargetMode="External"/><Relationship Id="rId293" Type="http://schemas.openxmlformats.org/officeDocument/2006/relationships/hyperlink" Target="http://www.planalto.gov.br/ccivil_03/_ato2007-2010/2008/Lei/L11775.htm" TargetMode="External"/><Relationship Id="rId307" Type="http://schemas.openxmlformats.org/officeDocument/2006/relationships/hyperlink" Target="http://www.planalto.gov.br/ccivil_03/_Ato2011-2014/2013/Mpv/mpv610.htm" TargetMode="External"/><Relationship Id="rId349" Type="http://schemas.openxmlformats.org/officeDocument/2006/relationships/hyperlink" Target="http://www.planalto.gov.br/ccivil_03/_Ato2015-2018/2018/Mpv/mpv817.htm" TargetMode="External"/><Relationship Id="rId514" Type="http://schemas.openxmlformats.org/officeDocument/2006/relationships/hyperlink" Target="http://www.planalto.gov.br/ccivil_03/_ato2007-2010/2008/Lei/L11775.htm" TargetMode="External"/><Relationship Id="rId88" Type="http://schemas.openxmlformats.org/officeDocument/2006/relationships/hyperlink" Target="http://www.planalto.gov.br/ccivil_03/_Ato2011-2014/2013/Lei/L12788.htm" TargetMode="External"/><Relationship Id="rId111" Type="http://schemas.openxmlformats.org/officeDocument/2006/relationships/hyperlink" Target="http://www.planalto.gov.br/ccivil_03/_Ato2011-2014/2013/Lei/L12838.htm" TargetMode="External"/><Relationship Id="rId153" Type="http://schemas.openxmlformats.org/officeDocument/2006/relationships/hyperlink" Target="http://www.planalto.gov.br/ccivil_03/_Ato2011-2014/2013/Lei/L12838.htm" TargetMode="External"/><Relationship Id="rId195" Type="http://schemas.openxmlformats.org/officeDocument/2006/relationships/hyperlink" Target="http://www.planalto.gov.br/ccivil_03/LEIS/L9430.htm" TargetMode="External"/><Relationship Id="rId209" Type="http://schemas.openxmlformats.org/officeDocument/2006/relationships/hyperlink" Target="http://www.planalto.gov.br/ccivil_03/_Ato2019-2022/2019/Mpv/mpv907.htm" TargetMode="External"/><Relationship Id="rId360" Type="http://schemas.openxmlformats.org/officeDocument/2006/relationships/hyperlink" Target="http://www.planalto.gov.br/ccivil_03/_Ato2015-2018/2018/Mpv/mpv817.htm" TargetMode="External"/><Relationship Id="rId416" Type="http://schemas.openxmlformats.org/officeDocument/2006/relationships/hyperlink" Target="http://www.planalto.gov.br/ccivil_03/_ato2007-2010/2009/Lei/L12101.htm" TargetMode="External"/><Relationship Id="rId220" Type="http://schemas.openxmlformats.org/officeDocument/2006/relationships/hyperlink" Target="http://www.planalto.gov.br/ccivil_03/_Ato2019-2022/2022/Mpv/mpv1138.htm" TargetMode="External"/><Relationship Id="rId458" Type="http://schemas.openxmlformats.org/officeDocument/2006/relationships/hyperlink" Target="http://www.planalto.gov.br/ccivil_03/DNN/2001/Dnn9337.htm" TargetMode="External"/><Relationship Id="rId15" Type="http://schemas.openxmlformats.org/officeDocument/2006/relationships/hyperlink" Target="http://www.planalto.gov.br/ccivil_03/_ato2007-2010/2010/Decreto/D7320.htm" TargetMode="External"/><Relationship Id="rId57" Type="http://schemas.openxmlformats.org/officeDocument/2006/relationships/hyperlink" Target="http://www.planalto.gov.br/ccivil_03/LEIS/L9430.htm" TargetMode="External"/><Relationship Id="rId262" Type="http://schemas.openxmlformats.org/officeDocument/2006/relationships/hyperlink" Target="http://www.planalto.gov.br/ccivil_03/Decreto-Lei/Del2283.htm" TargetMode="External"/><Relationship Id="rId318" Type="http://schemas.openxmlformats.org/officeDocument/2006/relationships/hyperlink" Target="http://www.planalto.gov.br/ccivil_03/Decreto-Lei/Del9295.htm" TargetMode="External"/><Relationship Id="rId99" Type="http://schemas.openxmlformats.org/officeDocument/2006/relationships/hyperlink" Target="http://www.planalto.gov.br/ccivil_03/_ato2007-2010/2010/lei/L12249.htm" TargetMode="External"/><Relationship Id="rId122" Type="http://schemas.openxmlformats.org/officeDocument/2006/relationships/hyperlink" Target="http://www.planalto.gov.br/ccivil_03/_Ato2011-2014/2013/Lei/L12838.htm" TargetMode="External"/><Relationship Id="rId164" Type="http://schemas.openxmlformats.org/officeDocument/2006/relationships/hyperlink" Target="http://www.planalto.gov.br/ccivil_03/_Ato2019-2022/2020/Lei/L14031.htm" TargetMode="External"/><Relationship Id="rId371" Type="http://schemas.openxmlformats.org/officeDocument/2006/relationships/hyperlink" Target="http://www.planalto.gov.br/ccivil_03/_Ato2011-2014/2011/Decreto/D7514.htm" TargetMode="External"/><Relationship Id="rId427" Type="http://schemas.openxmlformats.org/officeDocument/2006/relationships/hyperlink" Target="http://www.planalto.gov.br/ccivil_03/_ato2007-2010/2008/Dnn/Dnn11612.htm" TargetMode="External"/><Relationship Id="rId469" Type="http://schemas.openxmlformats.org/officeDocument/2006/relationships/hyperlink" Target="http://www.planalto.gov.br/ccivil_03/_Ato2011-2014/2014/Lei/L12996.htm" TargetMode="External"/><Relationship Id="rId26" Type="http://schemas.openxmlformats.org/officeDocument/2006/relationships/hyperlink" Target="http://www.planalto.gov.br/ccivil_03/_ato2007-2010/2010/lei/L12249.htm" TargetMode="External"/><Relationship Id="rId231" Type="http://schemas.openxmlformats.org/officeDocument/2006/relationships/hyperlink" Target="http://www.planalto.gov.br/ccivil_03/LEIS/L9430.htm" TargetMode="External"/><Relationship Id="rId273" Type="http://schemas.openxmlformats.org/officeDocument/2006/relationships/hyperlink" Target="http://www.planalto.gov.br/ccivil_03/_Ato2004-2006/2006/Lei/L11322.htm" TargetMode="External"/><Relationship Id="rId329" Type="http://schemas.openxmlformats.org/officeDocument/2006/relationships/hyperlink" Target="http://www.planalto.gov.br/ccivil_03/_Ato2019-2022/2022/Lei/L14317.htm" TargetMode="External"/><Relationship Id="rId480" Type="http://schemas.openxmlformats.org/officeDocument/2006/relationships/hyperlink" Target="http://www.planalto.gov.br/ccivil_03/_ato2007-2010/2008/Lei/L11775.htm" TargetMode="External"/><Relationship Id="rId68" Type="http://schemas.openxmlformats.org/officeDocument/2006/relationships/hyperlink" Target="http://www.planalto.gov.br/ccivil_03/_ato2007-2010/2010/lei/L12249.htm" TargetMode="External"/><Relationship Id="rId133" Type="http://schemas.openxmlformats.org/officeDocument/2006/relationships/hyperlink" Target="http://www.planalto.gov.br/ccivil_03/_ato2007-2010/2010/lei/L12249.htm" TargetMode="External"/><Relationship Id="rId175" Type="http://schemas.openxmlformats.org/officeDocument/2006/relationships/hyperlink" Target="http://www.planalto.gov.br/ccivil_03/_ato2007-2010/2009/Lei/L11977.htm" TargetMode="External"/><Relationship Id="rId340" Type="http://schemas.openxmlformats.org/officeDocument/2006/relationships/hyperlink" Target="http://www.planalto.gov.br/ccivil_03/_Ato2011-2014/2011/Decreto/D7514.htm" TargetMode="External"/><Relationship Id="rId200" Type="http://schemas.openxmlformats.org/officeDocument/2006/relationships/hyperlink" Target="http://www.planalto.gov.br/ccivil_03/_Ato2011-2014/2013/Lei/L12810.htm" TargetMode="External"/><Relationship Id="rId382" Type="http://schemas.openxmlformats.org/officeDocument/2006/relationships/hyperlink" Target="http://www.planalto.gov.br/ccivil_03/_Ato2011-2014/2011/Decreto/D7514.htm" TargetMode="External"/><Relationship Id="rId438" Type="http://schemas.openxmlformats.org/officeDocument/2006/relationships/hyperlink" Target="http://www.planalto.gov.br/ccivil_03/_Ato2011-2014/2012/Mpv/558.htm" TargetMode="External"/><Relationship Id="rId242" Type="http://schemas.openxmlformats.org/officeDocument/2006/relationships/hyperlink" Target="http://www.planalto.gov.br/ccivil_03/Decreto-Lei/Del1722.htm" TargetMode="External"/><Relationship Id="rId284" Type="http://schemas.openxmlformats.org/officeDocument/2006/relationships/hyperlink" Target="http://www.planalto.gov.br/ccivil_03/_ato2007-2010/2010/Decreto/D7339.htm" TargetMode="External"/><Relationship Id="rId491" Type="http://schemas.openxmlformats.org/officeDocument/2006/relationships/hyperlink" Target="http://www.planalto.gov.br/ccivil_03/LEIS/L6704.htm" TargetMode="External"/><Relationship Id="rId505" Type="http://schemas.openxmlformats.org/officeDocument/2006/relationships/hyperlink" Target="http://www.planalto.gov.br/ccivil_03/_Ato2019-2022/2022/Mpv/mpv1145.htm" TargetMode="External"/><Relationship Id="rId37" Type="http://schemas.openxmlformats.org/officeDocument/2006/relationships/hyperlink" Target="http://www.planalto.gov.br/ccivil_03/_ato2007-2010/2010/lei/L12249.htm" TargetMode="External"/><Relationship Id="rId79" Type="http://schemas.openxmlformats.org/officeDocument/2006/relationships/hyperlink" Target="http://www.planalto.gov.br/ccivil_03/_Ato2004-2006/2004/Lei/L10.865.htm" TargetMode="External"/><Relationship Id="rId102" Type="http://schemas.openxmlformats.org/officeDocument/2006/relationships/hyperlink" Target="http://www.planalto.gov.br/ccivil_03/_Ato2011-2014/2013/Lei/L12838.htm" TargetMode="External"/><Relationship Id="rId144" Type="http://schemas.openxmlformats.org/officeDocument/2006/relationships/hyperlink" Target="http://www.planalto.gov.br/ccivil_03/_Ato2011-2014/2013/Mpv/mpv608.htm" TargetMode="External"/><Relationship Id="rId90" Type="http://schemas.openxmlformats.org/officeDocument/2006/relationships/hyperlink" Target="http://www.planalto.gov.br/ccivil_03/_Ato2011-2014/2013/Lei/L12788.htm" TargetMode="External"/><Relationship Id="rId186" Type="http://schemas.openxmlformats.org/officeDocument/2006/relationships/hyperlink" Target="http://www.planalto.gov.br/ccivil_03/_ato2007-2010/2010/lei/L12249.htm" TargetMode="External"/><Relationship Id="rId351" Type="http://schemas.openxmlformats.org/officeDocument/2006/relationships/hyperlink" Target="http://www.planalto.gov.br/ccivil_03/_Ato2015-2018/2018/Mpv/mpv817.htm" TargetMode="External"/><Relationship Id="rId393" Type="http://schemas.openxmlformats.org/officeDocument/2006/relationships/hyperlink" Target="http://www.planalto.gov.br/ccivil_03/_Ato2011-2014/2011/Decreto/D7514.htm" TargetMode="External"/><Relationship Id="rId407" Type="http://schemas.openxmlformats.org/officeDocument/2006/relationships/hyperlink" Target="http://www.planalto.gov.br/ccivil_03/_Ato2015-2018/2018/Mpv/mpv817.htm" TargetMode="External"/><Relationship Id="rId449" Type="http://schemas.openxmlformats.org/officeDocument/2006/relationships/hyperlink" Target="http://www.planalto.gov.br/ccivil_03/_Ato2011-2014/2012/Lei/L12678.htm" TargetMode="External"/><Relationship Id="rId211" Type="http://schemas.openxmlformats.org/officeDocument/2006/relationships/hyperlink" Target="http://www.planalto.gov.br/ccivil_03/_Ato2019-2022/2019/Mpv/mpv907.htm" TargetMode="External"/><Relationship Id="rId253" Type="http://schemas.openxmlformats.org/officeDocument/2006/relationships/hyperlink" Target="http://www.planalto.gov.br/ccivil_03/LEIS/L5869.htm" TargetMode="External"/><Relationship Id="rId295" Type="http://schemas.openxmlformats.org/officeDocument/2006/relationships/hyperlink" Target="http://www.planalto.gov.br/ccivil_03/_Ato2011-2014/2012/Lei/L12599.htm" TargetMode="External"/><Relationship Id="rId309" Type="http://schemas.openxmlformats.org/officeDocument/2006/relationships/hyperlink" Target="http://www.planalto.gov.br/ccivil_03/_Ato2004-2006/2005/Lei/L11110.htm" TargetMode="External"/><Relationship Id="rId460" Type="http://schemas.openxmlformats.org/officeDocument/2006/relationships/hyperlink" Target="http://www.planalto.gov.br/ccivil_03/Decreto-Lei/Del3365.htm" TargetMode="External"/><Relationship Id="rId516" Type="http://schemas.openxmlformats.org/officeDocument/2006/relationships/theme" Target="theme/theme1.xml"/><Relationship Id="rId48" Type="http://schemas.openxmlformats.org/officeDocument/2006/relationships/hyperlink" Target="http://www.planalto.gov.br/ccivil_03/_ato2007-2010/2007/Lei/L11488.htm" TargetMode="External"/><Relationship Id="rId113" Type="http://schemas.openxmlformats.org/officeDocument/2006/relationships/hyperlink" Target="http://www.planalto.gov.br/ccivil_03/_Ato2011-2014/2013/Mpv/mpv608.htm" TargetMode="External"/><Relationship Id="rId320" Type="http://schemas.openxmlformats.org/officeDocument/2006/relationships/hyperlink" Target="http://www.planalto.gov.br/ccivil_03/Decreto-Lei/Del9295.htm" TargetMode="External"/><Relationship Id="rId155" Type="http://schemas.openxmlformats.org/officeDocument/2006/relationships/hyperlink" Target="http://www.planalto.gov.br/ccivil_03/_Ato2011-2014/2013/Mpv/mpv608.htm" TargetMode="External"/><Relationship Id="rId197" Type="http://schemas.openxmlformats.org/officeDocument/2006/relationships/hyperlink" Target="http://www.planalto.gov.br/ccivil_03/_Ato2011-2014/2013/Lei/L12810.htm" TargetMode="External"/><Relationship Id="rId362" Type="http://schemas.openxmlformats.org/officeDocument/2006/relationships/hyperlink" Target="http://www.planalto.gov.br/ccivil_03/_Ato2015-2018/2018/Mpv/mpv817.htm" TargetMode="External"/><Relationship Id="rId418" Type="http://schemas.openxmlformats.org/officeDocument/2006/relationships/hyperlink" Target="http://www.planalto.gov.br/ccivil_03/LEIS/LCP/Lcp187.htm" TargetMode="External"/><Relationship Id="rId222" Type="http://schemas.openxmlformats.org/officeDocument/2006/relationships/hyperlink" Target="http://www.planalto.gov.br/ccivil_03/_Ato2023-2026/2023/Lei/L14537.htm" TargetMode="External"/><Relationship Id="rId264" Type="http://schemas.openxmlformats.org/officeDocument/2006/relationships/hyperlink" Target="http://www.planalto.gov.br/ccivil_03/LEIS/L7730.htm" TargetMode="External"/><Relationship Id="rId471" Type="http://schemas.openxmlformats.org/officeDocument/2006/relationships/hyperlink" Target="http://www.planalto.gov.br/ccivil_03/_Ato2011-2014/2014/Lei/L13043.htm" TargetMode="External"/><Relationship Id="rId17" Type="http://schemas.openxmlformats.org/officeDocument/2006/relationships/hyperlink" Target="http://www.planalto.gov.br/ccivil_03/_ato2007-2010/2010/Decreto/D7320.htm" TargetMode="External"/><Relationship Id="rId59" Type="http://schemas.openxmlformats.org/officeDocument/2006/relationships/hyperlink" Target="http://www.planalto.gov.br/ccivil_03/LEIS/L4506.htm" TargetMode="External"/><Relationship Id="rId124" Type="http://schemas.openxmlformats.org/officeDocument/2006/relationships/hyperlink" Target="http://www.planalto.gov.br/ccivil_03/_Ato2011-2014/2013/Mpv/mpv608.htm" TargetMode="External"/><Relationship Id="rId70" Type="http://schemas.openxmlformats.org/officeDocument/2006/relationships/hyperlink" Target="http://www.planalto.gov.br/ccivil_03/_Ato2011-2014/2012/Lei/L12598.htm" TargetMode="External"/><Relationship Id="rId166" Type="http://schemas.openxmlformats.org/officeDocument/2006/relationships/hyperlink" Target="http://www.planalto.gov.br/ccivil_03/_ato2007-2010/2010/lei/L12249.htm" TargetMode="External"/><Relationship Id="rId331" Type="http://schemas.openxmlformats.org/officeDocument/2006/relationships/hyperlink" Target="http://www.planalto.gov.br/ccivil_03/LEIS/L7940.htm" TargetMode="External"/><Relationship Id="rId373" Type="http://schemas.openxmlformats.org/officeDocument/2006/relationships/hyperlink" Target="http://www.planalto.gov.br/ccivil_03/_Ato2015-2018/2018/Mpv/mpv817.htm" TargetMode="External"/><Relationship Id="rId429" Type="http://schemas.openxmlformats.org/officeDocument/2006/relationships/hyperlink" Target="http://www.planalto.gov.br/ccivil_03/_ato2007-2010/2008/Dnn/Dnn11612.htm" TargetMode="External"/><Relationship Id="rId1" Type="http://schemas.openxmlformats.org/officeDocument/2006/relationships/styles" Target="styles.xml"/><Relationship Id="rId233" Type="http://schemas.openxmlformats.org/officeDocument/2006/relationships/hyperlink" Target="http://www.planalto.gov.br/ccivil_03/LEIS/L9430.htm" TargetMode="External"/><Relationship Id="rId440" Type="http://schemas.openxmlformats.org/officeDocument/2006/relationships/hyperlink" Target="http://www.planalto.gov.br/ccivil_03/_ato2007-2010/2008/Dnn/Dnn11612.htm" TargetMode="External"/><Relationship Id="rId28" Type="http://schemas.openxmlformats.org/officeDocument/2006/relationships/hyperlink" Target="http://www.planalto.gov.br/ccivil_03/_ato2007-2010/2010/lei/L12249.htm" TargetMode="External"/><Relationship Id="rId275" Type="http://schemas.openxmlformats.org/officeDocument/2006/relationships/hyperlink" Target="http://www.planalto.gov.br/ccivil_03/_Ato2004-2006/2006/Lei/L11322.htm" TargetMode="External"/><Relationship Id="rId300" Type="http://schemas.openxmlformats.org/officeDocument/2006/relationships/hyperlink" Target="http://www.planalto.gov.br/ccivil_03/_Ato2011-2014/2013/Mpv/mpv610.htm" TargetMode="External"/><Relationship Id="rId482" Type="http://schemas.openxmlformats.org/officeDocument/2006/relationships/hyperlink" Target="http://www.planalto.gov.br/ccivil_03/_ato2007-2010/2010/lei/L12249.htm" TargetMode="External"/><Relationship Id="rId81" Type="http://schemas.openxmlformats.org/officeDocument/2006/relationships/hyperlink" Target="http://www.planalto.gov.br/ccivil_03/_ato2007-2010/2010/lei/L12249.htm" TargetMode="External"/><Relationship Id="rId135" Type="http://schemas.openxmlformats.org/officeDocument/2006/relationships/hyperlink" Target="http://www.planalto.gov.br/ccivil_03/_Ato2011-2014/2013/Mpv/mpv608.htm" TargetMode="External"/><Relationship Id="rId177" Type="http://schemas.openxmlformats.org/officeDocument/2006/relationships/hyperlink" Target="http://www.planalto.gov.br/ccivil_03/_ato2007-2010/2010/lei/L12249.htm" TargetMode="External"/><Relationship Id="rId342" Type="http://schemas.openxmlformats.org/officeDocument/2006/relationships/hyperlink" Target="http://www.planalto.gov.br/ccivil_03/_Ato2015-2018/2018/Mpv/mpv817.htm" TargetMode="External"/><Relationship Id="rId384" Type="http://schemas.openxmlformats.org/officeDocument/2006/relationships/hyperlink" Target="http://www.planalto.gov.br/ccivil_03/_Ato2011-2014/2011/Decreto/D7514.htm" TargetMode="External"/><Relationship Id="rId202" Type="http://schemas.openxmlformats.org/officeDocument/2006/relationships/hyperlink" Target="http://www.planalto.gov.br/ccivil_03/_Ato2015-2018/2016/Mpv/mpv713.htm" TargetMode="External"/><Relationship Id="rId244" Type="http://schemas.openxmlformats.org/officeDocument/2006/relationships/hyperlink" Target="http://www.planalto.gov.br/ccivil_03/_Ato2011-2014/2011/Lei/L12453.htm" TargetMode="External"/><Relationship Id="rId39" Type="http://schemas.openxmlformats.org/officeDocument/2006/relationships/hyperlink" Target="http://www.planalto.gov.br/ccivil_03/LEIS/L10168.htm" TargetMode="External"/><Relationship Id="rId286" Type="http://schemas.openxmlformats.org/officeDocument/2006/relationships/hyperlink" Target="http://www.planalto.gov.br/ccivil_03/_Ato2004-2006/2006/Lei/L11322.htm" TargetMode="External"/><Relationship Id="rId451" Type="http://schemas.openxmlformats.org/officeDocument/2006/relationships/hyperlink" Target="http://www.planalto.gov.br/ccivil_03/_Ato2011-2014/2012/Lei/L12678.htm" TargetMode="External"/><Relationship Id="rId493" Type="http://schemas.openxmlformats.org/officeDocument/2006/relationships/hyperlink" Target="http://www.planalto.gov.br/ccivil_03/LEIS/L9503.htm" TargetMode="External"/><Relationship Id="rId507" Type="http://schemas.openxmlformats.org/officeDocument/2006/relationships/hyperlink" Target="http://www.planalto.gov.br/ccivil_03/_Ato2023-2026/2023/Lei/L14565.htm" TargetMode="External"/><Relationship Id="rId50" Type="http://schemas.openxmlformats.org/officeDocument/2006/relationships/hyperlink" Target="http://www.planalto.gov.br/ccivil_03/LEIS/L9430.htm" TargetMode="External"/><Relationship Id="rId104" Type="http://schemas.openxmlformats.org/officeDocument/2006/relationships/hyperlink" Target="http://www.planalto.gov.br/ccivil_03/_Ato2011-2014/2013/Mpv/mpv608.htm" TargetMode="External"/><Relationship Id="rId146" Type="http://schemas.openxmlformats.org/officeDocument/2006/relationships/hyperlink" Target="http://www.planalto.gov.br/ccivil_03/_Ato2011-2014/2013/Lei/L12838.htm" TargetMode="External"/><Relationship Id="rId188" Type="http://schemas.openxmlformats.org/officeDocument/2006/relationships/hyperlink" Target="http://www.planalto.gov.br/ccivil_03/LEIS/2002/L10522.htm" TargetMode="External"/><Relationship Id="rId311" Type="http://schemas.openxmlformats.org/officeDocument/2006/relationships/hyperlink" Target="http://www.planalto.gov.br/ccivil_03/_Ato2004-2006/2005/Lei/L11110.htm" TargetMode="External"/><Relationship Id="rId353" Type="http://schemas.openxmlformats.org/officeDocument/2006/relationships/hyperlink" Target="http://www.planalto.gov.br/ccivil_03/_Ato2015-2018/2018/Mpv/mpv817.htm" TargetMode="External"/><Relationship Id="rId395" Type="http://schemas.openxmlformats.org/officeDocument/2006/relationships/hyperlink" Target="http://www.planalto.gov.br/ccivil_03/_Ato2015-2018/2018/Mpv/mpv817.htm" TargetMode="External"/><Relationship Id="rId409" Type="http://schemas.openxmlformats.org/officeDocument/2006/relationships/hyperlink" Target="http://www.planalto.gov.br/ccivil_03/LEIS/L9796.htm" TargetMode="External"/><Relationship Id="rId92" Type="http://schemas.openxmlformats.org/officeDocument/2006/relationships/hyperlink" Target="http://www.planalto.gov.br/ccivil_03/_Ato2011-2014/2013/Lei/L12788.htm" TargetMode="External"/><Relationship Id="rId213" Type="http://schemas.openxmlformats.org/officeDocument/2006/relationships/hyperlink" Target="http://www.planalto.gov.br/ccivil_03/_Ato2019-2022/2019/Mpv/mpv907.htm" TargetMode="External"/><Relationship Id="rId420" Type="http://schemas.openxmlformats.org/officeDocument/2006/relationships/hyperlink" Target="http://www.planalto.gov.br/ccivil_03/_ato2007-2010/2010/lei/L12189.htm" TargetMode="External"/><Relationship Id="rId255" Type="http://schemas.openxmlformats.org/officeDocument/2006/relationships/hyperlink" Target="http://www.planalto.gov.br/ccivil_03/LEIS/L5869.htm" TargetMode="External"/><Relationship Id="rId297" Type="http://schemas.openxmlformats.org/officeDocument/2006/relationships/hyperlink" Target="http://www.planalto.gov.br/ccivil_03/_Ato2011-2014/2013/Mpv/mpv610.htm" TargetMode="External"/><Relationship Id="rId462" Type="http://schemas.openxmlformats.org/officeDocument/2006/relationships/hyperlink" Target="http://www.planalto.gov.br/ccivil_03/_ato2007-2010/2009/Lei/L11941.htm" TargetMode="External"/><Relationship Id="rId115" Type="http://schemas.openxmlformats.org/officeDocument/2006/relationships/hyperlink" Target="http://www.planalto.gov.br/ccivil_03/_Ato2011-2014/2013/Lei/L12838.htm" TargetMode="External"/><Relationship Id="rId157" Type="http://schemas.openxmlformats.org/officeDocument/2006/relationships/hyperlink" Target="http://www.planalto.gov.br/ccivil_03/_Ato2011-2014/2013/Lei/L12838.htm" TargetMode="External"/><Relationship Id="rId322" Type="http://schemas.openxmlformats.org/officeDocument/2006/relationships/hyperlink" Target="http://www.planalto.gov.br/ccivil_03/_ato2007-2010/2009/Mpv/470.htm" TargetMode="External"/><Relationship Id="rId364" Type="http://schemas.openxmlformats.org/officeDocument/2006/relationships/hyperlink" Target="http://www.planalto.gov.br/ccivil_03/_Ato2015-2018/2018/Mpv/mpv817.htm" TargetMode="External"/><Relationship Id="rId61" Type="http://schemas.openxmlformats.org/officeDocument/2006/relationships/hyperlink" Target="http://www.planalto.gov.br/ccivil_03/LEIS/L8212cons.htm" TargetMode="External"/><Relationship Id="rId199" Type="http://schemas.openxmlformats.org/officeDocument/2006/relationships/hyperlink" Target="http://www.planalto.gov.br/ccivil_03/LEIS/L9430.htm" TargetMode="External"/><Relationship Id="rId19" Type="http://schemas.openxmlformats.org/officeDocument/2006/relationships/hyperlink" Target="http://www.planalto.gov.br/ccivil_03/_ato2007-2010/2010/Decreto/D7243.htm" TargetMode="External"/><Relationship Id="rId224" Type="http://schemas.openxmlformats.org/officeDocument/2006/relationships/hyperlink" Target="http://www.planalto.gov.br/ccivil_03/_Ato2023-2026/2023/Lei/L14537.htm" TargetMode="External"/><Relationship Id="rId266" Type="http://schemas.openxmlformats.org/officeDocument/2006/relationships/hyperlink" Target="http://www.planalto.gov.br/ccivil_03/LEIS/L8177.htm" TargetMode="External"/><Relationship Id="rId431" Type="http://schemas.openxmlformats.org/officeDocument/2006/relationships/hyperlink" Target="http://www.planalto.gov.br/ccivil_03/_Ato2011-2014/2011/Mpv/542.htm" TargetMode="External"/><Relationship Id="rId473" Type="http://schemas.openxmlformats.org/officeDocument/2006/relationships/hyperlink" Target="http://www.planalto.gov.br/ccivil_03/_ato2007-2010/2007/Lei/L11442.htm" TargetMode="External"/><Relationship Id="rId30" Type="http://schemas.openxmlformats.org/officeDocument/2006/relationships/hyperlink" Target="http://www.planalto.gov.br/ccivil_03/_ato2007-2010/2010/lei/L12249.htm" TargetMode="External"/><Relationship Id="rId126" Type="http://schemas.openxmlformats.org/officeDocument/2006/relationships/hyperlink" Target="http://www.planalto.gov.br/ccivil_03/_Ato2011-2014/2013/Lei/L12838.htm" TargetMode="External"/><Relationship Id="rId168" Type="http://schemas.openxmlformats.org/officeDocument/2006/relationships/hyperlink" Target="http://www.planalto.gov.br/ccivil_03/_ato2007-2010/2009/Lei/L11948.htm" TargetMode="External"/><Relationship Id="rId333" Type="http://schemas.openxmlformats.org/officeDocument/2006/relationships/hyperlink" Target="http://www.planalto.gov.br/ccivil_03/_ato2007-2010/2008/Lei/L11775.htm" TargetMode="External"/><Relationship Id="rId72" Type="http://schemas.openxmlformats.org/officeDocument/2006/relationships/hyperlink" Target="http://www.planalto.gov.br/ccivil_03/_Ato2011-2014/2011/Decreto/D7451.htm" TargetMode="External"/><Relationship Id="rId375" Type="http://schemas.openxmlformats.org/officeDocument/2006/relationships/hyperlink" Target="http://www.planalto.gov.br/ccivil_03/_Ato2011-2014/2011/Decreto/D7514.htm" TargetMode="External"/><Relationship Id="rId3" Type="http://schemas.openxmlformats.org/officeDocument/2006/relationships/webSettings" Target="webSettings.xml"/><Relationship Id="rId235" Type="http://schemas.openxmlformats.org/officeDocument/2006/relationships/hyperlink" Target="http://www.planalto.gov.br/ccivil_03/_Ato2015-2018/2016/Lei/L13315.htm" TargetMode="External"/><Relationship Id="rId277" Type="http://schemas.openxmlformats.org/officeDocument/2006/relationships/hyperlink" Target="http://www.planalto.gov.br/ccivil_03/_Ato2011-2014/2012/Lei/L12678.htm" TargetMode="External"/><Relationship Id="rId400" Type="http://schemas.openxmlformats.org/officeDocument/2006/relationships/hyperlink" Target="http://www.planalto.gov.br/ccivil_03/_Ato2011-2014/2011/Decreto/D7514.htm" TargetMode="External"/><Relationship Id="rId442" Type="http://schemas.openxmlformats.org/officeDocument/2006/relationships/hyperlink" Target="http://www.planalto.gov.br/ccivil_03/_Ato2011-2014/2012/Mpv/558.htm" TargetMode="External"/><Relationship Id="rId484" Type="http://schemas.openxmlformats.org/officeDocument/2006/relationships/hyperlink" Target="http://www.planalto.gov.br/ccivil_03/_ato2007-2010/2010/lei/L12249.htm" TargetMode="External"/><Relationship Id="rId137" Type="http://schemas.openxmlformats.org/officeDocument/2006/relationships/hyperlink" Target="http://www.planalto.gov.br/ccivil_03/_Ato2011-2014/2013/Lei/L12838.htm" TargetMode="External"/><Relationship Id="rId302" Type="http://schemas.openxmlformats.org/officeDocument/2006/relationships/hyperlink" Target="http://www.planalto.gov.br/ccivil_03/_ato2007-2010/2010/Decreto/D7339.htm" TargetMode="External"/><Relationship Id="rId344" Type="http://schemas.openxmlformats.org/officeDocument/2006/relationships/hyperlink" Target="http://www.planalto.gov.br/ccivil_03/Constituicao/Emendas/Emc/emc60.htm" TargetMode="External"/><Relationship Id="rId41" Type="http://schemas.openxmlformats.org/officeDocument/2006/relationships/hyperlink" Target="http://www.planalto.gov.br/ccivil_03/LEIS/L9430.htm" TargetMode="External"/><Relationship Id="rId83" Type="http://schemas.openxmlformats.org/officeDocument/2006/relationships/hyperlink" Target="http://www.planalto.gov.br/ccivil_03/_ato2007-2010/2010/lei/L12249.htm" TargetMode="External"/><Relationship Id="rId179" Type="http://schemas.openxmlformats.org/officeDocument/2006/relationships/hyperlink" Target="http://www.planalto.gov.br/ccivil_03/_ato2007-2010/2010/lei/L12249.htm" TargetMode="External"/><Relationship Id="rId386" Type="http://schemas.openxmlformats.org/officeDocument/2006/relationships/hyperlink" Target="http://www.planalto.gov.br/ccivil_03/_Ato2015-2018/2018/Mpv/mpv817.htm" TargetMode="External"/><Relationship Id="rId190" Type="http://schemas.openxmlformats.org/officeDocument/2006/relationships/hyperlink" Target="http://www.planalto.gov.br/ccivil_03/_ato2007-2010/2010/lei/L12249.htm" TargetMode="External"/><Relationship Id="rId204" Type="http://schemas.openxmlformats.org/officeDocument/2006/relationships/hyperlink" Target="http://www.planalto.gov.br/ccivil_03/_Ato2019-2022/2019/Mpv/mpv907.htm" TargetMode="External"/><Relationship Id="rId246" Type="http://schemas.openxmlformats.org/officeDocument/2006/relationships/hyperlink" Target="http://www.planalto.gov.br/ccivil_03/_Ato2011-2014/2014/Lei/L12995.htm" TargetMode="External"/><Relationship Id="rId288" Type="http://schemas.openxmlformats.org/officeDocument/2006/relationships/hyperlink" Target="http://www.planalto.gov.br/ccivil_03/_Ato2011-2014/2012/Lei/L12599.htm" TargetMode="External"/><Relationship Id="rId411" Type="http://schemas.openxmlformats.org/officeDocument/2006/relationships/hyperlink" Target="http://www.planalto.gov.br/ccivil_03/_Ato2015-2018/2018/Mpv/mpv817.htm" TargetMode="External"/><Relationship Id="rId453" Type="http://schemas.openxmlformats.org/officeDocument/2006/relationships/hyperlink" Target="http://www.planalto.gov.br/ccivil_03/_Ato2011-2014/2011/Mpv/542.htm" TargetMode="External"/><Relationship Id="rId509" Type="http://schemas.openxmlformats.org/officeDocument/2006/relationships/hyperlink" Target="http://www.planalto.gov.br/ccivil_03/_ato2007-2010/2008/Lei/L11775.htm" TargetMode="External"/><Relationship Id="rId106" Type="http://schemas.openxmlformats.org/officeDocument/2006/relationships/hyperlink" Target="http://www.planalto.gov.br/ccivil_03/_Ato2011-2014/2013/Lei/L12838.htm" TargetMode="External"/><Relationship Id="rId313" Type="http://schemas.openxmlformats.org/officeDocument/2006/relationships/hyperlink" Target="http://www.planalto.gov.br/ccivil_03/Decreto-Lei/Del9295.htm" TargetMode="External"/><Relationship Id="rId495" Type="http://schemas.openxmlformats.org/officeDocument/2006/relationships/hyperlink" Target="http://www.planalto.gov.br/ccivil_03/LEIS/L9933.htm" TargetMode="External"/><Relationship Id="rId10" Type="http://schemas.openxmlformats.org/officeDocument/2006/relationships/hyperlink" Target="http://www.planalto.gov.br/ccivil_03/_ato2007-2010/2010/Decreto/D7320.htm" TargetMode="External"/><Relationship Id="rId52" Type="http://schemas.openxmlformats.org/officeDocument/2006/relationships/hyperlink" Target="http://www.planalto.gov.br/ccivil_03/LEIS/L9430.htm" TargetMode="External"/><Relationship Id="rId94" Type="http://schemas.openxmlformats.org/officeDocument/2006/relationships/hyperlink" Target="http://www.planalto.gov.br/ccivil_03/_ato2007-2010/2010/lei/L12249.htm" TargetMode="External"/><Relationship Id="rId148" Type="http://schemas.openxmlformats.org/officeDocument/2006/relationships/hyperlink" Target="http://www.planalto.gov.br/ccivil_03/_Ato2011-2014/2013/Mpv/mpv608.htm" TargetMode="External"/><Relationship Id="rId355" Type="http://schemas.openxmlformats.org/officeDocument/2006/relationships/hyperlink" Target="http://www.planalto.gov.br/ccivil_03/_Ato2011-2014/2011/Decreto/D7514.htm" TargetMode="External"/><Relationship Id="rId397" Type="http://schemas.openxmlformats.org/officeDocument/2006/relationships/hyperlink" Target="http://www.planalto.gov.br/ccivil_03/_Ato2011-2014/2011/Decreto/D7514.htm" TargetMode="External"/><Relationship Id="rId215" Type="http://schemas.openxmlformats.org/officeDocument/2006/relationships/hyperlink" Target="http://www.planalto.gov.br/ccivil_03/_Ato2019-2022/2019/Mpv/mpv907.htm" TargetMode="External"/><Relationship Id="rId257" Type="http://schemas.openxmlformats.org/officeDocument/2006/relationships/hyperlink" Target="http://www.planalto.gov.br/ccivil_03/_Ato2011-2014/2014/Lei/L12996.htm" TargetMode="External"/><Relationship Id="rId422" Type="http://schemas.openxmlformats.org/officeDocument/2006/relationships/hyperlink" Target="http://www.planalto.gov.br/ccivil_03/_Ato2011-2014/2011/Mpv/542.htm" TargetMode="External"/><Relationship Id="rId464" Type="http://schemas.openxmlformats.org/officeDocument/2006/relationships/hyperlink" Target="http://www.planalto.gov.br/ccivil_03/LEIS/L5172.htm" TargetMode="External"/><Relationship Id="rId299" Type="http://schemas.openxmlformats.org/officeDocument/2006/relationships/hyperlink" Target="http://www.planalto.gov.br/ccivil_03/_Ato2011-2014/2013/Mpv/mpv610.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76</Pages>
  <Words>44596</Words>
  <Characters>240824</Characters>
  <Application>Microsoft Office Word</Application>
  <DocSecurity>0</DocSecurity>
  <Lines>2006</Lines>
  <Paragraphs>569</Paragraphs>
  <ScaleCrop>false</ScaleCrop>
  <Company/>
  <LinksUpToDate>false</LinksUpToDate>
  <CharactersWithSpaces>284851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2023-05-29T00:10:00Z</dcterms:created>
  <dcterms:modified xsi:type="dcterms:W3CDTF">2023-05-29T00:11:00Z</dcterms:modified>
</cp:coreProperties>
</file>