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5080"/>
      </w:tblGrid>
      <w:tr w:rsidR="00F4407B" w:rsidRPr="00F4407B" w:rsidTr="00F4407B">
        <w:trPr>
          <w:trHeight w:val="984"/>
          <w:tblCellSpacing w:w="0" w:type="dxa"/>
          <w:jc w:val="center"/>
        </w:trPr>
        <w:tc>
          <w:tcPr>
            <w:tcW w:w="700" w:type="pct"/>
            <w:vAlign w:val="center"/>
            <w:hideMark/>
          </w:tcPr>
          <w:p w:rsidR="00F4407B" w:rsidRPr="00F4407B" w:rsidRDefault="00F4407B" w:rsidP="00F4407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F4407B">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2945" cy="784860"/>
                      <wp:effectExtent l="0" t="0" r="0" b="0"/>
                      <wp:docPr id="186826854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407D72" id="AutoShape 1" o:spid="_x0000_s1026" style="width:55.35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" filled="f" stroked="f">
                      <o:lock v:ext="edit" aspectratio="t"/>
                      <w10:anchorlock/>
                    </v:rect>
                  </w:pict>
                </mc:Fallback>
              </mc:AlternateContent>
            </w:r>
          </w:p>
        </w:tc>
        <w:tc>
          <w:tcPr>
            <w:tcW w:w="4300" w:type="pct"/>
            <w:vAlign w:val="center"/>
            <w:hideMark/>
          </w:tcPr>
          <w:p w:rsidR="00F4407B" w:rsidRPr="00F4407B" w:rsidRDefault="00F4407B" w:rsidP="00F4407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F4407B">
              <w:rPr>
                <w:rFonts w:ascii="Arial" w:eastAsia="Times New Roman" w:hAnsi="Arial" w:cs="Arial"/>
                <w:b/>
                <w:bCs/>
                <w:color w:val="808000"/>
                <w:kern w:val="0"/>
                <w:sz w:val="36"/>
                <w:szCs w:val="36"/>
                <w:lang w:val="pt-BR" w:eastAsia="zh-CN"/>
                <w14:ligatures w14:val="none"/>
              </w:rPr>
              <w:t>Presidência da República</w:t>
            </w:r>
            <w:r w:rsidRPr="00F4407B">
              <w:rPr>
                <w:rFonts w:ascii="Arial" w:eastAsia="Times New Roman" w:hAnsi="Arial" w:cs="Arial"/>
                <w:b/>
                <w:bCs/>
                <w:color w:val="808000"/>
                <w:kern w:val="0"/>
                <w:sz w:val="24"/>
                <w:szCs w:val="24"/>
                <w:lang w:val="pt-BR" w:eastAsia="zh-CN"/>
                <w14:ligatures w14:val="none"/>
              </w:rPr>
              <w:br/>
            </w:r>
            <w:r w:rsidRPr="00F4407B">
              <w:rPr>
                <w:rFonts w:ascii="Arial" w:eastAsia="Times New Roman" w:hAnsi="Arial" w:cs="Arial"/>
                <w:b/>
                <w:bCs/>
                <w:color w:val="808000"/>
                <w:kern w:val="0"/>
                <w:sz w:val="27"/>
                <w:szCs w:val="27"/>
                <w:lang w:val="pt-BR" w:eastAsia="zh-CN"/>
                <w14:ligatures w14:val="none"/>
              </w:rPr>
              <w:t>Casa Civil</w:t>
            </w:r>
            <w:r w:rsidRPr="00F4407B">
              <w:rPr>
                <w:rFonts w:ascii="Arial" w:eastAsia="Times New Roman" w:hAnsi="Arial" w:cs="Arial"/>
                <w:b/>
                <w:bCs/>
                <w:color w:val="808000"/>
                <w:kern w:val="0"/>
                <w:sz w:val="27"/>
                <w:szCs w:val="27"/>
                <w:lang w:val="pt-BR" w:eastAsia="zh-CN"/>
                <w14:ligatures w14:val="none"/>
              </w:rPr>
              <w:br/>
            </w:r>
            <w:r w:rsidRPr="00F4407B">
              <w:rPr>
                <w:rFonts w:ascii="Arial" w:eastAsia="Times New Roman" w:hAnsi="Arial" w:cs="Arial"/>
                <w:b/>
                <w:bCs/>
                <w:color w:val="808000"/>
                <w:kern w:val="0"/>
                <w:sz w:val="24"/>
                <w:szCs w:val="24"/>
                <w:lang w:val="pt-BR" w:eastAsia="zh-CN"/>
                <w14:ligatures w14:val="none"/>
              </w:rPr>
              <w:t>Subchefia para Assuntos Jurídicos</w:t>
            </w:r>
          </w:p>
        </w:tc>
      </w:tr>
    </w:tbl>
    <w:p w:rsidR="00F4407B" w:rsidRPr="00F4407B" w:rsidRDefault="00F4407B" w:rsidP="00F4407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F4407B">
          <w:rPr>
            <w:rFonts w:ascii="Arial" w:eastAsia="Times New Roman" w:hAnsi="Arial" w:cs="Arial"/>
            <w:b/>
            <w:bCs/>
            <w:color w:val="000080"/>
            <w:kern w:val="0"/>
            <w:sz w:val="20"/>
            <w:szCs w:val="20"/>
            <w:u w:val="single"/>
            <w:lang w:val="pt-BR" w:eastAsia="zh-CN"/>
            <w14:ligatures w14:val="none"/>
          </w:rPr>
          <w:t xml:space="preserve">LEI Nº 11.690, DE 9 </w:t>
        </w:r>
      </w:hyperlink>
      <w:hyperlink r:id="rId5" w:history="1">
        <w:r w:rsidRPr="00F4407B">
          <w:rPr>
            <w:rFonts w:ascii="Arial" w:eastAsia="Times New Roman" w:hAnsi="Arial" w:cs="Arial"/>
            <w:b/>
            <w:bCs/>
            <w:color w:val="000080"/>
            <w:kern w:val="0"/>
            <w:sz w:val="20"/>
            <w:szCs w:val="20"/>
            <w:u w:val="single"/>
            <w:lang w:val="pt-BR" w:eastAsia="zh-CN"/>
            <w14:ligatures w14:val="none"/>
          </w:rPr>
          <w:t>DE</w:t>
        </w:r>
      </w:hyperlink>
      <w:hyperlink r:id="rId6" w:history="1">
        <w:r w:rsidRPr="00F4407B">
          <w:rPr>
            <w:rFonts w:ascii="Arial" w:eastAsia="Times New Roman" w:hAnsi="Arial" w:cs="Arial"/>
            <w:b/>
            <w:bCs/>
            <w:color w:val="000080"/>
            <w:kern w:val="0"/>
            <w:sz w:val="20"/>
            <w:szCs w:val="20"/>
            <w:u w:val="single"/>
            <w:lang w:val="pt-BR" w:eastAsia="zh-CN"/>
            <w14:ligatures w14:val="none"/>
          </w:rPr>
          <w:t xml:space="preserve"> JUNHO DE 2008.</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F4407B" w:rsidRPr="00F4407B" w:rsidTr="00F4407B">
        <w:trPr>
          <w:trHeight w:val="384"/>
          <w:tblCellSpacing w:w="0" w:type="dxa"/>
        </w:trPr>
        <w:tc>
          <w:tcPr>
            <w:tcW w:w="2500" w:type="pct"/>
            <w:vAlign w:val="center"/>
            <w:hideMark/>
          </w:tcPr>
          <w:p w:rsidR="00F4407B" w:rsidRPr="00F4407B" w:rsidRDefault="00F4407B" w:rsidP="00F4407B">
            <w:pPr>
              <w:spacing w:after="0" w:line="240" w:lineRule="auto"/>
              <w:rPr>
                <w:rFonts w:ascii="Times New Roman" w:eastAsia="Times New Roman" w:hAnsi="Times New Roman" w:cs="Times New Roman"/>
                <w:kern w:val="0"/>
                <w:sz w:val="24"/>
                <w:szCs w:val="24"/>
                <w:lang w:eastAsia="zh-CN"/>
                <w14:ligatures w14:val="none"/>
              </w:rPr>
            </w:pPr>
            <w:hyperlink r:id="rId7" w:history="1">
              <w:r w:rsidRPr="00F4407B">
                <w:rPr>
                  <w:rFonts w:ascii="Arial" w:eastAsia="Times New Roman" w:hAnsi="Arial" w:cs="Arial"/>
                  <w:color w:val="0000FF"/>
                  <w:kern w:val="0"/>
                  <w:sz w:val="20"/>
                  <w:szCs w:val="20"/>
                  <w:u w:val="single"/>
                  <w:lang w:eastAsia="zh-CN"/>
                  <w14:ligatures w14:val="none"/>
                </w:rPr>
                <w:t>Mensagem de veto</w:t>
              </w:r>
            </w:hyperlink>
          </w:p>
          <w:p w:rsidR="00F4407B" w:rsidRPr="00F4407B" w:rsidRDefault="00F4407B" w:rsidP="00F4407B">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3" w:history="1">
              <w:r w:rsidRPr="00F4407B">
                <w:rPr>
                  <w:rFonts w:ascii="Arial" w:eastAsia="Times New Roman" w:hAnsi="Arial" w:cs="Arial"/>
                  <w:color w:val="0000FF"/>
                  <w:kern w:val="0"/>
                  <w:sz w:val="20"/>
                  <w:szCs w:val="20"/>
                  <w:u w:val="single"/>
                  <w:lang w:eastAsia="zh-CN"/>
                  <w14:ligatures w14:val="none"/>
                </w:rPr>
                <w:t>Vigência</w:t>
              </w:r>
            </w:hyperlink>
          </w:p>
        </w:tc>
        <w:tc>
          <w:tcPr>
            <w:tcW w:w="2500" w:type="pct"/>
            <w:vAlign w:val="center"/>
            <w:hideMark/>
          </w:tcPr>
          <w:p w:rsidR="00F4407B" w:rsidRPr="00F4407B" w:rsidRDefault="00F4407B" w:rsidP="00F4407B">
            <w:pPr>
              <w:spacing w:before="100" w:beforeAutospacing="1" w:after="100" w:afterAutospacing="1" w:line="240" w:lineRule="atLeast"/>
              <w:jc w:val="both"/>
              <w:rPr>
                <w:rFonts w:ascii="Times New Roman" w:eastAsia="Times New Roman" w:hAnsi="Times New Roman" w:cs="Times New Roman"/>
                <w:kern w:val="0"/>
                <w:sz w:val="24"/>
                <w:szCs w:val="24"/>
                <w:lang w:val="pt-BR" w:eastAsia="zh-CN"/>
                <w14:ligatures w14:val="none"/>
              </w:rPr>
            </w:pPr>
            <w:r w:rsidRPr="00F4407B">
              <w:rPr>
                <w:rFonts w:ascii="Arial" w:eastAsia="Times New Roman" w:hAnsi="Arial" w:cs="Arial"/>
                <w:color w:val="800000"/>
                <w:kern w:val="0"/>
                <w:sz w:val="20"/>
                <w:szCs w:val="20"/>
                <w:lang w:val="pt-BR" w:eastAsia="zh-CN"/>
                <w14:ligatures w14:val="none"/>
              </w:rPr>
              <w:t>Altera dispositivos do Decreto-Lei n</w:t>
            </w:r>
            <w:r w:rsidRPr="00F4407B">
              <w:rPr>
                <w:rFonts w:ascii="Arial" w:eastAsia="Times New Roman" w:hAnsi="Arial" w:cs="Arial"/>
                <w:color w:val="800000"/>
                <w:kern w:val="0"/>
                <w:sz w:val="20"/>
                <w:szCs w:val="20"/>
                <w:u w:val="single"/>
                <w:vertAlign w:val="superscript"/>
                <w:lang w:val="pt-BR" w:eastAsia="zh-CN"/>
                <w14:ligatures w14:val="none"/>
              </w:rPr>
              <w:t>o</w:t>
            </w:r>
            <w:r w:rsidRPr="00F4407B">
              <w:rPr>
                <w:rFonts w:ascii="Arial" w:eastAsia="Times New Roman" w:hAnsi="Arial" w:cs="Arial"/>
                <w:color w:val="800000"/>
                <w:kern w:val="0"/>
                <w:sz w:val="20"/>
                <w:szCs w:val="20"/>
                <w:lang w:val="pt-BR" w:eastAsia="zh-CN"/>
                <w14:ligatures w14:val="none"/>
              </w:rPr>
              <w:t xml:space="preserve"> 3.689, de 3 de outubro de 1941 – Código de Processo Penal, relativos à prova, e dá outras providências.</w:t>
            </w:r>
          </w:p>
        </w:tc>
      </w:tr>
    </w:tbl>
    <w:p w:rsidR="00F4407B" w:rsidRPr="00F4407B" w:rsidRDefault="00F4407B" w:rsidP="00F4407B">
      <w:pPr>
        <w:spacing w:before="100" w:beforeAutospacing="1" w:after="100" w:afterAutospacing="1" w:line="240" w:lineRule="auto"/>
        <w:ind w:firstLine="567"/>
        <w:jc w:val="both"/>
        <w:rPr>
          <w:rFonts w:ascii="Arial" w:eastAsia="Times New Roman" w:hAnsi="Arial" w:cs="Arial"/>
          <w:kern w:val="0"/>
          <w:sz w:val="20"/>
          <w:szCs w:val="20"/>
          <w:lang w:val="pt-BR" w:eastAsia="zh-CN"/>
          <w14:ligatures w14:val="none"/>
        </w:rPr>
      </w:pPr>
      <w:r w:rsidRPr="00F4407B">
        <w:rPr>
          <w:rFonts w:ascii="Arial" w:eastAsia="Times New Roman" w:hAnsi="Arial" w:cs="Arial"/>
          <w:b/>
          <w:bCs/>
          <w:color w:val="000000"/>
          <w:kern w:val="0"/>
          <w:sz w:val="20"/>
          <w:szCs w:val="20"/>
          <w:lang w:val="pt-BR" w:eastAsia="zh-CN"/>
          <w14:ligatures w14:val="none"/>
        </w:rPr>
        <w:t xml:space="preserve">O PRESIDENTE DA REPÚBLICA </w:t>
      </w:r>
      <w:r w:rsidRPr="00F4407B">
        <w:rPr>
          <w:rFonts w:ascii="Arial" w:eastAsia="Times New Roman" w:hAnsi="Arial" w:cs="Arial"/>
          <w:color w:val="000000"/>
          <w:kern w:val="0"/>
          <w:sz w:val="20"/>
          <w:szCs w:val="20"/>
          <w:lang w:val="pt-BR" w:eastAsia="zh-CN"/>
          <w14:ligatures w14:val="none"/>
        </w:rPr>
        <w:t>Faço saber que o Congresso Nacional decreta e eu sanciono a seguinte Lei: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xml:space="preserve">        </w:t>
      </w:r>
      <w:bookmarkStart w:id="0" w:name="art1"/>
      <w:bookmarkEnd w:id="0"/>
      <w:r w:rsidRPr="00F4407B">
        <w:rPr>
          <w:rFonts w:ascii="Arial" w:eastAsia="Times New Roman" w:hAnsi="Arial" w:cs="Arial"/>
          <w:color w:val="000000"/>
          <w:kern w:val="0"/>
          <w:sz w:val="20"/>
          <w:szCs w:val="20"/>
          <w:lang w:val="pt-BR" w:eastAsia="zh-CN"/>
          <w14:ligatures w14:val="none"/>
        </w:rPr>
        <w:t>Art. 1</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Os arts. 155, 156, 157, 159, 201, 210, 212, 217 e 386 do Decreto-Lei n</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3.689, de 3 de outubro de 1941 – Código de Processo Penal, passam a vigorar com as seguintes alterações: </w:t>
      </w:r>
    </w:p>
    <w:p w:rsidR="00F4407B" w:rsidRPr="00F4407B" w:rsidRDefault="00F4407B" w:rsidP="00F4407B">
      <w:pPr>
        <w:spacing w:beforeAutospacing="1" w:after="100" w:afterAutospacing="1" w:line="240" w:lineRule="auto"/>
        <w:rPr>
          <w:rFonts w:ascii="Arial" w:eastAsia="Times New Roman" w:hAnsi="Arial" w:cs="Arial"/>
          <w:kern w:val="0"/>
          <w:sz w:val="20"/>
          <w:szCs w:val="20"/>
          <w:lang w:val="pt-BR" w:eastAsia="zh-CN"/>
          <w14:ligatures w14:val="none"/>
        </w:rPr>
      </w:pPr>
      <w:hyperlink r:id="rId9" w:anchor="art155" w:history="1">
        <w:r w:rsidRPr="00F4407B">
          <w:rPr>
            <w:rFonts w:ascii="Arial" w:eastAsia="Times New Roman" w:hAnsi="Arial" w:cs="Arial"/>
            <w:color w:val="0000FF"/>
            <w:kern w:val="0"/>
            <w:sz w:val="20"/>
            <w:szCs w:val="20"/>
            <w:u w:val="single"/>
            <w:lang w:val="pt-BR" w:eastAsia="zh-CN"/>
            <w14:ligatures w14:val="none"/>
          </w:rPr>
          <w:t>“Art. 155.</w:t>
        </w:r>
      </w:hyperlink>
      <w:r w:rsidRPr="00F4407B">
        <w:rPr>
          <w:rFonts w:ascii="Arial" w:eastAsia="Times New Roman" w:hAnsi="Arial" w:cs="Arial"/>
          <w:color w:val="000000"/>
          <w:kern w:val="0"/>
          <w:sz w:val="20"/>
          <w:szCs w:val="20"/>
          <w:lang w:val="pt-BR" w:eastAsia="zh-CN"/>
          <w14:ligatures w14:val="none"/>
        </w:rPr>
        <w:t>  O juiz formará sua convicção pela livre apreciação da prova produzida em contraditório judicial, não podendo fundamentar sua decisão exclusivamente nos elementos informativos colhidos na investigação, ressalvadas as provas cautelares, não repetíveis e antecipadas.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Parágrafo único. Somente quanto ao estado das pessoas serão observadas as restrições estabelecidas na lei civil.”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0" w:anchor="art156" w:history="1">
        <w:r w:rsidRPr="00F4407B">
          <w:rPr>
            <w:rFonts w:ascii="Arial" w:eastAsia="Times New Roman" w:hAnsi="Arial" w:cs="Arial"/>
            <w:color w:val="0000FF"/>
            <w:kern w:val="0"/>
            <w:sz w:val="20"/>
            <w:szCs w:val="20"/>
            <w:u w:val="single"/>
            <w:lang w:val="pt-BR" w:eastAsia="zh-CN"/>
            <w14:ligatures w14:val="none"/>
          </w:rPr>
          <w:t>“Art. 156.</w:t>
        </w:r>
      </w:hyperlink>
      <w:r w:rsidRPr="00F4407B">
        <w:rPr>
          <w:rFonts w:ascii="Arial" w:eastAsia="Times New Roman" w:hAnsi="Arial" w:cs="Arial"/>
          <w:color w:val="000000"/>
          <w:kern w:val="0"/>
          <w:sz w:val="20"/>
          <w:szCs w:val="20"/>
          <w:lang w:val="pt-BR" w:eastAsia="zh-CN"/>
          <w14:ligatures w14:val="none"/>
        </w:rPr>
        <w:t>  A prova da alegação incumbirá a quem a fizer, sendo, porém, facultado ao juiz de ofício: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I – ordenar, mesmo antes de iniciada a ação penal, a produção antecipada de provas consideradas urgentes e relevantes, observando a necessidade, adequação e proporcionalidade da medida;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II – determinar, no curso da instrução, ou antes de proferir sentença, a realização de diligências para dirimir dúvida sobre ponto relevante.” (NR)</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1" w:anchor="art157" w:history="1">
        <w:r w:rsidRPr="00F4407B">
          <w:rPr>
            <w:rFonts w:ascii="Arial" w:eastAsia="Times New Roman" w:hAnsi="Arial" w:cs="Arial"/>
            <w:color w:val="0000FF"/>
            <w:kern w:val="0"/>
            <w:sz w:val="20"/>
            <w:szCs w:val="20"/>
            <w:u w:val="single"/>
            <w:lang w:val="pt-BR" w:eastAsia="zh-CN"/>
            <w14:ligatures w14:val="none"/>
          </w:rPr>
          <w:t>“Art. 157.</w:t>
        </w:r>
      </w:hyperlink>
      <w:r w:rsidRPr="00F4407B">
        <w:rPr>
          <w:rFonts w:ascii="Arial" w:eastAsia="Times New Roman" w:hAnsi="Arial" w:cs="Arial"/>
          <w:color w:val="000000"/>
          <w:kern w:val="0"/>
          <w:sz w:val="20"/>
          <w:szCs w:val="20"/>
          <w:lang w:val="pt-BR" w:eastAsia="zh-CN"/>
          <w14:ligatures w14:val="none"/>
        </w:rPr>
        <w:t>  São inadmissíveis, devendo ser desentranhadas do processo, as provas ilícitas, assim entendidas as obtidas em violação a normas constitucionais ou legais.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1</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São também inadmissíveis as provas derivadas das ilícitas, salvo quando não evidenciado o nexo de causalidade entre umas e outras, ou quando as derivadas puderem ser obtidas por uma fonte independente das primeiras.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2</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Considera-se fonte independente aquela que por si só, seguindo os trâmites típicos e de praxe, próprios da investigação ou instrução criminal, seria capaz de conduzir ao fato objeto da prova.</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3</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Preclusa a decisão de desentranhamento da prova declarada inadmissível, esta será inutilizada por decisão judicial, facultado às partes acompanhar o incidente.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4</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w:t>
      </w:r>
      <w:hyperlink r:id="rId12" w:history="1">
        <w:r w:rsidRPr="00F4407B">
          <w:rPr>
            <w:rFonts w:ascii="Arial" w:eastAsia="Times New Roman" w:hAnsi="Arial" w:cs="Arial"/>
            <w:color w:val="0000FF"/>
            <w:kern w:val="0"/>
            <w:sz w:val="20"/>
            <w:szCs w:val="20"/>
            <w:u w:val="single"/>
            <w:lang w:val="pt-BR" w:eastAsia="zh-CN"/>
            <w14:ligatures w14:val="none"/>
          </w:rPr>
          <w:t>(VETADO)</w:t>
        </w:r>
      </w:hyperlink>
      <w:r w:rsidRPr="00F4407B">
        <w:rPr>
          <w:rFonts w:ascii="Arial" w:eastAsia="Times New Roman" w:hAnsi="Arial" w:cs="Arial"/>
          <w:color w:val="000000"/>
          <w:kern w:val="0"/>
          <w:sz w:val="20"/>
          <w:szCs w:val="20"/>
          <w:lang w:val="pt-BR" w:eastAsia="zh-CN"/>
          <w14:ligatures w14:val="none"/>
        </w:rPr>
        <w:t>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3" w:anchor="art159." w:history="1">
        <w:r w:rsidRPr="00F4407B">
          <w:rPr>
            <w:rFonts w:ascii="Arial" w:eastAsia="Times New Roman" w:hAnsi="Arial" w:cs="Arial"/>
            <w:color w:val="0000FF"/>
            <w:kern w:val="0"/>
            <w:sz w:val="20"/>
            <w:szCs w:val="20"/>
            <w:u w:val="single"/>
            <w:lang w:val="pt-BR" w:eastAsia="zh-CN"/>
            <w14:ligatures w14:val="none"/>
          </w:rPr>
          <w:t>“Art. 159.</w:t>
        </w:r>
      </w:hyperlink>
      <w:r w:rsidRPr="00F4407B">
        <w:rPr>
          <w:rFonts w:ascii="Arial" w:eastAsia="Times New Roman" w:hAnsi="Arial" w:cs="Arial"/>
          <w:color w:val="000000"/>
          <w:kern w:val="0"/>
          <w:sz w:val="20"/>
          <w:szCs w:val="20"/>
          <w:lang w:val="pt-BR" w:eastAsia="zh-CN"/>
          <w14:ligatures w14:val="none"/>
        </w:rPr>
        <w:t>  O exame de corpo de delito e outras perícias serão realizados por perito oficial, portador de diploma de curso superior.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lastRenderedPageBreak/>
        <w:t>§ 1</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Na falta de perito oficial, o exame será realizado por 2 (duas) pessoas idôneas, portadoras de diploma de curso superior preferencialmente na área específica, dentre as que tiverem habilitação técnica relacionada com a natureza do exame.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2</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Os peritos não oficiais prestarão o compromisso de bem e fielmente desempenhar o encargo.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3</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Serão facultadas ao Ministério Público, ao assistente de acusação, ao ofendido, ao querelante e ao acusado a formulação de quesitos e indicação de assistente técnico.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4</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O assistente técnico atuará a partir de sua admissão pelo juiz e após a conclusão dos exames e elaboração do laudo pelos peritos oficiais, sendo as partes intimadas desta decisão.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5</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Durante o curso do processo judicial, é permitido às partes, quanto à perícia: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I – requerer a oitiva dos peritos para esclarecerem a prova ou para responderem a quesitos, desde que o mandado de intimação e os quesitos ou questões a serem esclarecidas sejam encaminhados com  antecedência  mínima de 10 (dez) dias, podendo apresentar as respostas em laudo complementar;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II – indicar assistentes técnicos que poderão apresentar pareceres em prazo a ser fixado pelo juiz ou ser inquiridos em audiência.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6</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Havendo requerimento das partes, o material probatório que serviu de base à perícia será disponibilizado  no  ambiente do órgão oficial, que manterá sempre sua guarda, e na presença de perito oficial, para exame pelos assistentes, salvo se for impossível a sua conservação.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7</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Tratando-se de perícia complexa que abranja mais de uma área de conhecimento especializado, poder-se-á designar a atuação de mais de um perito oficial, e a parte indicar mais de um assistente técnico.” (NR) </w:t>
      </w:r>
    </w:p>
    <w:p w:rsidR="00F4407B" w:rsidRPr="00F4407B" w:rsidRDefault="00F4407B" w:rsidP="00F4407B">
      <w:pPr>
        <w:spacing w:before="100" w:beforeAutospacing="1" w:after="100" w:afterAutospacing="1" w:line="240" w:lineRule="auto"/>
        <w:ind w:left="1724" w:firstLine="284"/>
        <w:jc w:val="center"/>
        <w:rPr>
          <w:rFonts w:ascii="Arial" w:eastAsia="Times New Roman" w:hAnsi="Arial" w:cs="Arial"/>
          <w:kern w:val="0"/>
          <w:sz w:val="20"/>
          <w:szCs w:val="20"/>
          <w:lang w:val="pt-BR" w:eastAsia="zh-CN"/>
          <w14:ligatures w14:val="none"/>
        </w:rPr>
      </w:pPr>
      <w:hyperlink r:id="rId14" w:anchor="capv" w:history="1">
        <w:r w:rsidRPr="00F4407B">
          <w:rPr>
            <w:rFonts w:ascii="Arial" w:eastAsia="Times New Roman" w:hAnsi="Arial" w:cs="Arial"/>
            <w:color w:val="0000FF"/>
            <w:kern w:val="0"/>
            <w:sz w:val="20"/>
            <w:szCs w:val="20"/>
            <w:u w:val="single"/>
            <w:lang w:val="pt-BR" w:eastAsia="zh-CN"/>
            <w14:ligatures w14:val="none"/>
          </w:rPr>
          <w:t>“CAPÍTULO V</w:t>
        </w:r>
      </w:hyperlink>
    </w:p>
    <w:p w:rsidR="00F4407B" w:rsidRPr="00F4407B" w:rsidRDefault="00F4407B" w:rsidP="00F4407B">
      <w:pPr>
        <w:spacing w:before="100" w:beforeAutospacing="1" w:after="100" w:afterAutospacing="1" w:line="240" w:lineRule="auto"/>
        <w:ind w:left="1724" w:firstLine="284"/>
        <w:jc w:val="center"/>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DO OFENDIDO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5" w:anchor="art201" w:history="1">
        <w:r w:rsidRPr="00F4407B">
          <w:rPr>
            <w:rFonts w:ascii="Arial" w:eastAsia="Times New Roman" w:hAnsi="Arial" w:cs="Arial"/>
            <w:color w:val="0000FF"/>
            <w:kern w:val="0"/>
            <w:sz w:val="20"/>
            <w:szCs w:val="20"/>
            <w:u w:val="single"/>
            <w:lang w:val="pt-BR" w:eastAsia="zh-CN"/>
            <w14:ligatures w14:val="none"/>
          </w:rPr>
          <w:t>Art. 201.</w:t>
        </w:r>
      </w:hyperlink>
      <w:r w:rsidRPr="00F4407B">
        <w:rPr>
          <w:rFonts w:ascii="Arial" w:eastAsia="Times New Roman" w:hAnsi="Arial" w:cs="Arial"/>
          <w:color w:val="000000"/>
          <w:kern w:val="0"/>
          <w:sz w:val="20"/>
          <w:szCs w:val="20"/>
          <w:lang w:val="pt-BR" w:eastAsia="zh-CN"/>
          <w14:ligatures w14:val="none"/>
        </w:rPr>
        <w:t>  Sempre que possível, o ofendido será qualificado e perguntado sobre as circunstâncias da infração, quem seja ou presuma ser o seu autor, as provas que possa indicar, tomando-se por termo as suas declarações.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1</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Se, intimado para esse fim, deixar de comparecer sem motivo justo, o ofendido poderá ser conduzido à presença da autoridade.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2</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O ofendido será comunicado dos atos processuais relativos ao ingresso e à saída do acusado da prisão, à designação de data para audiência e à sentença e respectivos acórdãos que a mantenham ou modifiquem.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3</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As comunicações ao ofendido deverão ser feitas no endereço por ele indicado, admitindo-se, por opção do ofendido, o uso de meio eletrônico.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4</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Antes do início da audiência e durante a sua realização, será reservado espaço separado para o ofendido.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lastRenderedPageBreak/>
        <w:t>§ 5</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Se o juiz entender necessário, poderá encaminhar o ofendido para atendimento multidisciplinar, especialmente nas áreas psicossocial, de assistência jurídica e de saúde, a expensas do ofensor ou do Estado.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6</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O juiz tomará as providências necessárias à preservação da intimidade, vida privada, honra e imagem do ofendido, podendo, inclusive, determinar o segredo de justiça em relação aos dados, depoimentos e outras informações constantes dos autos a seu respeito para evitar sua exposição aos meios de comunicação.”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6" w:anchor="art210" w:history="1">
        <w:r w:rsidRPr="00F4407B">
          <w:rPr>
            <w:rFonts w:ascii="Arial" w:eastAsia="Times New Roman" w:hAnsi="Arial" w:cs="Arial"/>
            <w:color w:val="0000FF"/>
            <w:kern w:val="0"/>
            <w:sz w:val="20"/>
            <w:szCs w:val="20"/>
            <w:u w:val="single"/>
            <w:lang w:val="pt-BR" w:eastAsia="zh-CN"/>
            <w14:ligatures w14:val="none"/>
          </w:rPr>
          <w:t>“Art. 210.</w:t>
        </w:r>
      </w:hyperlink>
      <w:r w:rsidRPr="00F4407B">
        <w:rPr>
          <w:rFonts w:ascii="Arial" w:eastAsia="Times New Roman" w:hAnsi="Arial" w:cs="Arial"/>
          <w:color w:val="000000"/>
          <w:kern w:val="0"/>
          <w:sz w:val="20"/>
          <w:szCs w:val="20"/>
          <w:lang w:val="pt-BR" w:eastAsia="zh-CN"/>
          <w14:ligatures w14:val="none"/>
        </w:rPr>
        <w:t>  As testemunhas serão inquiridas cada uma de per si, de modo que umas não saibam nem ouçam os depoimentos das outras, devendo o juiz adverti-las das penas cominadas ao falso testemunho.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Parágrafo único. Antes do início da audiência e durante a sua realização, serão reservados espaços separados para a garantia da incomunicabilidade das testemunhas.”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7" w:anchor="art212" w:history="1">
        <w:r w:rsidRPr="00F4407B">
          <w:rPr>
            <w:rFonts w:ascii="Arial" w:eastAsia="Times New Roman" w:hAnsi="Arial" w:cs="Arial"/>
            <w:color w:val="0000FF"/>
            <w:kern w:val="0"/>
            <w:sz w:val="20"/>
            <w:szCs w:val="20"/>
            <w:u w:val="single"/>
            <w:lang w:val="pt-BR" w:eastAsia="zh-CN"/>
            <w14:ligatures w14:val="none"/>
          </w:rPr>
          <w:t>“Art. 212.</w:t>
        </w:r>
      </w:hyperlink>
      <w:r w:rsidRPr="00F4407B">
        <w:rPr>
          <w:rFonts w:ascii="Arial" w:eastAsia="Times New Roman" w:hAnsi="Arial" w:cs="Arial"/>
          <w:color w:val="000000"/>
          <w:kern w:val="0"/>
          <w:sz w:val="20"/>
          <w:szCs w:val="20"/>
          <w:lang w:val="pt-BR" w:eastAsia="zh-CN"/>
          <w14:ligatures w14:val="none"/>
        </w:rPr>
        <w:t>  As perguntas serão formuladas pelas partes diretamente à testemunha, não admitindo o juiz aquelas que puderem induzir a resposta, não tiverem relação com a causa ou importarem na repetição de outra já respondida.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Parágrafo único.  Sobre os pontos não esclarecidos, o juiz poderá complementar a inquirição.”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8" w:anchor="art217" w:history="1">
        <w:r w:rsidRPr="00F4407B">
          <w:rPr>
            <w:rFonts w:ascii="Arial" w:eastAsia="Times New Roman" w:hAnsi="Arial" w:cs="Arial"/>
            <w:color w:val="0000FF"/>
            <w:kern w:val="0"/>
            <w:sz w:val="20"/>
            <w:szCs w:val="20"/>
            <w:u w:val="single"/>
            <w:lang w:val="pt-BR" w:eastAsia="zh-CN"/>
            <w14:ligatures w14:val="none"/>
          </w:rPr>
          <w:t>“Art. 217.</w:t>
        </w:r>
      </w:hyperlink>
      <w:r w:rsidRPr="00F4407B">
        <w:rPr>
          <w:rFonts w:ascii="Arial" w:eastAsia="Times New Roman" w:hAnsi="Arial" w:cs="Arial"/>
          <w:color w:val="000000"/>
          <w:kern w:val="0"/>
          <w:sz w:val="20"/>
          <w:szCs w:val="20"/>
          <w:lang w:val="pt-BR" w:eastAsia="zh-CN"/>
          <w14:ligatures w14:val="none"/>
        </w:rPr>
        <w:t>  Se o juiz verificar que a presença do réu poderá causar humilhação, temor, ou sério constrangimento à testemunha ou ao ofendido, de modo que prejudique a verdade do depoimento, fará a inquirição por videoconferência e, somente na impossibilidade dessa forma, determinará a retirada do réu, prosseguindo na inquirição, com a presença do seu defensor.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Parágrafo único. A adoção de qualquer das medidas previstas no caput deste artigo deverá constar do termo, assim como os motivos que a determinaram.”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“Art. 386.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19" w:anchor="art386iv" w:history="1">
        <w:r w:rsidRPr="00F4407B">
          <w:rPr>
            <w:rFonts w:ascii="Arial" w:eastAsia="Times New Roman" w:hAnsi="Arial" w:cs="Arial"/>
            <w:color w:val="0000FF"/>
            <w:kern w:val="0"/>
            <w:sz w:val="20"/>
            <w:szCs w:val="20"/>
            <w:u w:val="single"/>
            <w:lang w:val="pt-BR" w:eastAsia="zh-CN"/>
            <w14:ligatures w14:val="none"/>
          </w:rPr>
          <w:t>IV –</w:t>
        </w:r>
      </w:hyperlink>
      <w:r w:rsidRPr="00F4407B">
        <w:rPr>
          <w:rFonts w:ascii="Arial" w:eastAsia="Times New Roman" w:hAnsi="Arial" w:cs="Arial"/>
          <w:color w:val="000000"/>
          <w:kern w:val="0"/>
          <w:sz w:val="20"/>
          <w:szCs w:val="20"/>
          <w:lang w:val="pt-BR" w:eastAsia="zh-CN"/>
          <w14:ligatures w14:val="none"/>
        </w:rPr>
        <w:t>  estar provado que o réu não concorreu para a infração penal;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V – não existir prova de ter o réu concorrido para a infração penal;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VI – existirem circunstâncias que excluam o crime ou isentem o réu de pena (arts. 20, 21, 22, 23, 26 e § 1</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do art. 28, todos do Código Penal), ou mesmo se houver fundada dúvida sobre sua existência;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VII – não existir prova suficiente para a condenação.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Parágrafo único.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20" w:anchor="art386pii" w:history="1">
        <w:r w:rsidRPr="00F4407B">
          <w:rPr>
            <w:rFonts w:ascii="Arial" w:eastAsia="Times New Roman" w:hAnsi="Arial" w:cs="Arial"/>
            <w:color w:val="0000FF"/>
            <w:kern w:val="0"/>
            <w:sz w:val="20"/>
            <w:szCs w:val="20"/>
            <w:u w:val="single"/>
            <w:lang w:val="pt-BR" w:eastAsia="zh-CN"/>
            <w14:ligatures w14:val="none"/>
          </w:rPr>
          <w:t>II –</w:t>
        </w:r>
      </w:hyperlink>
      <w:r w:rsidRPr="00F4407B">
        <w:rPr>
          <w:rFonts w:ascii="Arial" w:eastAsia="Times New Roman" w:hAnsi="Arial" w:cs="Arial"/>
          <w:color w:val="000000"/>
          <w:kern w:val="0"/>
          <w:sz w:val="20"/>
          <w:szCs w:val="20"/>
          <w:lang w:val="pt-BR" w:eastAsia="zh-CN"/>
          <w14:ligatures w14:val="none"/>
        </w:rPr>
        <w:t xml:space="preserve"> ordenará a cessação das medidas cautelares e provisoriamente aplicadas;</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eastAsia="zh-CN"/>
          <w14:ligatures w14:val="none"/>
        </w:rPr>
      </w:pPr>
      <w:r w:rsidRPr="00F4407B">
        <w:rPr>
          <w:rFonts w:ascii="Arial" w:eastAsia="Times New Roman" w:hAnsi="Arial" w:cs="Arial"/>
          <w:color w:val="000000"/>
          <w:kern w:val="0"/>
          <w:sz w:val="20"/>
          <w:szCs w:val="20"/>
          <w:lang w:eastAsia="zh-CN"/>
          <w14:ligatures w14:val="none"/>
        </w:rPr>
        <w:t>.............................................................................................” (NR) </w:t>
      </w:r>
    </w:p>
    <w:p w:rsidR="00F4407B" w:rsidRPr="00F4407B" w:rsidRDefault="00F4407B" w:rsidP="00F4407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eastAsia="zh-CN"/>
          <w14:ligatures w14:val="none"/>
        </w:rPr>
        <w:lastRenderedPageBreak/>
        <w:t xml:space="preserve">         </w:t>
      </w:r>
      <w:r w:rsidRPr="00F4407B">
        <w:rPr>
          <w:rFonts w:ascii="Arial" w:eastAsia="Times New Roman" w:hAnsi="Arial" w:cs="Arial"/>
          <w:color w:val="000000"/>
          <w:kern w:val="0"/>
          <w:sz w:val="20"/>
          <w:szCs w:val="20"/>
          <w:lang w:val="pt-BR" w:eastAsia="zh-CN"/>
          <w14:ligatures w14:val="none"/>
        </w:rPr>
        <w:t>Art. 2</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Aqueles peritos que ingressaram sem exigência do diploma de curso superior até a data de entrada em vigor desta Lei continuarão a atuar exclusivamente nas respectivas áreas para as quais se habilitaram, ressalvados os peritos médicos. </w:t>
      </w:r>
    </w:p>
    <w:p w:rsidR="00F4407B" w:rsidRPr="00F4407B" w:rsidRDefault="00F4407B" w:rsidP="00F4407B">
      <w:pPr>
        <w:spacing w:before="100" w:beforeAutospacing="1" w:after="100" w:afterAutospacing="1" w:line="240" w:lineRule="auto"/>
        <w:ind w:firstLine="567"/>
        <w:jc w:val="both"/>
        <w:rPr>
          <w:rFonts w:ascii="Arial" w:eastAsia="Times New Roman" w:hAnsi="Arial" w:cs="Arial"/>
          <w:kern w:val="0"/>
          <w:sz w:val="20"/>
          <w:szCs w:val="20"/>
          <w:lang w:val="pt-BR" w:eastAsia="zh-CN"/>
          <w14:ligatures w14:val="none"/>
        </w:rPr>
      </w:pPr>
      <w:bookmarkStart w:id="1" w:name="art3"/>
      <w:bookmarkEnd w:id="1"/>
      <w:r w:rsidRPr="00F4407B">
        <w:rPr>
          <w:rFonts w:ascii="Arial" w:eastAsia="Times New Roman" w:hAnsi="Arial" w:cs="Arial"/>
          <w:color w:val="000000"/>
          <w:kern w:val="0"/>
          <w:sz w:val="20"/>
          <w:szCs w:val="20"/>
          <w:lang w:val="pt-BR" w:eastAsia="zh-CN"/>
          <w14:ligatures w14:val="none"/>
        </w:rPr>
        <w:t>Art. 3</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Esta Lei entra em vigor  60 (sessenta) dias após a data de sua publicação.</w:t>
      </w:r>
    </w:p>
    <w:p w:rsidR="00F4407B" w:rsidRPr="00F4407B" w:rsidRDefault="00F4407B" w:rsidP="00F4407B">
      <w:pPr>
        <w:spacing w:before="100" w:beforeAutospacing="1" w:after="100" w:afterAutospacing="1" w:line="240" w:lineRule="auto"/>
        <w:ind w:firstLine="567"/>
        <w:jc w:val="both"/>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Brasília,  9 de junho de 2008; 187</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da Independência e 120</w:t>
      </w:r>
      <w:r w:rsidRPr="00F4407B">
        <w:rPr>
          <w:rFonts w:ascii="Arial" w:eastAsia="Times New Roman" w:hAnsi="Arial" w:cs="Arial"/>
          <w:color w:val="000000"/>
          <w:kern w:val="0"/>
          <w:sz w:val="20"/>
          <w:szCs w:val="20"/>
          <w:u w:val="single"/>
          <w:vertAlign w:val="superscript"/>
          <w:lang w:val="pt-BR" w:eastAsia="zh-CN"/>
          <w14:ligatures w14:val="none"/>
        </w:rPr>
        <w:t>o</w:t>
      </w:r>
      <w:r w:rsidRPr="00F4407B">
        <w:rPr>
          <w:rFonts w:ascii="Arial" w:eastAsia="Times New Roman" w:hAnsi="Arial" w:cs="Arial"/>
          <w:color w:val="000000"/>
          <w:kern w:val="0"/>
          <w:sz w:val="20"/>
          <w:szCs w:val="20"/>
          <w:lang w:val="pt-BR" w:eastAsia="zh-CN"/>
          <w14:ligatures w14:val="none"/>
        </w:rPr>
        <w:t xml:space="preserve"> da República. </w:t>
      </w:r>
    </w:p>
    <w:p w:rsidR="00F4407B" w:rsidRPr="00F4407B" w:rsidRDefault="00F4407B" w:rsidP="00F4407B">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F4407B">
        <w:rPr>
          <w:rFonts w:ascii="Arial" w:eastAsia="Times New Roman" w:hAnsi="Arial" w:cs="Arial"/>
          <w:color w:val="000000"/>
          <w:kern w:val="0"/>
          <w:sz w:val="20"/>
          <w:szCs w:val="20"/>
          <w:lang w:val="pt-BR" w:eastAsia="zh-CN"/>
          <w14:ligatures w14:val="none"/>
        </w:rPr>
        <w:t xml:space="preserve">LUIZ INÁCIO LULA DA SILVA </w:t>
      </w:r>
      <w:r w:rsidRPr="00F4407B">
        <w:rPr>
          <w:rFonts w:ascii="Arial" w:eastAsia="Times New Roman" w:hAnsi="Arial" w:cs="Arial"/>
          <w:color w:val="000000"/>
          <w:kern w:val="0"/>
          <w:sz w:val="20"/>
          <w:szCs w:val="20"/>
          <w:lang w:val="pt-BR" w:eastAsia="zh-CN"/>
          <w14:ligatures w14:val="none"/>
        </w:rPr>
        <w:br/>
      </w:r>
      <w:r w:rsidRPr="00F4407B">
        <w:rPr>
          <w:rFonts w:ascii="Arial" w:eastAsia="Times New Roman" w:hAnsi="Arial" w:cs="Arial"/>
          <w:i/>
          <w:iCs/>
          <w:color w:val="000000"/>
          <w:kern w:val="0"/>
          <w:sz w:val="20"/>
          <w:szCs w:val="20"/>
          <w:lang w:val="pt-BR" w:eastAsia="zh-CN"/>
          <w14:ligatures w14:val="none"/>
        </w:rPr>
        <w:t>Tarso Genro</w:t>
      </w:r>
      <w:r w:rsidRPr="00F4407B">
        <w:rPr>
          <w:rFonts w:ascii="Arial" w:eastAsia="Times New Roman" w:hAnsi="Arial" w:cs="Arial"/>
          <w:i/>
          <w:iCs/>
          <w:color w:val="000000"/>
          <w:kern w:val="0"/>
          <w:sz w:val="20"/>
          <w:szCs w:val="20"/>
          <w:lang w:val="pt-BR" w:eastAsia="zh-CN"/>
          <w14:ligatures w14:val="none"/>
        </w:rPr>
        <w:br/>
      </w:r>
      <w:r w:rsidRPr="00F4407B">
        <w:rPr>
          <w:rFonts w:ascii="Arial" w:eastAsia="Times New Roman" w:hAnsi="Arial" w:cs="Arial"/>
          <w:i/>
          <w:iCs/>
          <w:kern w:val="0"/>
          <w:sz w:val="20"/>
          <w:szCs w:val="20"/>
          <w:lang w:val="pt-BR" w:eastAsia="zh-CN"/>
          <w14:ligatures w14:val="none"/>
        </w:rPr>
        <w:t>José Antonio Dias Toffoli</w:t>
      </w:r>
    </w:p>
    <w:p w:rsidR="00F4407B" w:rsidRPr="00F4407B" w:rsidRDefault="00F4407B" w:rsidP="00F4407B">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F4407B">
        <w:rPr>
          <w:rFonts w:ascii="Arial" w:eastAsia="Times New Roman" w:hAnsi="Arial" w:cs="Arial"/>
          <w:color w:val="FF0000"/>
          <w:kern w:val="0"/>
          <w:sz w:val="20"/>
          <w:szCs w:val="20"/>
          <w:lang w:val="pt-BR" w:eastAsia="zh-CN"/>
          <w14:ligatures w14:val="none"/>
        </w:rPr>
        <w:t>Este texto não substitui o publicado no DOU de 10.6.2008</w:t>
      </w:r>
    </w:p>
    <w:p w:rsidR="002608AA" w:rsidRPr="00F4407B" w:rsidRDefault="002608AA">
      <w:pPr>
        <w:rPr>
          <w:lang w:val="pt-BR"/>
        </w:rPr>
      </w:pPr>
    </w:p>
    <w:sectPr w:rsidR="002608AA" w:rsidRPr="00F4407B">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07B"/>
    <w:rsid w:val="002608AA"/>
    <w:rsid w:val="00311013"/>
    <w:rsid w:val="00F440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1D4083-7A8A-492B-BCC6-B3EA93A5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F4407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4407B"/>
    <w:rPr>
      <w:b/>
      <w:bCs/>
    </w:rPr>
  </w:style>
  <w:style w:type="character" w:styleId="Hyperlink">
    <w:name w:val="Hyperlink"/>
    <w:basedOn w:val="Fontepargpadro"/>
    <w:uiPriority w:val="99"/>
    <w:semiHidden/>
    <w:unhideWhenUsed/>
    <w:rsid w:val="00F4407B"/>
    <w:rPr>
      <w:color w:val="0000FF"/>
      <w:u w:val="single"/>
    </w:rPr>
  </w:style>
  <w:style w:type="paragraph" w:customStyle="1" w:styleId="texto1">
    <w:name w:val="texto1"/>
    <w:basedOn w:val="Normal"/>
    <w:rsid w:val="00F4407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F4407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seo">
    <w:name w:val="seo"/>
    <w:basedOn w:val="Normal"/>
    <w:rsid w:val="00F4407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3">
    <w:name w:val="texto3"/>
    <w:basedOn w:val="Normal"/>
    <w:rsid w:val="00F4407B"/>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9090">
      <w:bodyDiv w:val="1"/>
      <w:marLeft w:val="0"/>
      <w:marRight w:val="0"/>
      <w:marTop w:val="0"/>
      <w:marBottom w:val="0"/>
      <w:divBdr>
        <w:top w:val="none" w:sz="0" w:space="0" w:color="auto"/>
        <w:left w:val="none" w:sz="0" w:space="0" w:color="auto"/>
        <w:bottom w:val="none" w:sz="0" w:space="0" w:color="auto"/>
        <w:right w:val="none" w:sz="0" w:space="0" w:color="auto"/>
      </w:divBdr>
      <w:divsChild>
        <w:div w:id="1471240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732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7-2010/2008/lei/L11690.htm" TargetMode="External"/><Relationship Id="rId13" Type="http://schemas.openxmlformats.org/officeDocument/2006/relationships/hyperlink" Target="http://www.planalto.gov.br/ccivil_03/Decreto-Lei/Del3689.htm" TargetMode="External"/><Relationship Id="rId18" Type="http://schemas.openxmlformats.org/officeDocument/2006/relationships/hyperlink" Target="http://www.planalto.gov.br/ccivil_03/Decreto-Lei/Del3689.ht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planalto.gov.br/ccivil_03/_ato2007-2010/2008/Msg/VEP-350-08.htm" TargetMode="External"/><Relationship Id="rId12" Type="http://schemas.openxmlformats.org/officeDocument/2006/relationships/hyperlink" Target="http://www.planalto.gov.br/ccivil_03/_ato2007-2010/2008/Msg/VEP-350-08.htm" TargetMode="External"/><Relationship Id="rId17" Type="http://schemas.openxmlformats.org/officeDocument/2006/relationships/hyperlink" Target="http://www.planalto.gov.br/ccivil_03/Decreto-Lei/Del3689.htm" TargetMode="External"/><Relationship Id="rId2" Type="http://schemas.openxmlformats.org/officeDocument/2006/relationships/settings" Target="settings.xml"/><Relationship Id="rId16" Type="http://schemas.openxmlformats.org/officeDocument/2006/relationships/hyperlink" Target="http://www.planalto.gov.br/ccivil_03/Decreto-Lei/Del3689.htm" TargetMode="External"/><Relationship Id="rId20" Type="http://schemas.openxmlformats.org/officeDocument/2006/relationships/hyperlink" Target="http://www.planalto.gov.br/ccivil_03/Decreto-Lei/Del3689.htm" TargetMode="External"/><Relationship Id="rId1" Type="http://schemas.openxmlformats.org/officeDocument/2006/relationships/styles" Target="styles.xml"/><Relationship Id="rId6" Type="http://schemas.openxmlformats.org/officeDocument/2006/relationships/hyperlink" Target="http://legislacao.planalto.gov.br/legisla/legislacao.nsf/Viw_Identificacao/lei%2011.690-2008?OpenDocument" TargetMode="External"/><Relationship Id="rId11" Type="http://schemas.openxmlformats.org/officeDocument/2006/relationships/hyperlink" Target="http://www.planalto.gov.br/ccivil_03/Decreto-Lei/Del3689.htm" TargetMode="External"/><Relationship Id="rId5" Type="http://schemas.openxmlformats.org/officeDocument/2006/relationships/hyperlink" Target="http://legislacao.planalto.gov.br/legisla/legislacao.nsf/Viw_Identificacao/lei%2011.639-2008?OpenDocument" TargetMode="External"/><Relationship Id="rId15" Type="http://schemas.openxmlformats.org/officeDocument/2006/relationships/hyperlink" Target="http://www.planalto.gov.br/ccivil_03/Decreto-Lei/Del3689.htm" TargetMode="External"/><Relationship Id="rId10" Type="http://schemas.openxmlformats.org/officeDocument/2006/relationships/hyperlink" Target="http://www.planalto.gov.br/ccivil_03/Decreto-Lei/Del3689.htm" TargetMode="External"/><Relationship Id="rId19" Type="http://schemas.openxmlformats.org/officeDocument/2006/relationships/hyperlink" Target="http://www.planalto.gov.br/ccivil_03/Decreto-Lei/Del3689.htm" TargetMode="External"/><Relationship Id="rId4" Type="http://schemas.openxmlformats.org/officeDocument/2006/relationships/hyperlink" Target="http://legislacao.planalto.gov.br/legisla/legislacao.nsf/Viw_Identificacao/lei%2011.690-2008?OpenDocument" TargetMode="External"/><Relationship Id="rId9" Type="http://schemas.openxmlformats.org/officeDocument/2006/relationships/hyperlink" Target="http://www.planalto.gov.br/ccivil_03/Decreto-Lei/Del3689.htm" TargetMode="External"/><Relationship Id="rId14" Type="http://schemas.openxmlformats.org/officeDocument/2006/relationships/hyperlink" Target="http://www.planalto.gov.br/ccivil_03/Decreto-Lei/Del3689.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1453</Words>
  <Characters>8287</Characters>
  <Application>Microsoft Office Word</Application>
  <DocSecurity>0</DocSecurity>
  <Lines>69</Lines>
  <Paragraphs>19</Paragraphs>
  <ScaleCrop>false</ScaleCrop>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2023-06-13T15:17:00Z</dcterms:created>
  <dcterms:modified xsi:type="dcterms:W3CDTF">2023-06-13T15:20:00Z</dcterms:modified>
</cp:coreProperties>
</file>