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05"/>
        <w:gridCol w:w="4848"/>
      </w:tblGrid>
      <w:tr w:rsidR="0037089D" w:rsidRPr="0037089D" w:rsidTr="0037089D">
        <w:trPr>
          <w:trHeight w:val="1230"/>
          <w:tblCellSpacing w:w="0" w:type="dxa"/>
          <w:jc w:val="center"/>
        </w:trPr>
        <w:tc>
          <w:tcPr>
            <w:tcW w:w="700" w:type="pct"/>
            <w:vAlign w:val="center"/>
            <w:hideMark/>
          </w:tcPr>
          <w:p w:rsidR="0037089D" w:rsidRPr="0037089D" w:rsidRDefault="0037089D" w:rsidP="0037089D">
            <w:pPr>
              <w:spacing w:before="100" w:beforeAutospacing="1" w:after="100" w:afterAutospacing="1" w:line="240" w:lineRule="auto"/>
              <w:jc w:val="center"/>
              <w:rPr>
                <w:rFonts w:ascii="Times New Roman" w:eastAsia="Times New Roman" w:hAnsi="Times New Roman" w:cs="Times New Roman"/>
                <w:sz w:val="24"/>
                <w:szCs w:val="24"/>
                <w:lang w:eastAsia="pt-BR"/>
              </w:rPr>
            </w:pPr>
            <w:r>
              <w:rPr>
                <w:rFonts w:ascii="Times New Roman" w:eastAsia="Times New Roman" w:hAnsi="Times New Roman" w:cs="Times New Roman"/>
                <w:noProof/>
                <w:sz w:val="24"/>
                <w:szCs w:val="24"/>
                <w:lang w:eastAsia="pt-BR"/>
              </w:rPr>
              <mc:AlternateContent>
                <mc:Choice Requires="wps">
                  <w:drawing>
                    <wp:inline distT="0" distB="0" distL="0" distR="0">
                      <wp:extent cx="701675" cy="786765"/>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1675" cy="786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Brastra.gif (4376 bytes)" style="width:55.25pt;height:6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" filled="f" stroked="f">
                      <o:lock v:ext="edit" aspectratio="t"/>
                      <w10:anchorlock/>
                    </v:rect>
                  </w:pict>
                </mc:Fallback>
              </mc:AlternateContent>
            </w:r>
          </w:p>
        </w:tc>
        <w:tc>
          <w:tcPr>
            <w:tcW w:w="4300" w:type="pct"/>
            <w:vAlign w:val="center"/>
            <w:hideMark/>
          </w:tcPr>
          <w:p w:rsidR="0037089D" w:rsidRPr="0037089D" w:rsidRDefault="0037089D" w:rsidP="0037089D">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37089D">
              <w:rPr>
                <w:rFonts w:ascii="Arial" w:eastAsia="Times New Roman" w:hAnsi="Arial" w:cs="Arial"/>
                <w:b/>
                <w:bCs/>
                <w:color w:val="808000"/>
                <w:sz w:val="36"/>
                <w:szCs w:val="36"/>
                <w:lang w:eastAsia="pt-BR"/>
              </w:rPr>
              <w:t>Presidência da República</w:t>
            </w:r>
            <w:r w:rsidRPr="0037089D">
              <w:rPr>
                <w:rFonts w:ascii="Arial" w:eastAsia="Times New Roman" w:hAnsi="Arial" w:cs="Arial"/>
                <w:b/>
                <w:bCs/>
                <w:color w:val="808000"/>
                <w:sz w:val="24"/>
                <w:szCs w:val="24"/>
                <w:lang w:eastAsia="pt-BR"/>
              </w:rPr>
              <w:br/>
            </w:r>
            <w:r w:rsidRPr="0037089D">
              <w:rPr>
                <w:rFonts w:ascii="Arial" w:eastAsia="Times New Roman" w:hAnsi="Arial" w:cs="Arial"/>
                <w:b/>
                <w:bCs/>
                <w:color w:val="808000"/>
                <w:sz w:val="27"/>
                <w:szCs w:val="27"/>
                <w:lang w:eastAsia="pt-BR"/>
              </w:rPr>
              <w:t>Casa Civil</w:t>
            </w:r>
            <w:r w:rsidRPr="0037089D">
              <w:rPr>
                <w:rFonts w:ascii="Arial" w:eastAsia="Times New Roman" w:hAnsi="Arial" w:cs="Arial"/>
                <w:b/>
                <w:bCs/>
                <w:color w:val="808000"/>
                <w:sz w:val="27"/>
                <w:szCs w:val="27"/>
                <w:lang w:eastAsia="pt-BR"/>
              </w:rPr>
              <w:br/>
            </w:r>
            <w:r w:rsidRPr="0037089D">
              <w:rPr>
                <w:rFonts w:ascii="Arial" w:eastAsia="Times New Roman" w:hAnsi="Arial" w:cs="Arial"/>
                <w:b/>
                <w:bCs/>
                <w:color w:val="808000"/>
                <w:sz w:val="24"/>
                <w:szCs w:val="24"/>
                <w:lang w:eastAsia="pt-BR"/>
              </w:rPr>
              <w:t>Subchefia para Assuntos Jurídicos</w:t>
            </w:r>
          </w:p>
        </w:tc>
      </w:tr>
    </w:tbl>
    <w:p w:rsidR="0037089D" w:rsidRPr="0037089D" w:rsidRDefault="0037089D" w:rsidP="0037089D">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hyperlink r:id="rId5" w:history="1">
        <w:r w:rsidRPr="0037089D">
          <w:rPr>
            <w:rFonts w:ascii="Arial" w:eastAsia="Times New Roman" w:hAnsi="Arial" w:cs="Arial"/>
            <w:b/>
            <w:bCs/>
            <w:color w:val="000080"/>
            <w:sz w:val="24"/>
            <w:szCs w:val="24"/>
            <w:u w:val="single"/>
            <w:lang w:eastAsia="pt-BR"/>
          </w:rPr>
          <w:t>LEI Nº 11.638, DE 28 </w:t>
        </w:r>
      </w:hyperlink>
      <w:hyperlink r:id="rId6" w:history="1">
        <w:r w:rsidRPr="0037089D">
          <w:rPr>
            <w:rFonts w:ascii="Arial" w:eastAsia="Times New Roman" w:hAnsi="Arial" w:cs="Arial"/>
            <w:b/>
            <w:bCs/>
            <w:color w:val="000080"/>
            <w:sz w:val="24"/>
            <w:szCs w:val="24"/>
            <w:u w:val="single"/>
            <w:lang w:eastAsia="pt-BR"/>
          </w:rPr>
          <w:t>DE</w:t>
        </w:r>
      </w:hyperlink>
      <w:hyperlink r:id="rId7" w:history="1">
        <w:r w:rsidRPr="0037089D">
          <w:rPr>
            <w:rFonts w:ascii="Arial" w:eastAsia="Times New Roman" w:hAnsi="Arial" w:cs="Arial"/>
            <w:b/>
            <w:bCs/>
            <w:color w:val="000080"/>
            <w:sz w:val="24"/>
            <w:szCs w:val="24"/>
            <w:u w:val="single"/>
            <w:lang w:eastAsia="pt-BR"/>
          </w:rPr>
          <w:t> DEZEMBRO DE 2007.</w:t>
        </w:r>
      </w:hyperlink>
    </w:p>
    <w:tbl>
      <w:tblPr>
        <w:tblW w:w="5000" w:type="pct"/>
        <w:tblCellSpacing w:w="0" w:type="dxa"/>
        <w:tblCellMar>
          <w:left w:w="0" w:type="dxa"/>
          <w:right w:w="0" w:type="dxa"/>
        </w:tblCellMar>
        <w:tblLook w:val="04A0" w:firstRow="1" w:lastRow="0" w:firstColumn="1" w:lastColumn="0" w:noHBand="0" w:noVBand="1"/>
      </w:tblPr>
      <w:tblGrid>
        <w:gridCol w:w="4422"/>
        <w:gridCol w:w="4082"/>
      </w:tblGrid>
      <w:tr w:rsidR="0037089D" w:rsidRPr="0037089D" w:rsidTr="0037089D">
        <w:trPr>
          <w:trHeight w:val="480"/>
          <w:tblCellSpacing w:w="0" w:type="dxa"/>
        </w:trPr>
        <w:tc>
          <w:tcPr>
            <w:tcW w:w="2600" w:type="pct"/>
            <w:vAlign w:val="center"/>
            <w:hideMark/>
          </w:tcPr>
          <w:p w:rsidR="0037089D" w:rsidRPr="0037089D" w:rsidRDefault="0037089D" w:rsidP="0037089D">
            <w:pPr>
              <w:spacing w:after="0" w:line="240" w:lineRule="auto"/>
              <w:rPr>
                <w:rFonts w:ascii="Times New Roman" w:eastAsia="Times New Roman" w:hAnsi="Times New Roman" w:cs="Times New Roman"/>
                <w:sz w:val="24"/>
                <w:szCs w:val="24"/>
                <w:lang w:eastAsia="pt-BR"/>
              </w:rPr>
            </w:pPr>
            <w:hyperlink r:id="rId8" w:history="1">
              <w:r w:rsidRPr="0037089D">
                <w:rPr>
                  <w:rFonts w:ascii="Arial" w:eastAsia="Times New Roman" w:hAnsi="Arial" w:cs="Arial"/>
                  <w:color w:val="0000FF"/>
                  <w:sz w:val="20"/>
                  <w:szCs w:val="20"/>
                  <w:u w:val="single"/>
                  <w:lang w:eastAsia="pt-BR"/>
                </w:rPr>
                <w:t>Mensagem de veto</w:t>
              </w:r>
            </w:hyperlink>
          </w:p>
        </w:tc>
        <w:tc>
          <w:tcPr>
            <w:tcW w:w="2400" w:type="pct"/>
            <w:vAlign w:val="center"/>
            <w:hideMark/>
          </w:tcPr>
          <w:p w:rsidR="0037089D" w:rsidRPr="0037089D" w:rsidRDefault="0037089D" w:rsidP="0037089D">
            <w:pPr>
              <w:spacing w:before="100" w:beforeAutospacing="1" w:after="100" w:afterAutospacing="1" w:line="240" w:lineRule="atLeast"/>
              <w:jc w:val="both"/>
              <w:rPr>
                <w:rFonts w:ascii="Times New Roman" w:eastAsia="Times New Roman" w:hAnsi="Times New Roman" w:cs="Times New Roman"/>
                <w:sz w:val="24"/>
                <w:szCs w:val="24"/>
                <w:lang w:eastAsia="pt-BR"/>
              </w:rPr>
            </w:pPr>
            <w:r w:rsidRPr="0037089D">
              <w:rPr>
                <w:rFonts w:ascii="Arial" w:eastAsia="Times New Roman" w:hAnsi="Arial" w:cs="Arial"/>
                <w:color w:val="800000"/>
                <w:sz w:val="20"/>
                <w:szCs w:val="20"/>
                <w:lang w:eastAsia="pt-BR"/>
              </w:rPr>
              <w:t>Altera e revoga dispositivos da Lei n</w:t>
            </w:r>
            <w:r w:rsidRPr="0037089D">
              <w:rPr>
                <w:rFonts w:ascii="Arial" w:eastAsia="Times New Roman" w:hAnsi="Arial" w:cs="Arial"/>
                <w:color w:val="800000"/>
                <w:sz w:val="20"/>
                <w:szCs w:val="20"/>
                <w:u w:val="single"/>
                <w:vertAlign w:val="superscript"/>
                <w:lang w:eastAsia="pt-BR"/>
              </w:rPr>
              <w:t>o</w:t>
            </w:r>
            <w:r w:rsidRPr="0037089D">
              <w:rPr>
                <w:rFonts w:ascii="Arial" w:eastAsia="Times New Roman" w:hAnsi="Arial" w:cs="Arial"/>
                <w:color w:val="800000"/>
                <w:sz w:val="20"/>
                <w:szCs w:val="20"/>
                <w:lang w:eastAsia="pt-BR"/>
              </w:rPr>
              <w:t> 6.404, de 15 de dezembro de 1976, e da Lei n</w:t>
            </w:r>
            <w:r w:rsidRPr="0037089D">
              <w:rPr>
                <w:rFonts w:ascii="Arial" w:eastAsia="Times New Roman" w:hAnsi="Arial" w:cs="Arial"/>
                <w:color w:val="800000"/>
                <w:sz w:val="20"/>
                <w:szCs w:val="20"/>
                <w:u w:val="single"/>
                <w:vertAlign w:val="superscript"/>
                <w:lang w:eastAsia="pt-BR"/>
              </w:rPr>
              <w:t>o</w:t>
            </w:r>
            <w:r w:rsidRPr="0037089D">
              <w:rPr>
                <w:rFonts w:ascii="Arial" w:eastAsia="Times New Roman" w:hAnsi="Arial" w:cs="Arial"/>
                <w:color w:val="800000"/>
                <w:sz w:val="20"/>
                <w:szCs w:val="20"/>
                <w:lang w:eastAsia="pt-BR"/>
              </w:rPr>
              <w:t> 6.385, de 7 de dezembro de 1976, e estende às sociedades de grande porte disposições relativas à elaboração e divulgação de demonstrações financeiras.</w:t>
            </w:r>
          </w:p>
        </w:tc>
      </w:tr>
    </w:tbl>
    <w:p w:rsidR="0037089D" w:rsidRPr="0037089D" w:rsidRDefault="0037089D" w:rsidP="0037089D">
      <w:pPr>
        <w:spacing w:before="100" w:beforeAutospacing="1" w:after="100" w:afterAutospacing="1" w:line="240" w:lineRule="auto"/>
        <w:ind w:firstLine="450"/>
        <w:jc w:val="both"/>
        <w:rPr>
          <w:rFonts w:ascii="Times New Roman" w:eastAsia="Times New Roman" w:hAnsi="Times New Roman" w:cs="Times New Roman"/>
          <w:color w:val="000000"/>
          <w:sz w:val="24"/>
          <w:szCs w:val="24"/>
          <w:lang w:eastAsia="pt-BR"/>
        </w:rPr>
      </w:pPr>
      <w:r w:rsidRPr="0037089D">
        <w:rPr>
          <w:rFonts w:ascii="Arial" w:eastAsia="Times New Roman" w:hAnsi="Arial" w:cs="Arial"/>
          <w:b/>
          <w:bCs/>
          <w:color w:val="000000"/>
          <w:sz w:val="24"/>
          <w:szCs w:val="24"/>
          <w:lang w:eastAsia="pt-BR"/>
        </w:rPr>
        <w:t>O PRESIDENTE DA REPÚBLICA</w:t>
      </w:r>
      <w:r w:rsidRPr="0037089D">
        <w:rPr>
          <w:rFonts w:ascii="Arial" w:eastAsia="Times New Roman" w:hAnsi="Arial" w:cs="Arial"/>
          <w:color w:val="000000"/>
          <w:sz w:val="24"/>
          <w:szCs w:val="24"/>
          <w:lang w:eastAsia="pt-BR"/>
        </w:rPr>
        <w:t> Faço saber que o Congresso Nacional decreta e eu sanciono a seguinte Lei:</w:t>
      </w:r>
    </w:p>
    <w:p w:rsidR="0037089D" w:rsidRPr="0037089D" w:rsidRDefault="0037089D" w:rsidP="0037089D">
      <w:pPr>
        <w:spacing w:before="100" w:beforeAutospacing="1" w:after="100" w:afterAutospacing="1" w:line="240" w:lineRule="auto"/>
        <w:ind w:firstLine="450"/>
        <w:rPr>
          <w:rFonts w:ascii="Arial" w:eastAsia="Times New Roman" w:hAnsi="Arial" w:cs="Arial"/>
          <w:color w:val="000000"/>
          <w:sz w:val="20"/>
          <w:szCs w:val="20"/>
          <w:lang w:eastAsia="pt-BR"/>
        </w:rPr>
      </w:pPr>
      <w:bookmarkStart w:id="0" w:name="art1"/>
      <w:bookmarkEnd w:id="0"/>
      <w:r w:rsidRPr="0037089D">
        <w:rPr>
          <w:rFonts w:ascii="Arial" w:eastAsia="Times New Roman" w:hAnsi="Arial" w:cs="Arial"/>
          <w:color w:val="000000"/>
          <w:sz w:val="20"/>
          <w:szCs w:val="20"/>
          <w:lang w:eastAsia="pt-BR"/>
        </w:rPr>
        <w:t>Art. 1</w:t>
      </w:r>
      <w:r w:rsidRPr="0037089D">
        <w:rPr>
          <w:rFonts w:ascii="Arial" w:eastAsia="Times New Roman" w:hAnsi="Arial" w:cs="Arial"/>
          <w:color w:val="000000"/>
          <w:sz w:val="20"/>
          <w:szCs w:val="20"/>
          <w:u w:val="single"/>
          <w:vertAlign w:val="superscript"/>
          <w:lang w:eastAsia="pt-BR"/>
        </w:rPr>
        <w:t>o</w:t>
      </w:r>
      <w:r w:rsidRPr="0037089D">
        <w:rPr>
          <w:rFonts w:ascii="Arial" w:eastAsia="Times New Roman" w:hAnsi="Arial" w:cs="Arial"/>
          <w:color w:val="000000"/>
          <w:sz w:val="20"/>
          <w:szCs w:val="20"/>
          <w:lang w:eastAsia="pt-BR"/>
        </w:rPr>
        <w:t>  Os arts. 176 a 179, 181 a 184, 187, 188, 197, 199, 226 e 248 da </w:t>
      </w:r>
      <w:hyperlink r:id="rId9" w:history="1">
        <w:r w:rsidRPr="0037089D">
          <w:rPr>
            <w:rFonts w:ascii="Arial" w:eastAsia="Times New Roman" w:hAnsi="Arial" w:cs="Arial"/>
            <w:color w:val="0000FF"/>
            <w:sz w:val="20"/>
            <w:szCs w:val="20"/>
            <w:u w:val="single"/>
            <w:lang w:eastAsia="pt-BR"/>
          </w:rPr>
          <w:t>Lei no 6.404, de 15 de dezembro de 1976</w:t>
        </w:r>
      </w:hyperlink>
      <w:r w:rsidRPr="0037089D">
        <w:rPr>
          <w:rFonts w:ascii="Arial" w:eastAsia="Times New Roman" w:hAnsi="Arial" w:cs="Arial"/>
          <w:color w:val="000000"/>
          <w:sz w:val="20"/>
          <w:szCs w:val="20"/>
          <w:lang w:eastAsia="pt-BR"/>
        </w:rPr>
        <w:t>, passam a vigorar com a seguinte redação:</w:t>
      </w:r>
    </w:p>
    <w:p w:rsidR="0037089D" w:rsidRPr="0037089D" w:rsidRDefault="0037089D" w:rsidP="0037089D">
      <w:pPr>
        <w:spacing w:beforeAutospacing="1" w:after="100" w:afterAutospacing="1" w:line="240" w:lineRule="auto"/>
        <w:rPr>
          <w:rFonts w:ascii="Arial" w:eastAsia="Times New Roman" w:hAnsi="Arial" w:cs="Arial"/>
          <w:color w:val="000000"/>
          <w:sz w:val="20"/>
          <w:szCs w:val="20"/>
          <w:lang w:eastAsia="pt-BR"/>
        </w:rPr>
      </w:pPr>
      <w:r w:rsidRPr="0037089D">
        <w:rPr>
          <w:rFonts w:ascii="Arial" w:eastAsia="Times New Roman" w:hAnsi="Arial" w:cs="Arial"/>
          <w:color w:val="000000"/>
          <w:sz w:val="20"/>
          <w:szCs w:val="20"/>
          <w:lang w:eastAsia="pt-BR"/>
        </w:rPr>
        <w:t> “Art. 176.........................................................</w:t>
      </w:r>
    </w:p>
    <w:p w:rsidR="0037089D" w:rsidRPr="0037089D" w:rsidRDefault="0037089D" w:rsidP="0037089D">
      <w:pPr>
        <w:spacing w:before="100" w:beforeAutospacing="1" w:after="100" w:afterAutospacing="1" w:line="240" w:lineRule="auto"/>
        <w:rPr>
          <w:rFonts w:ascii="Arial" w:eastAsia="Times New Roman" w:hAnsi="Arial" w:cs="Arial"/>
          <w:color w:val="000000"/>
          <w:sz w:val="20"/>
          <w:szCs w:val="20"/>
          <w:lang w:eastAsia="pt-BR"/>
        </w:rPr>
      </w:pPr>
      <w:r w:rsidRPr="0037089D">
        <w:rPr>
          <w:rFonts w:ascii="Arial" w:eastAsia="Times New Roman" w:hAnsi="Arial" w:cs="Arial"/>
          <w:color w:val="000000"/>
          <w:sz w:val="20"/>
          <w:szCs w:val="20"/>
          <w:lang w:eastAsia="pt-BR"/>
        </w:rPr>
        <w:t>.......................................................................</w:t>
      </w:r>
    </w:p>
    <w:p w:rsidR="0037089D" w:rsidRPr="0037089D" w:rsidRDefault="0037089D" w:rsidP="0037089D">
      <w:pPr>
        <w:spacing w:before="100" w:beforeAutospacing="1" w:after="100" w:afterAutospacing="1" w:line="240" w:lineRule="auto"/>
        <w:ind w:right="2007"/>
        <w:rPr>
          <w:rFonts w:ascii="Arial" w:eastAsia="Times New Roman" w:hAnsi="Arial" w:cs="Arial"/>
          <w:color w:val="000000"/>
          <w:sz w:val="20"/>
          <w:szCs w:val="20"/>
          <w:lang w:eastAsia="pt-BR"/>
        </w:rPr>
      </w:pPr>
      <w:hyperlink r:id="rId10" w:anchor="art176iv" w:history="1">
        <w:r w:rsidRPr="0037089D">
          <w:rPr>
            <w:rFonts w:ascii="Arial" w:eastAsia="Times New Roman" w:hAnsi="Arial" w:cs="Arial"/>
            <w:color w:val="0000FF"/>
            <w:sz w:val="20"/>
            <w:szCs w:val="20"/>
            <w:u w:val="single"/>
            <w:lang w:eastAsia="pt-BR"/>
          </w:rPr>
          <w:t>IV –</w:t>
        </w:r>
      </w:hyperlink>
      <w:r w:rsidRPr="0037089D">
        <w:rPr>
          <w:rFonts w:ascii="Arial" w:eastAsia="Times New Roman" w:hAnsi="Arial" w:cs="Arial"/>
          <w:color w:val="000000"/>
          <w:sz w:val="20"/>
          <w:szCs w:val="20"/>
          <w:lang w:eastAsia="pt-BR"/>
        </w:rPr>
        <w:t> demonstração dos fluxos de caixa; e</w:t>
      </w:r>
    </w:p>
    <w:p w:rsidR="0037089D" w:rsidRPr="0037089D" w:rsidRDefault="0037089D" w:rsidP="0037089D">
      <w:pPr>
        <w:spacing w:before="100" w:beforeAutospacing="1" w:after="100" w:afterAutospacing="1" w:line="240" w:lineRule="auto"/>
        <w:ind w:right="2007"/>
        <w:rPr>
          <w:rFonts w:ascii="Arial" w:eastAsia="Times New Roman" w:hAnsi="Arial" w:cs="Arial"/>
          <w:color w:val="000000"/>
          <w:sz w:val="20"/>
          <w:szCs w:val="20"/>
          <w:lang w:eastAsia="pt-BR"/>
        </w:rPr>
      </w:pPr>
      <w:r w:rsidRPr="0037089D">
        <w:rPr>
          <w:rFonts w:ascii="Arial" w:eastAsia="Times New Roman" w:hAnsi="Arial" w:cs="Arial"/>
          <w:color w:val="000000"/>
          <w:sz w:val="20"/>
          <w:szCs w:val="20"/>
          <w:lang w:eastAsia="pt-BR"/>
        </w:rPr>
        <w:t>V – se companhia aberta, demonstração do valor adicionado.</w:t>
      </w:r>
    </w:p>
    <w:p w:rsidR="0037089D" w:rsidRPr="0037089D" w:rsidRDefault="0037089D" w:rsidP="0037089D">
      <w:pPr>
        <w:spacing w:before="100" w:beforeAutospacing="1" w:after="100" w:afterAutospacing="1" w:line="240" w:lineRule="auto"/>
        <w:ind w:right="2007"/>
        <w:rPr>
          <w:rFonts w:ascii="Arial" w:eastAsia="Times New Roman" w:hAnsi="Arial" w:cs="Arial"/>
          <w:color w:val="000000"/>
          <w:sz w:val="20"/>
          <w:szCs w:val="20"/>
          <w:lang w:eastAsia="pt-BR"/>
        </w:rPr>
      </w:pPr>
      <w:r w:rsidRPr="0037089D">
        <w:rPr>
          <w:rFonts w:ascii="Arial" w:eastAsia="Times New Roman" w:hAnsi="Arial" w:cs="Arial"/>
          <w:color w:val="000000"/>
          <w:sz w:val="20"/>
          <w:szCs w:val="20"/>
          <w:lang w:eastAsia="pt-BR"/>
        </w:rPr>
        <w:t>.......................................................................</w:t>
      </w:r>
    </w:p>
    <w:p w:rsidR="0037089D" w:rsidRPr="0037089D" w:rsidRDefault="0037089D" w:rsidP="0037089D">
      <w:pPr>
        <w:spacing w:before="100" w:beforeAutospacing="1" w:after="100" w:afterAutospacing="1" w:line="240" w:lineRule="auto"/>
        <w:ind w:right="2007"/>
        <w:rPr>
          <w:rFonts w:ascii="Arial" w:eastAsia="Times New Roman" w:hAnsi="Arial" w:cs="Arial"/>
          <w:color w:val="000000"/>
          <w:sz w:val="20"/>
          <w:szCs w:val="20"/>
          <w:lang w:eastAsia="pt-BR"/>
        </w:rPr>
      </w:pPr>
      <w:hyperlink r:id="rId11" w:anchor="art176%C2%A76." w:history="1">
        <w:r w:rsidRPr="0037089D">
          <w:rPr>
            <w:rFonts w:ascii="Arial" w:eastAsia="Times New Roman" w:hAnsi="Arial" w:cs="Arial"/>
            <w:color w:val="0000FF"/>
            <w:sz w:val="20"/>
            <w:szCs w:val="20"/>
            <w:u w:val="single"/>
            <w:lang w:eastAsia="pt-BR"/>
          </w:rPr>
          <w:t>§ 6º</w:t>
        </w:r>
      </w:hyperlink>
      <w:r w:rsidRPr="0037089D">
        <w:rPr>
          <w:rFonts w:ascii="Arial" w:eastAsia="Times New Roman" w:hAnsi="Arial" w:cs="Arial"/>
          <w:color w:val="000000"/>
          <w:sz w:val="20"/>
          <w:szCs w:val="20"/>
          <w:lang w:eastAsia="pt-BR"/>
        </w:rPr>
        <w:t>  A companhia fechada com patrimônio líquido, na data do balanço, inferior a R$ 2.000.000,00 (dois milhões de reais) não será obrigada à elaboração e publicação da demonstração dos fluxos de caixa.” (NR)</w:t>
      </w:r>
    </w:p>
    <w:p w:rsidR="0037089D" w:rsidRPr="0037089D" w:rsidRDefault="0037089D" w:rsidP="0037089D">
      <w:pPr>
        <w:spacing w:before="100" w:beforeAutospacing="1" w:after="100" w:afterAutospacing="1" w:line="240" w:lineRule="auto"/>
        <w:ind w:right="2007"/>
        <w:rPr>
          <w:rFonts w:ascii="Arial" w:eastAsia="Times New Roman" w:hAnsi="Arial" w:cs="Arial"/>
          <w:color w:val="000000"/>
          <w:sz w:val="20"/>
          <w:szCs w:val="20"/>
          <w:lang w:eastAsia="pt-BR"/>
        </w:rPr>
      </w:pPr>
      <w:r w:rsidRPr="0037089D">
        <w:rPr>
          <w:rFonts w:ascii="Arial" w:eastAsia="Times New Roman" w:hAnsi="Arial" w:cs="Arial"/>
          <w:color w:val="000000"/>
          <w:sz w:val="20"/>
          <w:szCs w:val="20"/>
          <w:lang w:eastAsia="pt-BR"/>
        </w:rPr>
        <w:t>“Art. 177...........................................................</w:t>
      </w:r>
    </w:p>
    <w:p w:rsidR="0037089D" w:rsidRPr="0037089D" w:rsidRDefault="0037089D" w:rsidP="0037089D">
      <w:pPr>
        <w:spacing w:before="100" w:beforeAutospacing="1" w:after="100" w:afterAutospacing="1" w:line="240" w:lineRule="auto"/>
        <w:ind w:right="2007"/>
        <w:rPr>
          <w:rFonts w:ascii="Arial" w:eastAsia="Times New Roman" w:hAnsi="Arial" w:cs="Arial"/>
          <w:color w:val="000000"/>
          <w:sz w:val="20"/>
          <w:szCs w:val="20"/>
          <w:lang w:eastAsia="pt-BR"/>
        </w:rPr>
      </w:pPr>
      <w:r w:rsidRPr="0037089D">
        <w:rPr>
          <w:rFonts w:ascii="Arial" w:eastAsia="Times New Roman" w:hAnsi="Arial" w:cs="Arial"/>
          <w:color w:val="000000"/>
          <w:sz w:val="20"/>
          <w:szCs w:val="20"/>
          <w:lang w:eastAsia="pt-BR"/>
        </w:rPr>
        <w:t>.......................................................................</w:t>
      </w:r>
    </w:p>
    <w:p w:rsidR="0037089D" w:rsidRPr="0037089D" w:rsidRDefault="0037089D" w:rsidP="0037089D">
      <w:pPr>
        <w:spacing w:before="100" w:beforeAutospacing="1" w:after="100" w:afterAutospacing="1" w:line="240" w:lineRule="auto"/>
        <w:ind w:right="2007"/>
        <w:rPr>
          <w:rFonts w:ascii="Arial" w:eastAsia="Times New Roman" w:hAnsi="Arial" w:cs="Arial"/>
          <w:color w:val="000000"/>
          <w:sz w:val="20"/>
          <w:szCs w:val="20"/>
          <w:lang w:eastAsia="pt-BR"/>
        </w:rPr>
      </w:pPr>
      <w:hyperlink r:id="rId12" w:anchor="art177%C2%A72" w:history="1">
        <w:r w:rsidRPr="0037089D">
          <w:rPr>
            <w:rFonts w:ascii="Arial" w:eastAsia="Times New Roman" w:hAnsi="Arial" w:cs="Arial"/>
            <w:color w:val="0000FF"/>
            <w:sz w:val="20"/>
            <w:szCs w:val="20"/>
            <w:u w:val="single"/>
            <w:lang w:eastAsia="pt-BR"/>
          </w:rPr>
          <w:t>§ 2º</w:t>
        </w:r>
      </w:hyperlink>
      <w:r w:rsidRPr="0037089D">
        <w:rPr>
          <w:rFonts w:ascii="Arial" w:eastAsia="Times New Roman" w:hAnsi="Arial" w:cs="Arial"/>
          <w:color w:val="000000"/>
          <w:sz w:val="20"/>
          <w:szCs w:val="20"/>
          <w:lang w:eastAsia="pt-BR"/>
        </w:rPr>
        <w:t>  As disposições da lei tributária ou de legislação especial sobre atividade que constitui o objeto da companhia que conduzam à utilização de métodos ou critérios contábeis diferentes ou à elaboração de outras demonstrações não elidem a obrigação de elaborar, para todos os fins desta Lei, demonstrações financeiras em consonância com o disposto no caput deste artigo e deverão ser alternativamente observadas mediante registro:</w:t>
      </w:r>
    </w:p>
    <w:p w:rsidR="0037089D" w:rsidRPr="0037089D" w:rsidRDefault="0037089D" w:rsidP="0037089D">
      <w:pPr>
        <w:spacing w:before="100" w:beforeAutospacing="1" w:after="100" w:afterAutospacing="1" w:line="240" w:lineRule="auto"/>
        <w:ind w:right="2007"/>
        <w:rPr>
          <w:rFonts w:ascii="Arial" w:eastAsia="Times New Roman" w:hAnsi="Arial" w:cs="Arial"/>
          <w:color w:val="000000"/>
          <w:sz w:val="20"/>
          <w:szCs w:val="20"/>
          <w:lang w:eastAsia="pt-BR"/>
        </w:rPr>
      </w:pPr>
      <w:r w:rsidRPr="0037089D">
        <w:rPr>
          <w:rFonts w:ascii="Arial" w:eastAsia="Times New Roman" w:hAnsi="Arial" w:cs="Arial"/>
          <w:color w:val="000000"/>
          <w:sz w:val="20"/>
          <w:szCs w:val="20"/>
          <w:lang w:eastAsia="pt-BR"/>
        </w:rPr>
        <w:t>I – em livros  auxiliares, sem modificação da escrituração mercantil; ou</w:t>
      </w:r>
    </w:p>
    <w:p w:rsidR="0037089D" w:rsidRPr="0037089D" w:rsidRDefault="0037089D" w:rsidP="0037089D">
      <w:pPr>
        <w:spacing w:before="100" w:beforeAutospacing="1" w:after="100" w:afterAutospacing="1" w:line="240" w:lineRule="auto"/>
        <w:ind w:right="2007"/>
        <w:rPr>
          <w:rFonts w:ascii="Arial" w:eastAsia="Times New Roman" w:hAnsi="Arial" w:cs="Arial"/>
          <w:color w:val="000000"/>
          <w:sz w:val="20"/>
          <w:szCs w:val="20"/>
          <w:lang w:eastAsia="pt-BR"/>
        </w:rPr>
      </w:pPr>
      <w:r w:rsidRPr="0037089D">
        <w:rPr>
          <w:rFonts w:ascii="Arial" w:eastAsia="Times New Roman" w:hAnsi="Arial" w:cs="Arial"/>
          <w:color w:val="000000"/>
          <w:sz w:val="20"/>
          <w:szCs w:val="20"/>
          <w:lang w:eastAsia="pt-BR"/>
        </w:rPr>
        <w:t>II – no caso da elaboração das demonstrações para fins tributários, na escrituração mercantil, desde que sejam efetuados em seguida lançamentos contábeis adicionais que assegurem a preparação e a divulgação de demonstrações financeiras com observância do disposto no caput deste artigo, devendo ser essas demonstrações auditadas por auditor independente registrado na Comissão de Valores Mobiliários.</w:t>
      </w:r>
    </w:p>
    <w:p w:rsidR="0037089D" w:rsidRPr="0037089D" w:rsidRDefault="0037089D" w:rsidP="0037089D">
      <w:pPr>
        <w:spacing w:before="100" w:beforeAutospacing="1" w:after="100" w:afterAutospacing="1" w:line="240" w:lineRule="auto"/>
        <w:ind w:right="2007"/>
        <w:rPr>
          <w:rFonts w:ascii="Arial" w:eastAsia="Times New Roman" w:hAnsi="Arial" w:cs="Arial"/>
          <w:color w:val="000000"/>
          <w:sz w:val="20"/>
          <w:szCs w:val="20"/>
          <w:lang w:eastAsia="pt-BR"/>
        </w:rPr>
      </w:pPr>
      <w:r w:rsidRPr="0037089D">
        <w:rPr>
          <w:rFonts w:ascii="Arial" w:eastAsia="Times New Roman" w:hAnsi="Arial" w:cs="Arial"/>
          <w:color w:val="000000"/>
          <w:sz w:val="20"/>
          <w:szCs w:val="20"/>
          <w:lang w:eastAsia="pt-BR"/>
        </w:rPr>
        <w:lastRenderedPageBreak/>
        <w:t>.......................................................................</w:t>
      </w:r>
    </w:p>
    <w:p w:rsidR="0037089D" w:rsidRPr="0037089D" w:rsidRDefault="0037089D" w:rsidP="0037089D">
      <w:pPr>
        <w:spacing w:before="100" w:beforeAutospacing="1" w:after="100" w:afterAutospacing="1" w:line="240" w:lineRule="auto"/>
        <w:ind w:right="2007"/>
        <w:rPr>
          <w:rFonts w:ascii="Arial" w:eastAsia="Times New Roman" w:hAnsi="Arial" w:cs="Arial"/>
          <w:color w:val="000000"/>
          <w:sz w:val="20"/>
          <w:szCs w:val="20"/>
          <w:lang w:eastAsia="pt-BR"/>
        </w:rPr>
      </w:pPr>
      <w:hyperlink r:id="rId13" w:anchor="art177%C2%A75" w:history="1">
        <w:r w:rsidRPr="0037089D">
          <w:rPr>
            <w:rFonts w:ascii="Arial" w:eastAsia="Times New Roman" w:hAnsi="Arial" w:cs="Arial"/>
            <w:color w:val="0000FF"/>
            <w:sz w:val="20"/>
            <w:szCs w:val="20"/>
            <w:u w:val="single"/>
            <w:lang w:eastAsia="pt-BR"/>
          </w:rPr>
          <w:t>§ 5º </w:t>
        </w:r>
      </w:hyperlink>
      <w:r w:rsidRPr="0037089D">
        <w:rPr>
          <w:rFonts w:ascii="Arial" w:eastAsia="Times New Roman" w:hAnsi="Arial" w:cs="Arial"/>
          <w:color w:val="000000"/>
          <w:sz w:val="20"/>
          <w:szCs w:val="20"/>
          <w:lang w:eastAsia="pt-BR"/>
        </w:rPr>
        <w:t> As normas expedidas pela Comissão de Valores Mobiliários a que se refere o § 3</w:t>
      </w:r>
      <w:r w:rsidRPr="0037089D">
        <w:rPr>
          <w:rFonts w:ascii="Arial" w:eastAsia="Times New Roman" w:hAnsi="Arial" w:cs="Arial"/>
          <w:color w:val="000000"/>
          <w:sz w:val="20"/>
          <w:szCs w:val="20"/>
          <w:u w:val="single"/>
          <w:vertAlign w:val="superscript"/>
          <w:lang w:eastAsia="pt-BR"/>
        </w:rPr>
        <w:t>o</w:t>
      </w:r>
      <w:r w:rsidRPr="0037089D">
        <w:rPr>
          <w:rFonts w:ascii="Arial" w:eastAsia="Times New Roman" w:hAnsi="Arial" w:cs="Arial"/>
          <w:color w:val="000000"/>
          <w:sz w:val="20"/>
          <w:szCs w:val="20"/>
          <w:lang w:eastAsia="pt-BR"/>
        </w:rPr>
        <w:t> deste artigo deverão ser elaboradas em consonância com os padrões internacionais de contabilidade adotados nos principais mercados de valores mobiliários.</w:t>
      </w:r>
    </w:p>
    <w:p w:rsidR="0037089D" w:rsidRPr="0037089D" w:rsidRDefault="0037089D" w:rsidP="0037089D">
      <w:pPr>
        <w:spacing w:before="100" w:beforeAutospacing="1" w:after="100" w:afterAutospacing="1" w:line="240" w:lineRule="auto"/>
        <w:ind w:right="2007"/>
        <w:rPr>
          <w:rFonts w:ascii="Arial" w:eastAsia="Times New Roman" w:hAnsi="Arial" w:cs="Arial"/>
          <w:color w:val="000000"/>
          <w:sz w:val="20"/>
          <w:szCs w:val="20"/>
          <w:lang w:eastAsia="pt-BR"/>
        </w:rPr>
      </w:pPr>
      <w:r w:rsidRPr="0037089D">
        <w:rPr>
          <w:rFonts w:ascii="Arial" w:eastAsia="Times New Roman" w:hAnsi="Arial" w:cs="Arial"/>
          <w:color w:val="000000"/>
          <w:sz w:val="20"/>
          <w:szCs w:val="20"/>
          <w:lang w:eastAsia="pt-BR"/>
        </w:rPr>
        <w:t>§ 6</w:t>
      </w:r>
      <w:r w:rsidRPr="0037089D">
        <w:rPr>
          <w:rFonts w:ascii="Arial" w:eastAsia="Times New Roman" w:hAnsi="Arial" w:cs="Arial"/>
          <w:color w:val="000000"/>
          <w:sz w:val="20"/>
          <w:szCs w:val="20"/>
          <w:u w:val="single"/>
          <w:vertAlign w:val="superscript"/>
          <w:lang w:eastAsia="pt-BR"/>
        </w:rPr>
        <w:t>o</w:t>
      </w:r>
      <w:r w:rsidRPr="0037089D">
        <w:rPr>
          <w:rFonts w:ascii="Arial" w:eastAsia="Times New Roman" w:hAnsi="Arial" w:cs="Arial"/>
          <w:color w:val="000000"/>
          <w:sz w:val="20"/>
          <w:szCs w:val="20"/>
          <w:lang w:eastAsia="pt-BR"/>
        </w:rPr>
        <w:t>  As companhias fechadas poderão optar por observar as normas sobre demonstrações financeiras expedidas pela Comissão de Valores Mobiliários para as companhias abertas.</w:t>
      </w:r>
    </w:p>
    <w:p w:rsidR="0037089D" w:rsidRPr="0037089D" w:rsidRDefault="0037089D" w:rsidP="0037089D">
      <w:pPr>
        <w:spacing w:before="100" w:beforeAutospacing="1" w:after="100" w:afterAutospacing="1" w:line="240" w:lineRule="auto"/>
        <w:ind w:right="2007"/>
        <w:rPr>
          <w:rFonts w:ascii="Arial" w:eastAsia="Times New Roman" w:hAnsi="Arial" w:cs="Arial"/>
          <w:color w:val="000000"/>
          <w:sz w:val="20"/>
          <w:szCs w:val="20"/>
          <w:lang w:eastAsia="pt-BR"/>
        </w:rPr>
      </w:pPr>
      <w:r w:rsidRPr="0037089D">
        <w:rPr>
          <w:rFonts w:ascii="Arial" w:eastAsia="Times New Roman" w:hAnsi="Arial" w:cs="Arial"/>
          <w:color w:val="000000"/>
          <w:sz w:val="20"/>
          <w:szCs w:val="20"/>
          <w:lang w:eastAsia="pt-BR"/>
        </w:rPr>
        <w:t>§ 7</w:t>
      </w:r>
      <w:r w:rsidRPr="0037089D">
        <w:rPr>
          <w:rFonts w:ascii="Arial" w:eastAsia="Times New Roman" w:hAnsi="Arial" w:cs="Arial"/>
          <w:color w:val="000000"/>
          <w:sz w:val="20"/>
          <w:szCs w:val="20"/>
          <w:u w:val="single"/>
          <w:vertAlign w:val="superscript"/>
          <w:lang w:eastAsia="pt-BR"/>
        </w:rPr>
        <w:t>o</w:t>
      </w:r>
      <w:r w:rsidRPr="0037089D">
        <w:rPr>
          <w:rFonts w:ascii="Arial" w:eastAsia="Times New Roman" w:hAnsi="Arial" w:cs="Arial"/>
          <w:color w:val="000000"/>
          <w:sz w:val="20"/>
          <w:szCs w:val="20"/>
          <w:lang w:eastAsia="pt-BR"/>
        </w:rPr>
        <w:t>  Os lançamentos de ajuste efetuados exclusivamente para harmonização de normas contábeis, nos termos do § 2</w:t>
      </w:r>
      <w:r w:rsidRPr="0037089D">
        <w:rPr>
          <w:rFonts w:ascii="Arial" w:eastAsia="Times New Roman" w:hAnsi="Arial" w:cs="Arial"/>
          <w:color w:val="000000"/>
          <w:sz w:val="20"/>
          <w:szCs w:val="20"/>
          <w:u w:val="single"/>
          <w:vertAlign w:val="superscript"/>
          <w:lang w:eastAsia="pt-BR"/>
        </w:rPr>
        <w:t>o</w:t>
      </w:r>
      <w:r w:rsidRPr="0037089D">
        <w:rPr>
          <w:rFonts w:ascii="Arial" w:eastAsia="Times New Roman" w:hAnsi="Arial" w:cs="Arial"/>
          <w:color w:val="000000"/>
          <w:sz w:val="20"/>
          <w:szCs w:val="20"/>
          <w:lang w:eastAsia="pt-BR"/>
        </w:rPr>
        <w:t> deste artigo, e as demonstrações e apurações com eles elaboradas não poderão ser base de incidência de impostos e contribuições nem ter quaisquer outros efeitos tributários.” (NR)</w:t>
      </w:r>
    </w:p>
    <w:p w:rsidR="0037089D" w:rsidRPr="0037089D" w:rsidRDefault="0037089D" w:rsidP="0037089D">
      <w:pPr>
        <w:spacing w:before="100" w:beforeAutospacing="1" w:after="100" w:afterAutospacing="1" w:line="240" w:lineRule="auto"/>
        <w:ind w:right="2007"/>
        <w:rPr>
          <w:rFonts w:ascii="Arial" w:eastAsia="Times New Roman" w:hAnsi="Arial" w:cs="Arial"/>
          <w:color w:val="000000"/>
          <w:sz w:val="20"/>
          <w:szCs w:val="20"/>
          <w:lang w:eastAsia="pt-BR"/>
        </w:rPr>
      </w:pPr>
      <w:r w:rsidRPr="0037089D">
        <w:rPr>
          <w:rFonts w:ascii="Arial" w:eastAsia="Times New Roman" w:hAnsi="Arial" w:cs="Arial"/>
          <w:color w:val="000000"/>
          <w:sz w:val="20"/>
          <w:szCs w:val="20"/>
          <w:lang w:eastAsia="pt-BR"/>
        </w:rPr>
        <w:t>“Art. 178..........................................................</w:t>
      </w:r>
    </w:p>
    <w:p w:rsidR="0037089D" w:rsidRPr="0037089D" w:rsidRDefault="0037089D" w:rsidP="0037089D">
      <w:pPr>
        <w:spacing w:before="100" w:beforeAutospacing="1" w:after="100" w:afterAutospacing="1" w:line="240" w:lineRule="auto"/>
        <w:ind w:right="2007"/>
        <w:rPr>
          <w:rFonts w:ascii="Arial" w:eastAsia="Times New Roman" w:hAnsi="Arial" w:cs="Arial"/>
          <w:color w:val="000000"/>
          <w:sz w:val="20"/>
          <w:szCs w:val="20"/>
          <w:lang w:eastAsia="pt-BR"/>
        </w:rPr>
      </w:pPr>
      <w:r w:rsidRPr="0037089D">
        <w:rPr>
          <w:rFonts w:ascii="Arial" w:eastAsia="Times New Roman" w:hAnsi="Arial" w:cs="Arial"/>
          <w:color w:val="000000"/>
          <w:sz w:val="20"/>
          <w:szCs w:val="20"/>
          <w:lang w:eastAsia="pt-BR"/>
        </w:rPr>
        <w:t>§ 1</w:t>
      </w:r>
      <w:r w:rsidRPr="0037089D">
        <w:rPr>
          <w:rFonts w:ascii="Arial" w:eastAsia="Times New Roman" w:hAnsi="Arial" w:cs="Arial"/>
          <w:color w:val="000000"/>
          <w:sz w:val="20"/>
          <w:szCs w:val="20"/>
          <w:u w:val="single"/>
          <w:vertAlign w:val="superscript"/>
          <w:lang w:eastAsia="pt-BR"/>
        </w:rPr>
        <w:t>o</w:t>
      </w:r>
      <w:r w:rsidRPr="0037089D">
        <w:rPr>
          <w:rFonts w:ascii="Arial" w:eastAsia="Times New Roman" w:hAnsi="Arial" w:cs="Arial"/>
          <w:color w:val="000000"/>
          <w:sz w:val="20"/>
          <w:szCs w:val="20"/>
          <w:lang w:eastAsia="pt-BR"/>
        </w:rPr>
        <w:t> ................................................................</w:t>
      </w:r>
    </w:p>
    <w:p w:rsidR="0037089D" w:rsidRPr="0037089D" w:rsidRDefault="0037089D" w:rsidP="0037089D">
      <w:pPr>
        <w:spacing w:before="100" w:beforeAutospacing="1" w:after="100" w:afterAutospacing="1" w:line="240" w:lineRule="auto"/>
        <w:ind w:right="2007"/>
        <w:rPr>
          <w:rFonts w:ascii="Arial" w:eastAsia="Times New Roman" w:hAnsi="Arial" w:cs="Arial"/>
          <w:color w:val="000000"/>
          <w:sz w:val="20"/>
          <w:szCs w:val="20"/>
          <w:lang w:eastAsia="pt-BR"/>
        </w:rPr>
      </w:pPr>
      <w:r w:rsidRPr="0037089D">
        <w:rPr>
          <w:rFonts w:ascii="Arial" w:eastAsia="Times New Roman" w:hAnsi="Arial" w:cs="Arial"/>
          <w:color w:val="000000"/>
          <w:sz w:val="20"/>
          <w:szCs w:val="20"/>
          <w:lang w:eastAsia="pt-BR"/>
        </w:rPr>
        <w:t>.......................................................................</w:t>
      </w:r>
    </w:p>
    <w:p w:rsidR="0037089D" w:rsidRPr="0037089D" w:rsidRDefault="0037089D" w:rsidP="0037089D">
      <w:pPr>
        <w:spacing w:before="100" w:beforeAutospacing="1" w:after="100" w:afterAutospacing="1" w:line="240" w:lineRule="auto"/>
        <w:ind w:right="2007"/>
        <w:rPr>
          <w:rFonts w:ascii="Arial" w:eastAsia="Times New Roman" w:hAnsi="Arial" w:cs="Arial"/>
          <w:color w:val="000000"/>
          <w:sz w:val="20"/>
          <w:szCs w:val="20"/>
          <w:lang w:eastAsia="pt-BR"/>
        </w:rPr>
      </w:pPr>
      <w:hyperlink r:id="rId14" w:anchor="art178%C2%A71c" w:history="1">
        <w:r w:rsidRPr="0037089D">
          <w:rPr>
            <w:rFonts w:ascii="Arial" w:eastAsia="Times New Roman" w:hAnsi="Arial" w:cs="Arial"/>
            <w:color w:val="0000FF"/>
            <w:sz w:val="20"/>
            <w:szCs w:val="20"/>
            <w:u w:val="single"/>
            <w:lang w:eastAsia="pt-BR"/>
          </w:rPr>
          <w:t>c)</w:t>
        </w:r>
      </w:hyperlink>
      <w:r w:rsidRPr="0037089D">
        <w:rPr>
          <w:rFonts w:ascii="Arial" w:eastAsia="Times New Roman" w:hAnsi="Arial" w:cs="Arial"/>
          <w:color w:val="000000"/>
          <w:sz w:val="20"/>
          <w:szCs w:val="20"/>
          <w:lang w:eastAsia="pt-BR"/>
        </w:rPr>
        <w:t> ativo permanente, dividido em investimentos, imobilizado, intangível e diferido.</w:t>
      </w:r>
    </w:p>
    <w:p w:rsidR="0037089D" w:rsidRPr="0037089D" w:rsidRDefault="0037089D" w:rsidP="0037089D">
      <w:pPr>
        <w:spacing w:before="100" w:beforeAutospacing="1" w:after="100" w:afterAutospacing="1" w:line="240" w:lineRule="auto"/>
        <w:ind w:right="2007"/>
        <w:rPr>
          <w:rFonts w:ascii="Arial" w:eastAsia="Times New Roman" w:hAnsi="Arial" w:cs="Arial"/>
          <w:color w:val="000000"/>
          <w:sz w:val="20"/>
          <w:szCs w:val="20"/>
          <w:lang w:eastAsia="pt-BR"/>
        </w:rPr>
      </w:pPr>
      <w:r w:rsidRPr="0037089D">
        <w:rPr>
          <w:rFonts w:ascii="Arial" w:eastAsia="Times New Roman" w:hAnsi="Arial" w:cs="Arial"/>
          <w:color w:val="000000"/>
          <w:sz w:val="20"/>
          <w:szCs w:val="20"/>
          <w:lang w:eastAsia="pt-BR"/>
        </w:rPr>
        <w:t>§ 2</w:t>
      </w:r>
      <w:r w:rsidRPr="0037089D">
        <w:rPr>
          <w:rFonts w:ascii="Arial" w:eastAsia="Times New Roman" w:hAnsi="Arial" w:cs="Arial"/>
          <w:color w:val="000000"/>
          <w:sz w:val="20"/>
          <w:szCs w:val="20"/>
          <w:u w:val="single"/>
          <w:vertAlign w:val="superscript"/>
          <w:lang w:eastAsia="pt-BR"/>
        </w:rPr>
        <w:t>o</w:t>
      </w:r>
      <w:r w:rsidRPr="0037089D">
        <w:rPr>
          <w:rFonts w:ascii="Arial" w:eastAsia="Times New Roman" w:hAnsi="Arial" w:cs="Arial"/>
          <w:color w:val="000000"/>
          <w:sz w:val="20"/>
          <w:szCs w:val="20"/>
          <w:lang w:eastAsia="pt-BR"/>
        </w:rPr>
        <w:t> ................................................................</w:t>
      </w:r>
    </w:p>
    <w:p w:rsidR="0037089D" w:rsidRPr="0037089D" w:rsidRDefault="0037089D" w:rsidP="0037089D">
      <w:pPr>
        <w:spacing w:before="100" w:beforeAutospacing="1" w:after="100" w:afterAutospacing="1" w:line="240" w:lineRule="auto"/>
        <w:ind w:right="2007"/>
        <w:rPr>
          <w:rFonts w:ascii="Arial" w:eastAsia="Times New Roman" w:hAnsi="Arial" w:cs="Arial"/>
          <w:color w:val="000000"/>
          <w:sz w:val="20"/>
          <w:szCs w:val="20"/>
          <w:lang w:eastAsia="pt-BR"/>
        </w:rPr>
      </w:pPr>
      <w:r w:rsidRPr="0037089D">
        <w:rPr>
          <w:rFonts w:ascii="Arial" w:eastAsia="Times New Roman" w:hAnsi="Arial" w:cs="Arial"/>
          <w:color w:val="000000"/>
          <w:sz w:val="20"/>
          <w:szCs w:val="20"/>
          <w:lang w:eastAsia="pt-BR"/>
        </w:rPr>
        <w:t>.......................................................................</w:t>
      </w:r>
    </w:p>
    <w:p w:rsidR="0037089D" w:rsidRPr="0037089D" w:rsidRDefault="0037089D" w:rsidP="0037089D">
      <w:pPr>
        <w:spacing w:before="100" w:beforeAutospacing="1" w:after="100" w:afterAutospacing="1" w:line="240" w:lineRule="auto"/>
        <w:ind w:right="2007"/>
        <w:rPr>
          <w:rFonts w:ascii="Arial" w:eastAsia="Times New Roman" w:hAnsi="Arial" w:cs="Arial"/>
          <w:color w:val="000000"/>
          <w:sz w:val="20"/>
          <w:szCs w:val="20"/>
          <w:lang w:eastAsia="pt-BR"/>
        </w:rPr>
      </w:pPr>
      <w:r w:rsidRPr="0037089D">
        <w:rPr>
          <w:rFonts w:ascii="Arial" w:eastAsia="Times New Roman" w:hAnsi="Arial" w:cs="Arial"/>
          <w:color w:val="000000"/>
          <w:sz w:val="20"/>
          <w:szCs w:val="20"/>
          <w:lang w:eastAsia="pt-BR"/>
        </w:rPr>
        <w:t>d) patrimônio líquido, dividido em capital social, reservas de capital, ajustes de avaliação patrimonial, reservas de lucros, ações em tesouraria e prejuízos acumulados.</w:t>
      </w:r>
    </w:p>
    <w:p w:rsidR="0037089D" w:rsidRPr="0037089D" w:rsidRDefault="0037089D" w:rsidP="0037089D">
      <w:pPr>
        <w:spacing w:before="100" w:beforeAutospacing="1" w:after="100" w:afterAutospacing="1" w:line="240" w:lineRule="auto"/>
        <w:ind w:right="2007"/>
        <w:rPr>
          <w:rFonts w:ascii="Arial" w:eastAsia="Times New Roman" w:hAnsi="Arial" w:cs="Arial"/>
          <w:color w:val="000000"/>
          <w:sz w:val="20"/>
          <w:szCs w:val="20"/>
          <w:lang w:eastAsia="pt-BR"/>
        </w:rPr>
      </w:pPr>
      <w:r w:rsidRPr="0037089D">
        <w:rPr>
          <w:rFonts w:ascii="Arial" w:eastAsia="Times New Roman" w:hAnsi="Arial" w:cs="Arial"/>
          <w:color w:val="000000"/>
          <w:sz w:val="20"/>
          <w:szCs w:val="20"/>
          <w:lang w:eastAsia="pt-BR"/>
        </w:rPr>
        <w:t>.......................................................................” (NR)</w:t>
      </w:r>
    </w:p>
    <w:p w:rsidR="0037089D" w:rsidRPr="0037089D" w:rsidRDefault="0037089D" w:rsidP="0037089D">
      <w:pPr>
        <w:spacing w:before="100" w:beforeAutospacing="1" w:after="100" w:afterAutospacing="1" w:line="240" w:lineRule="auto"/>
        <w:ind w:right="2007"/>
        <w:rPr>
          <w:rFonts w:ascii="Arial" w:eastAsia="Times New Roman" w:hAnsi="Arial" w:cs="Arial"/>
          <w:color w:val="000000"/>
          <w:sz w:val="20"/>
          <w:szCs w:val="20"/>
          <w:lang w:eastAsia="pt-BR"/>
        </w:rPr>
      </w:pPr>
      <w:r w:rsidRPr="0037089D">
        <w:rPr>
          <w:rFonts w:ascii="Arial" w:eastAsia="Times New Roman" w:hAnsi="Arial" w:cs="Arial"/>
          <w:color w:val="000000"/>
          <w:sz w:val="20"/>
          <w:szCs w:val="20"/>
          <w:lang w:eastAsia="pt-BR"/>
        </w:rPr>
        <w:t>“Art. 179..........................................................</w:t>
      </w:r>
    </w:p>
    <w:p w:rsidR="0037089D" w:rsidRPr="0037089D" w:rsidRDefault="0037089D" w:rsidP="0037089D">
      <w:pPr>
        <w:spacing w:before="100" w:beforeAutospacing="1" w:after="100" w:afterAutospacing="1" w:line="240" w:lineRule="auto"/>
        <w:ind w:right="2007"/>
        <w:rPr>
          <w:rFonts w:ascii="Arial" w:eastAsia="Times New Roman" w:hAnsi="Arial" w:cs="Arial"/>
          <w:color w:val="000000"/>
          <w:sz w:val="20"/>
          <w:szCs w:val="20"/>
          <w:lang w:eastAsia="pt-BR"/>
        </w:rPr>
      </w:pPr>
      <w:r w:rsidRPr="0037089D">
        <w:rPr>
          <w:rFonts w:ascii="Arial" w:eastAsia="Times New Roman" w:hAnsi="Arial" w:cs="Arial"/>
          <w:color w:val="000000"/>
          <w:sz w:val="20"/>
          <w:szCs w:val="20"/>
          <w:lang w:eastAsia="pt-BR"/>
        </w:rPr>
        <w:t>.......................................................................</w:t>
      </w:r>
    </w:p>
    <w:p w:rsidR="0037089D" w:rsidRPr="0037089D" w:rsidRDefault="0037089D" w:rsidP="0037089D">
      <w:pPr>
        <w:spacing w:before="100" w:beforeAutospacing="1" w:after="100" w:afterAutospacing="1" w:line="240" w:lineRule="auto"/>
        <w:ind w:right="2007"/>
        <w:rPr>
          <w:rFonts w:ascii="Arial" w:eastAsia="Times New Roman" w:hAnsi="Arial" w:cs="Arial"/>
          <w:color w:val="000000"/>
          <w:sz w:val="20"/>
          <w:szCs w:val="20"/>
          <w:lang w:eastAsia="pt-BR"/>
        </w:rPr>
      </w:pPr>
      <w:hyperlink r:id="rId15" w:anchor="art179iv" w:history="1">
        <w:r w:rsidRPr="0037089D">
          <w:rPr>
            <w:rFonts w:ascii="Arial" w:eastAsia="Times New Roman" w:hAnsi="Arial" w:cs="Arial"/>
            <w:color w:val="0000FF"/>
            <w:sz w:val="20"/>
            <w:szCs w:val="20"/>
            <w:u w:val="single"/>
            <w:lang w:eastAsia="pt-BR"/>
          </w:rPr>
          <w:t>IV –</w:t>
        </w:r>
      </w:hyperlink>
      <w:r w:rsidRPr="0037089D">
        <w:rPr>
          <w:rFonts w:ascii="Arial" w:eastAsia="Times New Roman" w:hAnsi="Arial" w:cs="Arial"/>
          <w:color w:val="000000"/>
          <w:sz w:val="20"/>
          <w:szCs w:val="20"/>
          <w:lang w:eastAsia="pt-BR"/>
        </w:rPr>
        <w:t> no ativo imobilizado: os direitos que tenham por objeto bens corpóreos destinados à manutenção das atividades da companhia ou da empresa ou exercidos com essa finalidade, inclusive os decorrentes de operações que transfiram à companhia os benefícios, riscos e controle desses bens;</w:t>
      </w:r>
    </w:p>
    <w:p w:rsidR="0037089D" w:rsidRPr="0037089D" w:rsidRDefault="0037089D" w:rsidP="0037089D">
      <w:pPr>
        <w:spacing w:before="100" w:beforeAutospacing="1" w:after="100" w:afterAutospacing="1" w:line="240" w:lineRule="auto"/>
        <w:ind w:right="2007"/>
        <w:rPr>
          <w:rFonts w:ascii="Arial" w:eastAsia="Times New Roman" w:hAnsi="Arial" w:cs="Arial"/>
          <w:color w:val="000000"/>
          <w:sz w:val="20"/>
          <w:szCs w:val="20"/>
          <w:lang w:eastAsia="pt-BR"/>
        </w:rPr>
      </w:pPr>
      <w:r w:rsidRPr="0037089D">
        <w:rPr>
          <w:rFonts w:ascii="Arial" w:eastAsia="Times New Roman" w:hAnsi="Arial" w:cs="Arial"/>
          <w:color w:val="000000"/>
          <w:sz w:val="20"/>
          <w:szCs w:val="20"/>
          <w:lang w:eastAsia="pt-BR"/>
        </w:rPr>
        <w:t>V – no diferido: as despesas pré-operacionais e os gastos de reestruturação que contribuirão, efetivamente, para o aumento do resultado de mais de um exercício social e que não configurem tão-somente uma redução de custos ou acréscimo na eficiência operacional;</w:t>
      </w:r>
    </w:p>
    <w:p w:rsidR="0037089D" w:rsidRPr="0037089D" w:rsidRDefault="0037089D" w:rsidP="0037089D">
      <w:pPr>
        <w:spacing w:before="100" w:beforeAutospacing="1" w:after="100" w:afterAutospacing="1" w:line="240" w:lineRule="auto"/>
        <w:ind w:right="2007"/>
        <w:rPr>
          <w:rFonts w:ascii="Arial" w:eastAsia="Times New Roman" w:hAnsi="Arial" w:cs="Arial"/>
          <w:color w:val="000000"/>
          <w:sz w:val="20"/>
          <w:szCs w:val="20"/>
          <w:lang w:eastAsia="pt-BR"/>
        </w:rPr>
      </w:pPr>
      <w:r w:rsidRPr="0037089D">
        <w:rPr>
          <w:rFonts w:ascii="Arial" w:eastAsia="Times New Roman" w:hAnsi="Arial" w:cs="Arial"/>
          <w:color w:val="000000"/>
          <w:sz w:val="20"/>
          <w:szCs w:val="20"/>
          <w:lang w:eastAsia="pt-BR"/>
        </w:rPr>
        <w:t>VI – no intangível: os direitos que tenham por objeto bens incorpóreos destinados à manutenção da companhia ou exercidos com essa finalidade, inclusive o fundo de comércio adquirido.</w:t>
      </w:r>
    </w:p>
    <w:p w:rsidR="0037089D" w:rsidRPr="0037089D" w:rsidRDefault="0037089D" w:rsidP="0037089D">
      <w:pPr>
        <w:spacing w:before="100" w:beforeAutospacing="1" w:after="100" w:afterAutospacing="1" w:line="240" w:lineRule="auto"/>
        <w:ind w:right="2007"/>
        <w:rPr>
          <w:rFonts w:ascii="Arial" w:eastAsia="Times New Roman" w:hAnsi="Arial" w:cs="Arial"/>
          <w:color w:val="000000"/>
          <w:sz w:val="20"/>
          <w:szCs w:val="20"/>
          <w:lang w:eastAsia="pt-BR"/>
        </w:rPr>
      </w:pPr>
      <w:r w:rsidRPr="0037089D">
        <w:rPr>
          <w:rFonts w:ascii="Arial" w:eastAsia="Times New Roman" w:hAnsi="Arial" w:cs="Arial"/>
          <w:color w:val="000000"/>
          <w:sz w:val="20"/>
          <w:szCs w:val="20"/>
          <w:lang w:eastAsia="pt-BR"/>
        </w:rPr>
        <w:t>.......................................................................” (NR)</w:t>
      </w:r>
    </w:p>
    <w:p w:rsidR="0037089D" w:rsidRPr="0037089D" w:rsidRDefault="0037089D" w:rsidP="0037089D">
      <w:pPr>
        <w:spacing w:before="100" w:beforeAutospacing="1" w:after="100" w:afterAutospacing="1" w:line="240" w:lineRule="auto"/>
        <w:ind w:right="567"/>
        <w:jc w:val="center"/>
        <w:rPr>
          <w:rFonts w:ascii="Arial" w:eastAsia="Times New Roman" w:hAnsi="Arial" w:cs="Arial"/>
          <w:color w:val="000000"/>
          <w:sz w:val="20"/>
          <w:szCs w:val="20"/>
          <w:lang w:eastAsia="pt-BR"/>
        </w:rPr>
      </w:pPr>
      <w:r w:rsidRPr="0037089D">
        <w:rPr>
          <w:rFonts w:ascii="Arial" w:eastAsia="Times New Roman" w:hAnsi="Arial" w:cs="Arial"/>
          <w:color w:val="000000"/>
          <w:sz w:val="20"/>
          <w:szCs w:val="20"/>
          <w:lang w:eastAsia="pt-BR"/>
        </w:rPr>
        <w:t>“</w:t>
      </w:r>
      <w:hyperlink r:id="rId16" w:history="1">
        <w:r w:rsidRPr="0037089D">
          <w:rPr>
            <w:rFonts w:ascii="Arial" w:eastAsia="Times New Roman" w:hAnsi="Arial" w:cs="Arial"/>
            <w:color w:val="0000FF"/>
            <w:sz w:val="20"/>
            <w:szCs w:val="20"/>
            <w:u w:val="single"/>
            <w:lang w:eastAsia="pt-BR"/>
          </w:rPr>
          <w:t>(VETADO)</w:t>
        </w:r>
      </w:hyperlink>
    </w:p>
    <w:p w:rsidR="0037089D" w:rsidRPr="0037089D" w:rsidRDefault="0037089D" w:rsidP="0037089D">
      <w:pPr>
        <w:spacing w:beforeAutospacing="1" w:after="100" w:afterAutospacing="1" w:line="240" w:lineRule="auto"/>
        <w:ind w:right="2007"/>
        <w:rPr>
          <w:rFonts w:ascii="Arial" w:eastAsia="Times New Roman" w:hAnsi="Arial" w:cs="Arial"/>
          <w:color w:val="000000"/>
          <w:sz w:val="20"/>
          <w:szCs w:val="20"/>
          <w:lang w:eastAsia="pt-BR"/>
        </w:rPr>
      </w:pPr>
      <w:r w:rsidRPr="0037089D">
        <w:rPr>
          <w:rFonts w:ascii="Arial" w:eastAsia="Times New Roman" w:hAnsi="Arial" w:cs="Arial"/>
          <w:color w:val="000000"/>
          <w:sz w:val="20"/>
          <w:szCs w:val="20"/>
          <w:lang w:eastAsia="pt-BR"/>
        </w:rPr>
        <w:t>Art. 181.  </w:t>
      </w:r>
      <w:hyperlink r:id="rId17" w:history="1">
        <w:r w:rsidRPr="0037089D">
          <w:rPr>
            <w:rFonts w:ascii="Arial" w:eastAsia="Times New Roman" w:hAnsi="Arial" w:cs="Arial"/>
            <w:color w:val="0000FF"/>
            <w:sz w:val="20"/>
            <w:szCs w:val="20"/>
            <w:u w:val="single"/>
            <w:lang w:eastAsia="pt-BR"/>
          </w:rPr>
          <w:t>(VETADO)</w:t>
        </w:r>
      </w:hyperlink>
      <w:r w:rsidRPr="0037089D">
        <w:rPr>
          <w:rFonts w:ascii="Arial" w:eastAsia="Times New Roman" w:hAnsi="Arial" w:cs="Arial"/>
          <w:color w:val="000000"/>
          <w:sz w:val="20"/>
          <w:szCs w:val="20"/>
          <w:lang w:eastAsia="pt-BR"/>
        </w:rPr>
        <w:t>”</w:t>
      </w:r>
    </w:p>
    <w:p w:rsidR="0037089D" w:rsidRPr="0037089D" w:rsidRDefault="0037089D" w:rsidP="0037089D">
      <w:pPr>
        <w:spacing w:before="100" w:beforeAutospacing="1" w:after="100" w:afterAutospacing="1" w:line="240" w:lineRule="auto"/>
        <w:ind w:right="567"/>
        <w:jc w:val="center"/>
        <w:rPr>
          <w:rFonts w:ascii="Arial" w:eastAsia="Times New Roman" w:hAnsi="Arial" w:cs="Arial"/>
          <w:color w:val="000000"/>
          <w:sz w:val="20"/>
          <w:szCs w:val="20"/>
          <w:lang w:eastAsia="pt-BR"/>
        </w:rPr>
      </w:pPr>
      <w:r w:rsidRPr="0037089D">
        <w:rPr>
          <w:rFonts w:ascii="Arial" w:eastAsia="Times New Roman" w:hAnsi="Arial" w:cs="Arial"/>
          <w:color w:val="000000"/>
          <w:sz w:val="20"/>
          <w:szCs w:val="20"/>
          <w:lang w:eastAsia="pt-BR"/>
        </w:rPr>
        <w:t>“Patrimônio Líquido</w:t>
      </w:r>
    </w:p>
    <w:p w:rsidR="0037089D" w:rsidRPr="0037089D" w:rsidRDefault="0037089D" w:rsidP="0037089D">
      <w:pPr>
        <w:spacing w:beforeAutospacing="1" w:after="100" w:afterAutospacing="1" w:line="240" w:lineRule="auto"/>
        <w:ind w:right="2007"/>
        <w:rPr>
          <w:rFonts w:ascii="Arial" w:eastAsia="Times New Roman" w:hAnsi="Arial" w:cs="Arial"/>
          <w:color w:val="000000"/>
          <w:sz w:val="20"/>
          <w:szCs w:val="20"/>
          <w:lang w:eastAsia="pt-BR"/>
        </w:rPr>
      </w:pPr>
      <w:r w:rsidRPr="0037089D">
        <w:rPr>
          <w:rFonts w:ascii="Arial" w:eastAsia="Times New Roman" w:hAnsi="Arial" w:cs="Arial"/>
          <w:color w:val="000000"/>
          <w:sz w:val="20"/>
          <w:szCs w:val="20"/>
          <w:lang w:eastAsia="pt-BR"/>
        </w:rPr>
        <w:t>Art. 182...........................................................</w:t>
      </w:r>
    </w:p>
    <w:p w:rsidR="0037089D" w:rsidRPr="0037089D" w:rsidRDefault="0037089D" w:rsidP="0037089D">
      <w:pPr>
        <w:spacing w:before="100" w:beforeAutospacing="1" w:after="100" w:afterAutospacing="1" w:line="240" w:lineRule="auto"/>
        <w:ind w:right="2007"/>
        <w:rPr>
          <w:rFonts w:ascii="Arial" w:eastAsia="Times New Roman" w:hAnsi="Arial" w:cs="Arial"/>
          <w:color w:val="000000"/>
          <w:sz w:val="20"/>
          <w:szCs w:val="20"/>
          <w:lang w:eastAsia="pt-BR"/>
        </w:rPr>
      </w:pPr>
      <w:r w:rsidRPr="0037089D">
        <w:rPr>
          <w:rFonts w:ascii="Arial" w:eastAsia="Times New Roman" w:hAnsi="Arial" w:cs="Arial"/>
          <w:color w:val="000000"/>
          <w:sz w:val="20"/>
          <w:szCs w:val="20"/>
          <w:lang w:eastAsia="pt-BR"/>
        </w:rPr>
        <w:t>§ 1</w:t>
      </w:r>
      <w:r w:rsidRPr="0037089D">
        <w:rPr>
          <w:rFonts w:ascii="Arial" w:eastAsia="Times New Roman" w:hAnsi="Arial" w:cs="Arial"/>
          <w:color w:val="000000"/>
          <w:sz w:val="20"/>
          <w:szCs w:val="20"/>
          <w:u w:val="single"/>
          <w:vertAlign w:val="superscript"/>
          <w:lang w:eastAsia="pt-BR"/>
        </w:rPr>
        <w:t>o</w:t>
      </w:r>
      <w:r w:rsidRPr="0037089D">
        <w:rPr>
          <w:rFonts w:ascii="Arial" w:eastAsia="Times New Roman" w:hAnsi="Arial" w:cs="Arial"/>
          <w:color w:val="000000"/>
          <w:sz w:val="20"/>
          <w:szCs w:val="20"/>
          <w:lang w:eastAsia="pt-BR"/>
        </w:rPr>
        <w:t> ................................................................</w:t>
      </w:r>
    </w:p>
    <w:p w:rsidR="0037089D" w:rsidRPr="0037089D" w:rsidRDefault="0037089D" w:rsidP="0037089D">
      <w:pPr>
        <w:spacing w:before="100" w:beforeAutospacing="1" w:after="100" w:afterAutospacing="1" w:line="240" w:lineRule="auto"/>
        <w:ind w:right="2007"/>
        <w:rPr>
          <w:rFonts w:ascii="Arial" w:eastAsia="Times New Roman" w:hAnsi="Arial" w:cs="Arial"/>
          <w:color w:val="000000"/>
          <w:sz w:val="20"/>
          <w:szCs w:val="20"/>
          <w:lang w:eastAsia="pt-BR"/>
        </w:rPr>
      </w:pPr>
      <w:r w:rsidRPr="0037089D">
        <w:rPr>
          <w:rFonts w:ascii="Arial" w:eastAsia="Times New Roman" w:hAnsi="Arial" w:cs="Arial"/>
          <w:color w:val="000000"/>
          <w:sz w:val="20"/>
          <w:szCs w:val="20"/>
          <w:lang w:eastAsia="pt-BR"/>
        </w:rPr>
        <w:t>.......................................................................</w:t>
      </w:r>
    </w:p>
    <w:p w:rsidR="0037089D" w:rsidRPr="0037089D" w:rsidRDefault="0037089D" w:rsidP="0037089D">
      <w:pPr>
        <w:spacing w:before="100" w:beforeAutospacing="1" w:after="100" w:afterAutospacing="1" w:line="240" w:lineRule="auto"/>
        <w:ind w:right="2007"/>
        <w:rPr>
          <w:rFonts w:ascii="Arial" w:eastAsia="Times New Roman" w:hAnsi="Arial" w:cs="Arial"/>
          <w:color w:val="000000"/>
          <w:sz w:val="20"/>
          <w:szCs w:val="20"/>
          <w:lang w:eastAsia="pt-BR"/>
        </w:rPr>
      </w:pPr>
      <w:hyperlink r:id="rId18" w:anchor="art182%C2%A71c" w:history="1">
        <w:r w:rsidRPr="0037089D">
          <w:rPr>
            <w:rFonts w:ascii="Arial" w:eastAsia="Times New Roman" w:hAnsi="Arial" w:cs="Arial"/>
            <w:color w:val="0000FF"/>
            <w:sz w:val="20"/>
            <w:szCs w:val="20"/>
            <w:u w:val="single"/>
            <w:lang w:eastAsia="pt-BR"/>
          </w:rPr>
          <w:t>c)</w:t>
        </w:r>
      </w:hyperlink>
      <w:r w:rsidRPr="0037089D">
        <w:rPr>
          <w:rFonts w:ascii="Arial" w:eastAsia="Times New Roman" w:hAnsi="Arial" w:cs="Arial"/>
          <w:color w:val="000000"/>
          <w:sz w:val="20"/>
          <w:szCs w:val="20"/>
          <w:lang w:eastAsia="pt-BR"/>
        </w:rPr>
        <w:t> (revogada);</w:t>
      </w:r>
    </w:p>
    <w:p w:rsidR="0037089D" w:rsidRPr="0037089D" w:rsidRDefault="0037089D" w:rsidP="0037089D">
      <w:pPr>
        <w:spacing w:before="100" w:beforeAutospacing="1" w:after="100" w:afterAutospacing="1" w:line="240" w:lineRule="auto"/>
        <w:ind w:right="2007"/>
        <w:rPr>
          <w:rFonts w:ascii="Arial" w:eastAsia="Times New Roman" w:hAnsi="Arial" w:cs="Arial"/>
          <w:color w:val="000000"/>
          <w:sz w:val="20"/>
          <w:szCs w:val="20"/>
          <w:lang w:eastAsia="pt-BR"/>
        </w:rPr>
      </w:pPr>
      <w:r w:rsidRPr="0037089D">
        <w:rPr>
          <w:rFonts w:ascii="Arial" w:eastAsia="Times New Roman" w:hAnsi="Arial" w:cs="Arial"/>
          <w:color w:val="000000"/>
          <w:sz w:val="20"/>
          <w:szCs w:val="20"/>
          <w:lang w:eastAsia="pt-BR"/>
        </w:rPr>
        <w:t>d) (revogada).</w:t>
      </w:r>
    </w:p>
    <w:p w:rsidR="0037089D" w:rsidRPr="0037089D" w:rsidRDefault="0037089D" w:rsidP="0037089D">
      <w:pPr>
        <w:spacing w:before="100" w:beforeAutospacing="1" w:after="100" w:afterAutospacing="1" w:line="240" w:lineRule="auto"/>
        <w:ind w:right="2007"/>
        <w:rPr>
          <w:rFonts w:ascii="Arial" w:eastAsia="Times New Roman" w:hAnsi="Arial" w:cs="Arial"/>
          <w:color w:val="000000"/>
          <w:sz w:val="20"/>
          <w:szCs w:val="20"/>
          <w:lang w:eastAsia="pt-BR"/>
        </w:rPr>
      </w:pPr>
      <w:r w:rsidRPr="0037089D">
        <w:rPr>
          <w:rFonts w:ascii="Arial" w:eastAsia="Times New Roman" w:hAnsi="Arial" w:cs="Arial"/>
          <w:color w:val="000000"/>
          <w:sz w:val="20"/>
          <w:szCs w:val="20"/>
          <w:lang w:eastAsia="pt-BR"/>
        </w:rPr>
        <w:t>.......................................................................</w:t>
      </w:r>
    </w:p>
    <w:p w:rsidR="0037089D" w:rsidRPr="0037089D" w:rsidRDefault="0037089D" w:rsidP="0037089D">
      <w:pPr>
        <w:spacing w:before="100" w:beforeAutospacing="1" w:after="100" w:afterAutospacing="1" w:line="240" w:lineRule="auto"/>
        <w:ind w:right="2007"/>
        <w:rPr>
          <w:rFonts w:ascii="Arial" w:eastAsia="Times New Roman" w:hAnsi="Arial" w:cs="Arial"/>
          <w:color w:val="000000"/>
          <w:sz w:val="20"/>
          <w:szCs w:val="20"/>
          <w:lang w:eastAsia="pt-BR"/>
        </w:rPr>
      </w:pPr>
      <w:hyperlink r:id="rId19" w:anchor="art182%C2%A73" w:history="1">
        <w:r w:rsidRPr="0037089D">
          <w:rPr>
            <w:rFonts w:ascii="Arial" w:eastAsia="Times New Roman" w:hAnsi="Arial" w:cs="Arial"/>
            <w:color w:val="0000FF"/>
            <w:sz w:val="20"/>
            <w:szCs w:val="20"/>
            <w:u w:val="single"/>
            <w:lang w:eastAsia="pt-BR"/>
          </w:rPr>
          <w:t>§ 3º</w:t>
        </w:r>
      </w:hyperlink>
      <w:r w:rsidRPr="0037089D">
        <w:rPr>
          <w:rFonts w:ascii="Arial" w:eastAsia="Times New Roman" w:hAnsi="Arial" w:cs="Arial"/>
          <w:color w:val="000000"/>
          <w:sz w:val="20"/>
          <w:szCs w:val="20"/>
          <w:lang w:eastAsia="pt-BR"/>
        </w:rPr>
        <w:t>  Serão classificadas como ajustes de avaliação patrimonial, enquanto não computadas no resultado do exercício em obediência ao regime de competência, as contrapartidas de aumentos ou diminuições de valor atribuído a elementos do ativo (§ 5</w:t>
      </w:r>
      <w:r w:rsidRPr="0037089D">
        <w:rPr>
          <w:rFonts w:ascii="Arial" w:eastAsia="Times New Roman" w:hAnsi="Arial" w:cs="Arial"/>
          <w:color w:val="000000"/>
          <w:sz w:val="20"/>
          <w:szCs w:val="20"/>
          <w:u w:val="single"/>
          <w:vertAlign w:val="superscript"/>
          <w:lang w:eastAsia="pt-BR"/>
        </w:rPr>
        <w:t>o</w:t>
      </w:r>
      <w:r w:rsidRPr="0037089D">
        <w:rPr>
          <w:rFonts w:ascii="Arial" w:eastAsia="Times New Roman" w:hAnsi="Arial" w:cs="Arial"/>
          <w:color w:val="000000"/>
          <w:sz w:val="20"/>
          <w:szCs w:val="20"/>
          <w:lang w:eastAsia="pt-BR"/>
        </w:rPr>
        <w:t> do art. 177, inciso I do caput</w:t>
      </w:r>
      <w:r w:rsidRPr="0037089D">
        <w:rPr>
          <w:rFonts w:ascii="Arial" w:eastAsia="Times New Roman" w:hAnsi="Arial" w:cs="Arial"/>
          <w:i/>
          <w:iCs/>
          <w:color w:val="000000"/>
          <w:sz w:val="20"/>
          <w:szCs w:val="20"/>
          <w:lang w:eastAsia="pt-BR"/>
        </w:rPr>
        <w:t> </w:t>
      </w:r>
      <w:r w:rsidRPr="0037089D">
        <w:rPr>
          <w:rFonts w:ascii="Arial" w:eastAsia="Times New Roman" w:hAnsi="Arial" w:cs="Arial"/>
          <w:color w:val="000000"/>
          <w:sz w:val="20"/>
          <w:szCs w:val="20"/>
          <w:lang w:eastAsia="pt-BR"/>
        </w:rPr>
        <w:t>do art. 183 e § 3</w:t>
      </w:r>
      <w:r w:rsidRPr="0037089D">
        <w:rPr>
          <w:rFonts w:ascii="Arial" w:eastAsia="Times New Roman" w:hAnsi="Arial" w:cs="Arial"/>
          <w:color w:val="000000"/>
          <w:sz w:val="20"/>
          <w:szCs w:val="20"/>
          <w:u w:val="single"/>
          <w:vertAlign w:val="superscript"/>
          <w:lang w:eastAsia="pt-BR"/>
        </w:rPr>
        <w:t>o</w:t>
      </w:r>
      <w:r w:rsidRPr="0037089D">
        <w:rPr>
          <w:rFonts w:ascii="Arial" w:eastAsia="Times New Roman" w:hAnsi="Arial" w:cs="Arial"/>
          <w:color w:val="000000"/>
          <w:sz w:val="20"/>
          <w:szCs w:val="20"/>
          <w:lang w:eastAsia="pt-BR"/>
        </w:rPr>
        <w:t> do art. 226 desta Lei) e do passivo, em decorrência da sua avaliação a preço de mercado.</w:t>
      </w:r>
    </w:p>
    <w:p w:rsidR="0037089D" w:rsidRPr="0037089D" w:rsidRDefault="0037089D" w:rsidP="0037089D">
      <w:pPr>
        <w:spacing w:before="100" w:beforeAutospacing="1" w:after="100" w:afterAutospacing="1" w:line="240" w:lineRule="auto"/>
        <w:ind w:right="2007"/>
        <w:rPr>
          <w:rFonts w:ascii="Arial" w:eastAsia="Times New Roman" w:hAnsi="Arial" w:cs="Arial"/>
          <w:color w:val="000000"/>
          <w:sz w:val="20"/>
          <w:szCs w:val="20"/>
          <w:lang w:eastAsia="pt-BR"/>
        </w:rPr>
      </w:pPr>
      <w:r w:rsidRPr="0037089D">
        <w:rPr>
          <w:rFonts w:ascii="Arial" w:eastAsia="Times New Roman" w:hAnsi="Arial" w:cs="Arial"/>
          <w:color w:val="000000"/>
          <w:sz w:val="20"/>
          <w:szCs w:val="20"/>
          <w:lang w:eastAsia="pt-BR"/>
        </w:rPr>
        <w:t>.......................................................................” (NR)</w:t>
      </w:r>
    </w:p>
    <w:p w:rsidR="0037089D" w:rsidRPr="0037089D" w:rsidRDefault="0037089D" w:rsidP="0037089D">
      <w:pPr>
        <w:spacing w:before="100" w:beforeAutospacing="1" w:after="100" w:afterAutospacing="1" w:line="240" w:lineRule="auto"/>
        <w:ind w:right="567"/>
        <w:jc w:val="center"/>
        <w:rPr>
          <w:rFonts w:ascii="Arial" w:eastAsia="Times New Roman" w:hAnsi="Arial" w:cs="Arial"/>
          <w:color w:val="000000"/>
          <w:sz w:val="20"/>
          <w:szCs w:val="20"/>
          <w:lang w:eastAsia="pt-BR"/>
        </w:rPr>
      </w:pPr>
      <w:r w:rsidRPr="0037089D">
        <w:rPr>
          <w:rFonts w:ascii="Arial" w:eastAsia="Times New Roman" w:hAnsi="Arial" w:cs="Arial"/>
          <w:color w:val="000000"/>
          <w:sz w:val="20"/>
          <w:szCs w:val="20"/>
          <w:lang w:eastAsia="pt-BR"/>
        </w:rPr>
        <w:t>“Critérios de Avaliação do Ativo</w:t>
      </w:r>
    </w:p>
    <w:p w:rsidR="0037089D" w:rsidRPr="0037089D" w:rsidRDefault="0037089D" w:rsidP="0037089D">
      <w:pPr>
        <w:spacing w:beforeAutospacing="1" w:after="100" w:afterAutospacing="1" w:line="240" w:lineRule="auto"/>
        <w:ind w:right="2007"/>
        <w:rPr>
          <w:rFonts w:ascii="Arial" w:eastAsia="Times New Roman" w:hAnsi="Arial" w:cs="Arial"/>
          <w:color w:val="000000"/>
          <w:sz w:val="20"/>
          <w:szCs w:val="20"/>
          <w:lang w:eastAsia="pt-BR"/>
        </w:rPr>
      </w:pPr>
      <w:r w:rsidRPr="0037089D">
        <w:rPr>
          <w:rFonts w:ascii="Arial" w:eastAsia="Times New Roman" w:hAnsi="Arial" w:cs="Arial"/>
          <w:color w:val="000000"/>
          <w:sz w:val="20"/>
          <w:szCs w:val="20"/>
          <w:lang w:eastAsia="pt-BR"/>
        </w:rPr>
        <w:t>Art. 183............................................................</w:t>
      </w:r>
    </w:p>
    <w:p w:rsidR="0037089D" w:rsidRPr="0037089D" w:rsidRDefault="0037089D" w:rsidP="0037089D">
      <w:pPr>
        <w:spacing w:before="100" w:beforeAutospacing="1" w:after="100" w:afterAutospacing="1" w:line="240" w:lineRule="auto"/>
        <w:ind w:right="2007"/>
        <w:rPr>
          <w:rFonts w:ascii="Arial" w:eastAsia="Times New Roman" w:hAnsi="Arial" w:cs="Arial"/>
          <w:color w:val="000000"/>
          <w:sz w:val="20"/>
          <w:szCs w:val="20"/>
          <w:lang w:eastAsia="pt-BR"/>
        </w:rPr>
      </w:pPr>
      <w:hyperlink r:id="rId20" w:anchor="art183i" w:history="1">
        <w:r w:rsidRPr="0037089D">
          <w:rPr>
            <w:rFonts w:ascii="Arial" w:eastAsia="Times New Roman" w:hAnsi="Arial" w:cs="Arial"/>
            <w:color w:val="0000FF"/>
            <w:sz w:val="20"/>
            <w:szCs w:val="20"/>
            <w:u w:val="single"/>
            <w:lang w:eastAsia="pt-BR"/>
          </w:rPr>
          <w:t>I -</w:t>
        </w:r>
      </w:hyperlink>
      <w:r w:rsidRPr="0037089D">
        <w:rPr>
          <w:rFonts w:ascii="Arial" w:eastAsia="Times New Roman" w:hAnsi="Arial" w:cs="Arial"/>
          <w:color w:val="000000"/>
          <w:sz w:val="20"/>
          <w:szCs w:val="20"/>
          <w:lang w:eastAsia="pt-BR"/>
        </w:rPr>
        <w:t> as aplicações em instrumentos financeiros, inclusive derivativos, e em direitos e títulos de créditos, classificados no ativo circulante ou no realizável a longo prazo:</w:t>
      </w:r>
    </w:p>
    <w:p w:rsidR="0037089D" w:rsidRPr="0037089D" w:rsidRDefault="0037089D" w:rsidP="0037089D">
      <w:pPr>
        <w:spacing w:before="100" w:beforeAutospacing="1" w:after="100" w:afterAutospacing="1" w:line="240" w:lineRule="auto"/>
        <w:ind w:right="2007"/>
        <w:rPr>
          <w:rFonts w:ascii="Arial" w:eastAsia="Times New Roman" w:hAnsi="Arial" w:cs="Arial"/>
          <w:color w:val="000000"/>
          <w:sz w:val="20"/>
          <w:szCs w:val="20"/>
          <w:lang w:eastAsia="pt-BR"/>
        </w:rPr>
      </w:pPr>
      <w:r w:rsidRPr="0037089D">
        <w:rPr>
          <w:rFonts w:ascii="Arial" w:eastAsia="Times New Roman" w:hAnsi="Arial" w:cs="Arial"/>
          <w:color w:val="000000"/>
          <w:sz w:val="20"/>
          <w:szCs w:val="20"/>
          <w:lang w:eastAsia="pt-BR"/>
        </w:rPr>
        <w:t>a) pelo seu valor de mercado ou valor equivalente, quando se tratar de aplicações destinadas à negociação ou disponíveis para venda; e</w:t>
      </w:r>
    </w:p>
    <w:p w:rsidR="0037089D" w:rsidRPr="0037089D" w:rsidRDefault="0037089D" w:rsidP="0037089D">
      <w:pPr>
        <w:spacing w:before="100" w:beforeAutospacing="1" w:after="100" w:afterAutospacing="1" w:line="240" w:lineRule="auto"/>
        <w:ind w:right="2007"/>
        <w:rPr>
          <w:rFonts w:ascii="Arial" w:eastAsia="Times New Roman" w:hAnsi="Arial" w:cs="Arial"/>
          <w:color w:val="000000"/>
          <w:sz w:val="20"/>
          <w:szCs w:val="20"/>
          <w:lang w:eastAsia="pt-BR"/>
        </w:rPr>
      </w:pPr>
      <w:r w:rsidRPr="0037089D">
        <w:rPr>
          <w:rFonts w:ascii="Arial" w:eastAsia="Times New Roman" w:hAnsi="Arial" w:cs="Arial"/>
          <w:color w:val="000000"/>
          <w:sz w:val="20"/>
          <w:szCs w:val="20"/>
          <w:lang w:eastAsia="pt-BR"/>
        </w:rPr>
        <w:t>b) pelo valor de custo de aquisição ou valor de emissão, atualizado conforme disposições legais ou contratuais, ajustado ao valor provável de realização, quando este for inferior, no caso das demais aplicações e os direitos e títulos de crédito;</w:t>
      </w:r>
    </w:p>
    <w:p w:rsidR="0037089D" w:rsidRPr="0037089D" w:rsidRDefault="0037089D" w:rsidP="0037089D">
      <w:pPr>
        <w:spacing w:before="100" w:beforeAutospacing="1" w:after="100" w:afterAutospacing="1" w:line="240" w:lineRule="auto"/>
        <w:ind w:right="2007"/>
        <w:rPr>
          <w:rFonts w:ascii="Arial" w:eastAsia="Times New Roman" w:hAnsi="Arial" w:cs="Arial"/>
          <w:color w:val="000000"/>
          <w:sz w:val="20"/>
          <w:szCs w:val="20"/>
          <w:lang w:eastAsia="pt-BR"/>
        </w:rPr>
      </w:pPr>
      <w:r w:rsidRPr="0037089D">
        <w:rPr>
          <w:rFonts w:ascii="Arial" w:eastAsia="Times New Roman" w:hAnsi="Arial" w:cs="Arial"/>
          <w:color w:val="000000"/>
          <w:sz w:val="20"/>
          <w:szCs w:val="20"/>
          <w:lang w:eastAsia="pt-BR"/>
        </w:rPr>
        <w:t>.......................................................................</w:t>
      </w:r>
    </w:p>
    <w:p w:rsidR="0037089D" w:rsidRPr="0037089D" w:rsidRDefault="0037089D" w:rsidP="0037089D">
      <w:pPr>
        <w:spacing w:before="100" w:beforeAutospacing="1" w:after="100" w:afterAutospacing="1" w:line="240" w:lineRule="auto"/>
        <w:ind w:right="2007"/>
        <w:rPr>
          <w:rFonts w:ascii="Arial" w:eastAsia="Times New Roman" w:hAnsi="Arial" w:cs="Arial"/>
          <w:color w:val="000000"/>
          <w:sz w:val="20"/>
          <w:szCs w:val="20"/>
          <w:lang w:eastAsia="pt-BR"/>
        </w:rPr>
      </w:pPr>
      <w:hyperlink r:id="rId21" w:anchor="art183vii" w:history="1">
        <w:r w:rsidRPr="0037089D">
          <w:rPr>
            <w:rFonts w:ascii="Arial" w:eastAsia="Times New Roman" w:hAnsi="Arial" w:cs="Arial"/>
            <w:color w:val="0000FF"/>
            <w:sz w:val="20"/>
            <w:szCs w:val="20"/>
            <w:u w:val="single"/>
            <w:lang w:eastAsia="pt-BR"/>
          </w:rPr>
          <w:t>VII –</w:t>
        </w:r>
      </w:hyperlink>
      <w:r w:rsidRPr="0037089D">
        <w:rPr>
          <w:rFonts w:ascii="Arial" w:eastAsia="Times New Roman" w:hAnsi="Arial" w:cs="Arial"/>
          <w:color w:val="000000"/>
          <w:sz w:val="20"/>
          <w:szCs w:val="20"/>
          <w:lang w:eastAsia="pt-BR"/>
        </w:rPr>
        <w:t> os direitos classificados no intangível, pelo custo incorrido na aquisição deduzido do saldo da respectiva conta de amortização;</w:t>
      </w:r>
    </w:p>
    <w:p w:rsidR="0037089D" w:rsidRPr="0037089D" w:rsidRDefault="0037089D" w:rsidP="0037089D">
      <w:pPr>
        <w:spacing w:before="100" w:beforeAutospacing="1" w:after="100" w:afterAutospacing="1" w:line="240" w:lineRule="auto"/>
        <w:ind w:right="2007"/>
        <w:rPr>
          <w:rFonts w:ascii="Arial" w:eastAsia="Times New Roman" w:hAnsi="Arial" w:cs="Arial"/>
          <w:color w:val="000000"/>
          <w:sz w:val="20"/>
          <w:szCs w:val="20"/>
          <w:lang w:eastAsia="pt-BR"/>
        </w:rPr>
      </w:pPr>
      <w:r w:rsidRPr="0037089D">
        <w:rPr>
          <w:rFonts w:ascii="Arial" w:eastAsia="Times New Roman" w:hAnsi="Arial" w:cs="Arial"/>
          <w:color w:val="000000"/>
          <w:sz w:val="20"/>
          <w:szCs w:val="20"/>
          <w:lang w:eastAsia="pt-BR"/>
        </w:rPr>
        <w:t>VIII – os elementos do ativo decorrentes de operações de longo prazo serão ajustados a valor presente, sendo os demais ajustados quando houver efeito relevante.</w:t>
      </w:r>
    </w:p>
    <w:p w:rsidR="0037089D" w:rsidRPr="0037089D" w:rsidRDefault="0037089D" w:rsidP="0037089D">
      <w:pPr>
        <w:spacing w:before="100" w:beforeAutospacing="1" w:after="100" w:afterAutospacing="1" w:line="240" w:lineRule="auto"/>
        <w:ind w:right="2007"/>
        <w:rPr>
          <w:rFonts w:ascii="Arial" w:eastAsia="Times New Roman" w:hAnsi="Arial" w:cs="Arial"/>
          <w:color w:val="000000"/>
          <w:sz w:val="20"/>
          <w:szCs w:val="20"/>
          <w:lang w:eastAsia="pt-BR"/>
        </w:rPr>
      </w:pPr>
      <w:r w:rsidRPr="0037089D">
        <w:rPr>
          <w:rFonts w:ascii="Arial" w:eastAsia="Times New Roman" w:hAnsi="Arial" w:cs="Arial"/>
          <w:color w:val="000000"/>
          <w:sz w:val="20"/>
          <w:szCs w:val="20"/>
          <w:lang w:eastAsia="pt-BR"/>
        </w:rPr>
        <w:t>§ 1</w:t>
      </w:r>
      <w:r w:rsidRPr="0037089D">
        <w:rPr>
          <w:rFonts w:ascii="Arial" w:eastAsia="Times New Roman" w:hAnsi="Arial" w:cs="Arial"/>
          <w:color w:val="000000"/>
          <w:sz w:val="20"/>
          <w:szCs w:val="20"/>
          <w:u w:val="single"/>
          <w:vertAlign w:val="superscript"/>
          <w:lang w:eastAsia="pt-BR"/>
        </w:rPr>
        <w:t>o</w:t>
      </w:r>
      <w:r w:rsidRPr="0037089D">
        <w:rPr>
          <w:rFonts w:ascii="Arial" w:eastAsia="Times New Roman" w:hAnsi="Arial" w:cs="Arial"/>
          <w:color w:val="000000"/>
          <w:sz w:val="20"/>
          <w:szCs w:val="20"/>
          <w:lang w:eastAsia="pt-BR"/>
        </w:rPr>
        <w:t>.................................................................</w:t>
      </w:r>
    </w:p>
    <w:p w:rsidR="0037089D" w:rsidRPr="0037089D" w:rsidRDefault="0037089D" w:rsidP="0037089D">
      <w:pPr>
        <w:spacing w:before="100" w:beforeAutospacing="1" w:after="100" w:afterAutospacing="1" w:line="240" w:lineRule="auto"/>
        <w:ind w:right="2007"/>
        <w:rPr>
          <w:rFonts w:ascii="Arial" w:eastAsia="Times New Roman" w:hAnsi="Arial" w:cs="Arial"/>
          <w:color w:val="000000"/>
          <w:sz w:val="20"/>
          <w:szCs w:val="20"/>
          <w:lang w:eastAsia="pt-BR"/>
        </w:rPr>
      </w:pPr>
      <w:r w:rsidRPr="0037089D">
        <w:rPr>
          <w:rFonts w:ascii="Arial" w:eastAsia="Times New Roman" w:hAnsi="Arial" w:cs="Arial"/>
          <w:color w:val="000000"/>
          <w:sz w:val="20"/>
          <w:szCs w:val="20"/>
          <w:lang w:eastAsia="pt-BR"/>
        </w:rPr>
        <w:t>.......................................................................</w:t>
      </w:r>
    </w:p>
    <w:p w:rsidR="0037089D" w:rsidRPr="0037089D" w:rsidRDefault="0037089D" w:rsidP="0037089D">
      <w:pPr>
        <w:spacing w:before="100" w:beforeAutospacing="1" w:after="100" w:afterAutospacing="1" w:line="240" w:lineRule="auto"/>
        <w:ind w:right="2007"/>
        <w:rPr>
          <w:rFonts w:ascii="Arial" w:eastAsia="Times New Roman" w:hAnsi="Arial" w:cs="Arial"/>
          <w:color w:val="000000"/>
          <w:sz w:val="20"/>
          <w:szCs w:val="20"/>
          <w:lang w:eastAsia="pt-BR"/>
        </w:rPr>
      </w:pPr>
      <w:hyperlink r:id="rId22" w:anchor="art183%C2%A71d" w:history="1">
        <w:r w:rsidRPr="0037089D">
          <w:rPr>
            <w:rFonts w:ascii="Arial" w:eastAsia="Times New Roman" w:hAnsi="Arial" w:cs="Arial"/>
            <w:color w:val="0000FF"/>
            <w:sz w:val="20"/>
            <w:szCs w:val="20"/>
            <w:u w:val="single"/>
            <w:lang w:eastAsia="pt-BR"/>
          </w:rPr>
          <w:t>d) </w:t>
        </w:r>
      </w:hyperlink>
      <w:r w:rsidRPr="0037089D">
        <w:rPr>
          <w:rFonts w:ascii="Arial" w:eastAsia="Times New Roman" w:hAnsi="Arial" w:cs="Arial"/>
          <w:color w:val="000000"/>
          <w:sz w:val="20"/>
          <w:szCs w:val="20"/>
          <w:lang w:eastAsia="pt-BR"/>
        </w:rPr>
        <w:t>dos instrumentos financeiros, o valor que pode se obter em um mercado ativo, decorrente de transação não compulsória realizada entre partes independentes; e, na ausência de um mercado ativo para um determinado instrumento financeiro:</w:t>
      </w:r>
    </w:p>
    <w:p w:rsidR="0037089D" w:rsidRPr="0037089D" w:rsidRDefault="0037089D" w:rsidP="0037089D">
      <w:pPr>
        <w:spacing w:before="100" w:beforeAutospacing="1" w:after="100" w:afterAutospacing="1" w:line="240" w:lineRule="auto"/>
        <w:ind w:right="2007"/>
        <w:rPr>
          <w:rFonts w:ascii="Arial" w:eastAsia="Times New Roman" w:hAnsi="Arial" w:cs="Arial"/>
          <w:color w:val="000000"/>
          <w:sz w:val="20"/>
          <w:szCs w:val="20"/>
          <w:lang w:eastAsia="pt-BR"/>
        </w:rPr>
      </w:pPr>
      <w:r w:rsidRPr="0037089D">
        <w:rPr>
          <w:rFonts w:ascii="Arial" w:eastAsia="Times New Roman" w:hAnsi="Arial" w:cs="Arial"/>
          <w:color w:val="000000"/>
          <w:sz w:val="20"/>
          <w:szCs w:val="20"/>
          <w:lang w:eastAsia="pt-BR"/>
        </w:rPr>
        <w:t>1) o valor que se pode obter em um mercado ativo com a negociação de outro instrumento financeiro de natureza, prazo e risco similares;</w:t>
      </w:r>
    </w:p>
    <w:p w:rsidR="0037089D" w:rsidRPr="0037089D" w:rsidRDefault="0037089D" w:rsidP="0037089D">
      <w:pPr>
        <w:spacing w:before="100" w:beforeAutospacing="1" w:after="100" w:afterAutospacing="1" w:line="240" w:lineRule="auto"/>
        <w:ind w:right="2007"/>
        <w:rPr>
          <w:rFonts w:ascii="Arial" w:eastAsia="Times New Roman" w:hAnsi="Arial" w:cs="Arial"/>
          <w:color w:val="000000"/>
          <w:sz w:val="20"/>
          <w:szCs w:val="20"/>
          <w:lang w:eastAsia="pt-BR"/>
        </w:rPr>
      </w:pPr>
      <w:r w:rsidRPr="0037089D">
        <w:rPr>
          <w:rFonts w:ascii="Arial" w:eastAsia="Times New Roman" w:hAnsi="Arial" w:cs="Arial"/>
          <w:color w:val="000000"/>
          <w:sz w:val="20"/>
          <w:szCs w:val="20"/>
          <w:lang w:eastAsia="pt-BR"/>
        </w:rPr>
        <w:t>2) o valor presente líquido dos fluxos de caixa futuros para instrumentos financeiros de natureza, prazo e risco similares; ou</w:t>
      </w:r>
    </w:p>
    <w:p w:rsidR="0037089D" w:rsidRPr="0037089D" w:rsidRDefault="0037089D" w:rsidP="0037089D">
      <w:pPr>
        <w:spacing w:before="100" w:beforeAutospacing="1" w:after="100" w:afterAutospacing="1" w:line="240" w:lineRule="auto"/>
        <w:ind w:right="2007"/>
        <w:rPr>
          <w:rFonts w:ascii="Arial" w:eastAsia="Times New Roman" w:hAnsi="Arial" w:cs="Arial"/>
          <w:color w:val="000000"/>
          <w:sz w:val="20"/>
          <w:szCs w:val="20"/>
          <w:lang w:eastAsia="pt-BR"/>
        </w:rPr>
      </w:pPr>
      <w:r w:rsidRPr="0037089D">
        <w:rPr>
          <w:rFonts w:ascii="Arial" w:eastAsia="Times New Roman" w:hAnsi="Arial" w:cs="Arial"/>
          <w:color w:val="000000"/>
          <w:sz w:val="20"/>
          <w:szCs w:val="20"/>
          <w:lang w:eastAsia="pt-BR"/>
        </w:rPr>
        <w:t>3) o valor obtido por meio de modelos matemático-estatísticos de precificação de instrumentos financeiros.</w:t>
      </w:r>
    </w:p>
    <w:p w:rsidR="0037089D" w:rsidRPr="0037089D" w:rsidRDefault="0037089D" w:rsidP="0037089D">
      <w:pPr>
        <w:spacing w:before="100" w:beforeAutospacing="1" w:after="100" w:afterAutospacing="1" w:line="240" w:lineRule="auto"/>
        <w:ind w:right="2007"/>
        <w:rPr>
          <w:rFonts w:ascii="Arial" w:eastAsia="Times New Roman" w:hAnsi="Arial" w:cs="Arial"/>
          <w:color w:val="000000"/>
          <w:sz w:val="20"/>
          <w:szCs w:val="20"/>
          <w:lang w:eastAsia="pt-BR"/>
        </w:rPr>
      </w:pPr>
      <w:r w:rsidRPr="0037089D">
        <w:rPr>
          <w:rFonts w:ascii="Arial" w:eastAsia="Times New Roman" w:hAnsi="Arial" w:cs="Arial"/>
          <w:color w:val="000000"/>
          <w:sz w:val="20"/>
          <w:szCs w:val="20"/>
          <w:lang w:eastAsia="pt-BR"/>
        </w:rPr>
        <w:t>§ 2</w:t>
      </w:r>
      <w:r w:rsidRPr="0037089D">
        <w:rPr>
          <w:rFonts w:ascii="Arial" w:eastAsia="Times New Roman" w:hAnsi="Arial" w:cs="Arial"/>
          <w:color w:val="000000"/>
          <w:sz w:val="20"/>
          <w:szCs w:val="20"/>
          <w:u w:val="single"/>
          <w:vertAlign w:val="superscript"/>
          <w:lang w:eastAsia="pt-BR"/>
        </w:rPr>
        <w:t>o</w:t>
      </w:r>
      <w:r w:rsidRPr="0037089D">
        <w:rPr>
          <w:rFonts w:ascii="Arial" w:eastAsia="Times New Roman" w:hAnsi="Arial" w:cs="Arial"/>
          <w:color w:val="000000"/>
          <w:sz w:val="20"/>
          <w:szCs w:val="20"/>
          <w:lang w:eastAsia="pt-BR"/>
        </w:rPr>
        <w:t>  A diminuição do valor dos elementos dos ativos imobilizado, intangível e diferido será registrada periodicamente nas contas de:</w:t>
      </w:r>
    </w:p>
    <w:p w:rsidR="0037089D" w:rsidRPr="0037089D" w:rsidRDefault="0037089D" w:rsidP="0037089D">
      <w:pPr>
        <w:spacing w:before="100" w:beforeAutospacing="1" w:after="100" w:afterAutospacing="1" w:line="240" w:lineRule="auto"/>
        <w:ind w:right="2007"/>
        <w:rPr>
          <w:rFonts w:ascii="Arial" w:eastAsia="Times New Roman" w:hAnsi="Arial" w:cs="Arial"/>
          <w:color w:val="000000"/>
          <w:sz w:val="20"/>
          <w:szCs w:val="20"/>
          <w:lang w:eastAsia="pt-BR"/>
        </w:rPr>
      </w:pPr>
      <w:r w:rsidRPr="0037089D">
        <w:rPr>
          <w:rFonts w:ascii="Arial" w:eastAsia="Times New Roman" w:hAnsi="Arial" w:cs="Arial"/>
          <w:color w:val="000000"/>
          <w:sz w:val="20"/>
          <w:szCs w:val="20"/>
          <w:lang w:eastAsia="pt-BR"/>
        </w:rPr>
        <w:t>.......................................................................</w:t>
      </w:r>
    </w:p>
    <w:p w:rsidR="0037089D" w:rsidRPr="0037089D" w:rsidRDefault="0037089D" w:rsidP="0037089D">
      <w:pPr>
        <w:spacing w:before="100" w:beforeAutospacing="1" w:after="100" w:afterAutospacing="1" w:line="240" w:lineRule="auto"/>
        <w:ind w:right="2007"/>
        <w:rPr>
          <w:rFonts w:ascii="Arial" w:eastAsia="Times New Roman" w:hAnsi="Arial" w:cs="Arial"/>
          <w:color w:val="000000"/>
          <w:sz w:val="20"/>
          <w:szCs w:val="20"/>
          <w:lang w:eastAsia="pt-BR"/>
        </w:rPr>
      </w:pPr>
      <w:hyperlink r:id="rId23" w:anchor="art183%C2%A73" w:history="1">
        <w:r w:rsidRPr="0037089D">
          <w:rPr>
            <w:rFonts w:ascii="Arial" w:eastAsia="Times New Roman" w:hAnsi="Arial" w:cs="Arial"/>
            <w:color w:val="0000FF"/>
            <w:sz w:val="20"/>
            <w:szCs w:val="20"/>
            <w:u w:val="single"/>
            <w:lang w:eastAsia="pt-BR"/>
          </w:rPr>
          <w:t>§ 3º</w:t>
        </w:r>
      </w:hyperlink>
      <w:r w:rsidRPr="0037089D">
        <w:rPr>
          <w:rFonts w:ascii="Arial" w:eastAsia="Times New Roman" w:hAnsi="Arial" w:cs="Arial"/>
          <w:color w:val="000000"/>
          <w:sz w:val="20"/>
          <w:szCs w:val="20"/>
          <w:lang w:eastAsia="pt-BR"/>
        </w:rPr>
        <w:t>  A companhia deverá efetuar, periodicamente, análise sobre a recuperação dos valores registrados no imobilizado, no intangível e no diferido, a fim de que sejam:</w:t>
      </w:r>
    </w:p>
    <w:p w:rsidR="0037089D" w:rsidRPr="0037089D" w:rsidRDefault="0037089D" w:rsidP="0037089D">
      <w:pPr>
        <w:spacing w:before="100" w:beforeAutospacing="1" w:after="100" w:afterAutospacing="1" w:line="240" w:lineRule="auto"/>
        <w:ind w:right="2007"/>
        <w:rPr>
          <w:rFonts w:ascii="Arial" w:eastAsia="Times New Roman" w:hAnsi="Arial" w:cs="Arial"/>
          <w:color w:val="000000"/>
          <w:sz w:val="20"/>
          <w:szCs w:val="20"/>
          <w:lang w:eastAsia="pt-BR"/>
        </w:rPr>
      </w:pPr>
      <w:r w:rsidRPr="0037089D">
        <w:rPr>
          <w:rFonts w:ascii="Arial" w:eastAsia="Times New Roman" w:hAnsi="Arial" w:cs="Arial"/>
          <w:color w:val="000000"/>
          <w:sz w:val="20"/>
          <w:szCs w:val="20"/>
          <w:lang w:eastAsia="pt-BR"/>
        </w:rPr>
        <w:t>I – registradas as perdas de valor do capital aplicado quando houver decisão de interromper os empreendimentos ou atividades a que se destinavam ou quando comprovado que não poderão produzir resultados suficientes para recuperação desse valor; ou</w:t>
      </w:r>
    </w:p>
    <w:p w:rsidR="0037089D" w:rsidRPr="0037089D" w:rsidRDefault="0037089D" w:rsidP="0037089D">
      <w:pPr>
        <w:spacing w:before="100" w:beforeAutospacing="1" w:after="100" w:afterAutospacing="1" w:line="240" w:lineRule="auto"/>
        <w:ind w:right="2007"/>
        <w:rPr>
          <w:rFonts w:ascii="Arial" w:eastAsia="Times New Roman" w:hAnsi="Arial" w:cs="Arial"/>
          <w:color w:val="000000"/>
          <w:sz w:val="20"/>
          <w:szCs w:val="20"/>
          <w:lang w:eastAsia="pt-BR"/>
        </w:rPr>
      </w:pPr>
      <w:r w:rsidRPr="0037089D">
        <w:rPr>
          <w:rFonts w:ascii="Arial" w:eastAsia="Times New Roman" w:hAnsi="Arial" w:cs="Arial"/>
          <w:color w:val="000000"/>
          <w:sz w:val="20"/>
          <w:szCs w:val="20"/>
          <w:lang w:eastAsia="pt-BR"/>
        </w:rPr>
        <w:t>II – revisados e ajustados os critérios utilizados para determinação da vida útil econômica estimada e para cálculo da depreciação, exaustão e amortização.</w:t>
      </w:r>
    </w:p>
    <w:p w:rsidR="0037089D" w:rsidRPr="0037089D" w:rsidRDefault="0037089D" w:rsidP="0037089D">
      <w:pPr>
        <w:spacing w:before="100" w:beforeAutospacing="1" w:after="100" w:afterAutospacing="1" w:line="240" w:lineRule="auto"/>
        <w:ind w:right="2007"/>
        <w:rPr>
          <w:rFonts w:ascii="Arial" w:eastAsia="Times New Roman" w:hAnsi="Arial" w:cs="Arial"/>
          <w:color w:val="000000"/>
          <w:sz w:val="20"/>
          <w:szCs w:val="20"/>
          <w:lang w:eastAsia="pt-BR"/>
        </w:rPr>
      </w:pPr>
      <w:r w:rsidRPr="0037089D">
        <w:rPr>
          <w:rFonts w:ascii="Arial" w:eastAsia="Times New Roman" w:hAnsi="Arial" w:cs="Arial"/>
          <w:color w:val="000000"/>
          <w:sz w:val="20"/>
          <w:szCs w:val="20"/>
          <w:lang w:eastAsia="pt-BR"/>
        </w:rPr>
        <w:t>.......................................................................” (NR)</w:t>
      </w:r>
    </w:p>
    <w:p w:rsidR="0037089D" w:rsidRPr="0037089D" w:rsidRDefault="0037089D" w:rsidP="0037089D">
      <w:pPr>
        <w:spacing w:before="100" w:beforeAutospacing="1" w:after="100" w:afterAutospacing="1" w:line="240" w:lineRule="auto"/>
        <w:ind w:right="567"/>
        <w:jc w:val="center"/>
        <w:rPr>
          <w:rFonts w:ascii="Arial" w:eastAsia="Times New Roman" w:hAnsi="Arial" w:cs="Arial"/>
          <w:color w:val="000000"/>
          <w:sz w:val="20"/>
          <w:szCs w:val="20"/>
          <w:lang w:eastAsia="pt-BR"/>
        </w:rPr>
      </w:pPr>
      <w:r w:rsidRPr="0037089D">
        <w:rPr>
          <w:rFonts w:ascii="Arial" w:eastAsia="Times New Roman" w:hAnsi="Arial" w:cs="Arial"/>
          <w:color w:val="000000"/>
          <w:sz w:val="20"/>
          <w:szCs w:val="20"/>
          <w:lang w:eastAsia="pt-BR"/>
        </w:rPr>
        <w:t>“Critérios de Avaliação do Passivo</w:t>
      </w:r>
    </w:p>
    <w:p w:rsidR="0037089D" w:rsidRPr="0037089D" w:rsidRDefault="0037089D" w:rsidP="0037089D">
      <w:pPr>
        <w:spacing w:beforeAutospacing="1" w:after="100" w:afterAutospacing="1" w:line="240" w:lineRule="auto"/>
        <w:ind w:right="2007"/>
        <w:rPr>
          <w:rFonts w:ascii="Arial" w:eastAsia="Times New Roman" w:hAnsi="Arial" w:cs="Arial"/>
          <w:color w:val="000000"/>
          <w:sz w:val="20"/>
          <w:szCs w:val="20"/>
          <w:lang w:eastAsia="pt-BR"/>
        </w:rPr>
      </w:pPr>
      <w:r w:rsidRPr="0037089D">
        <w:rPr>
          <w:rFonts w:ascii="Arial" w:eastAsia="Times New Roman" w:hAnsi="Arial" w:cs="Arial"/>
          <w:color w:val="000000"/>
          <w:sz w:val="20"/>
          <w:szCs w:val="20"/>
          <w:lang w:eastAsia="pt-BR"/>
        </w:rPr>
        <w:t>Art. 184............................................................</w:t>
      </w:r>
    </w:p>
    <w:p w:rsidR="0037089D" w:rsidRPr="0037089D" w:rsidRDefault="0037089D" w:rsidP="0037089D">
      <w:pPr>
        <w:spacing w:before="100" w:beforeAutospacing="1" w:after="100" w:afterAutospacing="1" w:line="240" w:lineRule="auto"/>
        <w:ind w:right="2007"/>
        <w:rPr>
          <w:rFonts w:ascii="Arial" w:eastAsia="Times New Roman" w:hAnsi="Arial" w:cs="Arial"/>
          <w:color w:val="000000"/>
          <w:sz w:val="20"/>
          <w:szCs w:val="20"/>
          <w:lang w:eastAsia="pt-BR"/>
        </w:rPr>
      </w:pPr>
      <w:r w:rsidRPr="0037089D">
        <w:rPr>
          <w:rFonts w:ascii="Arial" w:eastAsia="Times New Roman" w:hAnsi="Arial" w:cs="Arial"/>
          <w:color w:val="000000"/>
          <w:sz w:val="20"/>
          <w:szCs w:val="20"/>
          <w:lang w:eastAsia="pt-BR"/>
        </w:rPr>
        <w:t>.......................................................................</w:t>
      </w:r>
    </w:p>
    <w:p w:rsidR="0037089D" w:rsidRPr="0037089D" w:rsidRDefault="0037089D" w:rsidP="0037089D">
      <w:pPr>
        <w:spacing w:before="100" w:beforeAutospacing="1" w:after="100" w:afterAutospacing="1" w:line="240" w:lineRule="auto"/>
        <w:ind w:right="2007"/>
        <w:rPr>
          <w:rFonts w:ascii="Arial" w:eastAsia="Times New Roman" w:hAnsi="Arial" w:cs="Arial"/>
          <w:color w:val="000000"/>
          <w:sz w:val="20"/>
          <w:szCs w:val="20"/>
          <w:lang w:eastAsia="pt-BR"/>
        </w:rPr>
      </w:pPr>
      <w:hyperlink r:id="rId24" w:anchor="art184iii" w:history="1">
        <w:r w:rsidRPr="0037089D">
          <w:rPr>
            <w:rFonts w:ascii="Arial" w:eastAsia="Times New Roman" w:hAnsi="Arial" w:cs="Arial"/>
            <w:color w:val="0000FF"/>
            <w:sz w:val="20"/>
            <w:szCs w:val="20"/>
            <w:u w:val="single"/>
            <w:lang w:eastAsia="pt-BR"/>
          </w:rPr>
          <w:t>III –</w:t>
        </w:r>
      </w:hyperlink>
      <w:r w:rsidRPr="0037089D">
        <w:rPr>
          <w:rFonts w:ascii="Arial" w:eastAsia="Times New Roman" w:hAnsi="Arial" w:cs="Arial"/>
          <w:color w:val="000000"/>
          <w:sz w:val="20"/>
          <w:szCs w:val="20"/>
          <w:lang w:eastAsia="pt-BR"/>
        </w:rPr>
        <w:t> as obrigações, encargos e riscos classificados no passivo exigível a longo prazo serão ajustados ao seu valor presente, sendo os demais ajustados quando houver efeito relevante.” (NR)</w:t>
      </w:r>
    </w:p>
    <w:p w:rsidR="0037089D" w:rsidRPr="0037089D" w:rsidRDefault="0037089D" w:rsidP="0037089D">
      <w:pPr>
        <w:spacing w:before="100" w:beforeAutospacing="1" w:after="100" w:afterAutospacing="1" w:line="240" w:lineRule="auto"/>
        <w:ind w:right="567"/>
        <w:jc w:val="center"/>
        <w:rPr>
          <w:rFonts w:ascii="Arial" w:eastAsia="Times New Roman" w:hAnsi="Arial" w:cs="Arial"/>
          <w:color w:val="000000"/>
          <w:sz w:val="20"/>
          <w:szCs w:val="20"/>
          <w:lang w:eastAsia="pt-BR"/>
        </w:rPr>
      </w:pPr>
      <w:r w:rsidRPr="0037089D">
        <w:rPr>
          <w:rFonts w:ascii="Arial" w:eastAsia="Times New Roman" w:hAnsi="Arial" w:cs="Arial"/>
          <w:color w:val="000000"/>
          <w:sz w:val="20"/>
          <w:szCs w:val="20"/>
          <w:lang w:eastAsia="pt-BR"/>
        </w:rPr>
        <w:t>“Demonstração do Resultado do Exercício</w:t>
      </w:r>
    </w:p>
    <w:p w:rsidR="0037089D" w:rsidRPr="0037089D" w:rsidRDefault="0037089D" w:rsidP="0037089D">
      <w:pPr>
        <w:spacing w:beforeAutospacing="1" w:after="100" w:afterAutospacing="1" w:line="240" w:lineRule="auto"/>
        <w:ind w:right="2007"/>
        <w:rPr>
          <w:rFonts w:ascii="Arial" w:eastAsia="Times New Roman" w:hAnsi="Arial" w:cs="Arial"/>
          <w:color w:val="000000"/>
          <w:sz w:val="20"/>
          <w:szCs w:val="20"/>
          <w:lang w:eastAsia="pt-BR"/>
        </w:rPr>
      </w:pPr>
      <w:r w:rsidRPr="0037089D">
        <w:rPr>
          <w:rFonts w:ascii="Arial" w:eastAsia="Times New Roman" w:hAnsi="Arial" w:cs="Arial"/>
          <w:color w:val="000000"/>
          <w:sz w:val="20"/>
          <w:szCs w:val="20"/>
          <w:lang w:eastAsia="pt-BR"/>
        </w:rPr>
        <w:t>Art. 187............................................................</w:t>
      </w:r>
    </w:p>
    <w:p w:rsidR="0037089D" w:rsidRPr="0037089D" w:rsidRDefault="0037089D" w:rsidP="0037089D">
      <w:pPr>
        <w:spacing w:before="100" w:beforeAutospacing="1" w:after="100" w:afterAutospacing="1" w:line="240" w:lineRule="auto"/>
        <w:ind w:right="2007"/>
        <w:rPr>
          <w:rFonts w:ascii="Arial" w:eastAsia="Times New Roman" w:hAnsi="Arial" w:cs="Arial"/>
          <w:color w:val="000000"/>
          <w:sz w:val="20"/>
          <w:szCs w:val="20"/>
          <w:lang w:eastAsia="pt-BR"/>
        </w:rPr>
      </w:pPr>
      <w:r w:rsidRPr="0037089D">
        <w:rPr>
          <w:rFonts w:ascii="Arial" w:eastAsia="Times New Roman" w:hAnsi="Arial" w:cs="Arial"/>
          <w:color w:val="000000"/>
          <w:sz w:val="20"/>
          <w:szCs w:val="20"/>
          <w:lang w:eastAsia="pt-BR"/>
        </w:rPr>
        <w:t>.......................................................................</w:t>
      </w:r>
    </w:p>
    <w:p w:rsidR="0037089D" w:rsidRPr="0037089D" w:rsidRDefault="0037089D" w:rsidP="0037089D">
      <w:pPr>
        <w:spacing w:before="100" w:beforeAutospacing="1" w:after="100" w:afterAutospacing="1" w:line="240" w:lineRule="auto"/>
        <w:ind w:right="2007"/>
        <w:rPr>
          <w:rFonts w:ascii="Arial" w:eastAsia="Times New Roman" w:hAnsi="Arial" w:cs="Arial"/>
          <w:color w:val="000000"/>
          <w:sz w:val="20"/>
          <w:szCs w:val="20"/>
          <w:lang w:eastAsia="pt-BR"/>
        </w:rPr>
      </w:pPr>
      <w:hyperlink r:id="rId25" w:anchor="art187vi" w:history="1">
        <w:r w:rsidRPr="0037089D">
          <w:rPr>
            <w:rFonts w:ascii="Arial" w:eastAsia="Times New Roman" w:hAnsi="Arial" w:cs="Arial"/>
            <w:color w:val="0000FF"/>
            <w:sz w:val="20"/>
            <w:szCs w:val="20"/>
            <w:u w:val="single"/>
            <w:lang w:eastAsia="pt-BR"/>
          </w:rPr>
          <w:t>VI –</w:t>
        </w:r>
      </w:hyperlink>
      <w:r w:rsidRPr="0037089D">
        <w:rPr>
          <w:rFonts w:ascii="Arial" w:eastAsia="Times New Roman" w:hAnsi="Arial" w:cs="Arial"/>
          <w:color w:val="000000"/>
          <w:sz w:val="20"/>
          <w:szCs w:val="20"/>
          <w:lang w:eastAsia="pt-BR"/>
        </w:rPr>
        <w:t> as participações de debêntures, de empregados e administradores, mesmo na forma de instrumentos financeiros, e de instituições ou fundos de assistência ou previdência de empregados, que não se caracterizem como despesa;</w:t>
      </w:r>
    </w:p>
    <w:p w:rsidR="0037089D" w:rsidRPr="0037089D" w:rsidRDefault="0037089D" w:rsidP="0037089D">
      <w:pPr>
        <w:spacing w:before="100" w:beforeAutospacing="1" w:after="100" w:afterAutospacing="1" w:line="240" w:lineRule="auto"/>
        <w:ind w:right="2007"/>
        <w:rPr>
          <w:rFonts w:ascii="Arial" w:eastAsia="Times New Roman" w:hAnsi="Arial" w:cs="Arial"/>
          <w:color w:val="000000"/>
          <w:sz w:val="20"/>
          <w:szCs w:val="20"/>
          <w:lang w:eastAsia="pt-BR"/>
        </w:rPr>
      </w:pPr>
      <w:r w:rsidRPr="0037089D">
        <w:rPr>
          <w:rFonts w:ascii="Arial" w:eastAsia="Times New Roman" w:hAnsi="Arial" w:cs="Arial"/>
          <w:color w:val="000000"/>
          <w:sz w:val="20"/>
          <w:szCs w:val="20"/>
          <w:lang w:eastAsia="pt-BR"/>
        </w:rPr>
        <w:t>.......................................................................</w:t>
      </w:r>
    </w:p>
    <w:p w:rsidR="0037089D" w:rsidRPr="0037089D" w:rsidRDefault="0037089D" w:rsidP="0037089D">
      <w:pPr>
        <w:spacing w:before="100" w:beforeAutospacing="1" w:after="100" w:afterAutospacing="1" w:line="240" w:lineRule="auto"/>
        <w:ind w:right="2007"/>
        <w:rPr>
          <w:rFonts w:ascii="Arial" w:eastAsia="Times New Roman" w:hAnsi="Arial" w:cs="Arial"/>
          <w:color w:val="000000"/>
          <w:sz w:val="20"/>
          <w:szCs w:val="20"/>
          <w:lang w:eastAsia="pt-BR"/>
        </w:rPr>
      </w:pPr>
      <w:hyperlink r:id="rId26" w:anchor="art187%C2%A72" w:history="1">
        <w:r w:rsidRPr="0037089D">
          <w:rPr>
            <w:rFonts w:ascii="Arial" w:eastAsia="Times New Roman" w:hAnsi="Arial" w:cs="Arial"/>
            <w:color w:val="0000FF"/>
            <w:sz w:val="20"/>
            <w:szCs w:val="20"/>
            <w:u w:val="single"/>
            <w:lang w:eastAsia="pt-BR"/>
          </w:rPr>
          <w:t>§ 2º</w:t>
        </w:r>
      </w:hyperlink>
      <w:r w:rsidRPr="0037089D">
        <w:rPr>
          <w:rFonts w:ascii="Arial" w:eastAsia="Times New Roman" w:hAnsi="Arial" w:cs="Arial"/>
          <w:color w:val="000000"/>
          <w:sz w:val="20"/>
          <w:szCs w:val="20"/>
          <w:lang w:eastAsia="pt-BR"/>
        </w:rPr>
        <w:t> (Revogado).” (NR)</w:t>
      </w:r>
    </w:p>
    <w:p w:rsidR="0037089D" w:rsidRPr="0037089D" w:rsidRDefault="0037089D" w:rsidP="0037089D">
      <w:pPr>
        <w:spacing w:before="100" w:beforeAutospacing="1" w:after="100" w:afterAutospacing="1" w:line="240" w:lineRule="auto"/>
        <w:ind w:right="567"/>
        <w:jc w:val="center"/>
        <w:rPr>
          <w:rFonts w:ascii="Arial" w:eastAsia="Times New Roman" w:hAnsi="Arial" w:cs="Arial"/>
          <w:color w:val="000000"/>
          <w:sz w:val="20"/>
          <w:szCs w:val="20"/>
          <w:lang w:eastAsia="pt-BR"/>
        </w:rPr>
      </w:pPr>
      <w:r w:rsidRPr="0037089D">
        <w:rPr>
          <w:rFonts w:ascii="Arial" w:eastAsia="Times New Roman" w:hAnsi="Arial" w:cs="Arial"/>
          <w:color w:val="000000"/>
          <w:sz w:val="20"/>
          <w:szCs w:val="20"/>
          <w:lang w:eastAsia="pt-BR"/>
        </w:rPr>
        <w:t>“Demonstrações dos Fluxos de Caixa e do Valor Adicionado</w:t>
      </w:r>
    </w:p>
    <w:p w:rsidR="0037089D" w:rsidRPr="0037089D" w:rsidRDefault="0037089D" w:rsidP="0037089D">
      <w:pPr>
        <w:spacing w:beforeAutospacing="1" w:after="100" w:afterAutospacing="1" w:line="240" w:lineRule="auto"/>
        <w:ind w:right="2007"/>
        <w:rPr>
          <w:rFonts w:ascii="Arial" w:eastAsia="Times New Roman" w:hAnsi="Arial" w:cs="Arial"/>
          <w:color w:val="000000"/>
          <w:sz w:val="20"/>
          <w:szCs w:val="20"/>
          <w:lang w:eastAsia="pt-BR"/>
        </w:rPr>
      </w:pPr>
      <w:hyperlink r:id="rId27" w:anchor="art188" w:history="1">
        <w:r w:rsidRPr="0037089D">
          <w:rPr>
            <w:rFonts w:ascii="Arial" w:eastAsia="Times New Roman" w:hAnsi="Arial" w:cs="Arial"/>
            <w:color w:val="0000FF"/>
            <w:sz w:val="20"/>
            <w:szCs w:val="20"/>
            <w:u w:val="single"/>
            <w:lang w:eastAsia="pt-BR"/>
          </w:rPr>
          <w:t>Art. 188</w:t>
        </w:r>
      </w:hyperlink>
      <w:r w:rsidRPr="0037089D">
        <w:rPr>
          <w:rFonts w:ascii="Arial" w:eastAsia="Times New Roman" w:hAnsi="Arial" w:cs="Arial"/>
          <w:color w:val="000000"/>
          <w:sz w:val="20"/>
          <w:szCs w:val="20"/>
          <w:lang w:eastAsia="pt-BR"/>
        </w:rPr>
        <w:t>.  As demonstrações referidas nos incisos IV e V do caput</w:t>
      </w:r>
      <w:r w:rsidRPr="0037089D">
        <w:rPr>
          <w:rFonts w:ascii="Arial" w:eastAsia="Times New Roman" w:hAnsi="Arial" w:cs="Arial"/>
          <w:i/>
          <w:iCs/>
          <w:color w:val="000000"/>
          <w:sz w:val="20"/>
          <w:szCs w:val="20"/>
          <w:lang w:eastAsia="pt-BR"/>
        </w:rPr>
        <w:t> </w:t>
      </w:r>
      <w:r w:rsidRPr="0037089D">
        <w:rPr>
          <w:rFonts w:ascii="Arial" w:eastAsia="Times New Roman" w:hAnsi="Arial" w:cs="Arial"/>
          <w:color w:val="000000"/>
          <w:sz w:val="20"/>
          <w:szCs w:val="20"/>
          <w:lang w:eastAsia="pt-BR"/>
        </w:rPr>
        <w:t>do art. 176 desta Lei indicarão, no mínimo:</w:t>
      </w:r>
    </w:p>
    <w:p w:rsidR="0037089D" w:rsidRPr="0037089D" w:rsidRDefault="0037089D" w:rsidP="0037089D">
      <w:pPr>
        <w:spacing w:before="100" w:beforeAutospacing="1" w:after="100" w:afterAutospacing="1" w:line="240" w:lineRule="auto"/>
        <w:ind w:right="2007"/>
        <w:rPr>
          <w:rFonts w:ascii="Arial" w:eastAsia="Times New Roman" w:hAnsi="Arial" w:cs="Arial"/>
          <w:color w:val="000000"/>
          <w:sz w:val="20"/>
          <w:szCs w:val="20"/>
          <w:lang w:eastAsia="pt-BR"/>
        </w:rPr>
      </w:pPr>
      <w:r w:rsidRPr="0037089D">
        <w:rPr>
          <w:rFonts w:ascii="Arial" w:eastAsia="Times New Roman" w:hAnsi="Arial" w:cs="Arial"/>
          <w:color w:val="000000"/>
          <w:sz w:val="20"/>
          <w:szCs w:val="20"/>
          <w:lang w:eastAsia="pt-BR"/>
        </w:rPr>
        <w:t>I – demonstração dos fluxos de caixa – as alterações ocorridas, durante o exercício, no saldo de caixa e equivalentes de caixa, segregando-se essas alterações em, no mínimo, 3 (três) fluxos:</w:t>
      </w:r>
    </w:p>
    <w:p w:rsidR="0037089D" w:rsidRPr="0037089D" w:rsidRDefault="0037089D" w:rsidP="0037089D">
      <w:pPr>
        <w:spacing w:before="100" w:beforeAutospacing="1" w:after="100" w:afterAutospacing="1" w:line="240" w:lineRule="auto"/>
        <w:ind w:right="2007"/>
        <w:rPr>
          <w:rFonts w:ascii="Arial" w:eastAsia="Times New Roman" w:hAnsi="Arial" w:cs="Arial"/>
          <w:color w:val="000000"/>
          <w:sz w:val="20"/>
          <w:szCs w:val="20"/>
          <w:lang w:eastAsia="pt-BR"/>
        </w:rPr>
      </w:pPr>
      <w:r w:rsidRPr="0037089D">
        <w:rPr>
          <w:rFonts w:ascii="Arial" w:eastAsia="Times New Roman" w:hAnsi="Arial" w:cs="Arial"/>
          <w:color w:val="000000"/>
          <w:sz w:val="20"/>
          <w:szCs w:val="20"/>
          <w:lang w:eastAsia="pt-BR"/>
        </w:rPr>
        <w:t>a) das operações;</w:t>
      </w:r>
    </w:p>
    <w:p w:rsidR="0037089D" w:rsidRPr="0037089D" w:rsidRDefault="0037089D" w:rsidP="0037089D">
      <w:pPr>
        <w:spacing w:before="100" w:beforeAutospacing="1" w:after="100" w:afterAutospacing="1" w:line="240" w:lineRule="auto"/>
        <w:ind w:right="2007"/>
        <w:rPr>
          <w:rFonts w:ascii="Arial" w:eastAsia="Times New Roman" w:hAnsi="Arial" w:cs="Arial"/>
          <w:color w:val="000000"/>
          <w:sz w:val="20"/>
          <w:szCs w:val="20"/>
          <w:lang w:eastAsia="pt-BR"/>
        </w:rPr>
      </w:pPr>
      <w:r w:rsidRPr="0037089D">
        <w:rPr>
          <w:rFonts w:ascii="Arial" w:eastAsia="Times New Roman" w:hAnsi="Arial" w:cs="Arial"/>
          <w:color w:val="000000"/>
          <w:sz w:val="20"/>
          <w:szCs w:val="20"/>
          <w:lang w:eastAsia="pt-BR"/>
        </w:rPr>
        <w:t>b) dos financiamentos; e</w:t>
      </w:r>
    </w:p>
    <w:p w:rsidR="0037089D" w:rsidRPr="0037089D" w:rsidRDefault="0037089D" w:rsidP="0037089D">
      <w:pPr>
        <w:spacing w:before="100" w:beforeAutospacing="1" w:after="100" w:afterAutospacing="1" w:line="240" w:lineRule="auto"/>
        <w:ind w:right="2007"/>
        <w:rPr>
          <w:rFonts w:ascii="Arial" w:eastAsia="Times New Roman" w:hAnsi="Arial" w:cs="Arial"/>
          <w:color w:val="000000"/>
          <w:sz w:val="20"/>
          <w:szCs w:val="20"/>
          <w:lang w:eastAsia="pt-BR"/>
        </w:rPr>
      </w:pPr>
      <w:r w:rsidRPr="0037089D">
        <w:rPr>
          <w:rFonts w:ascii="Arial" w:eastAsia="Times New Roman" w:hAnsi="Arial" w:cs="Arial"/>
          <w:color w:val="000000"/>
          <w:sz w:val="20"/>
          <w:szCs w:val="20"/>
          <w:lang w:eastAsia="pt-BR"/>
        </w:rPr>
        <w:t>c) dos investimentos;</w:t>
      </w:r>
    </w:p>
    <w:p w:rsidR="0037089D" w:rsidRPr="0037089D" w:rsidRDefault="0037089D" w:rsidP="0037089D">
      <w:pPr>
        <w:spacing w:before="100" w:beforeAutospacing="1" w:after="100" w:afterAutospacing="1" w:line="240" w:lineRule="auto"/>
        <w:ind w:right="2007"/>
        <w:rPr>
          <w:rFonts w:ascii="Arial" w:eastAsia="Times New Roman" w:hAnsi="Arial" w:cs="Arial"/>
          <w:color w:val="000000"/>
          <w:sz w:val="20"/>
          <w:szCs w:val="20"/>
          <w:lang w:eastAsia="pt-BR"/>
        </w:rPr>
      </w:pPr>
      <w:r w:rsidRPr="0037089D">
        <w:rPr>
          <w:rFonts w:ascii="Arial" w:eastAsia="Times New Roman" w:hAnsi="Arial" w:cs="Arial"/>
          <w:color w:val="000000"/>
          <w:sz w:val="20"/>
          <w:szCs w:val="20"/>
          <w:lang w:eastAsia="pt-BR"/>
        </w:rPr>
        <w:t>II – demonstração do valor adicionado – o valor da riqueza gerada pela companhia, a sua distribuição entre os elementos que contribuíram para a geração dessa riqueza, tais como empregados, financiadores, acionistas, governo e outros, bem como a parcela da riqueza não distribuída.</w:t>
      </w:r>
    </w:p>
    <w:p w:rsidR="0037089D" w:rsidRPr="0037089D" w:rsidRDefault="0037089D" w:rsidP="0037089D">
      <w:pPr>
        <w:spacing w:before="100" w:beforeAutospacing="1" w:after="100" w:afterAutospacing="1" w:line="240" w:lineRule="auto"/>
        <w:ind w:right="2007"/>
        <w:rPr>
          <w:rFonts w:ascii="Arial" w:eastAsia="Times New Roman" w:hAnsi="Arial" w:cs="Arial"/>
          <w:color w:val="000000"/>
          <w:sz w:val="20"/>
          <w:szCs w:val="20"/>
          <w:lang w:eastAsia="pt-BR"/>
        </w:rPr>
      </w:pPr>
      <w:r w:rsidRPr="0037089D">
        <w:rPr>
          <w:rFonts w:ascii="Arial" w:eastAsia="Times New Roman" w:hAnsi="Arial" w:cs="Arial"/>
          <w:color w:val="000000"/>
          <w:sz w:val="20"/>
          <w:szCs w:val="20"/>
          <w:lang w:eastAsia="pt-BR"/>
        </w:rPr>
        <w:t>....................................................................... ”(NR)</w:t>
      </w:r>
    </w:p>
    <w:p w:rsidR="0037089D" w:rsidRPr="0037089D" w:rsidRDefault="0037089D" w:rsidP="0037089D">
      <w:pPr>
        <w:spacing w:before="100" w:beforeAutospacing="1" w:after="100" w:afterAutospacing="1" w:line="240" w:lineRule="auto"/>
        <w:ind w:right="2007"/>
        <w:rPr>
          <w:rFonts w:ascii="Arial" w:eastAsia="Times New Roman" w:hAnsi="Arial" w:cs="Arial"/>
          <w:color w:val="000000"/>
          <w:sz w:val="20"/>
          <w:szCs w:val="20"/>
          <w:lang w:eastAsia="pt-BR"/>
        </w:rPr>
      </w:pPr>
      <w:r w:rsidRPr="0037089D">
        <w:rPr>
          <w:rFonts w:ascii="Arial" w:eastAsia="Times New Roman" w:hAnsi="Arial" w:cs="Arial"/>
          <w:color w:val="000000"/>
          <w:sz w:val="20"/>
          <w:szCs w:val="20"/>
          <w:lang w:eastAsia="pt-BR"/>
        </w:rPr>
        <w:t>“Reserva de Lucros a Realizar</w:t>
      </w:r>
    </w:p>
    <w:p w:rsidR="0037089D" w:rsidRPr="0037089D" w:rsidRDefault="0037089D" w:rsidP="0037089D">
      <w:pPr>
        <w:spacing w:before="100" w:beforeAutospacing="1" w:after="100" w:afterAutospacing="1" w:line="240" w:lineRule="auto"/>
        <w:ind w:right="2007"/>
        <w:rPr>
          <w:rFonts w:ascii="Arial" w:eastAsia="Times New Roman" w:hAnsi="Arial" w:cs="Arial"/>
          <w:color w:val="000000"/>
          <w:sz w:val="20"/>
          <w:szCs w:val="20"/>
          <w:lang w:eastAsia="pt-BR"/>
        </w:rPr>
      </w:pPr>
      <w:r w:rsidRPr="0037089D">
        <w:rPr>
          <w:rFonts w:ascii="Arial" w:eastAsia="Times New Roman" w:hAnsi="Arial" w:cs="Arial"/>
          <w:color w:val="000000"/>
          <w:sz w:val="20"/>
          <w:szCs w:val="20"/>
          <w:lang w:eastAsia="pt-BR"/>
        </w:rPr>
        <w:t>Art. 197............................................................</w:t>
      </w:r>
    </w:p>
    <w:p w:rsidR="0037089D" w:rsidRPr="0037089D" w:rsidRDefault="0037089D" w:rsidP="0037089D">
      <w:pPr>
        <w:spacing w:before="100" w:beforeAutospacing="1" w:after="100" w:afterAutospacing="1" w:line="240" w:lineRule="auto"/>
        <w:ind w:right="2007"/>
        <w:rPr>
          <w:rFonts w:ascii="Arial" w:eastAsia="Times New Roman" w:hAnsi="Arial" w:cs="Arial"/>
          <w:color w:val="000000"/>
          <w:sz w:val="20"/>
          <w:szCs w:val="20"/>
          <w:lang w:eastAsia="pt-BR"/>
        </w:rPr>
      </w:pPr>
      <w:r w:rsidRPr="0037089D">
        <w:rPr>
          <w:rFonts w:ascii="Arial" w:eastAsia="Times New Roman" w:hAnsi="Arial" w:cs="Arial"/>
          <w:color w:val="000000"/>
          <w:sz w:val="20"/>
          <w:szCs w:val="20"/>
          <w:lang w:eastAsia="pt-BR"/>
        </w:rPr>
        <w:t>§ 1</w:t>
      </w:r>
      <w:r w:rsidRPr="0037089D">
        <w:rPr>
          <w:rFonts w:ascii="Arial" w:eastAsia="Times New Roman" w:hAnsi="Arial" w:cs="Arial"/>
          <w:color w:val="000000"/>
          <w:sz w:val="20"/>
          <w:szCs w:val="20"/>
          <w:u w:val="single"/>
          <w:vertAlign w:val="superscript"/>
          <w:lang w:eastAsia="pt-BR"/>
        </w:rPr>
        <w:t>o</w:t>
      </w:r>
      <w:r w:rsidRPr="0037089D">
        <w:rPr>
          <w:rFonts w:ascii="Arial" w:eastAsia="Times New Roman" w:hAnsi="Arial" w:cs="Arial"/>
          <w:color w:val="000000"/>
          <w:sz w:val="20"/>
          <w:szCs w:val="20"/>
          <w:lang w:eastAsia="pt-BR"/>
        </w:rPr>
        <w:t> ................................................................</w:t>
      </w:r>
    </w:p>
    <w:p w:rsidR="0037089D" w:rsidRPr="0037089D" w:rsidRDefault="0037089D" w:rsidP="0037089D">
      <w:pPr>
        <w:spacing w:before="100" w:beforeAutospacing="1" w:after="100" w:afterAutospacing="1" w:line="240" w:lineRule="auto"/>
        <w:ind w:right="2007"/>
        <w:rPr>
          <w:rFonts w:ascii="Arial" w:eastAsia="Times New Roman" w:hAnsi="Arial" w:cs="Arial"/>
          <w:color w:val="000000"/>
          <w:sz w:val="20"/>
          <w:szCs w:val="20"/>
          <w:lang w:eastAsia="pt-BR"/>
        </w:rPr>
      </w:pPr>
      <w:r w:rsidRPr="0037089D">
        <w:rPr>
          <w:rFonts w:ascii="Arial" w:eastAsia="Times New Roman" w:hAnsi="Arial" w:cs="Arial"/>
          <w:color w:val="000000"/>
          <w:sz w:val="20"/>
          <w:szCs w:val="20"/>
          <w:lang w:eastAsia="pt-BR"/>
        </w:rPr>
        <w:t>.......................................................................</w:t>
      </w:r>
    </w:p>
    <w:p w:rsidR="0037089D" w:rsidRPr="0037089D" w:rsidRDefault="0037089D" w:rsidP="0037089D">
      <w:pPr>
        <w:spacing w:before="100" w:beforeAutospacing="1" w:after="100" w:afterAutospacing="1" w:line="240" w:lineRule="auto"/>
        <w:ind w:right="2007"/>
        <w:rPr>
          <w:rFonts w:ascii="Arial" w:eastAsia="Times New Roman" w:hAnsi="Arial" w:cs="Arial"/>
          <w:color w:val="000000"/>
          <w:sz w:val="20"/>
          <w:szCs w:val="20"/>
          <w:lang w:eastAsia="pt-BR"/>
        </w:rPr>
      </w:pPr>
      <w:hyperlink r:id="rId28" w:anchor="art197%C2%A71ii." w:history="1">
        <w:r w:rsidRPr="0037089D">
          <w:rPr>
            <w:rFonts w:ascii="Arial" w:eastAsia="Times New Roman" w:hAnsi="Arial" w:cs="Arial"/>
            <w:color w:val="0000FF"/>
            <w:sz w:val="20"/>
            <w:szCs w:val="20"/>
            <w:u w:val="single"/>
            <w:lang w:eastAsia="pt-BR"/>
          </w:rPr>
          <w:t>II –</w:t>
        </w:r>
      </w:hyperlink>
      <w:r w:rsidRPr="0037089D">
        <w:rPr>
          <w:rFonts w:ascii="Arial" w:eastAsia="Times New Roman" w:hAnsi="Arial" w:cs="Arial"/>
          <w:color w:val="000000"/>
          <w:sz w:val="20"/>
          <w:szCs w:val="20"/>
          <w:lang w:eastAsia="pt-BR"/>
        </w:rPr>
        <w:t> o lucro, rendimento ou ganho líquidos em operações ou contabilização de ativo e passivo pelo valor de mercado, cujo prazo de realização financeira ocorra após o término do exercício social seguinte.</w:t>
      </w:r>
    </w:p>
    <w:p w:rsidR="0037089D" w:rsidRPr="0037089D" w:rsidRDefault="0037089D" w:rsidP="0037089D">
      <w:pPr>
        <w:spacing w:before="100" w:beforeAutospacing="1" w:after="100" w:afterAutospacing="1" w:line="240" w:lineRule="auto"/>
        <w:ind w:right="2007"/>
        <w:rPr>
          <w:rFonts w:ascii="Arial" w:eastAsia="Times New Roman" w:hAnsi="Arial" w:cs="Arial"/>
          <w:color w:val="000000"/>
          <w:sz w:val="20"/>
          <w:szCs w:val="20"/>
          <w:lang w:eastAsia="pt-BR"/>
        </w:rPr>
      </w:pPr>
      <w:r w:rsidRPr="0037089D">
        <w:rPr>
          <w:rFonts w:ascii="Arial" w:eastAsia="Times New Roman" w:hAnsi="Arial" w:cs="Arial"/>
          <w:color w:val="000000"/>
          <w:sz w:val="20"/>
          <w:szCs w:val="20"/>
          <w:lang w:eastAsia="pt-BR"/>
        </w:rPr>
        <w:t>.......................................................................” (NR)</w:t>
      </w:r>
    </w:p>
    <w:p w:rsidR="0037089D" w:rsidRPr="0037089D" w:rsidRDefault="0037089D" w:rsidP="0037089D">
      <w:pPr>
        <w:spacing w:before="100" w:beforeAutospacing="1" w:after="100" w:afterAutospacing="1" w:line="240" w:lineRule="auto"/>
        <w:ind w:right="567"/>
        <w:jc w:val="center"/>
        <w:rPr>
          <w:rFonts w:ascii="Arial" w:eastAsia="Times New Roman" w:hAnsi="Arial" w:cs="Arial"/>
          <w:color w:val="000000"/>
          <w:sz w:val="20"/>
          <w:szCs w:val="20"/>
          <w:lang w:eastAsia="pt-BR"/>
        </w:rPr>
      </w:pPr>
      <w:r w:rsidRPr="0037089D">
        <w:rPr>
          <w:rFonts w:ascii="Arial" w:eastAsia="Times New Roman" w:hAnsi="Arial" w:cs="Arial"/>
          <w:color w:val="000000"/>
          <w:sz w:val="20"/>
          <w:szCs w:val="20"/>
          <w:lang w:eastAsia="pt-BR"/>
        </w:rPr>
        <w:t>“Limite do Saldo das Reservas de Lucro</w:t>
      </w:r>
    </w:p>
    <w:p w:rsidR="0037089D" w:rsidRPr="0037089D" w:rsidRDefault="0037089D" w:rsidP="0037089D">
      <w:pPr>
        <w:spacing w:beforeAutospacing="1" w:after="100" w:afterAutospacing="1" w:line="240" w:lineRule="auto"/>
        <w:ind w:right="2007"/>
        <w:rPr>
          <w:rFonts w:ascii="Arial" w:eastAsia="Times New Roman" w:hAnsi="Arial" w:cs="Arial"/>
          <w:color w:val="000000"/>
          <w:sz w:val="20"/>
          <w:szCs w:val="20"/>
          <w:lang w:eastAsia="pt-BR"/>
        </w:rPr>
      </w:pPr>
      <w:hyperlink r:id="rId29" w:anchor="art199" w:history="1">
        <w:r w:rsidRPr="0037089D">
          <w:rPr>
            <w:rFonts w:ascii="Arial" w:eastAsia="Times New Roman" w:hAnsi="Arial" w:cs="Arial"/>
            <w:color w:val="0000FF"/>
            <w:sz w:val="20"/>
            <w:szCs w:val="20"/>
            <w:u w:val="single"/>
            <w:lang w:eastAsia="pt-BR"/>
          </w:rPr>
          <w:t>Art. 199</w:t>
        </w:r>
      </w:hyperlink>
      <w:r w:rsidRPr="0037089D">
        <w:rPr>
          <w:rFonts w:ascii="Arial" w:eastAsia="Times New Roman" w:hAnsi="Arial" w:cs="Arial"/>
          <w:color w:val="000000"/>
          <w:sz w:val="20"/>
          <w:szCs w:val="20"/>
          <w:lang w:eastAsia="pt-BR"/>
        </w:rPr>
        <w:t>.  O saldo das reservas de lucros, exceto as para contingências, de incentivos fiscais e de lucros a realizar, não poderá ultrapassar o capital social. Atingindo esse limite, a assembléia deliberará sobre aplicação do excesso na integralização ou no aumento do  capital  social ou na distribuição de dividendos.” (NR)</w:t>
      </w:r>
    </w:p>
    <w:p w:rsidR="0037089D" w:rsidRPr="0037089D" w:rsidRDefault="0037089D" w:rsidP="0037089D">
      <w:pPr>
        <w:spacing w:before="100" w:beforeAutospacing="1" w:after="100" w:afterAutospacing="1" w:line="240" w:lineRule="auto"/>
        <w:ind w:right="567"/>
        <w:jc w:val="center"/>
        <w:rPr>
          <w:rFonts w:ascii="Arial" w:eastAsia="Times New Roman" w:hAnsi="Arial" w:cs="Arial"/>
          <w:color w:val="000000"/>
          <w:sz w:val="20"/>
          <w:szCs w:val="20"/>
          <w:lang w:eastAsia="pt-BR"/>
        </w:rPr>
      </w:pPr>
      <w:r w:rsidRPr="0037089D">
        <w:rPr>
          <w:rFonts w:ascii="Arial" w:eastAsia="Times New Roman" w:hAnsi="Arial" w:cs="Arial"/>
          <w:color w:val="000000"/>
          <w:sz w:val="20"/>
          <w:szCs w:val="20"/>
          <w:lang w:eastAsia="pt-BR"/>
        </w:rPr>
        <w:t>“Transformação, Incorporação, Fusão e Cisão</w:t>
      </w:r>
    </w:p>
    <w:p w:rsidR="0037089D" w:rsidRPr="0037089D" w:rsidRDefault="0037089D" w:rsidP="0037089D">
      <w:pPr>
        <w:spacing w:beforeAutospacing="1" w:after="100" w:afterAutospacing="1" w:line="240" w:lineRule="auto"/>
        <w:ind w:right="2007"/>
        <w:rPr>
          <w:rFonts w:ascii="Arial" w:eastAsia="Times New Roman" w:hAnsi="Arial" w:cs="Arial"/>
          <w:color w:val="000000"/>
          <w:sz w:val="20"/>
          <w:szCs w:val="20"/>
          <w:lang w:eastAsia="pt-BR"/>
        </w:rPr>
      </w:pPr>
      <w:r w:rsidRPr="0037089D">
        <w:rPr>
          <w:rFonts w:ascii="Arial" w:eastAsia="Times New Roman" w:hAnsi="Arial" w:cs="Arial"/>
          <w:color w:val="000000"/>
          <w:sz w:val="20"/>
          <w:szCs w:val="20"/>
          <w:lang w:eastAsia="pt-BR"/>
        </w:rPr>
        <w:t>Art. 226............................................................</w:t>
      </w:r>
    </w:p>
    <w:p w:rsidR="0037089D" w:rsidRPr="0037089D" w:rsidRDefault="0037089D" w:rsidP="0037089D">
      <w:pPr>
        <w:spacing w:before="100" w:beforeAutospacing="1" w:after="100" w:afterAutospacing="1" w:line="240" w:lineRule="auto"/>
        <w:ind w:right="2007"/>
        <w:rPr>
          <w:rFonts w:ascii="Arial" w:eastAsia="Times New Roman" w:hAnsi="Arial" w:cs="Arial"/>
          <w:color w:val="000000"/>
          <w:sz w:val="20"/>
          <w:szCs w:val="20"/>
          <w:lang w:eastAsia="pt-BR"/>
        </w:rPr>
      </w:pPr>
      <w:r w:rsidRPr="0037089D">
        <w:rPr>
          <w:rFonts w:ascii="Arial" w:eastAsia="Times New Roman" w:hAnsi="Arial" w:cs="Arial"/>
          <w:color w:val="000000"/>
          <w:sz w:val="20"/>
          <w:szCs w:val="20"/>
          <w:lang w:eastAsia="pt-BR"/>
        </w:rPr>
        <w:t>.......................................................................</w:t>
      </w:r>
    </w:p>
    <w:p w:rsidR="0037089D" w:rsidRPr="0037089D" w:rsidRDefault="0037089D" w:rsidP="0037089D">
      <w:pPr>
        <w:spacing w:before="100" w:beforeAutospacing="1" w:after="100" w:afterAutospacing="1" w:line="240" w:lineRule="auto"/>
        <w:ind w:right="2007"/>
        <w:rPr>
          <w:rFonts w:ascii="Arial" w:eastAsia="Times New Roman" w:hAnsi="Arial" w:cs="Arial"/>
          <w:color w:val="000000"/>
          <w:sz w:val="20"/>
          <w:szCs w:val="20"/>
          <w:lang w:eastAsia="pt-BR"/>
        </w:rPr>
      </w:pPr>
      <w:hyperlink r:id="rId30" w:anchor="art226%C2%A73" w:history="1">
        <w:r w:rsidRPr="0037089D">
          <w:rPr>
            <w:rFonts w:ascii="Arial" w:eastAsia="Times New Roman" w:hAnsi="Arial" w:cs="Arial"/>
            <w:color w:val="0000FF"/>
            <w:sz w:val="20"/>
            <w:szCs w:val="20"/>
            <w:u w:val="single"/>
            <w:lang w:eastAsia="pt-BR"/>
          </w:rPr>
          <w:t>§ 3º</w:t>
        </w:r>
      </w:hyperlink>
      <w:r w:rsidRPr="0037089D">
        <w:rPr>
          <w:rFonts w:ascii="Arial" w:eastAsia="Times New Roman" w:hAnsi="Arial" w:cs="Arial"/>
          <w:color w:val="000000"/>
          <w:sz w:val="20"/>
          <w:szCs w:val="20"/>
          <w:lang w:eastAsia="pt-BR"/>
        </w:rPr>
        <w:t>  Nas operações referidas no caput deste artigo, realizadas entre partes independentes e vinculadas à efetiva transferência de controle, os ativos e passivos da sociedade a ser incorporada ou decorrente de fusão ou cisão serão contabilizados pelo seu valor de mercado.” (NR)</w:t>
      </w:r>
    </w:p>
    <w:p w:rsidR="0037089D" w:rsidRPr="0037089D" w:rsidRDefault="0037089D" w:rsidP="0037089D">
      <w:pPr>
        <w:spacing w:before="100" w:beforeAutospacing="1" w:after="100" w:afterAutospacing="1" w:line="240" w:lineRule="auto"/>
        <w:ind w:right="567"/>
        <w:jc w:val="center"/>
        <w:rPr>
          <w:rFonts w:ascii="Arial" w:eastAsia="Times New Roman" w:hAnsi="Arial" w:cs="Arial"/>
          <w:color w:val="000000"/>
          <w:sz w:val="20"/>
          <w:szCs w:val="20"/>
          <w:lang w:eastAsia="pt-BR"/>
        </w:rPr>
      </w:pPr>
      <w:r w:rsidRPr="0037089D">
        <w:rPr>
          <w:rFonts w:ascii="Arial" w:eastAsia="Times New Roman" w:hAnsi="Arial" w:cs="Arial"/>
          <w:color w:val="000000"/>
          <w:sz w:val="20"/>
          <w:szCs w:val="20"/>
          <w:lang w:eastAsia="pt-BR"/>
        </w:rPr>
        <w:t>“Avaliação do Investimento em Coligadas e Controladas</w:t>
      </w:r>
    </w:p>
    <w:p w:rsidR="0037089D" w:rsidRPr="0037089D" w:rsidRDefault="0037089D" w:rsidP="0037089D">
      <w:pPr>
        <w:spacing w:beforeAutospacing="1" w:after="100" w:afterAutospacing="1" w:line="240" w:lineRule="auto"/>
        <w:ind w:right="2007"/>
        <w:rPr>
          <w:rFonts w:ascii="Arial" w:eastAsia="Times New Roman" w:hAnsi="Arial" w:cs="Arial"/>
          <w:color w:val="000000"/>
          <w:sz w:val="20"/>
          <w:szCs w:val="20"/>
          <w:lang w:eastAsia="pt-BR"/>
        </w:rPr>
      </w:pPr>
      <w:hyperlink r:id="rId31" w:anchor="art248." w:history="1">
        <w:r w:rsidRPr="0037089D">
          <w:rPr>
            <w:rFonts w:ascii="Arial" w:eastAsia="Times New Roman" w:hAnsi="Arial" w:cs="Arial"/>
            <w:color w:val="0000FF"/>
            <w:sz w:val="20"/>
            <w:szCs w:val="20"/>
            <w:u w:val="single"/>
            <w:lang w:eastAsia="pt-BR"/>
          </w:rPr>
          <w:t>Art. 248.</w:t>
        </w:r>
      </w:hyperlink>
      <w:r w:rsidRPr="0037089D">
        <w:rPr>
          <w:rFonts w:ascii="Arial" w:eastAsia="Times New Roman" w:hAnsi="Arial" w:cs="Arial"/>
          <w:color w:val="000000"/>
          <w:sz w:val="20"/>
          <w:szCs w:val="20"/>
          <w:lang w:eastAsia="pt-BR"/>
        </w:rPr>
        <w:t>  No balanço patrimonial da companhia, os investimentos em coligadas sobre cuja administração tenha influência significativa, ou de que participe com 20% (vinte por cento) ou mais do capital votante, em controladas e em outras sociedades que façam parte de um mesmo grupo ou estejam sob controle comum serão avaliados pelo método da equivalência patrimonial, de acordo com as seguintes normas:</w:t>
      </w:r>
    </w:p>
    <w:p w:rsidR="0037089D" w:rsidRPr="0037089D" w:rsidRDefault="0037089D" w:rsidP="0037089D">
      <w:pPr>
        <w:spacing w:before="100" w:beforeAutospacing="1" w:after="100" w:afterAutospacing="1" w:line="240" w:lineRule="auto"/>
        <w:ind w:right="2007"/>
        <w:rPr>
          <w:rFonts w:ascii="Arial" w:eastAsia="Times New Roman" w:hAnsi="Arial" w:cs="Arial"/>
          <w:color w:val="000000"/>
          <w:sz w:val="20"/>
          <w:szCs w:val="20"/>
          <w:lang w:eastAsia="pt-BR"/>
        </w:rPr>
      </w:pPr>
      <w:r w:rsidRPr="0037089D">
        <w:rPr>
          <w:rFonts w:ascii="Arial" w:eastAsia="Times New Roman" w:hAnsi="Arial" w:cs="Arial"/>
          <w:color w:val="000000"/>
          <w:sz w:val="20"/>
          <w:szCs w:val="20"/>
          <w:lang w:eastAsia="pt-BR"/>
        </w:rPr>
        <w:t>.......................................................................” (NR)</w:t>
      </w:r>
    </w:p>
    <w:p w:rsidR="0037089D" w:rsidRPr="0037089D" w:rsidRDefault="0037089D" w:rsidP="0037089D">
      <w:pPr>
        <w:spacing w:before="100" w:beforeAutospacing="1" w:after="100" w:afterAutospacing="1" w:line="240" w:lineRule="auto"/>
        <w:ind w:firstLine="450"/>
        <w:rPr>
          <w:rFonts w:ascii="Arial" w:eastAsia="Times New Roman" w:hAnsi="Arial" w:cs="Arial"/>
          <w:color w:val="000000"/>
          <w:sz w:val="20"/>
          <w:szCs w:val="20"/>
          <w:lang w:eastAsia="pt-BR"/>
        </w:rPr>
      </w:pPr>
      <w:bookmarkStart w:id="1" w:name="art2"/>
      <w:bookmarkEnd w:id="1"/>
      <w:r w:rsidRPr="0037089D">
        <w:rPr>
          <w:rFonts w:ascii="Arial" w:eastAsia="Times New Roman" w:hAnsi="Arial" w:cs="Arial"/>
          <w:color w:val="000000"/>
          <w:sz w:val="20"/>
          <w:szCs w:val="20"/>
          <w:lang w:eastAsia="pt-BR"/>
        </w:rPr>
        <w:t>Art. 2</w:t>
      </w:r>
      <w:r w:rsidRPr="0037089D">
        <w:rPr>
          <w:rFonts w:ascii="Arial" w:eastAsia="Times New Roman" w:hAnsi="Arial" w:cs="Arial"/>
          <w:color w:val="000000"/>
          <w:sz w:val="20"/>
          <w:szCs w:val="20"/>
          <w:u w:val="single"/>
          <w:vertAlign w:val="superscript"/>
          <w:lang w:eastAsia="pt-BR"/>
        </w:rPr>
        <w:t>o</w:t>
      </w:r>
      <w:r w:rsidRPr="0037089D">
        <w:rPr>
          <w:rFonts w:ascii="Arial" w:eastAsia="Times New Roman" w:hAnsi="Arial" w:cs="Arial"/>
          <w:color w:val="000000"/>
          <w:sz w:val="20"/>
          <w:szCs w:val="20"/>
          <w:lang w:eastAsia="pt-BR"/>
        </w:rPr>
        <w:t>  A Lei n</w:t>
      </w:r>
      <w:r w:rsidRPr="0037089D">
        <w:rPr>
          <w:rFonts w:ascii="Arial" w:eastAsia="Times New Roman" w:hAnsi="Arial" w:cs="Arial"/>
          <w:color w:val="000000"/>
          <w:sz w:val="20"/>
          <w:szCs w:val="20"/>
          <w:u w:val="single"/>
          <w:vertAlign w:val="superscript"/>
          <w:lang w:eastAsia="pt-BR"/>
        </w:rPr>
        <w:t>o</w:t>
      </w:r>
      <w:r w:rsidRPr="0037089D">
        <w:rPr>
          <w:rFonts w:ascii="Arial" w:eastAsia="Times New Roman" w:hAnsi="Arial" w:cs="Arial"/>
          <w:color w:val="000000"/>
          <w:sz w:val="20"/>
          <w:szCs w:val="20"/>
          <w:lang w:eastAsia="pt-BR"/>
        </w:rPr>
        <w:t> 6.404, de 15 de dezembro de 1976, passa a vigorar acrescida do seguinte art. 195-A:</w:t>
      </w:r>
    </w:p>
    <w:p w:rsidR="0037089D" w:rsidRPr="0037089D" w:rsidRDefault="0037089D" w:rsidP="0037089D">
      <w:pPr>
        <w:spacing w:before="100" w:beforeAutospacing="1" w:after="100" w:afterAutospacing="1" w:line="240" w:lineRule="auto"/>
        <w:ind w:right="567"/>
        <w:jc w:val="center"/>
        <w:rPr>
          <w:rFonts w:ascii="Arial" w:eastAsia="Times New Roman" w:hAnsi="Arial" w:cs="Arial"/>
          <w:color w:val="000000"/>
          <w:sz w:val="20"/>
          <w:szCs w:val="20"/>
          <w:lang w:eastAsia="pt-BR"/>
        </w:rPr>
      </w:pPr>
      <w:r w:rsidRPr="0037089D">
        <w:rPr>
          <w:rFonts w:ascii="Arial" w:eastAsia="Times New Roman" w:hAnsi="Arial" w:cs="Arial"/>
          <w:color w:val="000000"/>
          <w:sz w:val="20"/>
          <w:szCs w:val="20"/>
          <w:lang w:eastAsia="pt-BR"/>
        </w:rPr>
        <w:t>“Reserva de Incentivos Fiscais</w:t>
      </w:r>
    </w:p>
    <w:p w:rsidR="0037089D" w:rsidRPr="0037089D" w:rsidRDefault="0037089D" w:rsidP="0037089D">
      <w:pPr>
        <w:spacing w:beforeAutospacing="1" w:after="100" w:afterAutospacing="1" w:line="240" w:lineRule="auto"/>
        <w:ind w:right="2007"/>
        <w:rPr>
          <w:rFonts w:ascii="Arial" w:eastAsia="Times New Roman" w:hAnsi="Arial" w:cs="Arial"/>
          <w:color w:val="000000"/>
          <w:sz w:val="20"/>
          <w:szCs w:val="20"/>
          <w:lang w:eastAsia="pt-BR"/>
        </w:rPr>
      </w:pPr>
      <w:hyperlink r:id="rId32" w:anchor="art195A" w:history="1">
        <w:r w:rsidRPr="0037089D">
          <w:rPr>
            <w:rFonts w:ascii="Arial" w:eastAsia="Times New Roman" w:hAnsi="Arial" w:cs="Arial"/>
            <w:color w:val="0000FF"/>
            <w:sz w:val="20"/>
            <w:szCs w:val="20"/>
            <w:u w:val="single"/>
            <w:lang w:eastAsia="pt-BR"/>
          </w:rPr>
          <w:t>Art. 195-A</w:t>
        </w:r>
      </w:hyperlink>
      <w:r w:rsidRPr="0037089D">
        <w:rPr>
          <w:rFonts w:ascii="Arial" w:eastAsia="Times New Roman" w:hAnsi="Arial" w:cs="Arial"/>
          <w:color w:val="000000"/>
          <w:sz w:val="20"/>
          <w:szCs w:val="20"/>
          <w:lang w:eastAsia="pt-BR"/>
        </w:rPr>
        <w:t>.  A assembléia geral poderá, por proposta dos órgãos de administração, destinar para a reserva de incentivos fiscais a parcela do lucro líquido decorrente de doações ou subvenções governamentais para investimentos, que poderá ser excluída da base de cálculo do dividendo obrigatório (inciso I do caput</w:t>
      </w:r>
      <w:r w:rsidRPr="0037089D">
        <w:rPr>
          <w:rFonts w:ascii="Arial" w:eastAsia="Times New Roman" w:hAnsi="Arial" w:cs="Arial"/>
          <w:i/>
          <w:iCs/>
          <w:color w:val="000000"/>
          <w:sz w:val="20"/>
          <w:szCs w:val="20"/>
          <w:lang w:eastAsia="pt-BR"/>
        </w:rPr>
        <w:t> </w:t>
      </w:r>
      <w:r w:rsidRPr="0037089D">
        <w:rPr>
          <w:rFonts w:ascii="Arial" w:eastAsia="Times New Roman" w:hAnsi="Arial" w:cs="Arial"/>
          <w:color w:val="000000"/>
          <w:sz w:val="20"/>
          <w:szCs w:val="20"/>
          <w:lang w:eastAsia="pt-BR"/>
        </w:rPr>
        <w:t>do art. 202 desta Lei).”</w:t>
      </w:r>
    </w:p>
    <w:p w:rsidR="0037089D" w:rsidRPr="0037089D" w:rsidRDefault="0037089D" w:rsidP="0037089D">
      <w:pPr>
        <w:spacing w:before="100" w:beforeAutospacing="1" w:after="100" w:afterAutospacing="1" w:line="240" w:lineRule="auto"/>
        <w:ind w:right="567"/>
        <w:rPr>
          <w:rFonts w:ascii="Arial" w:eastAsia="Times New Roman" w:hAnsi="Arial" w:cs="Arial"/>
          <w:color w:val="000000"/>
          <w:sz w:val="20"/>
          <w:szCs w:val="20"/>
          <w:lang w:eastAsia="pt-BR"/>
        </w:rPr>
      </w:pPr>
      <w:r w:rsidRPr="0037089D">
        <w:rPr>
          <w:rFonts w:ascii="Arial" w:eastAsia="Times New Roman" w:hAnsi="Arial" w:cs="Arial"/>
          <w:color w:val="000000"/>
          <w:sz w:val="20"/>
          <w:szCs w:val="20"/>
          <w:lang w:eastAsia="pt-BR"/>
        </w:rPr>
        <w:t>Demonstrações Financeiras de Sociedades de Grande Porte</w:t>
      </w:r>
    </w:p>
    <w:p w:rsidR="0037089D" w:rsidRPr="0037089D" w:rsidRDefault="0037089D" w:rsidP="0037089D">
      <w:pPr>
        <w:spacing w:before="100" w:beforeAutospacing="1" w:after="100" w:afterAutospacing="1" w:line="240" w:lineRule="auto"/>
        <w:ind w:firstLine="450"/>
        <w:rPr>
          <w:rFonts w:ascii="Arial" w:eastAsia="Times New Roman" w:hAnsi="Arial" w:cs="Arial"/>
          <w:color w:val="000000"/>
          <w:sz w:val="20"/>
          <w:szCs w:val="20"/>
          <w:lang w:eastAsia="pt-BR"/>
        </w:rPr>
      </w:pPr>
      <w:bookmarkStart w:id="2" w:name="art3"/>
      <w:bookmarkEnd w:id="2"/>
      <w:r w:rsidRPr="0037089D">
        <w:rPr>
          <w:rFonts w:ascii="Arial" w:eastAsia="Times New Roman" w:hAnsi="Arial" w:cs="Arial"/>
          <w:color w:val="000000"/>
          <w:sz w:val="20"/>
          <w:szCs w:val="20"/>
          <w:lang w:eastAsia="pt-BR"/>
        </w:rPr>
        <w:t>Art. 3</w:t>
      </w:r>
      <w:r w:rsidRPr="0037089D">
        <w:rPr>
          <w:rFonts w:ascii="Arial" w:eastAsia="Times New Roman" w:hAnsi="Arial" w:cs="Arial"/>
          <w:color w:val="000000"/>
          <w:sz w:val="20"/>
          <w:szCs w:val="20"/>
          <w:u w:val="single"/>
          <w:vertAlign w:val="superscript"/>
          <w:lang w:eastAsia="pt-BR"/>
        </w:rPr>
        <w:t>o</w:t>
      </w:r>
      <w:r w:rsidRPr="0037089D">
        <w:rPr>
          <w:rFonts w:ascii="Arial" w:eastAsia="Times New Roman" w:hAnsi="Arial" w:cs="Arial"/>
          <w:color w:val="000000"/>
          <w:sz w:val="20"/>
          <w:szCs w:val="20"/>
          <w:lang w:eastAsia="pt-BR"/>
        </w:rPr>
        <w:t>  Aplicam-se às sociedades de grande porte, ainda que não constituídas sob a forma de sociedades por ações, as disposições da </w:t>
      </w:r>
      <w:hyperlink r:id="rId33" w:history="1">
        <w:r w:rsidRPr="0037089D">
          <w:rPr>
            <w:rFonts w:ascii="Arial" w:eastAsia="Times New Roman" w:hAnsi="Arial" w:cs="Arial"/>
            <w:color w:val="0000FF"/>
            <w:sz w:val="20"/>
            <w:szCs w:val="20"/>
            <w:u w:val="single"/>
            <w:lang w:eastAsia="pt-BR"/>
          </w:rPr>
          <w:t>Lei nº 6.404, de 15 de dezembro de 1976</w:t>
        </w:r>
      </w:hyperlink>
      <w:r w:rsidRPr="0037089D">
        <w:rPr>
          <w:rFonts w:ascii="Arial" w:eastAsia="Times New Roman" w:hAnsi="Arial" w:cs="Arial"/>
          <w:color w:val="000000"/>
          <w:sz w:val="20"/>
          <w:szCs w:val="20"/>
          <w:lang w:eastAsia="pt-BR"/>
        </w:rPr>
        <w:t>, sobre escrituração e elaboração de demonstrações financeiras e a obrigatoriedade de auditoria independente por auditor registrado na Comissão de Valores Mobiliários.</w:t>
      </w:r>
    </w:p>
    <w:p w:rsidR="0037089D" w:rsidRPr="0037089D" w:rsidRDefault="0037089D" w:rsidP="0037089D">
      <w:pPr>
        <w:spacing w:before="100" w:beforeAutospacing="1" w:after="100" w:afterAutospacing="1" w:line="240" w:lineRule="auto"/>
        <w:ind w:firstLine="450"/>
        <w:rPr>
          <w:rFonts w:ascii="Arial" w:eastAsia="Times New Roman" w:hAnsi="Arial" w:cs="Arial"/>
          <w:color w:val="000000"/>
          <w:sz w:val="20"/>
          <w:szCs w:val="20"/>
          <w:lang w:eastAsia="pt-BR"/>
        </w:rPr>
      </w:pPr>
      <w:r w:rsidRPr="0037089D">
        <w:rPr>
          <w:rFonts w:ascii="Arial" w:eastAsia="Times New Roman" w:hAnsi="Arial" w:cs="Arial"/>
          <w:color w:val="000000"/>
          <w:sz w:val="20"/>
          <w:szCs w:val="20"/>
          <w:lang w:eastAsia="pt-BR"/>
        </w:rPr>
        <w:t>Parágrafo único.  Considera-se de grande porte, para os fins exclusivos desta Lei, a sociedade ou conjunto de sociedades sob controle comum que tiver, no exercício social anterior, ativo total superior a R$ 240.000.000,00 (duzentos e quarenta milhões de reais) ou receita bruta anual superior a R$ 300.000.000,00 (trezentos milhões de reais).</w:t>
      </w:r>
    </w:p>
    <w:p w:rsidR="0037089D" w:rsidRPr="0037089D" w:rsidRDefault="0037089D" w:rsidP="0037089D">
      <w:pPr>
        <w:spacing w:before="100" w:beforeAutospacing="1" w:after="100" w:afterAutospacing="1" w:line="240" w:lineRule="auto"/>
        <w:ind w:firstLine="450"/>
        <w:rPr>
          <w:rFonts w:ascii="Arial" w:eastAsia="Times New Roman" w:hAnsi="Arial" w:cs="Arial"/>
          <w:color w:val="000000"/>
          <w:sz w:val="20"/>
          <w:szCs w:val="20"/>
          <w:lang w:eastAsia="pt-BR"/>
        </w:rPr>
      </w:pPr>
      <w:bookmarkStart w:id="3" w:name="art4"/>
      <w:bookmarkEnd w:id="3"/>
      <w:r w:rsidRPr="0037089D">
        <w:rPr>
          <w:rFonts w:ascii="Arial" w:eastAsia="Times New Roman" w:hAnsi="Arial" w:cs="Arial"/>
          <w:color w:val="000000"/>
          <w:sz w:val="20"/>
          <w:szCs w:val="20"/>
          <w:lang w:eastAsia="pt-BR"/>
        </w:rPr>
        <w:t>Art. 4</w:t>
      </w:r>
      <w:r w:rsidRPr="0037089D">
        <w:rPr>
          <w:rFonts w:ascii="Arial" w:eastAsia="Times New Roman" w:hAnsi="Arial" w:cs="Arial"/>
          <w:color w:val="000000"/>
          <w:sz w:val="20"/>
          <w:szCs w:val="20"/>
          <w:u w:val="single"/>
          <w:vertAlign w:val="superscript"/>
          <w:lang w:eastAsia="pt-BR"/>
        </w:rPr>
        <w:t>o</w:t>
      </w:r>
      <w:r w:rsidRPr="0037089D">
        <w:rPr>
          <w:rFonts w:ascii="Arial" w:eastAsia="Times New Roman" w:hAnsi="Arial" w:cs="Arial"/>
          <w:color w:val="000000"/>
          <w:sz w:val="20"/>
          <w:szCs w:val="20"/>
          <w:lang w:eastAsia="pt-BR"/>
        </w:rPr>
        <w:t>  As normas de que tratam os </w:t>
      </w:r>
      <w:hyperlink r:id="rId34" w:anchor="art22%C2%A71i" w:history="1">
        <w:r w:rsidRPr="0037089D">
          <w:rPr>
            <w:rFonts w:ascii="Arial" w:eastAsia="Times New Roman" w:hAnsi="Arial" w:cs="Arial"/>
            <w:color w:val="0000FF"/>
            <w:sz w:val="20"/>
            <w:szCs w:val="20"/>
            <w:u w:val="single"/>
            <w:lang w:eastAsia="pt-BR"/>
          </w:rPr>
          <w:t>incisos I, II </w:t>
        </w:r>
      </w:hyperlink>
      <w:r w:rsidRPr="0037089D">
        <w:rPr>
          <w:rFonts w:ascii="Arial" w:eastAsia="Times New Roman" w:hAnsi="Arial" w:cs="Arial"/>
          <w:color w:val="000000"/>
          <w:sz w:val="20"/>
          <w:szCs w:val="20"/>
          <w:lang w:eastAsia="pt-BR"/>
        </w:rPr>
        <w:t>e </w:t>
      </w:r>
      <w:hyperlink r:id="rId35" w:anchor="art22%C2%A71iv" w:history="1">
        <w:r w:rsidRPr="0037089D">
          <w:rPr>
            <w:rFonts w:ascii="Arial" w:eastAsia="Times New Roman" w:hAnsi="Arial" w:cs="Arial"/>
            <w:color w:val="0000FF"/>
            <w:sz w:val="20"/>
            <w:szCs w:val="20"/>
            <w:u w:val="single"/>
            <w:lang w:eastAsia="pt-BR"/>
          </w:rPr>
          <w:t>IV do § 1º do art. 22 da Lei nº 6.385, de 7 de dezembro de 1976</w:t>
        </w:r>
      </w:hyperlink>
      <w:r w:rsidRPr="0037089D">
        <w:rPr>
          <w:rFonts w:ascii="Arial" w:eastAsia="Times New Roman" w:hAnsi="Arial" w:cs="Arial"/>
          <w:color w:val="000000"/>
          <w:sz w:val="20"/>
          <w:szCs w:val="20"/>
          <w:lang w:eastAsia="pt-BR"/>
        </w:rPr>
        <w:t>, poderão ser especificadas por categorias de companhias abertas e demais emissores de valores mobiliários em função do seu porte e das espécies e classes dos valores mobiliários por eles emitidos e negociados no mercado.</w:t>
      </w:r>
    </w:p>
    <w:p w:rsidR="0037089D" w:rsidRPr="0037089D" w:rsidRDefault="0037089D" w:rsidP="0037089D">
      <w:pPr>
        <w:spacing w:before="100" w:beforeAutospacing="1" w:after="100" w:afterAutospacing="1" w:line="240" w:lineRule="auto"/>
        <w:ind w:firstLine="450"/>
        <w:rPr>
          <w:rFonts w:ascii="Arial" w:eastAsia="Times New Roman" w:hAnsi="Arial" w:cs="Arial"/>
          <w:color w:val="000000"/>
          <w:sz w:val="20"/>
          <w:szCs w:val="20"/>
          <w:lang w:eastAsia="pt-BR"/>
        </w:rPr>
      </w:pPr>
      <w:bookmarkStart w:id="4" w:name="art5"/>
      <w:bookmarkEnd w:id="4"/>
      <w:r w:rsidRPr="0037089D">
        <w:rPr>
          <w:rFonts w:ascii="Arial" w:eastAsia="Times New Roman" w:hAnsi="Arial" w:cs="Arial"/>
          <w:color w:val="000000"/>
          <w:sz w:val="20"/>
          <w:szCs w:val="20"/>
          <w:lang w:eastAsia="pt-BR"/>
        </w:rPr>
        <w:t>Art. 5</w:t>
      </w:r>
      <w:r w:rsidRPr="0037089D">
        <w:rPr>
          <w:rFonts w:ascii="Arial" w:eastAsia="Times New Roman" w:hAnsi="Arial" w:cs="Arial"/>
          <w:color w:val="000000"/>
          <w:sz w:val="20"/>
          <w:szCs w:val="20"/>
          <w:u w:val="single"/>
          <w:vertAlign w:val="superscript"/>
          <w:lang w:eastAsia="pt-BR"/>
        </w:rPr>
        <w:t>o</w:t>
      </w:r>
      <w:r w:rsidRPr="0037089D">
        <w:rPr>
          <w:rFonts w:ascii="Arial" w:eastAsia="Times New Roman" w:hAnsi="Arial" w:cs="Arial"/>
          <w:color w:val="000000"/>
          <w:sz w:val="20"/>
          <w:szCs w:val="20"/>
          <w:lang w:eastAsia="pt-BR"/>
        </w:rPr>
        <w:t>  A </w:t>
      </w:r>
      <w:hyperlink r:id="rId36" w:history="1">
        <w:r w:rsidRPr="0037089D">
          <w:rPr>
            <w:rFonts w:ascii="Arial" w:eastAsia="Times New Roman" w:hAnsi="Arial" w:cs="Arial"/>
            <w:color w:val="0000FF"/>
            <w:sz w:val="20"/>
            <w:szCs w:val="20"/>
            <w:u w:val="single"/>
            <w:lang w:eastAsia="pt-BR"/>
          </w:rPr>
          <w:t>Lei no 6.385, de 7 de dezembro de 1976</w:t>
        </w:r>
      </w:hyperlink>
      <w:r w:rsidRPr="0037089D">
        <w:rPr>
          <w:rFonts w:ascii="Arial" w:eastAsia="Times New Roman" w:hAnsi="Arial" w:cs="Arial"/>
          <w:color w:val="000000"/>
          <w:sz w:val="20"/>
          <w:szCs w:val="20"/>
          <w:lang w:eastAsia="pt-BR"/>
        </w:rPr>
        <w:t>, passa a vigorar acrescida do seguinte art. 10-A:</w:t>
      </w:r>
    </w:p>
    <w:p w:rsidR="0037089D" w:rsidRPr="0037089D" w:rsidRDefault="0037089D" w:rsidP="0037089D">
      <w:pPr>
        <w:spacing w:beforeAutospacing="1" w:after="100" w:afterAutospacing="1" w:line="240" w:lineRule="auto"/>
        <w:ind w:firstLine="450"/>
        <w:rPr>
          <w:rFonts w:ascii="Arial" w:eastAsia="Times New Roman" w:hAnsi="Arial" w:cs="Arial"/>
          <w:color w:val="000000"/>
          <w:sz w:val="20"/>
          <w:szCs w:val="20"/>
          <w:lang w:eastAsia="pt-BR"/>
        </w:rPr>
      </w:pPr>
      <w:r w:rsidRPr="0037089D">
        <w:rPr>
          <w:rFonts w:ascii="Arial" w:eastAsia="Times New Roman" w:hAnsi="Arial" w:cs="Arial"/>
          <w:color w:val="000000"/>
          <w:sz w:val="20"/>
          <w:szCs w:val="20"/>
          <w:lang w:eastAsia="pt-BR"/>
        </w:rPr>
        <w:t>“</w:t>
      </w:r>
      <w:hyperlink r:id="rId37" w:anchor="art10A" w:history="1">
        <w:r w:rsidRPr="0037089D">
          <w:rPr>
            <w:rFonts w:ascii="Arial" w:eastAsia="Times New Roman" w:hAnsi="Arial" w:cs="Arial"/>
            <w:color w:val="0000FF"/>
            <w:sz w:val="20"/>
            <w:szCs w:val="20"/>
            <w:u w:val="single"/>
            <w:lang w:eastAsia="pt-BR"/>
          </w:rPr>
          <w:t>Art. 10-A</w:t>
        </w:r>
      </w:hyperlink>
      <w:r w:rsidRPr="0037089D">
        <w:rPr>
          <w:rFonts w:ascii="Arial" w:eastAsia="Times New Roman" w:hAnsi="Arial" w:cs="Arial"/>
          <w:color w:val="000000"/>
          <w:sz w:val="20"/>
          <w:szCs w:val="20"/>
          <w:lang w:eastAsia="pt-BR"/>
        </w:rPr>
        <w:t>.  A Comissão de Valores Mobiliários, o Banco Central do Brasil e demais órgãos e agências reguladoras poderão celebrar convênio com entidade que tenha por objeto o estudo e a divulgação de princípios, normas e padrões de contabilidade e de auditoria, podendo, no exercício de suas atribuições regulamentares, adotar, no todo ou em parte, os pronunciamentos e demais orientações técnicas emitidas.</w:t>
      </w:r>
    </w:p>
    <w:p w:rsidR="0037089D" w:rsidRPr="0037089D" w:rsidRDefault="0037089D" w:rsidP="0037089D">
      <w:pPr>
        <w:spacing w:before="100" w:beforeAutospacing="1" w:after="100" w:afterAutospacing="1" w:line="240" w:lineRule="auto"/>
        <w:ind w:right="2007"/>
        <w:rPr>
          <w:rFonts w:ascii="Arial" w:eastAsia="Times New Roman" w:hAnsi="Arial" w:cs="Arial"/>
          <w:color w:val="000000"/>
          <w:sz w:val="20"/>
          <w:szCs w:val="20"/>
          <w:lang w:eastAsia="pt-BR"/>
        </w:rPr>
      </w:pPr>
      <w:r w:rsidRPr="0037089D">
        <w:rPr>
          <w:rFonts w:ascii="Arial" w:eastAsia="Times New Roman" w:hAnsi="Arial" w:cs="Arial"/>
          <w:color w:val="000000"/>
          <w:sz w:val="20"/>
          <w:szCs w:val="20"/>
          <w:lang w:eastAsia="pt-BR"/>
        </w:rPr>
        <w:t>Parágrafo único.  A entidade referida no caput deste artigo deverá ser majoritariamente composta por contadores, dela fazendo parte, paritariamente, representantes de entidades representativas de sociedades submetidas ao regime de elaboração de demonstrações financeiras previstas nesta Lei, de sociedades que auditam e analisam as demonstrações financeiras, do órgão federal de fiscalização do exercício da profissão contábil e de universidade ou instituto de pesquisa com reconhecida atuação na área contábil e de mercado de capitais.”</w:t>
      </w:r>
    </w:p>
    <w:p w:rsidR="0037089D" w:rsidRPr="0037089D" w:rsidRDefault="0037089D" w:rsidP="0037089D">
      <w:pPr>
        <w:spacing w:before="100" w:beforeAutospacing="1" w:after="100" w:afterAutospacing="1" w:line="240" w:lineRule="auto"/>
        <w:ind w:firstLine="450"/>
        <w:rPr>
          <w:rFonts w:ascii="Arial" w:eastAsia="Times New Roman" w:hAnsi="Arial" w:cs="Arial"/>
          <w:color w:val="000000"/>
          <w:sz w:val="20"/>
          <w:szCs w:val="20"/>
          <w:lang w:eastAsia="pt-BR"/>
        </w:rPr>
      </w:pPr>
      <w:bookmarkStart w:id="5" w:name="art6"/>
      <w:bookmarkEnd w:id="5"/>
      <w:r w:rsidRPr="0037089D">
        <w:rPr>
          <w:rFonts w:ascii="Arial" w:eastAsia="Times New Roman" w:hAnsi="Arial" w:cs="Arial"/>
          <w:color w:val="000000"/>
          <w:sz w:val="20"/>
          <w:szCs w:val="20"/>
          <w:lang w:eastAsia="pt-BR"/>
        </w:rPr>
        <w:t>Art. 6</w:t>
      </w:r>
      <w:r w:rsidRPr="0037089D">
        <w:rPr>
          <w:rFonts w:ascii="Arial" w:eastAsia="Times New Roman" w:hAnsi="Arial" w:cs="Arial"/>
          <w:color w:val="000000"/>
          <w:sz w:val="20"/>
          <w:szCs w:val="20"/>
          <w:u w:val="single"/>
          <w:vertAlign w:val="superscript"/>
          <w:lang w:eastAsia="pt-BR"/>
        </w:rPr>
        <w:t>o</w:t>
      </w:r>
      <w:r w:rsidRPr="0037089D">
        <w:rPr>
          <w:rFonts w:ascii="Arial" w:eastAsia="Times New Roman" w:hAnsi="Arial" w:cs="Arial"/>
          <w:color w:val="000000"/>
          <w:sz w:val="20"/>
          <w:szCs w:val="20"/>
          <w:lang w:eastAsia="pt-BR"/>
        </w:rPr>
        <w:t>  Os saldos existentes nas reservas de reavaliação deverão ser mantidos até a sua efetiva realização ou estornados até o final do exercício social em que esta Lei entrar em vigor.</w:t>
      </w:r>
    </w:p>
    <w:p w:rsidR="0037089D" w:rsidRPr="0037089D" w:rsidRDefault="0037089D" w:rsidP="0037089D">
      <w:pPr>
        <w:spacing w:before="100" w:beforeAutospacing="1" w:after="100" w:afterAutospacing="1" w:line="240" w:lineRule="auto"/>
        <w:ind w:firstLine="450"/>
        <w:rPr>
          <w:rFonts w:ascii="Arial" w:eastAsia="Times New Roman" w:hAnsi="Arial" w:cs="Arial"/>
          <w:color w:val="000000"/>
          <w:sz w:val="20"/>
          <w:szCs w:val="20"/>
          <w:lang w:eastAsia="pt-BR"/>
        </w:rPr>
      </w:pPr>
      <w:bookmarkStart w:id="6" w:name="art7"/>
      <w:bookmarkEnd w:id="6"/>
      <w:r w:rsidRPr="0037089D">
        <w:rPr>
          <w:rFonts w:ascii="Arial" w:eastAsia="Times New Roman" w:hAnsi="Arial" w:cs="Arial"/>
          <w:color w:val="000000"/>
          <w:sz w:val="20"/>
          <w:szCs w:val="20"/>
          <w:lang w:eastAsia="pt-BR"/>
        </w:rPr>
        <w:t>Art. 7</w:t>
      </w:r>
      <w:r w:rsidRPr="0037089D">
        <w:rPr>
          <w:rFonts w:ascii="Arial" w:eastAsia="Times New Roman" w:hAnsi="Arial" w:cs="Arial"/>
          <w:color w:val="000000"/>
          <w:sz w:val="20"/>
          <w:szCs w:val="20"/>
          <w:u w:val="single"/>
          <w:vertAlign w:val="superscript"/>
          <w:lang w:eastAsia="pt-BR"/>
        </w:rPr>
        <w:t>o</w:t>
      </w:r>
      <w:r w:rsidRPr="0037089D">
        <w:rPr>
          <w:rFonts w:ascii="Arial" w:eastAsia="Times New Roman" w:hAnsi="Arial" w:cs="Arial"/>
          <w:color w:val="000000"/>
          <w:sz w:val="20"/>
          <w:szCs w:val="20"/>
          <w:lang w:eastAsia="pt-BR"/>
        </w:rPr>
        <w:t>  As demonstrações referidas nos </w:t>
      </w:r>
      <w:hyperlink r:id="rId38" w:anchor="art176iv" w:history="1">
        <w:r w:rsidRPr="0037089D">
          <w:rPr>
            <w:rFonts w:ascii="Arial" w:eastAsia="Times New Roman" w:hAnsi="Arial" w:cs="Arial"/>
            <w:color w:val="0000FF"/>
            <w:sz w:val="20"/>
            <w:szCs w:val="20"/>
            <w:u w:val="single"/>
            <w:lang w:eastAsia="pt-BR"/>
          </w:rPr>
          <w:t>incisos IV e V do </w:t>
        </w:r>
      </w:hyperlink>
      <w:hyperlink r:id="rId39" w:anchor="art176iv" w:history="1">
        <w:r w:rsidRPr="0037089D">
          <w:rPr>
            <w:rFonts w:ascii="Arial" w:eastAsia="Times New Roman" w:hAnsi="Arial" w:cs="Arial"/>
            <w:color w:val="0000FF"/>
            <w:sz w:val="20"/>
            <w:szCs w:val="20"/>
            <w:u w:val="single"/>
            <w:lang w:eastAsia="pt-BR"/>
          </w:rPr>
          <w:t>caput</w:t>
        </w:r>
        <w:r w:rsidRPr="0037089D">
          <w:rPr>
            <w:rFonts w:ascii="Arial" w:eastAsia="Times New Roman" w:hAnsi="Arial" w:cs="Arial"/>
            <w:i/>
            <w:iCs/>
            <w:color w:val="0000FF"/>
            <w:sz w:val="20"/>
            <w:szCs w:val="20"/>
            <w:u w:val="single"/>
            <w:lang w:eastAsia="pt-BR"/>
          </w:rPr>
          <w:t> </w:t>
        </w:r>
        <w:r w:rsidRPr="0037089D">
          <w:rPr>
            <w:rFonts w:ascii="Arial" w:eastAsia="Times New Roman" w:hAnsi="Arial" w:cs="Arial"/>
            <w:color w:val="0000FF"/>
            <w:sz w:val="20"/>
            <w:szCs w:val="20"/>
            <w:u w:val="single"/>
            <w:lang w:eastAsia="pt-BR"/>
          </w:rPr>
          <w:t>do art. 176 da Lei n</w:t>
        </w:r>
        <w:r w:rsidRPr="0037089D">
          <w:rPr>
            <w:rFonts w:ascii="Arial" w:eastAsia="Times New Roman" w:hAnsi="Arial" w:cs="Arial"/>
            <w:color w:val="0000FF"/>
            <w:sz w:val="20"/>
            <w:szCs w:val="20"/>
            <w:u w:val="single"/>
            <w:vertAlign w:val="superscript"/>
            <w:lang w:eastAsia="pt-BR"/>
          </w:rPr>
          <w:t>o</w:t>
        </w:r>
        <w:r w:rsidRPr="0037089D">
          <w:rPr>
            <w:rFonts w:ascii="Arial" w:eastAsia="Times New Roman" w:hAnsi="Arial" w:cs="Arial"/>
            <w:color w:val="0000FF"/>
            <w:sz w:val="20"/>
            <w:szCs w:val="20"/>
            <w:u w:val="single"/>
            <w:lang w:eastAsia="pt-BR"/>
          </w:rPr>
          <w:t> 6.404, de 15 de dezembro de 1976</w:t>
        </w:r>
      </w:hyperlink>
      <w:r w:rsidRPr="0037089D">
        <w:rPr>
          <w:rFonts w:ascii="Arial" w:eastAsia="Times New Roman" w:hAnsi="Arial" w:cs="Arial"/>
          <w:color w:val="000000"/>
          <w:sz w:val="20"/>
          <w:szCs w:val="20"/>
          <w:lang w:eastAsia="pt-BR"/>
        </w:rPr>
        <w:t>, poderão ser divulgadas, no primeiro ano de vigência desta Lei, sem a indicação dos valores correspondentes ao exercício anterior.</w:t>
      </w:r>
    </w:p>
    <w:p w:rsidR="0037089D" w:rsidRPr="0037089D" w:rsidRDefault="0037089D" w:rsidP="0037089D">
      <w:pPr>
        <w:spacing w:before="100" w:beforeAutospacing="1" w:after="100" w:afterAutospacing="1" w:line="240" w:lineRule="auto"/>
        <w:ind w:firstLine="450"/>
        <w:rPr>
          <w:rFonts w:ascii="Arial" w:eastAsia="Times New Roman" w:hAnsi="Arial" w:cs="Arial"/>
          <w:color w:val="000000"/>
          <w:sz w:val="20"/>
          <w:szCs w:val="20"/>
          <w:lang w:eastAsia="pt-BR"/>
        </w:rPr>
      </w:pPr>
      <w:bookmarkStart w:id="7" w:name="art8"/>
      <w:bookmarkEnd w:id="7"/>
      <w:r w:rsidRPr="0037089D">
        <w:rPr>
          <w:rFonts w:ascii="Arial" w:eastAsia="Times New Roman" w:hAnsi="Arial" w:cs="Arial"/>
          <w:color w:val="000000"/>
          <w:sz w:val="20"/>
          <w:szCs w:val="20"/>
          <w:lang w:eastAsia="pt-BR"/>
        </w:rPr>
        <w:t>Art. 8</w:t>
      </w:r>
      <w:r w:rsidRPr="0037089D">
        <w:rPr>
          <w:rFonts w:ascii="Arial" w:eastAsia="Times New Roman" w:hAnsi="Arial" w:cs="Arial"/>
          <w:color w:val="000000"/>
          <w:sz w:val="20"/>
          <w:szCs w:val="20"/>
          <w:u w:val="single"/>
          <w:vertAlign w:val="superscript"/>
          <w:lang w:eastAsia="pt-BR"/>
        </w:rPr>
        <w:t>o</w:t>
      </w:r>
      <w:r w:rsidRPr="0037089D">
        <w:rPr>
          <w:rFonts w:ascii="Arial" w:eastAsia="Times New Roman" w:hAnsi="Arial" w:cs="Arial"/>
          <w:color w:val="000000"/>
          <w:sz w:val="20"/>
          <w:szCs w:val="20"/>
          <w:lang w:eastAsia="pt-BR"/>
        </w:rPr>
        <w:t>  Os textos consolidados das </w:t>
      </w:r>
      <w:hyperlink r:id="rId40" w:history="1">
        <w:r w:rsidRPr="0037089D">
          <w:rPr>
            <w:rFonts w:ascii="Arial" w:eastAsia="Times New Roman" w:hAnsi="Arial" w:cs="Arial"/>
            <w:color w:val="0000FF"/>
            <w:sz w:val="20"/>
            <w:szCs w:val="20"/>
            <w:u w:val="single"/>
            <w:lang w:eastAsia="pt-BR"/>
          </w:rPr>
          <w:t>Leis nºs 6.404, de 15 de dezembro de 1976</w:t>
        </w:r>
      </w:hyperlink>
      <w:r w:rsidRPr="0037089D">
        <w:rPr>
          <w:rFonts w:ascii="Arial" w:eastAsia="Times New Roman" w:hAnsi="Arial" w:cs="Arial"/>
          <w:color w:val="000000"/>
          <w:sz w:val="20"/>
          <w:szCs w:val="20"/>
          <w:lang w:eastAsia="pt-BR"/>
        </w:rPr>
        <w:t>, e </w:t>
      </w:r>
      <w:hyperlink r:id="rId41" w:history="1">
        <w:r w:rsidRPr="0037089D">
          <w:rPr>
            <w:rFonts w:ascii="Arial" w:eastAsia="Times New Roman" w:hAnsi="Arial" w:cs="Arial"/>
            <w:color w:val="0000FF"/>
            <w:sz w:val="20"/>
            <w:szCs w:val="20"/>
            <w:u w:val="single"/>
            <w:lang w:eastAsia="pt-BR"/>
          </w:rPr>
          <w:t>6.385, de 7 de dezembro de 1976</w:t>
        </w:r>
      </w:hyperlink>
      <w:r w:rsidRPr="0037089D">
        <w:rPr>
          <w:rFonts w:ascii="Arial" w:eastAsia="Times New Roman" w:hAnsi="Arial" w:cs="Arial"/>
          <w:color w:val="000000"/>
          <w:sz w:val="20"/>
          <w:szCs w:val="20"/>
          <w:lang w:eastAsia="pt-BR"/>
        </w:rPr>
        <w:t>, com todas as alterações nelas introduzidas pela legislação posterior, inclusive esta Lei, serão publicados no Diário Oficial da União pelo Poder Executivo.</w:t>
      </w:r>
    </w:p>
    <w:p w:rsidR="0037089D" w:rsidRPr="0037089D" w:rsidRDefault="0037089D" w:rsidP="0037089D">
      <w:pPr>
        <w:spacing w:before="100" w:beforeAutospacing="1" w:after="100" w:afterAutospacing="1" w:line="240" w:lineRule="auto"/>
        <w:ind w:firstLine="450"/>
        <w:rPr>
          <w:rFonts w:ascii="Arial" w:eastAsia="Times New Roman" w:hAnsi="Arial" w:cs="Arial"/>
          <w:color w:val="000000"/>
          <w:sz w:val="20"/>
          <w:szCs w:val="20"/>
          <w:lang w:eastAsia="pt-BR"/>
        </w:rPr>
      </w:pPr>
      <w:bookmarkStart w:id="8" w:name="art9"/>
      <w:bookmarkEnd w:id="8"/>
      <w:r w:rsidRPr="0037089D">
        <w:rPr>
          <w:rFonts w:ascii="Arial" w:eastAsia="Times New Roman" w:hAnsi="Arial" w:cs="Arial"/>
          <w:color w:val="000000"/>
          <w:sz w:val="20"/>
          <w:szCs w:val="20"/>
          <w:lang w:eastAsia="pt-BR"/>
        </w:rPr>
        <w:t>Art. 9</w:t>
      </w:r>
      <w:r w:rsidRPr="0037089D">
        <w:rPr>
          <w:rFonts w:ascii="Arial" w:eastAsia="Times New Roman" w:hAnsi="Arial" w:cs="Arial"/>
          <w:color w:val="000000"/>
          <w:sz w:val="20"/>
          <w:szCs w:val="20"/>
          <w:u w:val="single"/>
          <w:vertAlign w:val="superscript"/>
          <w:lang w:eastAsia="pt-BR"/>
        </w:rPr>
        <w:t>o</w:t>
      </w:r>
      <w:r w:rsidRPr="0037089D">
        <w:rPr>
          <w:rFonts w:ascii="Arial" w:eastAsia="Times New Roman" w:hAnsi="Arial" w:cs="Arial"/>
          <w:color w:val="000000"/>
          <w:sz w:val="20"/>
          <w:szCs w:val="20"/>
          <w:lang w:eastAsia="pt-BR"/>
        </w:rPr>
        <w:t>  Esta Lei entra em vigor no primeiro dia do exercício seguinte ao de sua publicação.</w:t>
      </w:r>
    </w:p>
    <w:p w:rsidR="0037089D" w:rsidRPr="0037089D" w:rsidRDefault="0037089D" w:rsidP="0037089D">
      <w:pPr>
        <w:spacing w:before="100" w:beforeAutospacing="1" w:after="100" w:afterAutospacing="1" w:line="240" w:lineRule="auto"/>
        <w:ind w:firstLine="450"/>
        <w:rPr>
          <w:rFonts w:ascii="Arial" w:eastAsia="Times New Roman" w:hAnsi="Arial" w:cs="Arial"/>
          <w:color w:val="000000"/>
          <w:sz w:val="20"/>
          <w:szCs w:val="20"/>
          <w:lang w:eastAsia="pt-BR"/>
        </w:rPr>
      </w:pPr>
      <w:bookmarkStart w:id="9" w:name="art10"/>
      <w:bookmarkEnd w:id="9"/>
      <w:r w:rsidRPr="0037089D">
        <w:rPr>
          <w:rFonts w:ascii="Arial" w:eastAsia="Times New Roman" w:hAnsi="Arial" w:cs="Arial"/>
          <w:color w:val="000000"/>
          <w:sz w:val="20"/>
          <w:szCs w:val="20"/>
          <w:lang w:eastAsia="pt-BR"/>
        </w:rPr>
        <w:t>Art. 10.  Ficam revogadas as </w:t>
      </w:r>
      <w:hyperlink r:id="rId42" w:anchor="art182%C2%A71c" w:history="1">
        <w:r w:rsidRPr="0037089D">
          <w:rPr>
            <w:rFonts w:ascii="Arial" w:eastAsia="Times New Roman" w:hAnsi="Arial" w:cs="Arial"/>
            <w:color w:val="0000FF"/>
            <w:sz w:val="20"/>
            <w:szCs w:val="20"/>
            <w:u w:val="single"/>
            <w:lang w:eastAsia="pt-BR"/>
          </w:rPr>
          <w:t>alíneas </w:t>
        </w:r>
        <w:r w:rsidRPr="0037089D">
          <w:rPr>
            <w:rFonts w:ascii="Arial" w:eastAsia="Times New Roman" w:hAnsi="Arial" w:cs="Arial"/>
            <w:i/>
            <w:iCs/>
            <w:color w:val="0000FF"/>
            <w:sz w:val="20"/>
            <w:szCs w:val="20"/>
            <w:u w:val="single"/>
            <w:lang w:eastAsia="pt-BR"/>
          </w:rPr>
          <w:t>c</w:t>
        </w:r>
        <w:r w:rsidRPr="0037089D">
          <w:rPr>
            <w:rFonts w:ascii="Arial" w:eastAsia="Times New Roman" w:hAnsi="Arial" w:cs="Arial"/>
            <w:color w:val="0000FF"/>
            <w:sz w:val="20"/>
            <w:szCs w:val="20"/>
            <w:u w:val="single"/>
            <w:lang w:eastAsia="pt-BR"/>
          </w:rPr>
          <w:t> e </w:t>
        </w:r>
        <w:r w:rsidRPr="0037089D">
          <w:rPr>
            <w:rFonts w:ascii="Arial" w:eastAsia="Times New Roman" w:hAnsi="Arial" w:cs="Arial"/>
            <w:i/>
            <w:iCs/>
            <w:color w:val="0000FF"/>
            <w:sz w:val="20"/>
            <w:szCs w:val="20"/>
            <w:u w:val="single"/>
            <w:lang w:eastAsia="pt-BR"/>
          </w:rPr>
          <w:t>d</w:t>
        </w:r>
        <w:r w:rsidRPr="0037089D">
          <w:rPr>
            <w:rFonts w:ascii="Arial" w:eastAsia="Times New Roman" w:hAnsi="Arial" w:cs="Arial"/>
            <w:color w:val="0000FF"/>
            <w:sz w:val="20"/>
            <w:szCs w:val="20"/>
            <w:u w:val="single"/>
            <w:lang w:eastAsia="pt-BR"/>
          </w:rPr>
          <w:t> do § 1</w:t>
        </w:r>
        <w:r w:rsidRPr="0037089D">
          <w:rPr>
            <w:rFonts w:ascii="Arial" w:eastAsia="Times New Roman" w:hAnsi="Arial" w:cs="Arial"/>
            <w:color w:val="0000FF"/>
            <w:sz w:val="20"/>
            <w:szCs w:val="20"/>
            <w:u w:val="single"/>
            <w:vertAlign w:val="superscript"/>
            <w:lang w:eastAsia="pt-BR"/>
          </w:rPr>
          <w:t>o</w:t>
        </w:r>
        <w:r w:rsidRPr="0037089D">
          <w:rPr>
            <w:rFonts w:ascii="Arial" w:eastAsia="Times New Roman" w:hAnsi="Arial" w:cs="Arial"/>
            <w:color w:val="0000FF"/>
            <w:sz w:val="20"/>
            <w:szCs w:val="20"/>
            <w:u w:val="single"/>
            <w:lang w:eastAsia="pt-BR"/>
          </w:rPr>
          <w:t> do art. 182 e</w:t>
        </w:r>
      </w:hyperlink>
      <w:r w:rsidRPr="0037089D">
        <w:rPr>
          <w:rFonts w:ascii="Arial" w:eastAsia="Times New Roman" w:hAnsi="Arial" w:cs="Arial"/>
          <w:color w:val="000000"/>
          <w:sz w:val="20"/>
          <w:szCs w:val="20"/>
          <w:lang w:eastAsia="pt-BR"/>
        </w:rPr>
        <w:t>  o </w:t>
      </w:r>
      <w:hyperlink r:id="rId43" w:anchor="art187%C2%A72" w:history="1">
        <w:r w:rsidRPr="0037089D">
          <w:rPr>
            <w:rFonts w:ascii="Arial" w:eastAsia="Times New Roman" w:hAnsi="Arial" w:cs="Arial"/>
            <w:color w:val="0000FF"/>
            <w:sz w:val="20"/>
            <w:szCs w:val="20"/>
            <w:u w:val="single"/>
            <w:lang w:eastAsia="pt-BR"/>
          </w:rPr>
          <w:t>§ 2º do art. 187 da Lei nº 6.404, de 15 de dezembro de 1976.</w:t>
        </w:r>
      </w:hyperlink>
    </w:p>
    <w:p w:rsidR="0037089D" w:rsidRPr="0037089D" w:rsidRDefault="0037089D" w:rsidP="0037089D">
      <w:pPr>
        <w:spacing w:before="100" w:beforeAutospacing="1" w:after="100" w:afterAutospacing="1" w:line="240" w:lineRule="auto"/>
        <w:ind w:firstLine="450"/>
        <w:rPr>
          <w:rFonts w:ascii="Arial" w:eastAsia="Times New Roman" w:hAnsi="Arial" w:cs="Arial"/>
          <w:color w:val="000000"/>
          <w:sz w:val="20"/>
          <w:szCs w:val="20"/>
          <w:lang w:eastAsia="pt-BR"/>
        </w:rPr>
      </w:pPr>
      <w:r w:rsidRPr="0037089D">
        <w:rPr>
          <w:rFonts w:ascii="Arial" w:eastAsia="Times New Roman" w:hAnsi="Arial" w:cs="Arial"/>
          <w:color w:val="000000"/>
          <w:sz w:val="20"/>
          <w:szCs w:val="20"/>
          <w:lang w:eastAsia="pt-BR"/>
        </w:rPr>
        <w:t>Brasília,  28  de dezembro de 2007; 186</w:t>
      </w:r>
      <w:r w:rsidRPr="0037089D">
        <w:rPr>
          <w:rFonts w:ascii="Arial" w:eastAsia="Times New Roman" w:hAnsi="Arial" w:cs="Arial"/>
          <w:color w:val="000000"/>
          <w:sz w:val="20"/>
          <w:szCs w:val="20"/>
          <w:u w:val="single"/>
          <w:vertAlign w:val="superscript"/>
          <w:lang w:eastAsia="pt-BR"/>
        </w:rPr>
        <w:t>o</w:t>
      </w:r>
      <w:r w:rsidRPr="0037089D">
        <w:rPr>
          <w:rFonts w:ascii="Arial" w:eastAsia="Times New Roman" w:hAnsi="Arial" w:cs="Arial"/>
          <w:color w:val="000000"/>
          <w:sz w:val="20"/>
          <w:szCs w:val="20"/>
          <w:lang w:eastAsia="pt-BR"/>
        </w:rPr>
        <w:t> da Independência e 119</w:t>
      </w:r>
      <w:r w:rsidRPr="0037089D">
        <w:rPr>
          <w:rFonts w:ascii="Arial" w:eastAsia="Times New Roman" w:hAnsi="Arial" w:cs="Arial"/>
          <w:color w:val="000000"/>
          <w:sz w:val="20"/>
          <w:szCs w:val="20"/>
          <w:u w:val="single"/>
          <w:vertAlign w:val="superscript"/>
          <w:lang w:eastAsia="pt-BR"/>
        </w:rPr>
        <w:t>o</w:t>
      </w:r>
      <w:r w:rsidRPr="0037089D">
        <w:rPr>
          <w:rFonts w:ascii="Arial" w:eastAsia="Times New Roman" w:hAnsi="Arial" w:cs="Arial"/>
          <w:color w:val="000000"/>
          <w:sz w:val="20"/>
          <w:szCs w:val="20"/>
          <w:lang w:eastAsia="pt-BR"/>
        </w:rPr>
        <w:t> da República.</w:t>
      </w:r>
    </w:p>
    <w:p w:rsidR="0037089D" w:rsidRPr="0037089D" w:rsidRDefault="0037089D" w:rsidP="0037089D">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37089D">
        <w:rPr>
          <w:rFonts w:ascii="Times New Roman" w:eastAsia="Times New Roman" w:hAnsi="Times New Roman" w:cs="Times New Roman"/>
          <w:color w:val="000000"/>
          <w:sz w:val="24"/>
          <w:szCs w:val="24"/>
          <w:lang w:eastAsia="pt-BR"/>
        </w:rPr>
        <w:t>LUIZ INÁCIO LULA DA SILVA</w:t>
      </w:r>
      <w:r w:rsidRPr="0037089D">
        <w:rPr>
          <w:rFonts w:ascii="Times New Roman" w:eastAsia="Times New Roman" w:hAnsi="Times New Roman" w:cs="Times New Roman"/>
          <w:color w:val="000000"/>
          <w:sz w:val="24"/>
          <w:szCs w:val="24"/>
          <w:lang w:eastAsia="pt-BR"/>
        </w:rPr>
        <w:br/>
      </w:r>
      <w:r w:rsidRPr="0037089D">
        <w:rPr>
          <w:rFonts w:ascii="Times New Roman" w:eastAsia="Times New Roman" w:hAnsi="Times New Roman" w:cs="Times New Roman"/>
          <w:i/>
          <w:iCs/>
          <w:color w:val="000000"/>
          <w:sz w:val="24"/>
          <w:szCs w:val="24"/>
          <w:lang w:eastAsia="pt-BR"/>
        </w:rPr>
        <w:t>Arno Hugo Augustin Filho</w:t>
      </w:r>
    </w:p>
    <w:p w:rsidR="0037089D" w:rsidRPr="0037089D" w:rsidRDefault="0037089D" w:rsidP="0037089D">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37089D">
        <w:rPr>
          <w:rFonts w:ascii="Arial" w:eastAsia="Times New Roman" w:hAnsi="Arial" w:cs="Arial"/>
          <w:color w:val="FF0000"/>
          <w:sz w:val="20"/>
          <w:szCs w:val="20"/>
          <w:lang w:eastAsia="pt-BR"/>
        </w:rPr>
        <w:t>Este texto não substitui o publicado no DOU de 28.12.2007 - Edição extra.</w:t>
      </w:r>
    </w:p>
    <w:p w:rsidR="0037089D" w:rsidRPr="0037089D" w:rsidRDefault="0037089D" w:rsidP="0037089D">
      <w:pPr>
        <w:spacing w:before="100" w:beforeAutospacing="1" w:after="100" w:afterAutospacing="1" w:line="240" w:lineRule="auto"/>
        <w:jc w:val="center"/>
        <w:rPr>
          <w:rFonts w:ascii="Times New Roman" w:eastAsia="Times New Roman" w:hAnsi="Times New Roman" w:cs="Times New Roman"/>
          <w:color w:val="000000"/>
          <w:sz w:val="24"/>
          <w:szCs w:val="24"/>
          <w:lang w:eastAsia="pt-BR"/>
        </w:rPr>
      </w:pPr>
      <w:r w:rsidRPr="0037089D">
        <w:rPr>
          <w:rFonts w:ascii="Times New Roman" w:eastAsia="Times New Roman" w:hAnsi="Times New Roman" w:cs="Times New Roman"/>
          <w:color w:val="FF0000"/>
          <w:sz w:val="24"/>
          <w:szCs w:val="24"/>
          <w:lang w:eastAsia="pt-BR"/>
        </w:rPr>
        <w:t>*</w:t>
      </w:r>
    </w:p>
    <w:p w:rsidR="0037089D" w:rsidRPr="0037089D" w:rsidRDefault="0037089D" w:rsidP="0037089D">
      <w:pPr>
        <w:spacing w:before="100" w:beforeAutospacing="1" w:after="100" w:afterAutospacing="1" w:line="240" w:lineRule="auto"/>
        <w:jc w:val="center"/>
        <w:rPr>
          <w:rFonts w:ascii="Times New Roman" w:eastAsia="Times New Roman" w:hAnsi="Times New Roman" w:cs="Times New Roman"/>
          <w:color w:val="000000"/>
          <w:sz w:val="24"/>
          <w:szCs w:val="24"/>
          <w:lang w:eastAsia="pt-BR"/>
        </w:rPr>
      </w:pPr>
      <w:r w:rsidRPr="0037089D">
        <w:rPr>
          <w:rFonts w:ascii="Times New Roman" w:eastAsia="Times New Roman" w:hAnsi="Times New Roman" w:cs="Times New Roman"/>
          <w:color w:val="000000"/>
          <w:sz w:val="24"/>
          <w:szCs w:val="24"/>
          <w:lang w:eastAsia="pt-BR"/>
        </w:rPr>
        <w:t> </w:t>
      </w:r>
    </w:p>
    <w:p w:rsidR="0037089D" w:rsidRPr="0037089D" w:rsidRDefault="0037089D" w:rsidP="0037089D">
      <w:pPr>
        <w:spacing w:before="100" w:beforeAutospacing="1" w:after="100" w:afterAutospacing="1" w:line="240" w:lineRule="auto"/>
        <w:jc w:val="center"/>
        <w:rPr>
          <w:rFonts w:ascii="Times New Roman" w:eastAsia="Times New Roman" w:hAnsi="Times New Roman" w:cs="Times New Roman"/>
          <w:color w:val="000000"/>
          <w:sz w:val="24"/>
          <w:szCs w:val="24"/>
          <w:lang w:eastAsia="pt-BR"/>
        </w:rPr>
      </w:pPr>
      <w:r w:rsidRPr="0037089D">
        <w:rPr>
          <w:rFonts w:ascii="Times New Roman" w:eastAsia="Times New Roman" w:hAnsi="Times New Roman" w:cs="Times New Roman"/>
          <w:color w:val="000000"/>
          <w:sz w:val="24"/>
          <w:szCs w:val="24"/>
          <w:lang w:eastAsia="pt-BR"/>
        </w:rPr>
        <w:t> </w:t>
      </w:r>
    </w:p>
    <w:p w:rsidR="0037089D" w:rsidRPr="0037089D" w:rsidRDefault="0037089D" w:rsidP="0037089D">
      <w:pPr>
        <w:spacing w:before="100" w:beforeAutospacing="1" w:after="100" w:afterAutospacing="1" w:line="240" w:lineRule="auto"/>
        <w:jc w:val="center"/>
        <w:rPr>
          <w:rFonts w:ascii="Times New Roman" w:eastAsia="Times New Roman" w:hAnsi="Times New Roman" w:cs="Times New Roman"/>
          <w:color w:val="000000"/>
          <w:sz w:val="24"/>
          <w:szCs w:val="24"/>
          <w:lang w:eastAsia="pt-BR"/>
        </w:rPr>
      </w:pPr>
      <w:r w:rsidRPr="0037089D">
        <w:rPr>
          <w:rFonts w:ascii="Times New Roman" w:eastAsia="Times New Roman" w:hAnsi="Times New Roman" w:cs="Times New Roman"/>
          <w:color w:val="000000"/>
          <w:sz w:val="24"/>
          <w:szCs w:val="24"/>
          <w:lang w:eastAsia="pt-BR"/>
        </w:rPr>
        <w:t> </w:t>
      </w:r>
    </w:p>
    <w:p w:rsidR="0037089D" w:rsidRPr="0037089D" w:rsidRDefault="0037089D" w:rsidP="0037089D">
      <w:pPr>
        <w:spacing w:before="100" w:beforeAutospacing="1" w:after="100" w:afterAutospacing="1" w:line="240" w:lineRule="auto"/>
        <w:jc w:val="center"/>
        <w:rPr>
          <w:rFonts w:ascii="Times New Roman" w:eastAsia="Times New Roman" w:hAnsi="Times New Roman" w:cs="Times New Roman"/>
          <w:color w:val="000000"/>
          <w:sz w:val="24"/>
          <w:szCs w:val="24"/>
          <w:lang w:eastAsia="pt-BR"/>
        </w:rPr>
      </w:pPr>
      <w:r w:rsidRPr="0037089D">
        <w:rPr>
          <w:rFonts w:ascii="Times New Roman" w:eastAsia="Times New Roman" w:hAnsi="Times New Roman" w:cs="Times New Roman"/>
          <w:color w:val="000000"/>
          <w:sz w:val="24"/>
          <w:szCs w:val="24"/>
          <w:lang w:eastAsia="pt-BR"/>
        </w:rPr>
        <w:t> </w:t>
      </w:r>
    </w:p>
    <w:p w:rsidR="0037089D" w:rsidRPr="0037089D" w:rsidRDefault="0037089D" w:rsidP="0037089D">
      <w:pPr>
        <w:spacing w:before="100" w:beforeAutospacing="1" w:after="100" w:afterAutospacing="1" w:line="240" w:lineRule="auto"/>
        <w:jc w:val="center"/>
        <w:rPr>
          <w:rFonts w:ascii="Times New Roman" w:eastAsia="Times New Roman" w:hAnsi="Times New Roman" w:cs="Times New Roman"/>
          <w:color w:val="000000"/>
          <w:sz w:val="24"/>
          <w:szCs w:val="24"/>
          <w:lang w:eastAsia="pt-BR"/>
        </w:rPr>
      </w:pPr>
      <w:r w:rsidRPr="0037089D">
        <w:rPr>
          <w:rFonts w:ascii="Times New Roman" w:eastAsia="Times New Roman" w:hAnsi="Times New Roman" w:cs="Times New Roman"/>
          <w:color w:val="000000"/>
          <w:sz w:val="24"/>
          <w:szCs w:val="24"/>
          <w:lang w:eastAsia="pt-BR"/>
        </w:rPr>
        <w:t> </w:t>
      </w:r>
    </w:p>
    <w:p w:rsidR="0037089D" w:rsidRPr="0037089D" w:rsidRDefault="0037089D" w:rsidP="0037089D">
      <w:pPr>
        <w:spacing w:before="100" w:beforeAutospacing="1" w:after="100" w:afterAutospacing="1" w:line="240" w:lineRule="auto"/>
        <w:jc w:val="center"/>
        <w:rPr>
          <w:rFonts w:ascii="Times New Roman" w:eastAsia="Times New Roman" w:hAnsi="Times New Roman" w:cs="Times New Roman"/>
          <w:color w:val="000000"/>
          <w:sz w:val="24"/>
          <w:szCs w:val="24"/>
          <w:lang w:eastAsia="pt-BR"/>
        </w:rPr>
      </w:pPr>
      <w:r w:rsidRPr="0037089D">
        <w:rPr>
          <w:rFonts w:ascii="Times New Roman" w:eastAsia="Times New Roman" w:hAnsi="Times New Roman" w:cs="Times New Roman"/>
          <w:color w:val="000000"/>
          <w:sz w:val="24"/>
          <w:szCs w:val="24"/>
          <w:lang w:eastAsia="pt-BR"/>
        </w:rPr>
        <w:t> </w:t>
      </w:r>
    </w:p>
    <w:p w:rsidR="0037089D" w:rsidRPr="0037089D" w:rsidRDefault="0037089D" w:rsidP="0037089D">
      <w:pPr>
        <w:spacing w:before="100" w:beforeAutospacing="1" w:after="100" w:afterAutospacing="1" w:line="240" w:lineRule="auto"/>
        <w:jc w:val="center"/>
        <w:rPr>
          <w:rFonts w:ascii="Times New Roman" w:eastAsia="Times New Roman" w:hAnsi="Times New Roman" w:cs="Times New Roman"/>
          <w:color w:val="000000"/>
          <w:sz w:val="24"/>
          <w:szCs w:val="24"/>
          <w:lang w:eastAsia="pt-BR"/>
        </w:rPr>
      </w:pPr>
      <w:r w:rsidRPr="0037089D">
        <w:rPr>
          <w:rFonts w:ascii="Times New Roman" w:eastAsia="Times New Roman" w:hAnsi="Times New Roman" w:cs="Times New Roman"/>
          <w:color w:val="000000"/>
          <w:sz w:val="24"/>
          <w:szCs w:val="24"/>
          <w:lang w:eastAsia="pt-BR"/>
        </w:rPr>
        <w:t> </w:t>
      </w:r>
    </w:p>
    <w:p w:rsidR="0037089D" w:rsidRPr="0037089D" w:rsidRDefault="0037089D" w:rsidP="0037089D">
      <w:pPr>
        <w:spacing w:before="100" w:beforeAutospacing="1" w:after="100" w:afterAutospacing="1" w:line="240" w:lineRule="auto"/>
        <w:jc w:val="center"/>
        <w:rPr>
          <w:rFonts w:ascii="Times New Roman" w:eastAsia="Times New Roman" w:hAnsi="Times New Roman" w:cs="Times New Roman"/>
          <w:color w:val="000000"/>
          <w:sz w:val="24"/>
          <w:szCs w:val="24"/>
          <w:lang w:eastAsia="pt-BR"/>
        </w:rPr>
      </w:pPr>
      <w:r w:rsidRPr="0037089D">
        <w:rPr>
          <w:rFonts w:ascii="Times New Roman" w:eastAsia="Times New Roman" w:hAnsi="Times New Roman" w:cs="Times New Roman"/>
          <w:color w:val="000000"/>
          <w:sz w:val="24"/>
          <w:szCs w:val="24"/>
          <w:lang w:eastAsia="pt-BR"/>
        </w:rPr>
        <w:t> </w:t>
      </w:r>
    </w:p>
    <w:p w:rsidR="0037089D" w:rsidRPr="0037089D" w:rsidRDefault="0037089D" w:rsidP="0037089D">
      <w:pPr>
        <w:spacing w:before="100" w:beforeAutospacing="1" w:after="100" w:afterAutospacing="1" w:line="240" w:lineRule="auto"/>
        <w:jc w:val="center"/>
        <w:rPr>
          <w:rFonts w:ascii="Times New Roman" w:eastAsia="Times New Roman" w:hAnsi="Times New Roman" w:cs="Times New Roman"/>
          <w:color w:val="000000"/>
          <w:sz w:val="24"/>
          <w:szCs w:val="24"/>
          <w:lang w:eastAsia="pt-BR"/>
        </w:rPr>
      </w:pPr>
      <w:r w:rsidRPr="0037089D">
        <w:rPr>
          <w:rFonts w:ascii="Times New Roman" w:eastAsia="Times New Roman" w:hAnsi="Times New Roman" w:cs="Times New Roman"/>
          <w:color w:val="000000"/>
          <w:sz w:val="24"/>
          <w:szCs w:val="24"/>
          <w:lang w:eastAsia="pt-BR"/>
        </w:rPr>
        <w:t> </w:t>
      </w:r>
    </w:p>
    <w:p w:rsidR="002423C4" w:rsidRDefault="0037089D">
      <w:bookmarkStart w:id="10" w:name="_GoBack"/>
      <w:bookmarkEnd w:id="10"/>
    </w:p>
    <w:sectPr w:rsidR="002423C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jU3NTY3NjMyNTI2sjRR0lEKTi0uzszPAykwrAUA8Ikc7SwAAAA="/>
  </w:docVars>
  <w:rsids>
    <w:rsidRoot w:val="0037089D"/>
    <w:rsid w:val="00100206"/>
    <w:rsid w:val="002938DC"/>
    <w:rsid w:val="0037089D"/>
    <w:rsid w:val="00820711"/>
    <w:rsid w:val="00AA1D02"/>
    <w:rsid w:val="00BD27CC"/>
    <w:rsid w:val="00E8056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37089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7089D"/>
    <w:rPr>
      <w:b/>
      <w:bCs/>
    </w:rPr>
  </w:style>
  <w:style w:type="character" w:styleId="Hyperlink">
    <w:name w:val="Hyperlink"/>
    <w:basedOn w:val="Fontepargpadro"/>
    <w:uiPriority w:val="99"/>
    <w:semiHidden/>
    <w:unhideWhenUsed/>
    <w:rsid w:val="0037089D"/>
    <w:rPr>
      <w:color w:val="0000FF"/>
      <w:u w:val="single"/>
    </w:rPr>
  </w:style>
  <w:style w:type="paragraph" w:customStyle="1" w:styleId="texto1">
    <w:name w:val="texto1"/>
    <w:basedOn w:val="Normal"/>
    <w:rsid w:val="0037089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2">
    <w:name w:val="texto2"/>
    <w:basedOn w:val="Normal"/>
    <w:rsid w:val="0037089D"/>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37089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7089D"/>
    <w:rPr>
      <w:b/>
      <w:bCs/>
    </w:rPr>
  </w:style>
  <w:style w:type="character" w:styleId="Hyperlink">
    <w:name w:val="Hyperlink"/>
    <w:basedOn w:val="Fontepargpadro"/>
    <w:uiPriority w:val="99"/>
    <w:semiHidden/>
    <w:unhideWhenUsed/>
    <w:rsid w:val="0037089D"/>
    <w:rPr>
      <w:color w:val="0000FF"/>
      <w:u w:val="single"/>
    </w:rPr>
  </w:style>
  <w:style w:type="paragraph" w:customStyle="1" w:styleId="texto1">
    <w:name w:val="texto1"/>
    <w:basedOn w:val="Normal"/>
    <w:rsid w:val="0037089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2">
    <w:name w:val="texto2"/>
    <w:basedOn w:val="Normal"/>
    <w:rsid w:val="0037089D"/>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0818927">
      <w:bodyDiv w:val="1"/>
      <w:marLeft w:val="0"/>
      <w:marRight w:val="0"/>
      <w:marTop w:val="0"/>
      <w:marBottom w:val="0"/>
      <w:divBdr>
        <w:top w:val="none" w:sz="0" w:space="0" w:color="auto"/>
        <w:left w:val="none" w:sz="0" w:space="0" w:color="auto"/>
        <w:bottom w:val="none" w:sz="0" w:space="0" w:color="auto"/>
        <w:right w:val="none" w:sz="0" w:space="0" w:color="auto"/>
      </w:divBdr>
      <w:divsChild>
        <w:div w:id="13335303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973815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418689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250080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969823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208159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974359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553777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23908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602723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905272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68008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988888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3148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086971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629014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569917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291753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004188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572440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79798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9925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06655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33068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07-2010/2007/Msg/VEP-1045-07.htm" TargetMode="External"/><Relationship Id="rId13" Type="http://schemas.openxmlformats.org/officeDocument/2006/relationships/hyperlink" Target="http://www.planalto.gov.br/ccivil_03/LEIS/L6404consol.htm" TargetMode="External"/><Relationship Id="rId18" Type="http://schemas.openxmlformats.org/officeDocument/2006/relationships/hyperlink" Target="http://www.planalto.gov.br/ccivil_03/LEIS/L6404consol.htm" TargetMode="External"/><Relationship Id="rId26" Type="http://schemas.openxmlformats.org/officeDocument/2006/relationships/hyperlink" Target="http://www.planalto.gov.br/ccivil_03/LEIS/L6404consol.htm" TargetMode="External"/><Relationship Id="rId39" Type="http://schemas.openxmlformats.org/officeDocument/2006/relationships/hyperlink" Target="http://www.planalto.gov.br/ccivil_03/LEIS/L6404consol.htm" TargetMode="External"/><Relationship Id="rId3" Type="http://schemas.openxmlformats.org/officeDocument/2006/relationships/settings" Target="settings.xml"/><Relationship Id="rId21" Type="http://schemas.openxmlformats.org/officeDocument/2006/relationships/hyperlink" Target="http://www.planalto.gov.br/ccivil_03/LEIS/L6404consol.htm" TargetMode="External"/><Relationship Id="rId34" Type="http://schemas.openxmlformats.org/officeDocument/2006/relationships/hyperlink" Target="http://www.planalto.gov.br/ccivil_03/LEIS/L6385.htm" TargetMode="External"/><Relationship Id="rId42" Type="http://schemas.openxmlformats.org/officeDocument/2006/relationships/hyperlink" Target="http://www.planalto.gov.br/ccivil_03/LEIS/L6404consol.htm" TargetMode="External"/><Relationship Id="rId7" Type="http://schemas.openxmlformats.org/officeDocument/2006/relationships/hyperlink" Target="http://legislacao.planalto.gov.br/legisla/legislacao.nsf/Viw_Identificacao/lei%2011.638-2007?OpenDocument" TargetMode="External"/><Relationship Id="rId12" Type="http://schemas.openxmlformats.org/officeDocument/2006/relationships/hyperlink" Target="http://www.planalto.gov.br/ccivil_03/LEIS/L6404consol.htm" TargetMode="External"/><Relationship Id="rId17" Type="http://schemas.openxmlformats.org/officeDocument/2006/relationships/hyperlink" Target="http://www.planalto.gov.br/ccivil_03/_ato2007-2010/2007/Msg/VEP-1045-07.htm" TargetMode="External"/><Relationship Id="rId25" Type="http://schemas.openxmlformats.org/officeDocument/2006/relationships/hyperlink" Target="http://www.planalto.gov.br/ccivil_03/LEIS/L6404consol.htm" TargetMode="External"/><Relationship Id="rId33" Type="http://schemas.openxmlformats.org/officeDocument/2006/relationships/hyperlink" Target="http://www.planalto.gov.br/ccivil_03/LEIS/L6404consol.htm" TargetMode="External"/><Relationship Id="rId38" Type="http://schemas.openxmlformats.org/officeDocument/2006/relationships/hyperlink" Target="http://www.planalto.gov.br/ccivil_03/LEIS/L6404consol.htm" TargetMode="External"/><Relationship Id="rId2" Type="http://schemas.microsoft.com/office/2007/relationships/stylesWithEffects" Target="stylesWithEffects.xml"/><Relationship Id="rId16" Type="http://schemas.openxmlformats.org/officeDocument/2006/relationships/hyperlink" Target="http://www.planalto.gov.br/ccivil_03/_ato2007-2010/2007/Msg/VEP-1045-07.htm" TargetMode="External"/><Relationship Id="rId20" Type="http://schemas.openxmlformats.org/officeDocument/2006/relationships/hyperlink" Target="http://www.planalto.gov.br/ccivil_03/LEIS/L6404consol.htm" TargetMode="External"/><Relationship Id="rId29" Type="http://schemas.openxmlformats.org/officeDocument/2006/relationships/hyperlink" Target="http://www.planalto.gov.br/ccivil_03/LEIS/L6404consol.htm" TargetMode="External"/><Relationship Id="rId41" Type="http://schemas.openxmlformats.org/officeDocument/2006/relationships/hyperlink" Target="http://www.planalto.gov.br/ccivil_03/LEIS/L6385.htm" TargetMode="External"/><Relationship Id="rId1" Type="http://schemas.openxmlformats.org/officeDocument/2006/relationships/styles" Target="styles.xml"/><Relationship Id="rId6" Type="http://schemas.openxmlformats.org/officeDocument/2006/relationships/hyperlink" Target="http://legislacao.planalto.gov.br/legisla/legislacao.nsf/Viw_Identificacao/lei%2011.639-2008?OpenDocument" TargetMode="External"/><Relationship Id="rId11" Type="http://schemas.openxmlformats.org/officeDocument/2006/relationships/hyperlink" Target="http://www.planalto.gov.br/ccivil_03/LEIS/L6404consol.htm" TargetMode="External"/><Relationship Id="rId24" Type="http://schemas.openxmlformats.org/officeDocument/2006/relationships/hyperlink" Target="http://www.planalto.gov.br/ccivil_03/LEIS/L6404consol.htm" TargetMode="External"/><Relationship Id="rId32" Type="http://schemas.openxmlformats.org/officeDocument/2006/relationships/hyperlink" Target="http://www.planalto.gov.br/ccivil_03/LEIS/L6404consol.htm" TargetMode="External"/><Relationship Id="rId37" Type="http://schemas.openxmlformats.org/officeDocument/2006/relationships/hyperlink" Target="http://www.planalto.gov.br/ccivil_03/LEIS/L6385.htm" TargetMode="External"/><Relationship Id="rId40" Type="http://schemas.openxmlformats.org/officeDocument/2006/relationships/hyperlink" Target="http://www.planalto.gov.br/ccivil_03/LEIS/L6404consol.htm" TargetMode="External"/><Relationship Id="rId45" Type="http://schemas.openxmlformats.org/officeDocument/2006/relationships/theme" Target="theme/theme1.xml"/><Relationship Id="rId5" Type="http://schemas.openxmlformats.org/officeDocument/2006/relationships/hyperlink" Target="http://legislacao.planalto.gov.br/legisla/legislacao.nsf/Viw_Identificacao/lei%2011.638-2007?OpenDocument" TargetMode="External"/><Relationship Id="rId15" Type="http://schemas.openxmlformats.org/officeDocument/2006/relationships/hyperlink" Target="http://www.planalto.gov.br/ccivil_03/LEIS/L6404consol.htm" TargetMode="External"/><Relationship Id="rId23" Type="http://schemas.openxmlformats.org/officeDocument/2006/relationships/hyperlink" Target="http://www.planalto.gov.br/ccivil_03/LEIS/L6404consol.htm" TargetMode="External"/><Relationship Id="rId28" Type="http://schemas.openxmlformats.org/officeDocument/2006/relationships/hyperlink" Target="http://www.planalto.gov.br/ccivil_03/LEIS/L6404consol.htm" TargetMode="External"/><Relationship Id="rId36" Type="http://schemas.openxmlformats.org/officeDocument/2006/relationships/hyperlink" Target="http://www.planalto.gov.br/ccivil_03/LEIS/L6385.htm" TargetMode="External"/><Relationship Id="rId10" Type="http://schemas.openxmlformats.org/officeDocument/2006/relationships/hyperlink" Target="http://www.planalto.gov.br/ccivil_03/LEIS/L6404consol.htm" TargetMode="External"/><Relationship Id="rId19" Type="http://schemas.openxmlformats.org/officeDocument/2006/relationships/hyperlink" Target="http://www.planalto.gov.br/ccivil_03/LEIS/L6404consol.htm" TargetMode="External"/><Relationship Id="rId31" Type="http://schemas.openxmlformats.org/officeDocument/2006/relationships/hyperlink" Target="http://www.planalto.gov.br/ccivil_03/LEIS/L6404consol.htm"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planalto.gov.br/ccivil_03/LEIS/L6404consol.htm" TargetMode="External"/><Relationship Id="rId14" Type="http://schemas.openxmlformats.org/officeDocument/2006/relationships/hyperlink" Target="http://www.planalto.gov.br/ccivil_03/LEIS/L6404consol.htm" TargetMode="External"/><Relationship Id="rId22" Type="http://schemas.openxmlformats.org/officeDocument/2006/relationships/hyperlink" Target="http://www.planalto.gov.br/ccivil_03/LEIS/L6404consol.htm" TargetMode="External"/><Relationship Id="rId27" Type="http://schemas.openxmlformats.org/officeDocument/2006/relationships/hyperlink" Target="http://www.planalto.gov.br/ccivil_03/LEIS/L6404consol.htm" TargetMode="External"/><Relationship Id="rId30" Type="http://schemas.openxmlformats.org/officeDocument/2006/relationships/hyperlink" Target="http://www.planalto.gov.br/ccivil_03/LEIS/L6404consol.htm" TargetMode="External"/><Relationship Id="rId35" Type="http://schemas.openxmlformats.org/officeDocument/2006/relationships/hyperlink" Target="http://www.planalto.gov.br/ccivil_03/LEIS/L6385.htm" TargetMode="External"/><Relationship Id="rId43" Type="http://schemas.openxmlformats.org/officeDocument/2006/relationships/hyperlink" Target="http://www.planalto.gov.br/ccivil_03/LEIS/L6404consol.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2947</Words>
  <Characters>15918</Characters>
  <Application>Microsoft Office Word</Application>
  <DocSecurity>0</DocSecurity>
  <Lines>132</Lines>
  <Paragraphs>37</Paragraphs>
  <ScaleCrop>false</ScaleCrop>
  <Company>Hewlett-Packard</Company>
  <LinksUpToDate>false</LinksUpToDate>
  <CharactersWithSpaces>18828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Fernando</dc:creator>
  <cp:lastModifiedBy>Fernando</cp:lastModifiedBy>
  <cp:revision>1</cp:revision>
  <dcterms:created xsi:type="dcterms:W3CDTF">2023-08-06T00:02:00Z</dcterms:created>
  <dcterms:modified xsi:type="dcterms:W3CDTF">2023-08-06T00:04:00Z</dcterms:modified>
</cp:coreProperties>
</file>