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44D85" w:rsidRPr="00A44D85" w:rsidRDefault="00A44D85" w:rsidP="00A44D85">
      <w:pPr>
        <w:spacing w:after="0" w:line="240" w:lineRule="auto"/>
        <w:jc w:val="center"/>
        <w:textAlignment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val="pt-BR" w:eastAsia="pt-BR"/>
          <w14:ligatures w14:val="none"/>
        </w:rPr>
      </w:pPr>
      <w:r w:rsidRPr="00A44D85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val="pt-BR" w:eastAsia="pt-BR"/>
          <w14:ligatures w14:val="none"/>
        </w:rPr>
        <w:t>Presidência da República</w:t>
      </w:r>
    </w:p>
    <w:p w:rsidR="00A44D85" w:rsidRPr="00A44D85" w:rsidRDefault="00A44D85" w:rsidP="00A44D85">
      <w:pPr>
        <w:spacing w:after="0" w:line="240" w:lineRule="auto"/>
        <w:jc w:val="center"/>
        <w:textAlignment w:val="center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pt-BR" w:eastAsia="pt-BR"/>
          <w14:ligatures w14:val="none"/>
        </w:rPr>
      </w:pPr>
      <w:r w:rsidRPr="00A44D8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pt-BR" w:eastAsia="pt-BR"/>
          <w14:ligatures w14:val="none"/>
        </w:rPr>
        <w:t>Casa Civil</w:t>
      </w:r>
    </w:p>
    <w:p w:rsidR="00A44D85" w:rsidRPr="00A44D85" w:rsidRDefault="00A44D85" w:rsidP="00A44D85">
      <w:pPr>
        <w:spacing w:after="0" w:line="240" w:lineRule="auto"/>
        <w:jc w:val="center"/>
        <w:textAlignment w:val="center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pt-BR" w:eastAsia="pt-BR"/>
          <w14:ligatures w14:val="none"/>
        </w:rPr>
      </w:pPr>
      <w:r w:rsidRPr="00A44D8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pt-BR" w:eastAsia="pt-BR"/>
          <w14:ligatures w14:val="none"/>
        </w:rPr>
        <w:t>Subchefia para Assuntos Jurídicos</w:t>
      </w:r>
    </w:p>
    <w:p w:rsidR="00A44D85" w:rsidRPr="00A44D85" w:rsidRDefault="00A44D85" w:rsidP="00A44D85">
      <w:pPr>
        <w:spacing w:before="100" w:beforeAutospacing="1" w:after="100" w:afterAutospacing="1" w:line="240" w:lineRule="auto"/>
        <w:ind w:firstLine="432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val="pt-BR" w:eastAsia="pt-BR"/>
          <w14:ligatures w14:val="none"/>
        </w:rPr>
      </w:pPr>
      <w:hyperlink r:id="rId4" w:history="1">
        <w:r w:rsidRPr="00A44D85">
          <w:rPr>
            <w:rFonts w:ascii="Arial" w:eastAsia="Times New Roman" w:hAnsi="Arial" w:cs="Arial"/>
            <w:b/>
            <w:bCs/>
            <w:color w:val="000080"/>
            <w:kern w:val="0"/>
            <w:sz w:val="20"/>
            <w:szCs w:val="20"/>
            <w:u w:val="single"/>
            <w:lang w:val="pt-BR" w:eastAsia="pt-BR"/>
            <w14:ligatures w14:val="none"/>
          </w:rPr>
          <w:t>LEI Nº 11.280, DE 16 DE FEVEREIRO DE 2006.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2"/>
        <w:gridCol w:w="4252"/>
      </w:tblGrid>
      <w:tr w:rsidR="00A44D85" w:rsidRPr="00A44D85" w:rsidTr="00A44D85">
        <w:trPr>
          <w:trHeight w:val="480"/>
          <w:tblCellSpacing w:w="0" w:type="dxa"/>
        </w:trPr>
        <w:tc>
          <w:tcPr>
            <w:tcW w:w="2500" w:type="pct"/>
            <w:vAlign w:val="center"/>
            <w:hideMark/>
          </w:tcPr>
          <w:p w:rsidR="00A44D85" w:rsidRPr="00A44D85" w:rsidRDefault="00A44D85" w:rsidP="00A44D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pt-BR" w:eastAsia="pt-BR"/>
                <w14:ligatures w14:val="none"/>
              </w:rPr>
            </w:pPr>
          </w:p>
        </w:tc>
        <w:tc>
          <w:tcPr>
            <w:tcW w:w="2500" w:type="pct"/>
            <w:vAlign w:val="center"/>
            <w:hideMark/>
          </w:tcPr>
          <w:p w:rsidR="00A44D85" w:rsidRPr="00A44D85" w:rsidRDefault="00A44D85" w:rsidP="00A44D85">
            <w:pPr>
              <w:spacing w:before="100" w:beforeAutospacing="1" w:after="100" w:afterAutospacing="1" w:line="240" w:lineRule="auto"/>
              <w:ind w:firstLine="432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t-BR" w:eastAsia="pt-BR"/>
                <w14:ligatures w14:val="none"/>
              </w:rPr>
            </w:pPr>
            <w:r w:rsidRPr="00A44D85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val="pt-BR" w:eastAsia="pt-BR"/>
                <w14:ligatures w14:val="none"/>
              </w:rPr>
              <w:t xml:space="preserve">Altera os </w:t>
            </w:r>
            <w:proofErr w:type="spellStart"/>
            <w:r w:rsidRPr="00A44D85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val="pt-BR" w:eastAsia="pt-BR"/>
                <w14:ligatures w14:val="none"/>
              </w:rPr>
              <w:t>arts</w:t>
            </w:r>
            <w:proofErr w:type="spellEnd"/>
            <w:r w:rsidRPr="00A44D85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val="pt-BR" w:eastAsia="pt-BR"/>
                <w14:ligatures w14:val="none"/>
              </w:rPr>
              <w:t>. 112, 114, 154, 219, 253, 305, 322, 338, 489 e 555 da Lei nº 5.869, de 11 de janeiro de 1973 - Código de Processo Civil, relativos à incompetência relativa, meios eletrônicos, prescrição, distribuição por dependência, exceção de incompetência, revelia, carta precatória e rogatória, ação rescisória e vista dos autos; e revoga o art. 194 da Lei nº 10.406, de 10 de janeiro de 2002 - Código Civil.</w:t>
            </w:r>
          </w:p>
        </w:tc>
      </w:tr>
    </w:tbl>
    <w:p w:rsidR="00A44D85" w:rsidRPr="00A44D85" w:rsidRDefault="00A44D85" w:rsidP="00A44D85">
      <w:pPr>
        <w:spacing w:before="100" w:beforeAutospacing="1" w:after="100" w:afterAutospacing="1" w:line="240" w:lineRule="auto"/>
        <w:ind w:firstLine="450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r w:rsidRPr="00A44D85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pt-BR" w:eastAsia="pt-BR"/>
          <w14:ligatures w14:val="none"/>
        </w:rPr>
        <w:t>O PRESIDENTE DA REPÚBLICA </w:t>
      </w:r>
      <w:r w:rsidRPr="00A44D85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Faço saber que o Congresso Nacional decreta e eu sanciono a seguinte Lei:</w:t>
      </w:r>
    </w:p>
    <w:p w:rsidR="00A44D85" w:rsidRPr="00A44D85" w:rsidRDefault="00A44D85" w:rsidP="00A44D85">
      <w:pPr>
        <w:spacing w:before="100" w:beforeAutospacing="1" w:after="100" w:afterAutospacing="1" w:line="240" w:lineRule="auto"/>
        <w:ind w:firstLine="450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bookmarkStart w:id="0" w:name="art1"/>
      <w:bookmarkEnd w:id="0"/>
      <w:r w:rsidRPr="00A44D85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 xml:space="preserve">Art. 1º Os </w:t>
      </w:r>
      <w:proofErr w:type="spellStart"/>
      <w:r w:rsidRPr="00A44D85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arts</w:t>
      </w:r>
      <w:proofErr w:type="spellEnd"/>
      <w:r w:rsidRPr="00A44D85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. 112 e 114 da Lei nº 5.869, de 11 de janeiro de 1973, Código de Processo Civil, passam a vigorar com a seguinte redação:</w:t>
      </w:r>
    </w:p>
    <w:p w:rsidR="00A44D85" w:rsidRPr="00A44D85" w:rsidRDefault="00A44D85" w:rsidP="00A44D85">
      <w:pPr>
        <w:spacing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r w:rsidRPr="00A44D85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"Art. 112. ..................................................................</w:t>
      </w:r>
    </w:p>
    <w:p w:rsidR="00A44D85" w:rsidRPr="00A44D85" w:rsidRDefault="00A44D85" w:rsidP="00A44D85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hyperlink r:id="rId5" w:anchor="art112p" w:history="1">
        <w:r w:rsidRPr="00A44D85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pt-BR"/>
            <w14:ligatures w14:val="none"/>
          </w:rPr>
          <w:t>Parágrafo único. </w:t>
        </w:r>
      </w:hyperlink>
      <w:r w:rsidRPr="00A44D85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A nulidade da cláusula de eleição de foro, em contrato de adesão, pode ser declarada de ofício pelo juiz, que declinará de competência para o juízo de domicílio do réu." (NR)</w:t>
      </w:r>
    </w:p>
    <w:p w:rsidR="00A44D85" w:rsidRPr="00A44D85" w:rsidRDefault="00A44D85" w:rsidP="00A44D85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r w:rsidRPr="00A44D85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" </w:t>
      </w:r>
      <w:hyperlink r:id="rId6" w:anchor="art114" w:history="1">
        <w:r w:rsidRPr="00A44D85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pt-BR"/>
            <w14:ligatures w14:val="none"/>
          </w:rPr>
          <w:t>Art. 114. </w:t>
        </w:r>
      </w:hyperlink>
      <w:r w:rsidRPr="00A44D85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Prorrogar-se-á a competência se dela o juiz não declinar na forma do parágrafo único do art. 112 desta Lei ou o réu não opuser exceção declinatória nos casos e prazos legais." (NR)</w:t>
      </w:r>
    </w:p>
    <w:p w:rsidR="00A44D85" w:rsidRPr="00A44D85" w:rsidRDefault="00A44D85" w:rsidP="00A44D85">
      <w:pPr>
        <w:spacing w:before="100" w:beforeAutospacing="1" w:after="100" w:afterAutospacing="1" w:line="240" w:lineRule="auto"/>
        <w:ind w:firstLine="450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bookmarkStart w:id="1" w:name="art2"/>
      <w:bookmarkEnd w:id="1"/>
      <w:r w:rsidRPr="00A44D85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Art. 2º O art. 154 da Lei nº 5.869, de 11 de janeiro de 1973, Código de Processo Civil, passa a vigorar com a seguinte redação:</w:t>
      </w:r>
    </w:p>
    <w:p w:rsidR="00A44D85" w:rsidRPr="00A44D85" w:rsidRDefault="00A44D85" w:rsidP="00A44D85">
      <w:pPr>
        <w:spacing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r w:rsidRPr="00A44D85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"Art. 154. ..................................................................</w:t>
      </w:r>
    </w:p>
    <w:p w:rsidR="00A44D85" w:rsidRPr="00A44D85" w:rsidRDefault="00A44D85" w:rsidP="00A44D85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hyperlink r:id="rId7" w:anchor="art154p" w:history="1">
        <w:r w:rsidRPr="00A44D85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pt-BR"/>
            <w14:ligatures w14:val="none"/>
          </w:rPr>
          <w:t>Parágrafo único. </w:t>
        </w:r>
      </w:hyperlink>
      <w:r w:rsidRPr="00A44D85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 xml:space="preserve">Os tribunais, no âmbito da respectiva jurisdição, poderão disciplinar a prática e a comunicação oficial dos atos processuais por meios eletrônicos, atendidos os requisitos de autenticidade, integridade, validade jurídica e interoperabilidade da </w:t>
      </w:r>
      <w:proofErr w:type="spellStart"/>
      <w:r w:rsidRPr="00A44D85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Infra-Estrutura</w:t>
      </w:r>
      <w:proofErr w:type="spellEnd"/>
      <w:r w:rsidRPr="00A44D85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 xml:space="preserve"> de Chaves Públicas Brasileira - ICP - Brasil." (NR)</w:t>
      </w:r>
    </w:p>
    <w:p w:rsidR="00A44D85" w:rsidRPr="00A44D85" w:rsidRDefault="00A44D85" w:rsidP="00A44D85">
      <w:pPr>
        <w:spacing w:before="100" w:beforeAutospacing="1" w:after="100" w:afterAutospacing="1" w:line="240" w:lineRule="auto"/>
        <w:ind w:firstLine="450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bookmarkStart w:id="2" w:name="art3"/>
      <w:bookmarkEnd w:id="2"/>
      <w:r w:rsidRPr="00A44D85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Art. 3º O art. 219 da Lei nº 5.869, de 11 de janeiro de 1973, Código de Processo Civil, passa a vigorar com a seguinte redação:</w:t>
      </w:r>
    </w:p>
    <w:p w:rsidR="00A44D85" w:rsidRPr="00A44D85" w:rsidRDefault="00A44D85" w:rsidP="00A44D85">
      <w:pPr>
        <w:spacing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r w:rsidRPr="00A44D85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"Art. 219. ..................................................................</w:t>
      </w:r>
    </w:p>
    <w:p w:rsidR="00A44D85" w:rsidRPr="00A44D85" w:rsidRDefault="00A44D85" w:rsidP="00A44D85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r w:rsidRPr="00A44D85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..................................................................</w:t>
      </w:r>
    </w:p>
    <w:p w:rsidR="00A44D85" w:rsidRPr="00A44D85" w:rsidRDefault="00A44D85" w:rsidP="00A44D85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hyperlink r:id="rId8" w:anchor="art219%C2%A75" w:history="1">
        <w:r w:rsidRPr="00A44D85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pt-BR"/>
            <w14:ligatures w14:val="none"/>
          </w:rPr>
          <w:t>§ 5º </w:t>
        </w:r>
      </w:hyperlink>
      <w:r w:rsidRPr="00A44D85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O juiz pronunciará, de ofício, a prescrição.</w:t>
      </w:r>
    </w:p>
    <w:p w:rsidR="00A44D85" w:rsidRPr="00A44D85" w:rsidRDefault="00A44D85" w:rsidP="00A44D85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r w:rsidRPr="00A44D85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.................................................................." (NR)</w:t>
      </w:r>
    </w:p>
    <w:p w:rsidR="00A44D85" w:rsidRPr="00A44D85" w:rsidRDefault="00A44D85" w:rsidP="00A44D85">
      <w:pPr>
        <w:spacing w:before="100" w:beforeAutospacing="1" w:after="100" w:afterAutospacing="1" w:line="240" w:lineRule="auto"/>
        <w:ind w:firstLine="450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bookmarkStart w:id="3" w:name="art4"/>
      <w:bookmarkEnd w:id="3"/>
      <w:r w:rsidRPr="00A44D85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Art. 4º O art. 253 da Lei nº 5.869, de 11 de janeiro de 1973, Código de Processo Civil, passa a vigorar com a seguinte redação:</w:t>
      </w:r>
    </w:p>
    <w:p w:rsidR="00A44D85" w:rsidRPr="00A44D85" w:rsidRDefault="00A44D85" w:rsidP="00A44D85">
      <w:pPr>
        <w:spacing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r w:rsidRPr="00A44D85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lastRenderedPageBreak/>
        <w:t>"Art. 253. ..................................................................</w:t>
      </w:r>
    </w:p>
    <w:p w:rsidR="00A44D85" w:rsidRPr="00A44D85" w:rsidRDefault="00A44D85" w:rsidP="00A44D85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r w:rsidRPr="00A44D85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..................................................................</w:t>
      </w:r>
    </w:p>
    <w:p w:rsidR="00A44D85" w:rsidRPr="00A44D85" w:rsidRDefault="00A44D85" w:rsidP="00A44D85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hyperlink r:id="rId9" w:anchor="art253ii" w:history="1">
        <w:r w:rsidRPr="00A44D85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pt-BR"/>
            <w14:ligatures w14:val="none"/>
          </w:rPr>
          <w:t>II - </w:t>
        </w:r>
      </w:hyperlink>
      <w:r w:rsidRPr="00A44D85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quando, tendo sido extinto o processo, sem julgamento de mérito, for reiterado o pedido, ainda que em litisconsórcio com outros autores ou que sejam parcialmente alterados os réus da demanda;</w:t>
      </w:r>
    </w:p>
    <w:p w:rsidR="00A44D85" w:rsidRPr="00A44D85" w:rsidRDefault="00A44D85" w:rsidP="00A44D85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hyperlink r:id="rId10" w:anchor="art253iii" w:history="1">
        <w:r w:rsidRPr="00A44D85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pt-BR"/>
            <w14:ligatures w14:val="none"/>
          </w:rPr>
          <w:t>III - </w:t>
        </w:r>
      </w:hyperlink>
      <w:r w:rsidRPr="00A44D85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quando houver ajuizamento de ações idênticas, ao juízo prevento.</w:t>
      </w:r>
    </w:p>
    <w:p w:rsidR="00A44D85" w:rsidRPr="00A44D85" w:rsidRDefault="00A44D85" w:rsidP="00A44D85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r w:rsidRPr="00A44D85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.................................................................." (NR)</w:t>
      </w:r>
    </w:p>
    <w:p w:rsidR="00A44D85" w:rsidRPr="00A44D85" w:rsidRDefault="00A44D85" w:rsidP="00A44D85">
      <w:pPr>
        <w:spacing w:before="100" w:beforeAutospacing="1" w:after="100" w:afterAutospacing="1" w:line="240" w:lineRule="auto"/>
        <w:ind w:firstLine="450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bookmarkStart w:id="4" w:name="art5"/>
      <w:bookmarkEnd w:id="4"/>
      <w:r w:rsidRPr="00A44D85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Art. 5º O art. 305 da Lei nº 5.869, de 11 de janeiro de 1973, Código de Processo Civil, passa a vigorar com a seguinte redação:</w:t>
      </w:r>
    </w:p>
    <w:p w:rsidR="00A44D85" w:rsidRPr="00A44D85" w:rsidRDefault="00A44D85" w:rsidP="00A44D85">
      <w:pPr>
        <w:spacing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r w:rsidRPr="00A44D85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"Art. 305. ..................................................................</w:t>
      </w:r>
    </w:p>
    <w:p w:rsidR="00A44D85" w:rsidRPr="00A44D85" w:rsidRDefault="00A44D85" w:rsidP="00A44D85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hyperlink r:id="rId11" w:anchor="art305p" w:history="1">
        <w:r w:rsidRPr="00A44D85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pt-BR"/>
            <w14:ligatures w14:val="none"/>
          </w:rPr>
          <w:t>Parágrafo único. </w:t>
        </w:r>
      </w:hyperlink>
      <w:r w:rsidRPr="00A44D85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Na exceção de incompetência (art. 112 desta Lei), a petição pode ser protocolizada no juízo de domicílio do réu, com requerimento de sua imediata remessa ao juízo que determinou a citação." (NR)</w:t>
      </w:r>
    </w:p>
    <w:p w:rsidR="00A44D85" w:rsidRPr="00A44D85" w:rsidRDefault="00A44D85" w:rsidP="00A44D85">
      <w:pPr>
        <w:spacing w:before="100" w:beforeAutospacing="1" w:after="100" w:afterAutospacing="1" w:line="240" w:lineRule="auto"/>
        <w:ind w:firstLine="450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bookmarkStart w:id="5" w:name="art6"/>
      <w:bookmarkEnd w:id="5"/>
      <w:r w:rsidRPr="00A44D85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Art. 6º O art. 322 da Lei nº 5.869, de 11 de janeiro de 1973, Código de Processo Civil, passa a vigorar com a seguinte redação:</w:t>
      </w:r>
    </w:p>
    <w:p w:rsidR="00A44D85" w:rsidRPr="00A44D85" w:rsidRDefault="00A44D85" w:rsidP="00A44D85">
      <w:pPr>
        <w:spacing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r w:rsidRPr="00A44D85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" </w:t>
      </w:r>
      <w:hyperlink r:id="rId12" w:anchor="art322" w:history="1">
        <w:r w:rsidRPr="00A44D85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pt-BR"/>
            <w14:ligatures w14:val="none"/>
          </w:rPr>
          <w:t>Art. 322. </w:t>
        </w:r>
      </w:hyperlink>
      <w:r w:rsidRPr="00A44D85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Contra o revel que não tenha patrono nos autos, correrão os prazos independentemente de intimação, a partir da publicação de cada ato decisório.</w:t>
      </w:r>
    </w:p>
    <w:p w:rsidR="00A44D85" w:rsidRPr="00A44D85" w:rsidRDefault="00A44D85" w:rsidP="00A44D85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hyperlink r:id="rId13" w:anchor="art322p" w:history="1">
        <w:r w:rsidRPr="00A44D85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pt-BR"/>
            <w14:ligatures w14:val="none"/>
          </w:rPr>
          <w:t>Parágrafo único. </w:t>
        </w:r>
      </w:hyperlink>
      <w:r w:rsidRPr="00A44D85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O revel poderá intervir no processo em qualquer fase, recebendo-o no estado em que se encontrar." (NR)</w:t>
      </w:r>
    </w:p>
    <w:p w:rsidR="00A44D85" w:rsidRPr="00A44D85" w:rsidRDefault="00A44D85" w:rsidP="00A44D85">
      <w:pPr>
        <w:spacing w:before="100" w:beforeAutospacing="1" w:after="100" w:afterAutospacing="1" w:line="240" w:lineRule="auto"/>
        <w:ind w:firstLine="450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bookmarkStart w:id="6" w:name="art7"/>
      <w:bookmarkEnd w:id="6"/>
      <w:r w:rsidRPr="00A44D85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Art. 7º O art. 338 da Lei nº 5.869, de 11 de janeiro de 1973, Código de Processo Civil, passa a vigorar com a seguinte redação:</w:t>
      </w:r>
    </w:p>
    <w:p w:rsidR="00A44D85" w:rsidRPr="00A44D85" w:rsidRDefault="00A44D85" w:rsidP="00A44D85">
      <w:pPr>
        <w:spacing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r w:rsidRPr="00A44D85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" </w:t>
      </w:r>
      <w:hyperlink r:id="rId14" w:anchor="art338" w:history="1">
        <w:r w:rsidRPr="00A44D85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pt-BR"/>
            <w14:ligatures w14:val="none"/>
          </w:rPr>
          <w:t>Art. 338. </w:t>
        </w:r>
      </w:hyperlink>
      <w:r w:rsidRPr="00A44D85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A carta precatória e a carta rogatória suspenderão o processo, no caso previsto na alínea b do inciso IV do art. 265 desta Lei, quando, tendo sido requeridas antes da decisão de saneamento, a prova nelas solicitada apresentar-se imprescindível.</w:t>
      </w:r>
    </w:p>
    <w:p w:rsidR="00A44D85" w:rsidRPr="00A44D85" w:rsidRDefault="00A44D85" w:rsidP="00A44D85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r w:rsidRPr="00A44D85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.................................................................." (NR)</w:t>
      </w:r>
    </w:p>
    <w:p w:rsidR="00A44D85" w:rsidRPr="00A44D85" w:rsidRDefault="00A44D85" w:rsidP="00A44D85">
      <w:pPr>
        <w:spacing w:before="100" w:beforeAutospacing="1" w:after="100" w:afterAutospacing="1" w:line="240" w:lineRule="auto"/>
        <w:ind w:firstLine="450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bookmarkStart w:id="7" w:name="art8"/>
      <w:bookmarkEnd w:id="7"/>
      <w:r w:rsidRPr="00A44D85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Art. 8º O art. 489 da Lei nº 5.869, de 11 de janeiro de 1973, Código de Processo Civil, passa a vigorar com a seguinte redação:</w:t>
      </w:r>
    </w:p>
    <w:p w:rsidR="00A44D85" w:rsidRPr="00A44D85" w:rsidRDefault="00A44D85" w:rsidP="00A44D85">
      <w:pPr>
        <w:spacing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r w:rsidRPr="00A44D85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" </w:t>
      </w:r>
      <w:hyperlink r:id="rId15" w:anchor="art489" w:history="1">
        <w:r w:rsidRPr="00A44D85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pt-BR"/>
            <w14:ligatures w14:val="none"/>
          </w:rPr>
          <w:t>Art. 489. </w:t>
        </w:r>
      </w:hyperlink>
      <w:r w:rsidRPr="00A44D85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O ajuizamento da ação rescisória não impede o cumprimento da sentença ou acórdão rescindendo, ressalvada a concessão, caso imprescindíveis e sob os pressupostos previstos em lei, de medidas de natureza cautelar ou antecipatória de tutela." (NR)</w:t>
      </w:r>
    </w:p>
    <w:p w:rsidR="00A44D85" w:rsidRPr="00A44D85" w:rsidRDefault="00A44D85" w:rsidP="00A44D85">
      <w:pPr>
        <w:spacing w:before="100" w:beforeAutospacing="1" w:after="100" w:afterAutospacing="1" w:line="240" w:lineRule="auto"/>
        <w:ind w:firstLine="450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bookmarkStart w:id="8" w:name="art9"/>
      <w:bookmarkEnd w:id="8"/>
      <w:r w:rsidRPr="00A44D85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Art. 9º O art. 555 da Lei nº 5.869, de 11 de janeiro de 1973, Código de Processo Civil, passa a vigorar com a seguinte redação:</w:t>
      </w:r>
    </w:p>
    <w:p w:rsidR="00A44D85" w:rsidRPr="00A44D85" w:rsidRDefault="00A44D85" w:rsidP="00A44D85">
      <w:pPr>
        <w:spacing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r w:rsidRPr="00A44D85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"Art. 555. ..................................................................</w:t>
      </w:r>
    </w:p>
    <w:p w:rsidR="00A44D85" w:rsidRPr="00A44D85" w:rsidRDefault="00A44D85" w:rsidP="00A44D85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r w:rsidRPr="00A44D85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..................................................................</w:t>
      </w:r>
    </w:p>
    <w:p w:rsidR="00A44D85" w:rsidRPr="00A44D85" w:rsidRDefault="00A44D85" w:rsidP="00A44D85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hyperlink r:id="rId16" w:anchor="art555%C2%A72" w:history="1">
        <w:r w:rsidRPr="00A44D85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pt-BR"/>
            <w14:ligatures w14:val="none"/>
          </w:rPr>
          <w:t>§ 2º </w:t>
        </w:r>
      </w:hyperlink>
      <w:r w:rsidRPr="00A44D85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 xml:space="preserve">Não se considerando habilitado a proferir imediatamente seu voto, a qualquer juiz é facultado pedir vista do processo, devendo devolvê-lo no prazo de 10 (dez) dias, contados da </w:t>
      </w:r>
      <w:r w:rsidRPr="00A44D85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lastRenderedPageBreak/>
        <w:t xml:space="preserve">data em que o recebeu; o julgamento prosseguirá na 1ª (primeira) sessão ordinária </w:t>
      </w:r>
      <w:proofErr w:type="spellStart"/>
      <w:r w:rsidRPr="00A44D85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subseqüente</w:t>
      </w:r>
      <w:proofErr w:type="spellEnd"/>
      <w:r w:rsidRPr="00A44D85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 xml:space="preserve"> à devolução, dispensada nova publicação em pauta.</w:t>
      </w:r>
    </w:p>
    <w:p w:rsidR="00A44D85" w:rsidRPr="00A44D85" w:rsidRDefault="00A44D85" w:rsidP="00A44D85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hyperlink r:id="rId17" w:anchor="art555%C2%A73" w:history="1">
        <w:r w:rsidRPr="00A44D85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pt-BR"/>
            <w14:ligatures w14:val="none"/>
          </w:rPr>
          <w:t>§ 3º </w:t>
        </w:r>
      </w:hyperlink>
      <w:r w:rsidRPr="00A44D85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 xml:space="preserve">No caso do § 2º deste artigo, não devolvidos os autos no prazo, nem solicitada expressamente sua prorrogação pelo juiz, o presidente do órgão julgador requisitará o processo e reabrirá o julgamento na sessão ordinária </w:t>
      </w:r>
      <w:proofErr w:type="spellStart"/>
      <w:r w:rsidRPr="00A44D85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subseqüente</w:t>
      </w:r>
      <w:proofErr w:type="spellEnd"/>
      <w:r w:rsidRPr="00A44D85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, com publicação em pauta." (NR)</w:t>
      </w:r>
    </w:p>
    <w:p w:rsidR="00A44D85" w:rsidRPr="00A44D85" w:rsidRDefault="00A44D85" w:rsidP="00A44D85">
      <w:pPr>
        <w:spacing w:before="100" w:beforeAutospacing="1" w:after="100" w:afterAutospacing="1" w:line="240" w:lineRule="auto"/>
        <w:ind w:firstLine="450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bookmarkStart w:id="9" w:name="art10"/>
      <w:bookmarkEnd w:id="9"/>
      <w:r w:rsidRPr="00A44D85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Art. 10. Esta Lei entra em vigor 90 (noventa) dias após a data de sua publicação.</w:t>
      </w:r>
    </w:p>
    <w:p w:rsidR="00A44D85" w:rsidRPr="00A44D85" w:rsidRDefault="00A44D85" w:rsidP="00A44D85">
      <w:pPr>
        <w:spacing w:before="100" w:beforeAutospacing="1" w:after="100" w:afterAutospacing="1" w:line="240" w:lineRule="auto"/>
        <w:ind w:firstLine="450"/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</w:pPr>
      <w:bookmarkStart w:id="10" w:name="art11"/>
      <w:bookmarkEnd w:id="10"/>
      <w:r w:rsidRPr="00A44D85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Art. 11. Fica revogado o </w:t>
      </w:r>
      <w:hyperlink r:id="rId18" w:anchor="art194" w:history="1">
        <w:r w:rsidRPr="00A44D85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pt-BR"/>
            <w14:ligatures w14:val="none"/>
          </w:rPr>
          <w:t>art. 194 da Lei nº 10.406, de 10 de janeiro de 2002, </w:t>
        </w:r>
      </w:hyperlink>
      <w:r w:rsidRPr="00A44D85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Código Civil.</w:t>
      </w:r>
    </w:p>
    <w:p w:rsidR="00A44D85" w:rsidRPr="00A44D85" w:rsidRDefault="00A44D85" w:rsidP="00A44D85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val="pt-BR" w:eastAsia="pt-BR"/>
          <w14:ligatures w14:val="none"/>
        </w:rPr>
      </w:pPr>
      <w:r w:rsidRPr="00A44D85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Brasília, 16 de fevereiro de 2006; 185º da Independência e 118º da República.</w:t>
      </w:r>
    </w:p>
    <w:p w:rsidR="00A44D85" w:rsidRPr="00A44D85" w:rsidRDefault="00A44D85" w:rsidP="00A44D85">
      <w:pPr>
        <w:spacing w:before="100" w:beforeAutospacing="1" w:after="100" w:afterAutospacing="1" w:line="240" w:lineRule="auto"/>
        <w:ind w:firstLine="432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val="pt-BR" w:eastAsia="pt-BR"/>
          <w14:ligatures w14:val="none"/>
        </w:rPr>
      </w:pPr>
      <w:r w:rsidRPr="00A44D85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t>LUIZ INÁCIO LULA DA SILVA</w:t>
      </w:r>
      <w:r w:rsidRPr="00A44D85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pt-BR"/>
          <w14:ligatures w14:val="none"/>
        </w:rPr>
        <w:br/>
      </w:r>
      <w:r w:rsidRPr="00A44D85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val="pt-BR" w:eastAsia="pt-BR"/>
          <w14:ligatures w14:val="none"/>
        </w:rPr>
        <w:t>Márcio Thomaz Bastos</w:t>
      </w:r>
    </w:p>
    <w:p w:rsidR="00A44D85" w:rsidRPr="00A44D85" w:rsidRDefault="00A44D85" w:rsidP="00A44D85">
      <w:pPr>
        <w:spacing w:before="100" w:beforeAutospacing="1" w:after="100" w:afterAutospacing="1" w:line="240" w:lineRule="auto"/>
        <w:ind w:firstLine="432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val="pt-BR" w:eastAsia="pt-BR"/>
          <w14:ligatures w14:val="none"/>
        </w:rPr>
      </w:pPr>
      <w:r w:rsidRPr="00A44D85">
        <w:rPr>
          <w:rFonts w:ascii="Arial" w:eastAsia="Times New Roman" w:hAnsi="Arial" w:cs="Arial"/>
          <w:color w:val="FF0000"/>
          <w:kern w:val="0"/>
          <w:sz w:val="20"/>
          <w:szCs w:val="20"/>
          <w:lang w:val="pt-BR" w:eastAsia="pt-BR"/>
          <w14:ligatures w14:val="none"/>
        </w:rPr>
        <w:t>Este texto não substitui o publicado no D.O.U. de 17.2.2006</w:t>
      </w:r>
    </w:p>
    <w:p w:rsidR="00A44D85" w:rsidRPr="00A44D85" w:rsidRDefault="00A44D85" w:rsidP="00A44D85">
      <w:pPr>
        <w:spacing w:before="100" w:beforeAutospacing="1" w:after="100" w:afterAutospacing="1" w:line="240" w:lineRule="auto"/>
        <w:ind w:firstLine="432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val="pt-BR" w:eastAsia="pt-BR"/>
          <w14:ligatures w14:val="none"/>
        </w:rPr>
      </w:pPr>
      <w:r w:rsidRPr="00A44D85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pt-BR" w:eastAsia="pt-BR"/>
          <w14:ligatures w14:val="none"/>
        </w:rPr>
        <w:t>*</w:t>
      </w:r>
    </w:p>
    <w:p w:rsidR="000D2732" w:rsidRDefault="000D2732"/>
    <w:sectPr w:rsidR="000D273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4D85"/>
    <w:rsid w:val="000D2732"/>
    <w:rsid w:val="00A44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88D0E9-B2A7-49A0-B431-D61440CCC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419"/>
    </w:rPr>
  </w:style>
  <w:style w:type="paragraph" w:styleId="Ttulo1">
    <w:name w:val="heading 1"/>
    <w:basedOn w:val="Normal"/>
    <w:link w:val="Ttulo1Char"/>
    <w:uiPriority w:val="9"/>
    <w:qFormat/>
    <w:rsid w:val="00A44D8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pt-BR" w:eastAsia="pt-BR"/>
      <w14:ligatures w14:val="none"/>
    </w:rPr>
  </w:style>
  <w:style w:type="paragraph" w:styleId="Ttulo2">
    <w:name w:val="heading 2"/>
    <w:basedOn w:val="Normal"/>
    <w:link w:val="Ttulo2Char"/>
    <w:uiPriority w:val="9"/>
    <w:qFormat/>
    <w:rsid w:val="00A44D8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val="pt-BR" w:eastAsia="pt-BR"/>
      <w14:ligatures w14:val="none"/>
    </w:rPr>
  </w:style>
  <w:style w:type="paragraph" w:styleId="Ttulo3">
    <w:name w:val="heading 3"/>
    <w:basedOn w:val="Normal"/>
    <w:link w:val="Ttulo3Char"/>
    <w:uiPriority w:val="9"/>
    <w:qFormat/>
    <w:rsid w:val="00A44D8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val="pt-BR" w:eastAsia="pt-BR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A44D85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  <w14:ligatures w14:val="none"/>
    </w:rPr>
  </w:style>
  <w:style w:type="character" w:customStyle="1" w:styleId="Ttulo2Char">
    <w:name w:val="Título 2 Char"/>
    <w:basedOn w:val="Fontepargpadro"/>
    <w:link w:val="Ttulo2"/>
    <w:uiPriority w:val="9"/>
    <w:rsid w:val="00A44D85"/>
    <w:rPr>
      <w:rFonts w:ascii="Times New Roman" w:eastAsia="Times New Roman" w:hAnsi="Times New Roman" w:cs="Times New Roman"/>
      <w:b/>
      <w:bCs/>
      <w:kern w:val="0"/>
      <w:sz w:val="36"/>
      <w:szCs w:val="36"/>
      <w:lang w:eastAsia="pt-BR"/>
      <w14:ligatures w14:val="none"/>
    </w:rPr>
  </w:style>
  <w:style w:type="character" w:customStyle="1" w:styleId="Ttulo3Char">
    <w:name w:val="Título 3 Char"/>
    <w:basedOn w:val="Fontepargpadro"/>
    <w:link w:val="Ttulo3"/>
    <w:uiPriority w:val="9"/>
    <w:rsid w:val="00A44D85"/>
    <w:rPr>
      <w:rFonts w:ascii="Times New Roman" w:eastAsia="Times New Roman" w:hAnsi="Times New Roman" w:cs="Times New Roman"/>
      <w:b/>
      <w:bCs/>
      <w:kern w:val="0"/>
      <w:sz w:val="27"/>
      <w:szCs w:val="27"/>
      <w:lang w:eastAsia="pt-BR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A44D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pt-BR" w:eastAsia="pt-BR"/>
      <w14:ligatures w14:val="none"/>
    </w:rPr>
  </w:style>
  <w:style w:type="character" w:styleId="Hyperlink">
    <w:name w:val="Hyperlink"/>
    <w:basedOn w:val="Fontepargpadro"/>
    <w:uiPriority w:val="99"/>
    <w:semiHidden/>
    <w:unhideWhenUsed/>
    <w:rsid w:val="00A44D85"/>
    <w:rPr>
      <w:color w:val="0000FF"/>
      <w:u w:val="single"/>
    </w:rPr>
  </w:style>
  <w:style w:type="character" w:styleId="Forte">
    <w:name w:val="Strong"/>
    <w:basedOn w:val="Fontepargpadro"/>
    <w:uiPriority w:val="22"/>
    <w:qFormat/>
    <w:rsid w:val="00A44D85"/>
    <w:rPr>
      <w:b/>
      <w:bCs/>
    </w:rPr>
  </w:style>
  <w:style w:type="character" w:styleId="nfase">
    <w:name w:val="Emphasis"/>
    <w:basedOn w:val="Fontepargpadro"/>
    <w:uiPriority w:val="20"/>
    <w:qFormat/>
    <w:rsid w:val="00A44D8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689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78428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53696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83205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70028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103618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24374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42761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851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05083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16910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142068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08297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55241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05494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543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39056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347927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24046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lanalto.gov.br/ccivil_03/LEIS/L5869.bak2" TargetMode="External"/><Relationship Id="rId13" Type="http://schemas.openxmlformats.org/officeDocument/2006/relationships/hyperlink" Target="https://www.planalto.gov.br/ccivil_03/LEIS/L5869.bak2" TargetMode="External"/><Relationship Id="rId18" Type="http://schemas.openxmlformats.org/officeDocument/2006/relationships/hyperlink" Target="https://www.planalto.gov.br/ccivil_03/LEIS/2002/L10406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planalto.gov.br/ccivil_03/LEIS/L5869.bak2" TargetMode="External"/><Relationship Id="rId12" Type="http://schemas.openxmlformats.org/officeDocument/2006/relationships/hyperlink" Target="https://www.planalto.gov.br/ccivil_03/LEIS/L5869.bak2" TargetMode="External"/><Relationship Id="rId17" Type="http://schemas.openxmlformats.org/officeDocument/2006/relationships/hyperlink" Target="https://www.planalto.gov.br/ccivil_03/LEIS/L5869.bak2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planalto.gov.br/ccivil_03/LEIS/L5869.bak2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www.planalto.gov.br/ccivil_03/LEIS/L5869.bak2" TargetMode="External"/><Relationship Id="rId11" Type="http://schemas.openxmlformats.org/officeDocument/2006/relationships/hyperlink" Target="https://www.planalto.gov.br/ccivil_03/LEIS/L5869.bak2" TargetMode="External"/><Relationship Id="rId5" Type="http://schemas.openxmlformats.org/officeDocument/2006/relationships/hyperlink" Target="https://www.planalto.gov.br/ccivil_03/LEIS/L5869.bak2" TargetMode="External"/><Relationship Id="rId15" Type="http://schemas.openxmlformats.org/officeDocument/2006/relationships/hyperlink" Target="https://www.planalto.gov.br/ccivil_03/LEIS/L5869.bak2" TargetMode="External"/><Relationship Id="rId10" Type="http://schemas.openxmlformats.org/officeDocument/2006/relationships/hyperlink" Target="https://www.planalto.gov.br/ccivil_03/LEIS/L5869.bak2" TargetMode="External"/><Relationship Id="rId19" Type="http://schemas.openxmlformats.org/officeDocument/2006/relationships/fontTable" Target="fontTable.xml"/><Relationship Id="rId4" Type="http://schemas.openxmlformats.org/officeDocument/2006/relationships/hyperlink" Target="http://legislacao.planalto.gov.br/legisla/legislacao.nsf/Viw_Identificacao/lei%2011.280-2006?OpenDocument" TargetMode="External"/><Relationship Id="rId9" Type="http://schemas.openxmlformats.org/officeDocument/2006/relationships/hyperlink" Target="https://www.planalto.gov.br/ccivil_03/LEIS/L5869.bak2" TargetMode="External"/><Relationship Id="rId14" Type="http://schemas.openxmlformats.org/officeDocument/2006/relationships/hyperlink" Target="https://www.planalto.gov.br/ccivil_03/LEIS/L5869.bak2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1089</Words>
  <Characters>5883</Characters>
  <Application>Microsoft Office Word</Application>
  <DocSecurity>0</DocSecurity>
  <Lines>49</Lines>
  <Paragraphs>13</Paragraphs>
  <ScaleCrop>false</ScaleCrop>
  <Company/>
  <LinksUpToDate>false</LinksUpToDate>
  <CharactersWithSpaces>6959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 Leite</dc:creator>
  <cp:keywords/>
  <dc:description/>
  <cp:lastModifiedBy>Carol Leite</cp:lastModifiedBy>
  <cp:revision>1</cp:revision>
  <dcterms:created xsi:type="dcterms:W3CDTF">2023-05-07T15:29:00Z</dcterms:created>
  <dcterms:modified xsi:type="dcterms:W3CDTF">2023-05-07T15:32:00Z</dcterms:modified>
</cp:coreProperties>
</file>