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E5217F" w:rsidRPr="00E5217F" w14:paraId="06DFD0F8" w14:textId="77777777" w:rsidTr="00E5217F">
        <w:trPr>
          <w:tblCellSpacing w:w="0" w:type="dxa"/>
          <w:jc w:val="center"/>
        </w:trPr>
        <w:tc>
          <w:tcPr>
            <w:tcW w:w="700" w:type="pct"/>
            <w:vAlign w:val="center"/>
            <w:hideMark/>
          </w:tcPr>
          <w:p w14:paraId="1C50D7C3" w14:textId="40BC4658" w:rsidR="00E5217F" w:rsidRPr="00E5217F" w:rsidRDefault="00E5217F" w:rsidP="00E5217F">
            <w:pPr>
              <w:spacing w:before="100" w:beforeAutospacing="1" w:after="100" w:afterAutospacing="1" w:line="240" w:lineRule="auto"/>
              <w:jc w:val="center"/>
              <w:rPr>
                <w:rFonts w:ascii="Times New Roman" w:eastAsia="Times New Roman" w:hAnsi="Times New Roman" w:cs="Times New Roman"/>
                <w:sz w:val="24"/>
                <w:szCs w:val="24"/>
              </w:rPr>
            </w:pPr>
            <w:r w:rsidRPr="00E5217F">
              <w:rPr>
                <w:rFonts w:ascii="Times New Roman" w:eastAsia="Times New Roman" w:hAnsi="Times New Roman" w:cs="Times New Roman"/>
                <w:noProof/>
                <w:sz w:val="24"/>
                <w:szCs w:val="24"/>
              </w:rPr>
              <mc:AlternateContent>
                <mc:Choice Requires="wps">
                  <w:drawing>
                    <wp:inline distT="0" distB="0" distL="0" distR="0" wp14:anchorId="4FD793E0" wp14:editId="145FF810">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556241"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64721015" w14:textId="77777777" w:rsidR="00E5217F" w:rsidRPr="00E5217F" w:rsidRDefault="00E5217F" w:rsidP="00E5217F">
            <w:pPr>
              <w:spacing w:before="100" w:beforeAutospacing="1" w:after="100" w:afterAutospacing="1" w:line="240" w:lineRule="auto"/>
              <w:jc w:val="center"/>
              <w:rPr>
                <w:rFonts w:ascii="Times New Roman" w:eastAsia="Times New Roman" w:hAnsi="Times New Roman" w:cs="Times New Roman"/>
                <w:sz w:val="24"/>
                <w:szCs w:val="24"/>
              </w:rPr>
            </w:pPr>
            <w:r w:rsidRPr="00E5217F">
              <w:rPr>
                <w:rFonts w:ascii="Arial" w:eastAsia="Times New Roman" w:hAnsi="Arial" w:cs="Arial"/>
                <w:b/>
                <w:bCs/>
                <w:color w:val="808000"/>
                <w:sz w:val="36"/>
                <w:szCs w:val="36"/>
              </w:rPr>
              <w:t>Presidência da República</w:t>
            </w:r>
            <w:r w:rsidRPr="00E5217F">
              <w:rPr>
                <w:rFonts w:ascii="Arial" w:eastAsia="Times New Roman" w:hAnsi="Arial" w:cs="Arial"/>
                <w:b/>
                <w:bCs/>
                <w:color w:val="808000"/>
                <w:sz w:val="24"/>
                <w:szCs w:val="24"/>
              </w:rPr>
              <w:br/>
            </w:r>
            <w:r w:rsidRPr="00E5217F">
              <w:rPr>
                <w:rFonts w:ascii="Arial" w:eastAsia="Times New Roman" w:hAnsi="Arial" w:cs="Arial"/>
                <w:b/>
                <w:bCs/>
                <w:color w:val="808000"/>
                <w:sz w:val="27"/>
                <w:szCs w:val="27"/>
              </w:rPr>
              <w:t>Casa Civil</w:t>
            </w:r>
            <w:r w:rsidRPr="00E5217F">
              <w:rPr>
                <w:rFonts w:ascii="Arial" w:eastAsia="Times New Roman" w:hAnsi="Arial" w:cs="Arial"/>
                <w:b/>
                <w:bCs/>
                <w:color w:val="808000"/>
                <w:sz w:val="27"/>
                <w:szCs w:val="27"/>
              </w:rPr>
              <w:br/>
            </w:r>
            <w:r w:rsidRPr="00E5217F">
              <w:rPr>
                <w:rFonts w:ascii="Arial" w:eastAsia="Times New Roman" w:hAnsi="Arial" w:cs="Arial"/>
                <w:b/>
                <w:bCs/>
                <w:color w:val="808000"/>
                <w:sz w:val="24"/>
                <w:szCs w:val="24"/>
              </w:rPr>
              <w:t>Subchefia para Assuntos Jurídicos</w:t>
            </w:r>
          </w:p>
        </w:tc>
      </w:tr>
    </w:tbl>
    <w:p w14:paraId="53607DAE" w14:textId="77777777" w:rsidR="00E5217F" w:rsidRPr="00E5217F" w:rsidRDefault="00E5217F" w:rsidP="00E5217F">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4" w:history="1">
        <w:r w:rsidRPr="00E5217F">
          <w:rPr>
            <w:rFonts w:ascii="Arial" w:eastAsia="Times New Roman" w:hAnsi="Arial" w:cs="Arial"/>
            <w:b/>
            <w:bCs/>
            <w:color w:val="0000FF"/>
            <w:sz w:val="24"/>
            <w:szCs w:val="24"/>
            <w:u w:val="single"/>
          </w:rPr>
          <w:t>LEI COMPLEMENTAR Nº 16, DE 30 DE OUTUBRO DE 1973</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E5217F" w:rsidRPr="00E5217F" w14:paraId="3916CB0C" w14:textId="77777777" w:rsidTr="00E5217F">
        <w:trPr>
          <w:tblCellSpacing w:w="0" w:type="dxa"/>
        </w:trPr>
        <w:tc>
          <w:tcPr>
            <w:tcW w:w="2550" w:type="pct"/>
            <w:vAlign w:val="center"/>
            <w:hideMark/>
          </w:tcPr>
          <w:p w14:paraId="37C24FE8" w14:textId="77777777" w:rsidR="00E5217F" w:rsidRPr="00E5217F" w:rsidRDefault="00E5217F" w:rsidP="00E5217F">
            <w:pPr>
              <w:spacing w:after="0" w:line="240" w:lineRule="auto"/>
              <w:rPr>
                <w:rFonts w:ascii="Times New Roman" w:eastAsia="Times New Roman" w:hAnsi="Times New Roman" w:cs="Times New Roman"/>
                <w:sz w:val="24"/>
                <w:szCs w:val="24"/>
              </w:rPr>
            </w:pPr>
            <w:hyperlink r:id="rId5" w:anchor="art9" w:history="1">
              <w:r w:rsidRPr="00E5217F">
                <w:rPr>
                  <w:rFonts w:ascii="Arial" w:eastAsia="Times New Roman" w:hAnsi="Arial" w:cs="Arial"/>
                  <w:color w:val="0000FF"/>
                  <w:sz w:val="20"/>
                  <w:szCs w:val="20"/>
                  <w:u w:val="single"/>
                </w:rPr>
                <w:t>Vigência</w:t>
              </w:r>
            </w:hyperlink>
          </w:p>
        </w:tc>
        <w:tc>
          <w:tcPr>
            <w:tcW w:w="2450" w:type="pct"/>
            <w:vAlign w:val="center"/>
            <w:hideMark/>
          </w:tcPr>
          <w:p w14:paraId="34804D00" w14:textId="77777777" w:rsidR="00E5217F" w:rsidRPr="00E5217F" w:rsidRDefault="00E5217F" w:rsidP="00E5217F">
            <w:pPr>
              <w:spacing w:before="100" w:beforeAutospacing="1" w:after="100" w:afterAutospacing="1" w:line="240" w:lineRule="auto"/>
              <w:rPr>
                <w:rFonts w:ascii="Times New Roman" w:eastAsia="Times New Roman" w:hAnsi="Times New Roman" w:cs="Times New Roman"/>
                <w:sz w:val="24"/>
                <w:szCs w:val="24"/>
              </w:rPr>
            </w:pPr>
            <w:r w:rsidRPr="00E5217F">
              <w:rPr>
                <w:rFonts w:ascii="Arial" w:eastAsia="Times New Roman" w:hAnsi="Arial" w:cs="Arial"/>
                <w:color w:val="800000"/>
                <w:sz w:val="20"/>
                <w:szCs w:val="20"/>
              </w:rPr>
              <w:t>Altera a redação de dispositivos da Lei Complementar nº 11, de 25 de maio de 1971, e dá outras providências.</w:t>
            </w:r>
          </w:p>
        </w:tc>
      </w:tr>
    </w:tbl>
    <w:p w14:paraId="3A78613A" w14:textId="77777777" w:rsidR="00E5217F" w:rsidRPr="00E5217F" w:rsidRDefault="00E5217F" w:rsidP="00E5217F">
      <w:pPr>
        <w:spacing w:before="100" w:beforeAutospacing="1" w:after="100" w:afterAutospacing="1" w:line="240" w:lineRule="auto"/>
        <w:ind w:firstLine="525"/>
        <w:jc w:val="both"/>
        <w:rPr>
          <w:rFonts w:ascii="Arial" w:eastAsia="Times New Roman" w:hAnsi="Arial" w:cs="Arial"/>
          <w:color w:val="000000"/>
          <w:sz w:val="27"/>
          <w:szCs w:val="27"/>
        </w:rPr>
      </w:pPr>
      <w:r w:rsidRPr="00E5217F">
        <w:rPr>
          <w:rFonts w:ascii="Arial" w:eastAsia="Times New Roman" w:hAnsi="Arial" w:cs="Arial"/>
          <w:b/>
          <w:bCs/>
          <w:color w:val="000000"/>
          <w:sz w:val="24"/>
          <w:szCs w:val="24"/>
        </w:rPr>
        <w:t>O PRESIDENTE DA REPÚBLICA: </w:t>
      </w:r>
      <w:r w:rsidRPr="00E5217F">
        <w:rPr>
          <w:rFonts w:ascii="Arial" w:eastAsia="Times New Roman" w:hAnsi="Arial" w:cs="Arial"/>
          <w:color w:val="000000"/>
          <w:sz w:val="20"/>
          <w:szCs w:val="20"/>
        </w:rPr>
        <w:t>Faço saber que o Congresso Nacional decreta e eu sanciono a seguinte Lei Complementar:</w:t>
      </w:r>
    </w:p>
    <w:p w14:paraId="3736CE0E"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0" w:name="art1"/>
      <w:bookmarkEnd w:id="0"/>
      <w:r w:rsidRPr="00E5217F">
        <w:rPr>
          <w:rFonts w:ascii="Arial" w:eastAsia="Times New Roman" w:hAnsi="Arial" w:cs="Arial"/>
          <w:color w:val="000000"/>
          <w:sz w:val="20"/>
          <w:szCs w:val="20"/>
        </w:rPr>
        <w:t>Art. 1º A </w:t>
      </w:r>
      <w:hyperlink r:id="rId6" w:history="1">
        <w:r w:rsidRPr="00E5217F">
          <w:rPr>
            <w:rFonts w:ascii="Arial" w:eastAsia="Times New Roman" w:hAnsi="Arial" w:cs="Arial"/>
            <w:color w:val="0000FF"/>
            <w:sz w:val="20"/>
            <w:szCs w:val="20"/>
            <w:u w:val="single"/>
          </w:rPr>
          <w:t>Lei Complementar nº 11, de 25 de maio de 1971</w:t>
        </w:r>
      </w:hyperlink>
      <w:r w:rsidRPr="00E5217F">
        <w:rPr>
          <w:rFonts w:ascii="Arial" w:eastAsia="Times New Roman" w:hAnsi="Arial" w:cs="Arial"/>
          <w:color w:val="000000"/>
          <w:sz w:val="20"/>
          <w:szCs w:val="20"/>
        </w:rPr>
        <w:t>, passa a vigorar com as seguintes alterações:</w:t>
      </w:r>
    </w:p>
    <w:p w14:paraId="4C8BBCB6" w14:textId="77777777" w:rsidR="00E5217F" w:rsidRPr="00E5217F" w:rsidRDefault="00E5217F" w:rsidP="00E5217F">
      <w:pPr>
        <w:spacing w:beforeAutospacing="1" w:after="100" w:afterAutospacing="1" w:line="240" w:lineRule="auto"/>
        <w:rPr>
          <w:rFonts w:ascii="Arial" w:eastAsia="Times New Roman" w:hAnsi="Arial" w:cs="Arial"/>
          <w:color w:val="000000"/>
          <w:sz w:val="27"/>
          <w:szCs w:val="27"/>
        </w:rPr>
      </w:pPr>
      <w:hyperlink r:id="rId7" w:anchor="art9" w:history="1">
        <w:r w:rsidRPr="00E5217F">
          <w:rPr>
            <w:rFonts w:ascii="Arial" w:eastAsia="Times New Roman" w:hAnsi="Arial" w:cs="Arial"/>
            <w:color w:val="0000FF"/>
            <w:sz w:val="20"/>
            <w:szCs w:val="20"/>
            <w:u w:val="single"/>
          </w:rPr>
          <w:t>"Art. 9º</w:t>
        </w:r>
      </w:hyperlink>
      <w:r w:rsidRPr="00E5217F">
        <w:rPr>
          <w:rFonts w:ascii="Arial" w:eastAsia="Times New Roman" w:hAnsi="Arial" w:cs="Arial"/>
          <w:color w:val="000000"/>
          <w:sz w:val="20"/>
          <w:szCs w:val="20"/>
        </w:rPr>
        <w:t> O auxílio-funeral, no importe de um salário mínimo de maior valor vigente no País, será devido por morte do trabalhador rural, chefe ou arrimo da unidade familiar, ou de seu cônjuge dependente, e pago a quem, dependente ou não, houver, comprovadamente, promovido, à suas expensas, o sepultamento.</w:t>
      </w:r>
    </w:p>
    <w:p w14:paraId="27D372DA" w14:textId="77777777" w:rsidR="00E5217F" w:rsidRPr="00E5217F" w:rsidRDefault="00E5217F" w:rsidP="00E5217F">
      <w:pPr>
        <w:spacing w:before="100" w:beforeAutospacing="1" w:after="100" w:afterAutospacing="1" w:line="240" w:lineRule="auto"/>
        <w:rPr>
          <w:rFonts w:ascii="Arial" w:eastAsia="Times New Roman" w:hAnsi="Arial" w:cs="Arial"/>
          <w:color w:val="000000"/>
          <w:sz w:val="27"/>
          <w:szCs w:val="27"/>
        </w:rPr>
      </w:pPr>
      <w:hyperlink r:id="rId8" w:anchor="art11" w:history="1">
        <w:r w:rsidRPr="00E5217F">
          <w:rPr>
            <w:rFonts w:ascii="Arial" w:eastAsia="Times New Roman" w:hAnsi="Arial" w:cs="Arial"/>
            <w:color w:val="0000FF"/>
            <w:sz w:val="20"/>
            <w:szCs w:val="20"/>
            <w:u w:val="single"/>
          </w:rPr>
          <w:t>Art. 11</w:t>
        </w:r>
      </w:hyperlink>
      <w:r w:rsidRPr="00E5217F">
        <w:rPr>
          <w:rFonts w:ascii="Arial" w:eastAsia="Times New Roman" w:hAnsi="Arial" w:cs="Arial"/>
          <w:color w:val="000000"/>
          <w:sz w:val="20"/>
          <w:szCs w:val="20"/>
        </w:rPr>
        <w:t>. A concessão das prestações pecuniárias asseguradas por esta Lei Complementar será devida a partir do mês de janeiro de 1972, arredondando-se os respectivos valores globais para a unidade de cruzeiro imediatamente superior, quando for o caso.</w:t>
      </w:r>
    </w:p>
    <w:p w14:paraId="75E9DBC6" w14:textId="77777777" w:rsidR="00E5217F" w:rsidRPr="00E5217F" w:rsidRDefault="00E5217F" w:rsidP="00E5217F">
      <w:pPr>
        <w:spacing w:before="100" w:beforeAutospacing="1" w:after="100" w:afterAutospacing="1" w:line="240" w:lineRule="auto"/>
        <w:rPr>
          <w:rFonts w:ascii="Arial" w:eastAsia="Times New Roman" w:hAnsi="Arial" w:cs="Arial"/>
          <w:color w:val="000000"/>
          <w:sz w:val="27"/>
          <w:szCs w:val="27"/>
        </w:rPr>
      </w:pPr>
      <w:r w:rsidRPr="00E5217F">
        <w:rPr>
          <w:rFonts w:ascii="Arial" w:eastAsia="Times New Roman" w:hAnsi="Arial" w:cs="Arial"/>
          <w:color w:val="000000"/>
          <w:sz w:val="20"/>
          <w:szCs w:val="20"/>
        </w:rPr>
        <w:t>Art. 15.</w:t>
      </w:r>
    </w:p>
    <w:p w14:paraId="27A13F2E" w14:textId="77777777" w:rsidR="00E5217F" w:rsidRPr="00E5217F" w:rsidRDefault="00E5217F" w:rsidP="00E5217F">
      <w:pPr>
        <w:spacing w:before="100" w:beforeAutospacing="1" w:after="100" w:afterAutospacing="1" w:line="240" w:lineRule="auto"/>
        <w:rPr>
          <w:rFonts w:ascii="Arial" w:eastAsia="Times New Roman" w:hAnsi="Arial" w:cs="Arial"/>
          <w:color w:val="000000"/>
          <w:sz w:val="27"/>
          <w:szCs w:val="27"/>
        </w:rPr>
      </w:pPr>
      <w:r w:rsidRPr="00E5217F">
        <w:rPr>
          <w:rFonts w:ascii="Arial" w:eastAsia="Times New Roman" w:hAnsi="Arial" w:cs="Arial"/>
          <w:color w:val="000000"/>
          <w:sz w:val="20"/>
          <w:szCs w:val="20"/>
        </w:rPr>
        <w:t>I.</w:t>
      </w:r>
      <w:r w:rsidRPr="00E5217F">
        <w:rPr>
          <w:rFonts w:ascii="Arial" w:eastAsia="Times New Roman" w:hAnsi="Arial" w:cs="Arial"/>
          <w:color w:val="000000"/>
          <w:sz w:val="27"/>
          <w:szCs w:val="27"/>
        </w:rPr>
        <w:t> </w:t>
      </w:r>
      <w:r w:rsidRPr="00E5217F">
        <w:rPr>
          <w:rFonts w:ascii="Arial" w:eastAsia="Times New Roman" w:hAnsi="Arial" w:cs="Arial"/>
          <w:color w:val="000000"/>
          <w:sz w:val="24"/>
          <w:szCs w:val="24"/>
        </w:rPr>
        <w:t>.............................................................................................</w:t>
      </w:r>
    </w:p>
    <w:p w14:paraId="7001921D" w14:textId="77777777" w:rsidR="00E5217F" w:rsidRPr="00E5217F" w:rsidRDefault="00E5217F" w:rsidP="00E5217F">
      <w:pPr>
        <w:spacing w:before="100" w:beforeAutospacing="1" w:after="100" w:afterAutospacing="1" w:line="240" w:lineRule="auto"/>
        <w:rPr>
          <w:rFonts w:ascii="Arial" w:eastAsia="Times New Roman" w:hAnsi="Arial" w:cs="Arial"/>
          <w:color w:val="000000"/>
          <w:sz w:val="27"/>
          <w:szCs w:val="27"/>
        </w:rPr>
      </w:pPr>
      <w:hyperlink r:id="rId9" w:anchor="art15ib" w:history="1">
        <w:r w:rsidRPr="00E5217F">
          <w:rPr>
            <w:rFonts w:ascii="Arial" w:eastAsia="Times New Roman" w:hAnsi="Arial" w:cs="Arial"/>
            <w:color w:val="0000FF"/>
            <w:sz w:val="20"/>
            <w:szCs w:val="20"/>
            <w:u w:val="single"/>
          </w:rPr>
          <w:t>b)</w:t>
        </w:r>
      </w:hyperlink>
      <w:r w:rsidRPr="00E5217F">
        <w:rPr>
          <w:rFonts w:ascii="Arial" w:eastAsia="Times New Roman" w:hAnsi="Arial" w:cs="Arial"/>
          <w:color w:val="000000"/>
          <w:sz w:val="20"/>
          <w:szCs w:val="20"/>
        </w:rPr>
        <w:t> pelo produtor, quando ele próprio industrializar seus produtos vendê-los ao consumidor, no varejo, ou a adquirente domiciliado no exterior;</w:t>
      </w:r>
    </w:p>
    <w:p w14:paraId="074F4A8A" w14:textId="77777777" w:rsidR="00E5217F" w:rsidRPr="00E5217F" w:rsidRDefault="00E5217F" w:rsidP="00E5217F">
      <w:pPr>
        <w:spacing w:before="100" w:beforeAutospacing="1" w:after="100" w:afterAutospacing="1" w:line="240" w:lineRule="auto"/>
        <w:rPr>
          <w:rFonts w:ascii="Arial" w:eastAsia="Times New Roman" w:hAnsi="Arial" w:cs="Arial"/>
          <w:color w:val="000000"/>
          <w:sz w:val="27"/>
          <w:szCs w:val="27"/>
        </w:rPr>
      </w:pPr>
      <w:hyperlink r:id="rId10" w:anchor="art15%C2%A71" w:history="1">
        <w:r w:rsidRPr="00E5217F">
          <w:rPr>
            <w:rFonts w:ascii="Arial" w:eastAsia="Times New Roman" w:hAnsi="Arial" w:cs="Arial"/>
            <w:color w:val="0000FF"/>
            <w:sz w:val="20"/>
            <w:szCs w:val="20"/>
            <w:u w:val="single"/>
          </w:rPr>
          <w:t>§ 1º</w:t>
        </w:r>
      </w:hyperlink>
      <w:r w:rsidRPr="00E5217F">
        <w:rPr>
          <w:rFonts w:ascii="Arial" w:eastAsia="Times New Roman" w:hAnsi="Arial" w:cs="Arial"/>
          <w:color w:val="000000"/>
          <w:sz w:val="20"/>
          <w:szCs w:val="20"/>
        </w:rPr>
        <w:t> Entende-se como produto rural todo aquele que, não tendo sofrido qualquer processo de industrialização, provenha de origem vegetal ou animal inclusive as espécies aquáticas, ainda que haja sido submetido a beneficiamento, assim compreendidos os processos primários de preparação do produto para consumo imediato ou posterior industrialização, tais como descaroçamento, pilagem, descaroçamento limpeza, abate o seccionamento de árvores, pasteurização, resfriamento, secagem, aferventação e outros do mesmo teor, estendendo-se aos subprodutos e resíduos obtidos através dessas operações a qualificação de produtos rurais".</w:t>
      </w:r>
    </w:p>
    <w:p w14:paraId="07EB481C"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1" w:name="art2"/>
      <w:bookmarkEnd w:id="1"/>
      <w:r w:rsidRPr="00E5217F">
        <w:rPr>
          <w:rFonts w:ascii="Arial" w:eastAsia="Times New Roman" w:hAnsi="Arial" w:cs="Arial"/>
          <w:color w:val="000000"/>
          <w:sz w:val="20"/>
          <w:szCs w:val="20"/>
        </w:rPr>
        <w:t>Art. 2º A habilitação do trabalhador rural e seus dependentes aos benefícios em dinheiro do PRORURAL será feita diretamente pelo beneficiário, salvo nos casos de moléstia contagiosa ou impossibilidade de locomoção, quando poderá ser promovida por procurador, mediante autorização expressa do FUNRURAL, que, no entanto, fica com o direito de negá-la se o beneficiário puder ser representado por órgão de serviço social ou entidade de classe rural.</w:t>
      </w:r>
    </w:p>
    <w:p w14:paraId="683A0195"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r w:rsidRPr="00E5217F">
        <w:rPr>
          <w:rFonts w:ascii="Arial" w:eastAsia="Times New Roman" w:hAnsi="Arial" w:cs="Arial"/>
          <w:color w:val="000000"/>
          <w:sz w:val="20"/>
          <w:szCs w:val="20"/>
        </w:rPr>
        <w:t>Parágrafo único. O disposto neste artigo aplica-se ao recebimento das prestações pecuniárias, estendendo-se aos casos de ausência.</w:t>
      </w:r>
    </w:p>
    <w:p w14:paraId="145B9FCD"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2" w:name="art3"/>
      <w:bookmarkEnd w:id="2"/>
      <w:r w:rsidRPr="00E5217F">
        <w:rPr>
          <w:rFonts w:ascii="Arial" w:eastAsia="Times New Roman" w:hAnsi="Arial" w:cs="Arial"/>
          <w:color w:val="000000"/>
          <w:sz w:val="20"/>
          <w:szCs w:val="20"/>
        </w:rPr>
        <w:t>Art. 3º A aposentadoria por idade concedida ao trabalhador rural, na forma da mencionada </w:t>
      </w:r>
      <w:hyperlink r:id="rId11" w:history="1">
        <w:r w:rsidRPr="00E5217F">
          <w:rPr>
            <w:rFonts w:ascii="Arial" w:eastAsia="Times New Roman" w:hAnsi="Arial" w:cs="Arial"/>
            <w:color w:val="0000FF"/>
            <w:sz w:val="20"/>
            <w:szCs w:val="20"/>
            <w:u w:val="single"/>
          </w:rPr>
          <w:t>Lei Complementar nº 11</w:t>
        </w:r>
      </w:hyperlink>
      <w:r w:rsidRPr="00E5217F">
        <w:rPr>
          <w:rFonts w:ascii="Arial" w:eastAsia="Times New Roman" w:hAnsi="Arial" w:cs="Arial"/>
          <w:color w:val="000000"/>
          <w:sz w:val="20"/>
          <w:szCs w:val="20"/>
        </w:rPr>
        <w:t> e sua regulamentação, não acarreta a rescisão do respectivo contrato de trabalho, nem constitui justa causa para a dispensa.</w:t>
      </w:r>
    </w:p>
    <w:p w14:paraId="1A0E39D1"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r w:rsidRPr="00E5217F">
        <w:rPr>
          <w:rFonts w:ascii="Arial" w:eastAsia="Times New Roman" w:hAnsi="Arial" w:cs="Arial"/>
          <w:color w:val="000000"/>
          <w:sz w:val="20"/>
          <w:szCs w:val="20"/>
        </w:rPr>
        <w:lastRenderedPageBreak/>
        <w:t>§ 1º Constitui justa causa, para efeito do disposto neste artigo, além de outras razões devidamente apuradas em inquérito administrativo a cargo do Ministério do Trabalho e Previdência Social, a incapacidade total e permanente, resultante de idade avançada, enfermidade ou lesão orgânica, comprovada mediante perícia médica requerida à Delegacia Regional do Trabalho.</w:t>
      </w:r>
    </w:p>
    <w:p w14:paraId="2ECCBF33"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r w:rsidRPr="00E5217F">
        <w:rPr>
          <w:rFonts w:ascii="Arial" w:eastAsia="Times New Roman" w:hAnsi="Arial" w:cs="Arial"/>
          <w:color w:val="000000"/>
          <w:sz w:val="20"/>
          <w:szCs w:val="20"/>
        </w:rPr>
        <w:t>§ 2º O trabalhador rural que houver sido dispensado antes da publicação desta Lei Complementar, após lhe ter sido concedida a aposentadoria por velhice, deverá ser reintegrado, aplicando-se-lhe, igualmente, o disposto no parágrafo anterior.</w:t>
      </w:r>
    </w:p>
    <w:p w14:paraId="7FCFCACF"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3" w:name="art4"/>
      <w:bookmarkEnd w:id="3"/>
      <w:r w:rsidRPr="00E5217F">
        <w:rPr>
          <w:rFonts w:ascii="Arial" w:eastAsia="Times New Roman" w:hAnsi="Arial" w:cs="Arial"/>
          <w:color w:val="000000"/>
          <w:sz w:val="20"/>
          <w:szCs w:val="20"/>
        </w:rPr>
        <w:t>Art. 4º Os empregados que prestam exclusivamente serviços de natureza rural às empresas agroindustriais e agrocomerciais são considerados beneficiários do PRORURAL, ressalvado o disposto no parágrafo único deste artigo.</w:t>
      </w:r>
    </w:p>
    <w:p w14:paraId="61A46BBF"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r w:rsidRPr="00E5217F">
        <w:rPr>
          <w:rFonts w:ascii="Arial" w:eastAsia="Times New Roman" w:hAnsi="Arial" w:cs="Arial"/>
          <w:color w:val="000000"/>
          <w:sz w:val="20"/>
          <w:szCs w:val="20"/>
        </w:rPr>
        <w:t>Parágrafo único. Aos empregados referidos neste artigo que, pelo menos, desde a data da </w:t>
      </w:r>
      <w:hyperlink r:id="rId12" w:history="1">
        <w:r w:rsidRPr="00E5217F">
          <w:rPr>
            <w:rFonts w:ascii="Arial" w:eastAsia="Times New Roman" w:hAnsi="Arial" w:cs="Arial"/>
            <w:color w:val="0000FF"/>
            <w:sz w:val="20"/>
            <w:szCs w:val="20"/>
            <w:u w:val="single"/>
          </w:rPr>
          <w:t>Lei Complementar nº 11, de 25 de maio de 1971</w:t>
        </w:r>
      </w:hyperlink>
      <w:r w:rsidRPr="00E5217F">
        <w:rPr>
          <w:rFonts w:ascii="Arial" w:eastAsia="Times New Roman" w:hAnsi="Arial" w:cs="Arial"/>
          <w:color w:val="000000"/>
          <w:sz w:val="20"/>
          <w:szCs w:val="20"/>
        </w:rPr>
        <w:t>, vem sofrendo, em seus salários, o desconto da contribuição devida ao INPS é garantida a condição de segurados desse Instituto, não podendo ser dispensados senão por justa causa, devidamente comprovada em inquérito administrativo a cargo do Ministério do Trabalho e Previdência Social.</w:t>
      </w:r>
    </w:p>
    <w:p w14:paraId="7BC664A9"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4" w:name="art5"/>
      <w:bookmarkEnd w:id="4"/>
      <w:r w:rsidRPr="00E5217F">
        <w:rPr>
          <w:rFonts w:ascii="Arial" w:eastAsia="Times New Roman" w:hAnsi="Arial" w:cs="Arial"/>
          <w:color w:val="000000"/>
          <w:sz w:val="20"/>
          <w:szCs w:val="20"/>
        </w:rPr>
        <w:t>Art. 5º A caracterização da qualidade de trabalhador rural, para efeito da concessão das prestações pecuniárias do PRORURAL, dependerá da comprovação de sua atividade pelo menos nos três últimos anos anteriores à data do pedido do benefício, ainda, que de forma descontínua.</w:t>
      </w:r>
    </w:p>
    <w:p w14:paraId="0510A547"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5" w:name="art6"/>
      <w:bookmarkEnd w:id="5"/>
      <w:r w:rsidRPr="00E5217F">
        <w:rPr>
          <w:rFonts w:ascii="Arial" w:eastAsia="Times New Roman" w:hAnsi="Arial" w:cs="Arial"/>
          <w:color w:val="000000"/>
          <w:sz w:val="20"/>
          <w:szCs w:val="20"/>
        </w:rPr>
        <w:t>Art. 6 º É fixada, a partir de janeiro de 1974, em 50% (cinquenta por cento) do salário mínimo de maior valor vigente no País, a mensalidade da pensão de que trata o </w:t>
      </w:r>
      <w:hyperlink r:id="rId13" w:anchor="art6" w:history="1">
        <w:r w:rsidRPr="00E5217F">
          <w:rPr>
            <w:rFonts w:ascii="Arial" w:eastAsia="Times New Roman" w:hAnsi="Arial" w:cs="Arial"/>
            <w:color w:val="0000FF"/>
            <w:sz w:val="20"/>
            <w:szCs w:val="20"/>
            <w:u w:val="single"/>
          </w:rPr>
          <w:t>artigo 6º, da Lei Complementar nº 11, de 25 de maio de 1971</w:t>
        </w:r>
      </w:hyperlink>
      <w:r w:rsidRPr="00E5217F">
        <w:rPr>
          <w:rFonts w:ascii="Arial" w:eastAsia="Times New Roman" w:hAnsi="Arial" w:cs="Arial"/>
          <w:color w:val="000000"/>
          <w:sz w:val="20"/>
          <w:szCs w:val="20"/>
        </w:rPr>
        <w:t>.</w:t>
      </w:r>
    </w:p>
    <w:p w14:paraId="6AA14E43"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6" w:name="art6§1"/>
      <w:bookmarkEnd w:id="6"/>
      <w:r w:rsidRPr="00E5217F">
        <w:rPr>
          <w:rFonts w:ascii="Arial" w:eastAsia="Times New Roman" w:hAnsi="Arial" w:cs="Arial"/>
          <w:color w:val="000000"/>
          <w:sz w:val="20"/>
          <w:szCs w:val="20"/>
        </w:rPr>
        <w:t>§.1º A pensão não será diminuída por redução do número de dependentes do trabalhador rural chefe ou arrimo da unidade familiar falecido, e o seu pagamento será sempre efetuado, pelo valor global, ao dependente que assumir a qualidade de novo chefe ou arrimo da unidade familiar.</w:t>
      </w:r>
    </w:p>
    <w:p w14:paraId="49444664"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7" w:name="art6§2"/>
      <w:bookmarkEnd w:id="7"/>
      <w:r w:rsidRPr="00E5217F">
        <w:rPr>
          <w:rFonts w:ascii="Arial" w:eastAsia="Times New Roman" w:hAnsi="Arial" w:cs="Arial"/>
          <w:color w:val="000000"/>
          <w:sz w:val="20"/>
          <w:szCs w:val="20"/>
        </w:rPr>
        <w:t>§ 2º Fica vedada a acumulação do benefício da pensão com o da aposentadoria por velhice ou por invalidez de que tratam os </w:t>
      </w:r>
      <w:hyperlink r:id="rId14" w:anchor="art4" w:history="1">
        <w:r w:rsidRPr="00E5217F">
          <w:rPr>
            <w:rFonts w:ascii="Arial" w:eastAsia="Times New Roman" w:hAnsi="Arial" w:cs="Arial"/>
            <w:color w:val="0000FF"/>
            <w:sz w:val="20"/>
            <w:szCs w:val="20"/>
            <w:u w:val="single"/>
          </w:rPr>
          <w:t>artigos 4º e 5º da Lei Complementar nº 11, de 25 de maio de 1971</w:t>
        </w:r>
      </w:hyperlink>
      <w:r w:rsidRPr="00E5217F">
        <w:rPr>
          <w:rFonts w:ascii="Arial" w:eastAsia="Times New Roman" w:hAnsi="Arial" w:cs="Arial"/>
          <w:color w:val="000000"/>
          <w:sz w:val="20"/>
          <w:szCs w:val="20"/>
        </w:rPr>
        <w:t>, ressalvado ao novo chefe ou arrimo da unidade familiar o direito de optar pela aposentadoria quando a ela fizer jus, sem prejuízo do disposto no parágrafo anterior.</w:t>
      </w:r>
    </w:p>
    <w:p w14:paraId="5B4D534D"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8" w:name="art7"/>
      <w:bookmarkEnd w:id="8"/>
      <w:r w:rsidRPr="00E5217F">
        <w:rPr>
          <w:rFonts w:ascii="Arial" w:eastAsia="Times New Roman" w:hAnsi="Arial" w:cs="Arial"/>
          <w:color w:val="000000"/>
          <w:sz w:val="20"/>
          <w:szCs w:val="20"/>
        </w:rPr>
        <w:t>Art. 7º O Poder Executivo, por intermédio do Ministério do Trabalho e Previdência Social, constituirá Comissão para avaliar os resultados do PRORURAL, estudar e planejar a majoração das percentagens relativas aos benefícios referidos no artigo 8º e a criação de novos benefícios.</w:t>
      </w:r>
    </w:p>
    <w:p w14:paraId="40819D2B"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9" w:name="art8"/>
      <w:bookmarkEnd w:id="9"/>
      <w:r w:rsidRPr="00E5217F">
        <w:rPr>
          <w:rFonts w:ascii="Arial" w:eastAsia="Times New Roman" w:hAnsi="Arial" w:cs="Arial"/>
          <w:color w:val="000000"/>
          <w:sz w:val="20"/>
          <w:szCs w:val="20"/>
        </w:rPr>
        <w:t>Art. 8º São fixadas como datas em que passam a ser devidas as mensalidades relativas aos benefícios de que tratam os </w:t>
      </w:r>
      <w:hyperlink r:id="rId15" w:anchor="art4" w:history="1">
        <w:r w:rsidRPr="00E5217F">
          <w:rPr>
            <w:rFonts w:ascii="Arial" w:eastAsia="Times New Roman" w:hAnsi="Arial" w:cs="Arial"/>
            <w:color w:val="0000FF"/>
            <w:sz w:val="20"/>
            <w:szCs w:val="20"/>
            <w:u w:val="single"/>
          </w:rPr>
          <w:t>arts. 4º, 5º e 6º da Lei Complementar nº 11, de 25 de maio de 1971</w:t>
        </w:r>
      </w:hyperlink>
      <w:r w:rsidRPr="00E5217F">
        <w:rPr>
          <w:rFonts w:ascii="Arial" w:eastAsia="Times New Roman" w:hAnsi="Arial" w:cs="Arial"/>
          <w:color w:val="000000"/>
          <w:sz w:val="20"/>
          <w:szCs w:val="20"/>
        </w:rPr>
        <w:t>, a da entrada do requerimento para a aposentadoria por velhice, a do respectivo laudo médico no que respeita à aposentadoria por invalidez, e aquela da ocorrência do óbito, quanto à pensão.</w:t>
      </w:r>
    </w:p>
    <w:p w14:paraId="47775F8D"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r w:rsidRPr="00E5217F">
        <w:rPr>
          <w:rFonts w:ascii="Arial" w:eastAsia="Times New Roman" w:hAnsi="Arial" w:cs="Arial"/>
          <w:color w:val="000000"/>
          <w:sz w:val="20"/>
          <w:szCs w:val="20"/>
        </w:rPr>
        <w:t>§ 1º Ficam ressalvados os direitos daquelas que, mediante documentos hábeis, originários de assentos lavrados antes de 31 de dezembro de 1971, comprovem haver atingido a idade de 65 anos até a data da publicação desta Lei Complementar.</w:t>
      </w:r>
    </w:p>
    <w:p w14:paraId="49997166"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r w:rsidRPr="00E5217F">
        <w:rPr>
          <w:rFonts w:ascii="Arial" w:eastAsia="Times New Roman" w:hAnsi="Arial" w:cs="Arial"/>
          <w:color w:val="000000"/>
          <w:sz w:val="20"/>
          <w:szCs w:val="20"/>
        </w:rPr>
        <w:t>§ 2º Em relação àqueles que não possam fazer prova, na forma estabelecida no parágrafo anterior, fica a critério do FUNRURAL aceitar outros elementos de convicção para a concessão da aposentadoria por velhice.</w:t>
      </w:r>
    </w:p>
    <w:p w14:paraId="1EA03358"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10" w:name="art9"/>
      <w:bookmarkEnd w:id="10"/>
      <w:r w:rsidRPr="00E5217F">
        <w:rPr>
          <w:rFonts w:ascii="Arial" w:eastAsia="Times New Roman" w:hAnsi="Arial" w:cs="Arial"/>
          <w:color w:val="000000"/>
          <w:sz w:val="20"/>
          <w:szCs w:val="20"/>
        </w:rPr>
        <w:lastRenderedPageBreak/>
        <w:t>Art. 9º Esta Lei Complementar entrará em vigor em 1º de janeiro de 1974, ressalvados os </w:t>
      </w:r>
      <w:hyperlink r:id="rId16" w:anchor="art6%C2%A71" w:history="1">
        <w:r w:rsidRPr="00E5217F">
          <w:rPr>
            <w:rFonts w:ascii="Arial" w:eastAsia="Times New Roman" w:hAnsi="Arial" w:cs="Arial"/>
            <w:color w:val="0000FF"/>
            <w:sz w:val="20"/>
            <w:szCs w:val="20"/>
            <w:u w:val="single"/>
          </w:rPr>
          <w:t>§§ 1º e 2º do art. 6º</w:t>
        </w:r>
      </w:hyperlink>
      <w:r w:rsidRPr="00E5217F">
        <w:rPr>
          <w:rFonts w:ascii="Arial" w:eastAsia="Times New Roman" w:hAnsi="Arial" w:cs="Arial"/>
          <w:color w:val="000000"/>
          <w:sz w:val="20"/>
          <w:szCs w:val="20"/>
        </w:rPr>
        <w:t> e o </w:t>
      </w:r>
      <w:hyperlink r:id="rId17" w:anchor="art8" w:history="1">
        <w:r w:rsidRPr="00E5217F">
          <w:rPr>
            <w:rFonts w:ascii="Arial" w:eastAsia="Times New Roman" w:hAnsi="Arial" w:cs="Arial"/>
            <w:color w:val="0000FF"/>
            <w:sz w:val="20"/>
            <w:szCs w:val="20"/>
            <w:u w:val="single"/>
          </w:rPr>
          <w:t>art. 8º</w:t>
        </w:r>
      </w:hyperlink>
      <w:r w:rsidRPr="00E5217F">
        <w:rPr>
          <w:rFonts w:ascii="Arial" w:eastAsia="Times New Roman" w:hAnsi="Arial" w:cs="Arial"/>
          <w:color w:val="000000"/>
          <w:sz w:val="20"/>
          <w:szCs w:val="20"/>
        </w:rPr>
        <w:t>, os quais terão vigência a partir da data de publicação desta Lei.</w:t>
      </w:r>
    </w:p>
    <w:p w14:paraId="02DE6FEB"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bookmarkStart w:id="11" w:name="art10"/>
      <w:bookmarkEnd w:id="11"/>
      <w:r w:rsidRPr="00E5217F">
        <w:rPr>
          <w:rFonts w:ascii="Arial" w:eastAsia="Times New Roman" w:hAnsi="Arial" w:cs="Arial"/>
          <w:color w:val="000000"/>
          <w:sz w:val="20"/>
          <w:szCs w:val="20"/>
        </w:rPr>
        <w:t>Art. 10. Revogam-se os </w:t>
      </w:r>
      <w:hyperlink r:id="rId18" w:anchor="art29" w:history="1">
        <w:r w:rsidRPr="00E5217F">
          <w:rPr>
            <w:rFonts w:ascii="Arial" w:eastAsia="Times New Roman" w:hAnsi="Arial" w:cs="Arial"/>
            <w:color w:val="0000FF"/>
            <w:sz w:val="20"/>
            <w:szCs w:val="20"/>
            <w:u w:val="single"/>
          </w:rPr>
          <w:t>artigos 29</w:t>
        </w:r>
      </w:hyperlink>
      <w:r w:rsidRPr="00E5217F">
        <w:rPr>
          <w:rFonts w:ascii="Arial" w:eastAsia="Times New Roman" w:hAnsi="Arial" w:cs="Arial"/>
          <w:color w:val="000000"/>
          <w:sz w:val="20"/>
          <w:szCs w:val="20"/>
        </w:rPr>
        <w:t> e </w:t>
      </w:r>
      <w:hyperlink r:id="rId19" w:anchor="art31" w:history="1">
        <w:r w:rsidRPr="00E5217F">
          <w:rPr>
            <w:rFonts w:ascii="Arial" w:eastAsia="Times New Roman" w:hAnsi="Arial" w:cs="Arial"/>
            <w:color w:val="0000FF"/>
            <w:sz w:val="20"/>
            <w:szCs w:val="20"/>
            <w:u w:val="single"/>
          </w:rPr>
          <w:t>31 da Lei Complementar nº 11, de 25 de maio de 1971</w:t>
        </w:r>
      </w:hyperlink>
      <w:r w:rsidRPr="00E5217F">
        <w:rPr>
          <w:rFonts w:ascii="Arial" w:eastAsia="Times New Roman" w:hAnsi="Arial" w:cs="Arial"/>
          <w:color w:val="000000"/>
          <w:sz w:val="20"/>
          <w:szCs w:val="20"/>
        </w:rPr>
        <w:t>, e demais disposições em contrário.</w:t>
      </w:r>
    </w:p>
    <w:p w14:paraId="2A783FA6" w14:textId="77777777" w:rsidR="00E5217F" w:rsidRPr="00E5217F" w:rsidRDefault="00E5217F" w:rsidP="00E5217F">
      <w:pPr>
        <w:spacing w:before="100" w:beforeAutospacing="1" w:after="100" w:afterAutospacing="1" w:line="240" w:lineRule="auto"/>
        <w:ind w:firstLine="525"/>
        <w:rPr>
          <w:rFonts w:ascii="Arial" w:eastAsia="Times New Roman" w:hAnsi="Arial" w:cs="Arial"/>
          <w:color w:val="000000"/>
          <w:sz w:val="27"/>
          <w:szCs w:val="27"/>
        </w:rPr>
      </w:pPr>
      <w:r w:rsidRPr="00E5217F">
        <w:rPr>
          <w:rFonts w:ascii="Arial" w:eastAsia="Times New Roman" w:hAnsi="Arial" w:cs="Arial"/>
          <w:color w:val="000000"/>
          <w:sz w:val="20"/>
          <w:szCs w:val="20"/>
        </w:rPr>
        <w:t>Brasília, 30 de outubro de 1973; 152º da Independência e 85º da República.</w:t>
      </w:r>
    </w:p>
    <w:p w14:paraId="622E7C67" w14:textId="77777777" w:rsidR="00E5217F" w:rsidRPr="00E5217F" w:rsidRDefault="00E5217F" w:rsidP="00E5217F">
      <w:pPr>
        <w:spacing w:before="100" w:beforeAutospacing="1" w:after="100" w:afterAutospacing="1" w:line="240" w:lineRule="auto"/>
        <w:jc w:val="both"/>
        <w:rPr>
          <w:rFonts w:ascii="Arial" w:eastAsia="Times New Roman" w:hAnsi="Arial" w:cs="Arial"/>
          <w:color w:val="000000"/>
          <w:sz w:val="27"/>
          <w:szCs w:val="27"/>
        </w:rPr>
      </w:pPr>
      <w:r w:rsidRPr="00E5217F">
        <w:rPr>
          <w:rFonts w:ascii="Arial" w:eastAsia="Times New Roman" w:hAnsi="Arial" w:cs="Arial"/>
          <w:color w:val="000000"/>
          <w:sz w:val="20"/>
          <w:szCs w:val="20"/>
        </w:rPr>
        <w:t>EMÍLIO G. MÉDICI</w:t>
      </w:r>
      <w:r w:rsidRPr="00E5217F">
        <w:rPr>
          <w:rFonts w:ascii="Arial" w:eastAsia="Times New Roman" w:hAnsi="Arial" w:cs="Arial"/>
          <w:color w:val="000000"/>
          <w:sz w:val="27"/>
          <w:szCs w:val="27"/>
        </w:rPr>
        <w:br/>
      </w:r>
      <w:r w:rsidRPr="00E5217F">
        <w:rPr>
          <w:rFonts w:ascii="Arial" w:eastAsia="Times New Roman" w:hAnsi="Arial" w:cs="Arial"/>
          <w:i/>
          <w:iCs/>
          <w:color w:val="000000"/>
          <w:sz w:val="20"/>
          <w:szCs w:val="20"/>
        </w:rPr>
        <w:t>Antônio Delfim Netto</w:t>
      </w:r>
      <w:r w:rsidRPr="00E5217F">
        <w:rPr>
          <w:rFonts w:ascii="Arial" w:eastAsia="Times New Roman" w:hAnsi="Arial" w:cs="Arial"/>
          <w:i/>
          <w:iCs/>
          <w:color w:val="000000"/>
          <w:sz w:val="27"/>
          <w:szCs w:val="27"/>
        </w:rPr>
        <w:br/>
      </w:r>
      <w:r w:rsidRPr="00E5217F">
        <w:rPr>
          <w:rFonts w:ascii="Arial" w:eastAsia="Times New Roman" w:hAnsi="Arial" w:cs="Arial"/>
          <w:i/>
          <w:iCs/>
          <w:color w:val="000000"/>
          <w:sz w:val="20"/>
          <w:szCs w:val="20"/>
        </w:rPr>
        <w:t>Moura Cavalcanti</w:t>
      </w:r>
      <w:r w:rsidRPr="00E5217F">
        <w:rPr>
          <w:rFonts w:ascii="Arial" w:eastAsia="Times New Roman" w:hAnsi="Arial" w:cs="Arial"/>
          <w:i/>
          <w:iCs/>
          <w:color w:val="000000"/>
          <w:sz w:val="27"/>
          <w:szCs w:val="27"/>
        </w:rPr>
        <w:br/>
      </w:r>
      <w:r w:rsidRPr="00E5217F">
        <w:rPr>
          <w:rFonts w:ascii="Arial" w:eastAsia="Times New Roman" w:hAnsi="Arial" w:cs="Arial"/>
          <w:i/>
          <w:iCs/>
          <w:color w:val="000000"/>
          <w:sz w:val="20"/>
          <w:szCs w:val="20"/>
        </w:rPr>
        <w:t>Júlio Barata</w:t>
      </w:r>
      <w:r w:rsidRPr="00E5217F">
        <w:rPr>
          <w:rFonts w:ascii="Arial" w:eastAsia="Times New Roman" w:hAnsi="Arial" w:cs="Arial"/>
          <w:i/>
          <w:iCs/>
          <w:color w:val="000000"/>
          <w:sz w:val="27"/>
          <w:szCs w:val="27"/>
        </w:rPr>
        <w:br/>
      </w:r>
      <w:r w:rsidRPr="00E5217F">
        <w:rPr>
          <w:rFonts w:ascii="Arial" w:eastAsia="Times New Roman" w:hAnsi="Arial" w:cs="Arial"/>
          <w:i/>
          <w:iCs/>
          <w:color w:val="000000"/>
          <w:sz w:val="20"/>
          <w:szCs w:val="20"/>
        </w:rPr>
        <w:t>Mário Lemos</w:t>
      </w:r>
      <w:r w:rsidRPr="00E5217F">
        <w:rPr>
          <w:rFonts w:ascii="Arial" w:eastAsia="Times New Roman" w:hAnsi="Arial" w:cs="Arial"/>
          <w:i/>
          <w:iCs/>
          <w:color w:val="000000"/>
          <w:sz w:val="27"/>
          <w:szCs w:val="27"/>
        </w:rPr>
        <w:br/>
      </w:r>
      <w:r w:rsidRPr="00E5217F">
        <w:rPr>
          <w:rFonts w:ascii="Arial" w:eastAsia="Times New Roman" w:hAnsi="Arial" w:cs="Arial"/>
          <w:i/>
          <w:iCs/>
          <w:color w:val="000000"/>
          <w:sz w:val="20"/>
          <w:szCs w:val="20"/>
        </w:rPr>
        <w:t>João Paulo dos Reis Velloso</w:t>
      </w:r>
    </w:p>
    <w:p w14:paraId="2C6755A2" w14:textId="77777777" w:rsidR="00E5217F" w:rsidRPr="00E5217F" w:rsidRDefault="00E5217F" w:rsidP="00E5217F">
      <w:pPr>
        <w:spacing w:before="100" w:beforeAutospacing="1" w:after="100" w:afterAutospacing="1" w:line="240" w:lineRule="auto"/>
        <w:jc w:val="both"/>
        <w:rPr>
          <w:rFonts w:ascii="Arial" w:eastAsia="Times New Roman" w:hAnsi="Arial" w:cs="Arial"/>
          <w:color w:val="000000"/>
          <w:sz w:val="27"/>
          <w:szCs w:val="27"/>
        </w:rPr>
      </w:pPr>
      <w:r w:rsidRPr="00E5217F">
        <w:rPr>
          <w:rFonts w:ascii="Arial" w:eastAsia="Times New Roman" w:hAnsi="Arial" w:cs="Arial"/>
          <w:color w:val="FF0000"/>
          <w:sz w:val="20"/>
          <w:szCs w:val="20"/>
        </w:rPr>
        <w:t>Este texto não substitui o publicado no DOU de 31.10.1973 e republicado em 10.12.1973</w:t>
      </w:r>
    </w:p>
    <w:p w14:paraId="134CF601" w14:textId="77777777" w:rsidR="00E5217F" w:rsidRPr="00E5217F" w:rsidRDefault="00E5217F" w:rsidP="00E5217F">
      <w:pPr>
        <w:spacing w:before="100" w:beforeAutospacing="1" w:after="100" w:afterAutospacing="1" w:line="240" w:lineRule="auto"/>
        <w:jc w:val="center"/>
        <w:rPr>
          <w:rFonts w:ascii="Arial" w:eastAsia="Times New Roman" w:hAnsi="Arial" w:cs="Arial"/>
          <w:color w:val="000000"/>
          <w:sz w:val="27"/>
          <w:szCs w:val="27"/>
        </w:rPr>
      </w:pPr>
      <w:r w:rsidRPr="00E5217F">
        <w:rPr>
          <w:rFonts w:ascii="Arial" w:eastAsia="Times New Roman" w:hAnsi="Arial" w:cs="Arial"/>
          <w:color w:val="FF0000"/>
          <w:sz w:val="20"/>
          <w:szCs w:val="20"/>
        </w:rPr>
        <w:t>*</w:t>
      </w:r>
    </w:p>
    <w:p w14:paraId="0A864927" w14:textId="77777777" w:rsidR="00E5217F" w:rsidRPr="00E5217F" w:rsidRDefault="00E5217F" w:rsidP="00E5217F">
      <w:pPr>
        <w:spacing w:before="100" w:beforeAutospacing="1" w:after="100" w:afterAutospacing="1" w:line="240" w:lineRule="auto"/>
        <w:jc w:val="center"/>
        <w:rPr>
          <w:rFonts w:ascii="Arial" w:eastAsia="Times New Roman" w:hAnsi="Arial" w:cs="Arial"/>
          <w:color w:val="000000"/>
          <w:sz w:val="27"/>
          <w:szCs w:val="27"/>
        </w:rPr>
      </w:pPr>
      <w:r w:rsidRPr="00E5217F">
        <w:rPr>
          <w:rFonts w:ascii="Arial" w:eastAsia="Times New Roman" w:hAnsi="Arial" w:cs="Arial"/>
          <w:color w:val="000000"/>
          <w:sz w:val="27"/>
          <w:szCs w:val="27"/>
        </w:rPr>
        <w:t> </w:t>
      </w:r>
    </w:p>
    <w:p w14:paraId="5CB106E7" w14:textId="77777777" w:rsidR="00E5217F" w:rsidRPr="00E5217F" w:rsidRDefault="00E5217F" w:rsidP="00E5217F">
      <w:pPr>
        <w:spacing w:before="100" w:beforeAutospacing="1" w:after="100" w:afterAutospacing="1" w:line="240" w:lineRule="auto"/>
        <w:jc w:val="center"/>
        <w:rPr>
          <w:rFonts w:ascii="Arial" w:eastAsia="Times New Roman" w:hAnsi="Arial" w:cs="Arial"/>
          <w:color w:val="000000"/>
          <w:sz w:val="27"/>
          <w:szCs w:val="27"/>
        </w:rPr>
      </w:pPr>
      <w:r w:rsidRPr="00E5217F">
        <w:rPr>
          <w:rFonts w:ascii="Arial" w:eastAsia="Times New Roman" w:hAnsi="Arial" w:cs="Arial"/>
          <w:color w:val="000000"/>
          <w:sz w:val="27"/>
          <w:szCs w:val="27"/>
        </w:rPr>
        <w:t> </w:t>
      </w:r>
    </w:p>
    <w:p w14:paraId="0E62AC6E" w14:textId="77777777" w:rsidR="00E5217F" w:rsidRPr="00E5217F" w:rsidRDefault="00E5217F" w:rsidP="00E5217F">
      <w:pPr>
        <w:spacing w:before="100" w:beforeAutospacing="1" w:after="100" w:afterAutospacing="1" w:line="240" w:lineRule="auto"/>
        <w:jc w:val="center"/>
        <w:rPr>
          <w:rFonts w:ascii="Arial" w:eastAsia="Times New Roman" w:hAnsi="Arial" w:cs="Arial"/>
          <w:color w:val="000000"/>
          <w:sz w:val="27"/>
          <w:szCs w:val="27"/>
        </w:rPr>
      </w:pPr>
      <w:r w:rsidRPr="00E5217F">
        <w:rPr>
          <w:rFonts w:ascii="Arial" w:eastAsia="Times New Roman" w:hAnsi="Arial" w:cs="Arial"/>
          <w:color w:val="000000"/>
          <w:sz w:val="27"/>
          <w:szCs w:val="27"/>
        </w:rPr>
        <w:t> </w:t>
      </w:r>
    </w:p>
    <w:p w14:paraId="7A7DA9A3" w14:textId="77777777" w:rsidR="00E5217F" w:rsidRPr="00E5217F" w:rsidRDefault="00E5217F" w:rsidP="00E5217F">
      <w:pPr>
        <w:spacing w:before="100" w:beforeAutospacing="1" w:after="100" w:afterAutospacing="1" w:line="240" w:lineRule="auto"/>
        <w:jc w:val="center"/>
        <w:rPr>
          <w:rFonts w:ascii="Arial" w:eastAsia="Times New Roman" w:hAnsi="Arial" w:cs="Arial"/>
          <w:color w:val="000000"/>
          <w:sz w:val="27"/>
          <w:szCs w:val="27"/>
        </w:rPr>
      </w:pPr>
      <w:r w:rsidRPr="00E5217F">
        <w:rPr>
          <w:rFonts w:ascii="Arial" w:eastAsia="Times New Roman" w:hAnsi="Arial" w:cs="Arial"/>
          <w:color w:val="000000"/>
          <w:sz w:val="27"/>
          <w:szCs w:val="27"/>
        </w:rPr>
        <w:t> </w:t>
      </w:r>
    </w:p>
    <w:p w14:paraId="1CF0A9E3" w14:textId="261DC8DF"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36"/>
    <w:rsid w:val="00A6094F"/>
    <w:rsid w:val="00B16B36"/>
    <w:rsid w:val="00E5217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ABC19"/>
  <w15:chartTrackingRefBased/>
  <w15:docId w15:val="{09061E58-7BB5-405F-BEAC-F22443BF9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E5217F"/>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5217F"/>
    <w:rPr>
      <w:b/>
      <w:bCs/>
    </w:rPr>
  </w:style>
  <w:style w:type="character" w:styleId="Hyperlink">
    <w:name w:val="Hyperlink"/>
    <w:basedOn w:val="Fontepargpadro"/>
    <w:uiPriority w:val="99"/>
    <w:semiHidden/>
    <w:unhideWhenUsed/>
    <w:rsid w:val="00E521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6506">
      <w:bodyDiv w:val="1"/>
      <w:marLeft w:val="0"/>
      <w:marRight w:val="0"/>
      <w:marTop w:val="0"/>
      <w:marBottom w:val="0"/>
      <w:divBdr>
        <w:top w:val="none" w:sz="0" w:space="0" w:color="auto"/>
        <w:left w:val="none" w:sz="0" w:space="0" w:color="auto"/>
        <w:bottom w:val="none" w:sz="0" w:space="0" w:color="auto"/>
        <w:right w:val="none" w:sz="0" w:space="0" w:color="auto"/>
      </w:divBdr>
      <w:divsChild>
        <w:div w:id="1519077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0651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cp/Lcp11.htm" TargetMode="External"/><Relationship Id="rId13" Type="http://schemas.openxmlformats.org/officeDocument/2006/relationships/hyperlink" Target="http://www.planalto.gov.br/ccivil_03/leis/lcp/Lcp11.htm" TargetMode="External"/><Relationship Id="rId18" Type="http://schemas.openxmlformats.org/officeDocument/2006/relationships/hyperlink" Target="http://www.planalto.gov.br/ccivil_03/leis/lcp/Lcp11.htm"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planalto.gov.br/ccivil_03/leis/lcp/Lcp11.htm" TargetMode="External"/><Relationship Id="rId12" Type="http://schemas.openxmlformats.org/officeDocument/2006/relationships/hyperlink" Target="http://www.planalto.gov.br/ccivil_03/leis/lcp/Lcp11.htm" TargetMode="External"/><Relationship Id="rId17" Type="http://schemas.openxmlformats.org/officeDocument/2006/relationships/hyperlink" Target="http://www.planalto.gov.br/ccivil_03/leis/lcp/Lcp16.htm" TargetMode="External"/><Relationship Id="rId2" Type="http://schemas.openxmlformats.org/officeDocument/2006/relationships/settings" Target="settings.xml"/><Relationship Id="rId16" Type="http://schemas.openxmlformats.org/officeDocument/2006/relationships/hyperlink" Target="http://www.planalto.gov.br/ccivil_03/leis/lcp/Lcp16.ht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leis/lcp/Lcp11.htm" TargetMode="External"/><Relationship Id="rId11" Type="http://schemas.openxmlformats.org/officeDocument/2006/relationships/hyperlink" Target="http://www.planalto.gov.br/ccivil_03/leis/lcp/Lcp11.htm" TargetMode="External"/><Relationship Id="rId5" Type="http://schemas.openxmlformats.org/officeDocument/2006/relationships/hyperlink" Target="http://www.planalto.gov.br/ccivil_03/leis/lcp/Lcp16.htm" TargetMode="External"/><Relationship Id="rId15" Type="http://schemas.openxmlformats.org/officeDocument/2006/relationships/hyperlink" Target="http://www.planalto.gov.br/ccivil_03/leis/lcp/Lcp11.htm" TargetMode="External"/><Relationship Id="rId10" Type="http://schemas.openxmlformats.org/officeDocument/2006/relationships/hyperlink" Target="http://www.planalto.gov.br/ccivil_03/leis/lcp/Lcp11.htm" TargetMode="External"/><Relationship Id="rId19" Type="http://schemas.openxmlformats.org/officeDocument/2006/relationships/hyperlink" Target="http://www.planalto.gov.br/ccivil_03/leis/lcp/Lcp11.htm" TargetMode="External"/><Relationship Id="rId4" Type="http://schemas.openxmlformats.org/officeDocument/2006/relationships/hyperlink" Target="http://legislacao.planalto.gov.br/legisla/legislacao.nsf/Viw_Identificacao/lcp%2016-1973?OpenDocument" TargetMode="External"/><Relationship Id="rId9" Type="http://schemas.openxmlformats.org/officeDocument/2006/relationships/hyperlink" Target="http://www.planalto.gov.br/ccivil_03/leis/lcp/Lcp11.htm" TargetMode="External"/><Relationship Id="rId14" Type="http://schemas.openxmlformats.org/officeDocument/2006/relationships/hyperlink" Target="http://www.planalto.gov.br/ccivil_03/leis/lcp/Lcp11.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1268</Words>
  <Characters>6851</Characters>
  <Application>Microsoft Office Word</Application>
  <DocSecurity>0</DocSecurity>
  <Lines>57</Lines>
  <Paragraphs>16</Paragraphs>
  <ScaleCrop>false</ScaleCrop>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2022-12-12T02:53:00Z</dcterms:created>
  <dcterms:modified xsi:type="dcterms:W3CDTF">2022-12-12T02:53:00Z</dcterms:modified>
</cp:coreProperties>
</file>