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DB2333" w:rsidRPr="00DB2333" w:rsidTr="00DB233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B2333" w:rsidRPr="00DB2333" w:rsidRDefault="00DB2333" w:rsidP="00DB23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B2333" w:rsidRPr="00DB2333" w:rsidRDefault="00DB2333" w:rsidP="00DB233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B233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DB233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DB233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DB233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DB233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DB2333" w:rsidRPr="00DB2333" w:rsidRDefault="00DB2333" w:rsidP="00DB23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DB2333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COMPLEMENTAR Nº 108, DE 29 DE MAIO DE 2001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DB2333" w:rsidRPr="00DB2333" w:rsidTr="00DB2333">
        <w:trPr>
          <w:tblCellSpacing w:w="0" w:type="dxa"/>
        </w:trPr>
        <w:tc>
          <w:tcPr>
            <w:tcW w:w="2600" w:type="pct"/>
            <w:vAlign w:val="center"/>
            <w:hideMark/>
          </w:tcPr>
          <w:p w:rsidR="00DB2333" w:rsidRPr="00DB2333" w:rsidRDefault="00DB2333" w:rsidP="00DB2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B233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DB2333" w:rsidRPr="00DB2333" w:rsidRDefault="00DB2333" w:rsidP="00DB23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B2333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a relação entre a União, os Estados, o Distrito Federal e os Municípios, suas autarquias, fundações, sociedades de economia mista e outras entidades públicas e suas respectivas entidades fechadas de previdência complementar, e dá outras providências.</w:t>
            </w:r>
          </w:p>
        </w:tc>
      </w:tr>
    </w:tbl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 saber que o Congresso Nacional decreta e eu sanciono a seguinte Lei Complementar:</w:t>
      </w:r>
    </w:p>
    <w:p w:rsidR="00DB2333" w:rsidRPr="00DB2333" w:rsidRDefault="00DB2333" w:rsidP="00DB23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I</w:t>
      </w:r>
    </w:p>
    <w:p w:rsidR="00DB2333" w:rsidRPr="00DB2333" w:rsidRDefault="00DB2333" w:rsidP="00DB23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INTRODUÇÃO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0" w:name="art1"/>
      <w:bookmarkEnd w:id="0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relação entre a União, os Estados, o Distrito Federal e os Municípios, inclusive suas autarquias, fundações, sociedades de economia mista e empresas controladas direta ou indiretamente, enquanto patrocinadores de entidades fechadas de previdência complementar, e suas respectivas entidades fechadas, a que se referem os </w:t>
      </w:r>
      <w:hyperlink r:id="rId6" w:anchor="art202%C2%A73" w:history="1"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§§ 3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, 4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, 5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e 6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do art. 202 da Constituição Federal</w:t>
        </w:r>
      </w:hyperlink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será disciplinada pelo disposto nesta Lei Complementar.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1" w:name="art2"/>
      <w:bookmarkEnd w:id="1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As regras e os princípios gerais estabelecidos na Lei Complementar que regula o caput do </w:t>
      </w:r>
      <w:hyperlink r:id="rId7" w:anchor="art202%C2%A73" w:history="1"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202 da Constituição Federal </w:t>
        </w:r>
      </w:hyperlink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aplicam-se às entidades reguladas por esta Lei Complementar, ressalvadas as disposições específicas.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II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DOS PLANOS DE BENEFÍCIOS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Seção I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Disposições Especiais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2" w:name="art3"/>
      <w:bookmarkEnd w:id="2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Observado o disposto no artigo anterior, os planos de benefícios das entidades de que trata esta Lei Complementar atenderão às seguintes regras: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3" w:name="art3i"/>
      <w:bookmarkEnd w:id="3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I – carência mínima de sessenta contribuições mensais a plano de benefícios e cessação do vínculo com o patrocinador, para se tornar elegível a um benefício de prestação que seja programada e continuada; e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4" w:name="art3ii"/>
      <w:bookmarkEnd w:id="4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II – concessão de benefício pelo regime de previdência ao qual o participante esteja filiado por intermédio de seu patrocinador, quando se tratar de plano na modalidade benefício definido, instituído depois da publicação desta Lei Complementar.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5" w:name="art3p"/>
      <w:bookmarkEnd w:id="5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Os reajustes dos benefícios em manutenção serão efetuados de acordo com critérios estabelecidos nos regulamentos dos planos de benefícios, vedado o repasse de ganhos de produtividade, abono e vantagens de qualquer natureza para tais benefícios.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6" w:name="art4"/>
      <w:bookmarkEnd w:id="6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Nas sociedades de economia mista e empresas controladas direta ou indiretamente pela União, pelos Estados, pelo Distrito Federal e pelos Municípios, a proposta de instituição de plano de benefícios ou adesão a plano de benefícios em execução será submetida ao órgão fiscalizador, acompanhada de manifestação favorável do órgão responsável pela supervisão, pela coordenação e pelo controle do patrocinador.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7" w:name="art4p"/>
      <w:bookmarkEnd w:id="7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As alterações no plano de benefícios que implique elevação da contribuição de patrocinadores serão objeto de prévia manifestação do órgão responsável pela supervisão, pela coordenação e pelo controle referido no caput.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8" w:name="art5"/>
      <w:bookmarkEnd w:id="8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É vedado à União, aos Estados, ao Distrito Federal e aos Municípios, suas autarquias, fundações, empresas públicas, sociedades de economia mista e outras entidades públicas o aporte de recursos a entidades de previdência privada de caráter complementar, salvo na condição de patrocinador.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Seção II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Do Custeio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9" w:name="art6"/>
      <w:bookmarkEnd w:id="9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6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custeio dos planos de benefícios será responsabilidade do patrocinador e dos participantes, inclusive assistidos.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10" w:name="art6§1"/>
      <w:bookmarkEnd w:id="10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contribuição normal do patrocinador para plano de benefícios, em hipótese alguma, excederá a do participante, observado o disposto no </w:t>
      </w:r>
      <w:hyperlink r:id="rId8" w:anchor="art5" w:history="1"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5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da Emenda Constitucional n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20, de 15 de dezembro de 1998</w:t>
        </w:r>
      </w:hyperlink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e as regras específicas emanadas do órgão regulador e fiscalizador.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11" w:name="art6§2"/>
      <w:bookmarkEnd w:id="11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Além das contribuições normais, os planos poderão prever o aporte de recursos pelos participantes, a título de contribuição facultativa, sem contrapartida do patrocinador.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12" w:name="art6§3"/>
      <w:bookmarkEnd w:id="12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É vedado ao patrocinador assumir encargos adicionais para o financiamento dos planos de benefícios, além daqueles previstos nos respectivos planos de custeio.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13" w:name="art7"/>
      <w:bookmarkEnd w:id="13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7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A despesa administrativa da entidade de previdência complementar será custeada pelo patrocinador e pelos participantes e 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assistidos, atendendo a limites e critérios estabelecidos pelo órgão regulador e fiscalizador.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14" w:name="art7p"/>
      <w:bookmarkEnd w:id="14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É facultada aos patrocinadores a cessão de pessoal às entidades de previdência complementar que patrocinam, desde que ressarcidos os custos correspondentes.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III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DAS ENTIDADES DE PREVIDÊNCIA COMPLEMENTAR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PATROCINADAS PELO PODER PÚBLICO E SUAS EMPRESAS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Seção I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Da Estrutura Organizacional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15" w:name="art8"/>
      <w:bookmarkEnd w:id="15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8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administração e execução dos planos de benefícios compete às entidades fechadas de previdência complementar mencionadas no art. 1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desta Lei Complementar.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As entidades de que trata o caput organizar-se-ão sob a forma de fundação ou sociedade civil, sem fins lucrativos.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16" w:name="art9"/>
      <w:bookmarkEnd w:id="16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9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estrutura organizacional das entidades de previdência complementar a que se refere esta Lei Complementar é constituída de conselho deliberativo, conselho fiscal e diretoria-executiva.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Seção II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Do Conselho Deliberativo e do Conselho Fiscal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17" w:name="art10"/>
      <w:bookmarkEnd w:id="17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10. O conselho deliberativo, órgão máximo da estrutura organizacional, é responsável pela definição da política geral de administração da entidade e de seus planos de benefícios.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18" w:name="art11"/>
      <w:bookmarkEnd w:id="18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11. A composição do conselho deliberativo, integrado por no máximo seis membros, será paritária entre representantes dos participantes e assistidos e dos patrocinadores, cabendo a estes a indicação do conselheiro presidente, que terá, além do seu, o voto de qualidade.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escolha dos representantes dos participantes e assistidos dar-se-á por meio de eleição direta entre seus pares.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Caso o estatuto da entidade fechada, respeitado o número máximo de conselheiros de que trata o caput e a participação paritária entre representantes dos participantes e assistidos e dos patrocinadores, preveja outra composição, que tenha sido aprovada na forma prevista no seu estatuto, esta poderá ser aplicada, mediante autorização do órgão regulador e fiscalizador.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19" w:name="art12"/>
      <w:bookmarkEnd w:id="19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Art. 12. O mandato dos membros do conselho deliberativo será de quatro anos, com garantia de estabilidade, permitida uma recondução.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membro do conselho deliberativo somente perderá o mandato em virtude de renúncia, de condenação judicial transitada em julgado ou processo administrativo disciplinar.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instauração de processo administrativo disciplinar, para apuração de irregularidades no âmbito de atuação do conselho deliberativo da entidade fechada, poderá determinar o afastamento do conselheiro até sua conclusão.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3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afastamento de que trata o parágrafo anterior não implica prorrogação ou permanência no cargo além da data inicialmente prevista para o término do mandato.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4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estatuto da entidade deverá regulamentar os procedimentos de que tratam os parágrafos anteriores deste artigo.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20" w:name="art13"/>
      <w:bookmarkEnd w:id="20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13. Ao conselho deliberativo compete a definição das seguintes matérias: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– política geral de administração da entidade e de seus planos de benefícios;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– alteração de estatuto e regulamentos dos planos de benefícios, bem como a implantação e a extinção deles e a retirada de patrocinador;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– gestão de investimentos e plano de aplicação de recursos;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– autorizar investimentos que envolvam valores iguais ou superiores a cinco por cento dos recursos garantidores;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 – contratação de auditor independente atuário e avaliador de gestão, observadas as disposições regulamentares aplicáveis;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 – nomeação e exoneração dos membros da diretoria-executiva; e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VII – exame, em grau de recurso, das decisões da diretoria-executiva.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Parágrafo único. A definição das matérias previstas no inciso II deverá ser aprovada pelo patrocinador.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21" w:name="art14"/>
      <w:bookmarkEnd w:id="21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14. O conselho fiscal é órgão de controle interno da entidade.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22" w:name="art15"/>
      <w:bookmarkEnd w:id="22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15. A composição do conselho fiscal, integrado por no máximo quatro membros, será paritária entre representantes de patrocinadores e de participantes e assistidos, cabendo a estes a indicação do conselheiro presidente, que terá, além do seu, o voto de qualidade.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Parágrafo único. Caso o estatuto da entidade fechada, respeitado o número máximo de conselheiros de que trata o caput e a participação paritária entre representantes dos participantes e assistidos e dos patrocinadores, preveja outra composição, que tenha sido aprovada na forma prevista no seu estatuto, esta poderá ser aplicada, mediante autorização do órgão regulador e fiscalizador.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23" w:name="art16"/>
      <w:bookmarkEnd w:id="23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16. O mandato dos membros do conselho fiscal será de quatro anos, vedada a recondução.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24" w:name="art17"/>
      <w:bookmarkEnd w:id="24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17. A renovação dos mandatos dos conselheiros deverá obedecer ao critério de proporcionalidade, de forma que se processe parcialmente a cada dois anos.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Na primeira investidura dos conselhos, após a publicação desta Lei Complementar, os seus membros terão mandato com prazo diferenciado.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conselho deliberativo deverá renovar três de seus membros a cada dois anos e o conselho fiscal dois membros com a mesma periodicidade, observada a regra de transição estabelecida no parágrafo anterior.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25" w:name="art18"/>
      <w:bookmarkEnd w:id="25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18. Aplicam-se aos membros dos conselhos deliberativo e fiscal os mesmos requisitos previstos nos incisos I a III do art. 20 desta Lei Complementar.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Seção III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Da Diretoria-Executiva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26" w:name="art19"/>
      <w:bookmarkEnd w:id="26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19. A diretoria-executiva é o órgão responsável pela administração da entidade, em conformidade com a política de administração traçada pelo conselho deliberativo.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1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A diretoria-executiva será composta, no máximo, por seis membros, definidos em função do patrimônio da entidade e do seu número de participantes, inclusive assistidos.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§ 2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estatuto da entidade fechada, respeitado o número máximo de diretores de que trata o parágrafo anterior, deverá prever a forma de composição e o mandato da diretoria-executiva, aprovado na forma prevista no seu estatuto, observadas as demais disposições desta Lei Complementar.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ind w:firstLine="570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bookmarkStart w:id="27" w:name="art20"/>
      <w:bookmarkEnd w:id="27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20. Os membros da diretoria-executiva deverão atender aos seguintes requisitos mínimos: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28" w:name="art20i"/>
      <w:bookmarkEnd w:id="28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– comprovada experiência no exercício de atividade na área financeira, administrativa, contábil, jurídica, de fiscalização, atuarial ou de auditoria;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29" w:name="art20ii"/>
      <w:bookmarkEnd w:id="29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 – não ter sofrido condenação criminal transitada em julgado;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        </w:t>
      </w:r>
      <w:bookmarkStart w:id="30" w:name="art20iii"/>
      <w:bookmarkEnd w:id="30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III – não ter sofrido penalidade administrativa por infração da legislação da seguridade social, inclusive da previdência complementar ou como servidor público; e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1" w:name="art20iv"/>
      <w:bookmarkEnd w:id="31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IV – ter formação de nível superior.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2" w:name="art21"/>
      <w:bookmarkEnd w:id="32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21. Aos membros da diretoria-executiva é vedado: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I – exercer simultaneamente atividade no patrocinador;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II – integrar concomitantemente o conselho deliberativo ou fiscal da entidade e, mesmo depois do término do seu mandato na diretoria-executiva, enquanto não tiver suas contas aprovadas; e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III – ao longo do exercício do mandato prestar serviços a instituições integrantes do sistema financeiro.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3" w:name="art22"/>
      <w:bookmarkEnd w:id="33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22. A entidade de previdência complementar informará ao órgão regulador e fiscalizador o responsável pelas aplicações dos recursos da entidade, escolhido entre os membros da diretoria-executiva.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Parágrafo único. Os demais membros da diretoria-executiva responderão solidariamente com o dirigente indicado na forma do caput pelos danos e prejuízos causados à entidade para os quais tenham concorrido.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4" w:name="art23"/>
      <w:bookmarkEnd w:id="34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23. Nos doze meses seguintes ao término do exercício do cargo, o ex-diretor estará impedido de prestar, direta ou indiretamente, independentemente da forma ou natureza do contrato, qualquer tipo de serviço às empresas do sistema financeiro que impliquem a utilização das informações a que teve acesso em decorrência do cargo exercido, sob pena de responsabilidade civil e penal.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§ 1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Durante o impedimento, ao ex-diretor que não tiver sido destituído ou que pedir afastamento será assegurada a possibilidade de prestar serviço à entidade, mediante remuneração equivalente à do cargo de direção que exerceu ou em qualquer outro órgão da Administração Pública.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§ 2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Incorre na prática de advocacia administrativa, sujeitando-se às penas da lei, o ex-diretor que violar o impedimento previsto neste artigo, exceto se retornar ao exercício de cargo ou emprego que ocupava junto ao patrocinador, anteriormente à indicação para a respectiva diretoria-executiva, ou se for nomeado para exercício em qualquer órgão da Administração Pública.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IV</w:t>
      </w:r>
    </w:p>
    <w:p w:rsidR="00DB2333" w:rsidRPr="00DB2333" w:rsidRDefault="00DB2333" w:rsidP="00DB23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DA FISCALIZAÇÃO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5" w:name="art24"/>
      <w:bookmarkEnd w:id="35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Art. 24. A fiscalização e controle dos planos de benefícios e das entidades fechadas de previdência complementar de que trata esta Lei Complementar 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competem ao órgão regulador e fiscalizador das entidades fechadas de previdência complementar.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6" w:name="art25"/>
      <w:bookmarkEnd w:id="36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25. As ações exercidas pelo órgão referido no artigo anterior não eximem os patrocinadores da responsabilidade pela supervisão e fiscalização sistemática das atividades das suas respectivas entidades de previdência complementar.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Parágrafo único. Os resultados da fiscalização e do controle exercidos pelos patrocinadores serão encaminhados ao órgão mencionado no artigo anterior.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CAPÍTULO V</w:t>
      </w:r>
    </w:p>
    <w:p w:rsidR="00DB2333" w:rsidRPr="00DB2333" w:rsidRDefault="00DB2333" w:rsidP="00DB23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DISPOSIÇÕES GERAIS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7" w:name="art26"/>
      <w:bookmarkEnd w:id="37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26. As entidades fechadas de previdência complementar patrocinadas por empresas privadas permissionárias ou concessionárias de prestação de serviços públicos subordinam-se, no que couber, às disposições desta Lei Complementar, na forma estabelecida pelo órgão regulador e fiscalizador.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8" w:name="art27"/>
      <w:bookmarkEnd w:id="38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27. As entidades de previdência complementar patrocinadas por entidades públicas, inclusive empresas públicas e sociedades de economia mista, deverão rever, no prazo de dois anos, a contar de 16 de dezembro de 1998, seus planos de benefícios e serviços, de modo a ajustá-los atuarialmente a seus ativos, sob pena de intervenção, sendo seus dirigentes e seus respectivos patrocinadores responsáveis civil e criminalmente pelo descumprimento do disposto neste artigo.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9" w:name="art28"/>
      <w:bookmarkEnd w:id="39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28. A infração de qualquer disposição desta Lei Complementar ou de seu regulamento, para a qual não haja penalidade expressamente cominada, sujeita a pessoa física ou jurídica responsável, conforme o caso e a gravidade da infração, às penalidades administrativas previstas na Lei Complementar que disciplina o </w:t>
      </w:r>
      <w:hyperlink r:id="rId9" w:anchor="art202" w:history="1"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caput do art. 202 da Constituição Federal</w:t>
        </w:r>
      </w:hyperlink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40" w:name="art29"/>
      <w:bookmarkEnd w:id="40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29. As entidades de previdência privada patrocinadas por empresas controladas, direta ou indiretamente, pela União, Estados, Distrito Federal e Municípios, que possuam planos de benefícios definidos com responsabilidade da patrocinadora, não poderão exercer o controle ou participar de acordo de acionistas que tenha por objeto formação de grupo de controle de sociedade anônima, sem prévia e expressa autorização da patrocinadora e do seu respectivo ente controlador.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Parágrafo único. O disposto no caput não se aplica às participações acionárias detidas na data de publicação desta Lei Complementar.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41" w:name="art30"/>
      <w:bookmarkEnd w:id="41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30. As entidades de previdência complementar terão o prazo de um ano para adaptar sua organização estatutária ao disposto nesta Lei Complementar, contados a partir da data de sua publicação.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lastRenderedPageBreak/>
        <w:t>        </w:t>
      </w:r>
      <w:bookmarkStart w:id="42" w:name="art31"/>
      <w:bookmarkEnd w:id="42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31. Esta Lei Complementar entra em vigor na data de sua publicação.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43" w:name="art32"/>
      <w:bookmarkEnd w:id="43"/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32. Revoga-se a </w:t>
      </w:r>
      <w:hyperlink r:id="rId10" w:history="1"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Lei n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DB2333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8.020, de 12 de abril de 1990</w:t>
        </w:r>
      </w:hyperlink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Brasília, 29 de maio de 2001; 180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113</w:t>
      </w:r>
      <w:r w:rsidRPr="00DB2333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DB2333">
        <w:rPr>
          <w:rFonts w:ascii="Arial" w:eastAsia="Times New Roman" w:hAnsi="Arial" w:cs="Arial"/>
          <w:color w:val="000000"/>
          <w:sz w:val="24"/>
          <w:szCs w:val="24"/>
          <w:lang w:eastAsia="pt-BR"/>
        </w:rPr>
        <w:br/>
      </w:r>
      <w:r w:rsidRPr="00DB2333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José Gregori</w:t>
      </w:r>
      <w:r w:rsidRPr="00DB2333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br/>
        <w:t>Pedro Malan</w:t>
      </w:r>
      <w:r w:rsidRPr="00DB2333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br/>
        <w:t>Roberto Brant</w:t>
      </w:r>
    </w:p>
    <w:p w:rsidR="00DB2333" w:rsidRPr="00DB2333" w:rsidRDefault="00DB2333" w:rsidP="00DB23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 30.5.2001.</w:t>
      </w:r>
    </w:p>
    <w:p w:rsidR="00DB2333" w:rsidRPr="00DB2333" w:rsidRDefault="00DB2333" w:rsidP="00DB23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DB2333" w:rsidRPr="00DB2333" w:rsidRDefault="00DB2333" w:rsidP="00DB23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DB2333" w:rsidRPr="00DB2333" w:rsidRDefault="00DB2333" w:rsidP="00DB23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DB2333" w:rsidRPr="00DB2333" w:rsidRDefault="00DB2333" w:rsidP="00DB23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DB2333" w:rsidRPr="00DB2333" w:rsidRDefault="00DB2333" w:rsidP="00DB233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B2333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1311F3" w:rsidRDefault="001311F3">
      <w:bookmarkStart w:id="44" w:name="_GoBack"/>
      <w:bookmarkEnd w:id="44"/>
    </w:p>
    <w:sectPr w:rsidR="001311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5E9"/>
    <w:rsid w:val="001311F3"/>
    <w:rsid w:val="00DA15E9"/>
    <w:rsid w:val="00DB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2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B233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B2333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B233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2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B233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B2333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B23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3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Emendas/Emc/emc2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Constituicao/Constituicao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cp%20108-2001?OpenDocument" TargetMode="External"/><Relationship Id="rId10" Type="http://schemas.openxmlformats.org/officeDocument/2006/relationships/hyperlink" Target="http://www.planalto.gov.br/ccivil_03/leis/L802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Constituicao/Constituicao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2460</Words>
  <Characters>13286</Characters>
  <Application>Microsoft Office Word</Application>
  <DocSecurity>0</DocSecurity>
  <Lines>110</Lines>
  <Paragraphs>31</Paragraphs>
  <ScaleCrop>false</ScaleCrop>
  <Company/>
  <LinksUpToDate>false</LinksUpToDate>
  <CharactersWithSpaces>15715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3</cp:revision>
  <dcterms:created xsi:type="dcterms:W3CDTF">2023-01-09T13:29:00Z</dcterms:created>
  <dcterms:modified xsi:type="dcterms:W3CDTF">2023-01-09T13:29:00Z</dcterms:modified>
</cp:coreProperties>
</file>