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874E0E" w:rsidRPr="00874E0E" w:rsidTr="00874E0E">
        <w:trPr>
          <w:tblCellSpacing w:w="0" w:type="dxa"/>
          <w:jc w:val="center"/>
        </w:trPr>
        <w:tc>
          <w:tcPr>
            <w:tcW w:w="700" w:type="pct"/>
            <w:vAlign w:val="center"/>
            <w:hideMark/>
          </w:tcPr>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874E0E">
              <w:rPr>
                <w:rFonts w:ascii="Arial" w:eastAsia="Times New Roman" w:hAnsi="Arial" w:cs="Arial"/>
                <w:b/>
                <w:bCs/>
                <w:color w:val="808000"/>
                <w:sz w:val="36"/>
                <w:szCs w:val="36"/>
                <w:lang w:eastAsia="pt-BR"/>
              </w:rPr>
              <w:t>Presidência da República</w:t>
            </w:r>
            <w:r w:rsidRPr="00874E0E">
              <w:rPr>
                <w:rFonts w:ascii="Arial" w:eastAsia="Times New Roman" w:hAnsi="Arial" w:cs="Arial"/>
                <w:b/>
                <w:bCs/>
                <w:color w:val="808000"/>
                <w:sz w:val="24"/>
                <w:szCs w:val="24"/>
                <w:lang w:eastAsia="pt-BR"/>
              </w:rPr>
              <w:br/>
            </w:r>
            <w:r w:rsidRPr="00874E0E">
              <w:rPr>
                <w:rFonts w:ascii="Arial" w:eastAsia="Times New Roman" w:hAnsi="Arial" w:cs="Arial"/>
                <w:b/>
                <w:bCs/>
                <w:color w:val="808000"/>
                <w:sz w:val="27"/>
                <w:szCs w:val="27"/>
                <w:lang w:eastAsia="pt-BR"/>
              </w:rPr>
              <w:t>Casa Civil</w:t>
            </w:r>
            <w:r w:rsidRPr="00874E0E">
              <w:rPr>
                <w:rFonts w:ascii="Arial" w:eastAsia="Times New Roman" w:hAnsi="Arial" w:cs="Arial"/>
                <w:b/>
                <w:bCs/>
                <w:color w:val="808000"/>
                <w:sz w:val="27"/>
                <w:szCs w:val="27"/>
                <w:lang w:eastAsia="pt-BR"/>
              </w:rPr>
              <w:br/>
            </w:r>
            <w:r w:rsidRPr="00874E0E">
              <w:rPr>
                <w:rFonts w:ascii="Arial" w:eastAsia="Times New Roman" w:hAnsi="Arial" w:cs="Arial"/>
                <w:b/>
                <w:bCs/>
                <w:color w:val="808000"/>
                <w:sz w:val="24"/>
                <w:szCs w:val="24"/>
                <w:lang w:eastAsia="pt-BR"/>
              </w:rPr>
              <w:t>Subchefia para Assuntos Jurídicos</w:t>
            </w:r>
          </w:p>
        </w:tc>
      </w:tr>
    </w:tbl>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874E0E">
          <w:rPr>
            <w:rFonts w:ascii="Arial" w:eastAsia="Times New Roman" w:hAnsi="Arial" w:cs="Arial"/>
            <w:b/>
            <w:bCs/>
            <w:color w:val="000080"/>
            <w:sz w:val="24"/>
            <w:szCs w:val="24"/>
            <w:u w:val="single"/>
            <w:lang w:eastAsia="pt-BR"/>
          </w:rPr>
          <w:t xml:space="preserve">LEI COMPLEMENTAR Nº 8, DE </w:t>
        </w:r>
        <w:proofErr w:type="gramStart"/>
        <w:r w:rsidRPr="00874E0E">
          <w:rPr>
            <w:rFonts w:ascii="Arial" w:eastAsia="Times New Roman" w:hAnsi="Arial" w:cs="Arial"/>
            <w:b/>
            <w:bCs/>
            <w:color w:val="000080"/>
            <w:sz w:val="24"/>
            <w:szCs w:val="24"/>
            <w:u w:val="single"/>
            <w:lang w:eastAsia="pt-BR"/>
          </w:rPr>
          <w:t>3</w:t>
        </w:r>
        <w:proofErr w:type="gramEnd"/>
        <w:r w:rsidRPr="00874E0E">
          <w:rPr>
            <w:rFonts w:ascii="Arial" w:eastAsia="Times New Roman" w:hAnsi="Arial" w:cs="Arial"/>
            <w:b/>
            <w:bCs/>
            <w:color w:val="000080"/>
            <w:sz w:val="24"/>
            <w:szCs w:val="24"/>
            <w:u w:val="single"/>
            <w:lang w:eastAsia="pt-BR"/>
          </w:rPr>
          <w:t xml:space="preserve"> DE DEZEMBRO DE 1970</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874E0E" w:rsidRPr="00874E0E" w:rsidTr="00874E0E">
        <w:trPr>
          <w:tblCellSpacing w:w="0" w:type="dxa"/>
        </w:trPr>
        <w:tc>
          <w:tcPr>
            <w:tcW w:w="2600" w:type="pct"/>
            <w:vAlign w:val="center"/>
            <w:hideMark/>
          </w:tcPr>
          <w:p w:rsidR="00874E0E" w:rsidRPr="00874E0E" w:rsidRDefault="00874E0E" w:rsidP="00874E0E">
            <w:pPr>
              <w:spacing w:after="0" w:line="240" w:lineRule="auto"/>
              <w:rPr>
                <w:rFonts w:ascii="Times New Roman" w:eastAsia="Times New Roman" w:hAnsi="Times New Roman" w:cs="Times New Roman"/>
                <w:sz w:val="24"/>
                <w:szCs w:val="24"/>
                <w:lang w:eastAsia="pt-BR"/>
              </w:rPr>
            </w:pPr>
            <w:hyperlink r:id="rId6" w:history="1">
              <w:r w:rsidRPr="00874E0E">
                <w:rPr>
                  <w:rFonts w:ascii="Arial" w:eastAsia="Times New Roman" w:hAnsi="Arial" w:cs="Arial"/>
                  <w:color w:val="0000FF"/>
                  <w:sz w:val="20"/>
                  <w:szCs w:val="20"/>
                  <w:u w:val="single"/>
                  <w:lang w:eastAsia="pt-BR"/>
                </w:rPr>
                <w:t>(Vide Lei Complementar nº 19, de 1974)</w:t>
              </w:r>
              <w:proofErr w:type="gramStart"/>
            </w:hyperlink>
            <w:proofErr w:type="gramEnd"/>
          </w:p>
          <w:p w:rsidR="00874E0E" w:rsidRPr="00874E0E" w:rsidRDefault="00874E0E" w:rsidP="00874E0E">
            <w:pPr>
              <w:spacing w:after="0" w:line="240" w:lineRule="auto"/>
              <w:rPr>
                <w:rFonts w:ascii="Times New Roman" w:eastAsia="Times New Roman" w:hAnsi="Times New Roman" w:cs="Times New Roman"/>
                <w:sz w:val="24"/>
                <w:szCs w:val="24"/>
                <w:lang w:eastAsia="pt-BR"/>
              </w:rPr>
            </w:pPr>
            <w:hyperlink r:id="rId7" w:anchor="art1" w:history="1">
              <w:r w:rsidRPr="00874E0E">
                <w:rPr>
                  <w:rFonts w:ascii="Arial" w:eastAsia="Times New Roman" w:hAnsi="Arial" w:cs="Arial"/>
                  <w:color w:val="0000FF"/>
                  <w:sz w:val="20"/>
                  <w:szCs w:val="20"/>
                  <w:u w:val="single"/>
                  <w:lang w:eastAsia="pt-BR"/>
                </w:rPr>
                <w:t>(Vide Decreto-lei nº 2.052, de 1983)</w:t>
              </w:r>
              <w:proofErr w:type="gramStart"/>
            </w:hyperlink>
            <w:proofErr w:type="gramEnd"/>
          </w:p>
          <w:p w:rsidR="00874E0E" w:rsidRPr="00874E0E" w:rsidRDefault="00874E0E" w:rsidP="00874E0E">
            <w:pPr>
              <w:spacing w:after="0" w:line="240" w:lineRule="auto"/>
              <w:rPr>
                <w:rFonts w:ascii="Times New Roman" w:eastAsia="Times New Roman" w:hAnsi="Times New Roman" w:cs="Times New Roman"/>
                <w:sz w:val="24"/>
                <w:szCs w:val="24"/>
                <w:lang w:eastAsia="pt-BR"/>
              </w:rPr>
            </w:pPr>
            <w:hyperlink r:id="rId8" w:anchor="art239" w:history="1">
              <w:r w:rsidRPr="00874E0E">
                <w:rPr>
                  <w:rFonts w:ascii="Arial" w:eastAsia="Times New Roman" w:hAnsi="Arial" w:cs="Arial"/>
                  <w:color w:val="0000FF"/>
                  <w:sz w:val="20"/>
                  <w:szCs w:val="20"/>
                  <w:u w:val="single"/>
                  <w:lang w:eastAsia="pt-BR"/>
                </w:rPr>
                <w:t>(Vide constituição de 1988)</w:t>
              </w:r>
            </w:hyperlink>
          </w:p>
          <w:p w:rsidR="00874E0E" w:rsidRPr="00874E0E" w:rsidRDefault="00874E0E" w:rsidP="00874E0E">
            <w:pPr>
              <w:spacing w:after="0" w:line="240" w:lineRule="auto"/>
              <w:rPr>
                <w:rFonts w:ascii="Times New Roman" w:eastAsia="Times New Roman" w:hAnsi="Times New Roman" w:cs="Times New Roman"/>
                <w:sz w:val="24"/>
                <w:szCs w:val="24"/>
                <w:lang w:eastAsia="pt-BR"/>
              </w:rPr>
            </w:pPr>
            <w:hyperlink r:id="rId9" w:history="1">
              <w:r w:rsidRPr="00874E0E">
                <w:rPr>
                  <w:rFonts w:ascii="Arial" w:eastAsia="Times New Roman" w:hAnsi="Arial" w:cs="Arial"/>
                  <w:color w:val="0000FF"/>
                  <w:sz w:val="20"/>
                  <w:szCs w:val="20"/>
                  <w:u w:val="single"/>
                  <w:lang w:eastAsia="pt-BR"/>
                </w:rPr>
                <w:t>Vide Decreto nº 4.524, de 2002</w:t>
              </w:r>
              <w:proofErr w:type="gramStart"/>
            </w:hyperlink>
            <w:proofErr w:type="gramEnd"/>
          </w:p>
        </w:tc>
        <w:tc>
          <w:tcPr>
            <w:tcW w:w="2400" w:type="pct"/>
            <w:vAlign w:val="center"/>
            <w:hideMark/>
          </w:tcPr>
          <w:p w:rsidR="00874E0E" w:rsidRPr="00874E0E" w:rsidRDefault="00874E0E" w:rsidP="00874E0E">
            <w:pPr>
              <w:spacing w:before="100" w:beforeAutospacing="1" w:after="100" w:afterAutospacing="1" w:line="240" w:lineRule="auto"/>
              <w:rPr>
                <w:rFonts w:ascii="Times New Roman" w:eastAsia="Times New Roman" w:hAnsi="Times New Roman" w:cs="Times New Roman"/>
                <w:sz w:val="24"/>
                <w:szCs w:val="24"/>
                <w:lang w:eastAsia="pt-BR"/>
              </w:rPr>
            </w:pPr>
            <w:r w:rsidRPr="00874E0E">
              <w:rPr>
                <w:rFonts w:ascii="Arial" w:eastAsia="Times New Roman" w:hAnsi="Arial" w:cs="Arial"/>
                <w:color w:val="800000"/>
                <w:sz w:val="20"/>
                <w:szCs w:val="20"/>
                <w:lang w:eastAsia="pt-BR"/>
              </w:rPr>
              <w:t>Institui o Programa de Formação do Patrimônio do Servidor Público, e dá outras providências.</w:t>
            </w:r>
          </w:p>
        </w:tc>
      </w:tr>
    </w:tbl>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b/>
          <w:bCs/>
          <w:color w:val="000000"/>
          <w:sz w:val="24"/>
          <w:szCs w:val="24"/>
          <w:lang w:eastAsia="pt-BR"/>
        </w:rPr>
        <w:t>        O PRESIDENTE DA REPÚBLICA: </w:t>
      </w:r>
      <w:r w:rsidRPr="00874E0E">
        <w:rPr>
          <w:rFonts w:ascii="Arial" w:eastAsia="Times New Roman" w:hAnsi="Arial" w:cs="Arial"/>
          <w:color w:val="000000"/>
          <w:sz w:val="24"/>
          <w:szCs w:val="24"/>
          <w:lang w:eastAsia="pt-BR"/>
        </w:rPr>
        <w:t>Faço saber que o </w:t>
      </w:r>
      <w:r w:rsidRPr="00874E0E">
        <w:rPr>
          <w:rFonts w:ascii="Arial" w:eastAsia="Times New Roman" w:hAnsi="Arial" w:cs="Arial"/>
          <w:b/>
          <w:bCs/>
          <w:color w:val="000000"/>
          <w:sz w:val="24"/>
          <w:szCs w:val="24"/>
          <w:lang w:eastAsia="pt-BR"/>
        </w:rPr>
        <w:t>CONGRESSO NACIONAL</w:t>
      </w:r>
      <w:r w:rsidRPr="00874E0E">
        <w:rPr>
          <w:rFonts w:ascii="Arial" w:eastAsia="Times New Roman" w:hAnsi="Arial" w:cs="Arial"/>
          <w:color w:val="000000"/>
          <w:sz w:val="24"/>
          <w:szCs w:val="24"/>
          <w:lang w:eastAsia="pt-BR"/>
        </w:rPr>
        <w:t> decreta e eu sanciono a seguinte Lei Complementar:</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0" w:name="art1"/>
      <w:bookmarkEnd w:id="0"/>
      <w:r w:rsidRPr="00874E0E">
        <w:rPr>
          <w:rFonts w:ascii="Arial" w:eastAsia="Times New Roman" w:hAnsi="Arial" w:cs="Arial"/>
          <w:color w:val="000000"/>
          <w:sz w:val="24"/>
          <w:szCs w:val="24"/>
          <w:lang w:eastAsia="pt-BR"/>
        </w:rPr>
        <w:t>Art. 1º - É instituído, na forma prevista nesta Lei Complementar, o Programa de Formação do Patrimônio do Servidor Público.</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1" w:name="art2"/>
      <w:bookmarkEnd w:id="1"/>
      <w:r w:rsidRPr="00874E0E">
        <w:rPr>
          <w:rFonts w:ascii="Arial" w:eastAsia="Times New Roman" w:hAnsi="Arial" w:cs="Arial"/>
          <w:color w:val="000000"/>
          <w:sz w:val="24"/>
          <w:szCs w:val="24"/>
          <w:lang w:eastAsia="pt-BR"/>
        </w:rPr>
        <w:t>Art. 2º - A União, os Estados, os Municípios, o Distrito Federal e os Territórios contribuirão para o Programa, mediante recolhimento mensal ao Banco do Brasil das seguintes parcelas:</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I - União:</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xml:space="preserve">        1% (um por cento) das receitas correntes efetivamente arrecadadas, deduzidas as transferências feitas a outras entidades da Administração Pública, a partir de 1º de julho de 1971; 1,5% (um e meio por cento) em 1972 e 2% (dois por cento) no ano de 1973 e </w:t>
      </w:r>
      <w:proofErr w:type="spellStart"/>
      <w:r w:rsidRPr="00874E0E">
        <w:rPr>
          <w:rFonts w:ascii="Arial" w:eastAsia="Times New Roman" w:hAnsi="Arial" w:cs="Arial"/>
          <w:color w:val="000000"/>
          <w:sz w:val="24"/>
          <w:szCs w:val="24"/>
          <w:lang w:eastAsia="pt-BR"/>
        </w:rPr>
        <w:t>subseqüentes</w:t>
      </w:r>
      <w:proofErr w:type="spellEnd"/>
      <w:r w:rsidRPr="00874E0E">
        <w:rPr>
          <w:rFonts w:ascii="Arial" w:eastAsia="Times New Roman" w:hAnsi="Arial" w:cs="Arial"/>
          <w:color w:val="000000"/>
          <w:sz w:val="24"/>
          <w:szCs w:val="24"/>
          <w:lang w:eastAsia="pt-BR"/>
        </w:rPr>
        <w:t>.</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II - Estados, Municípios, Distrito Federal e Territórios:</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xml:space="preserve">        a) 1% (um por cento) das receitas correntes próprias, deduzidas as transferências feitas a outras entidades da Administração Pública, a partir de 1º de julho de 1971; 1,5% (um e meio por cento) em 1972 e 2% (dois por cento) no ano de 1973 e </w:t>
      </w:r>
      <w:proofErr w:type="spellStart"/>
      <w:r w:rsidRPr="00874E0E">
        <w:rPr>
          <w:rFonts w:ascii="Arial" w:eastAsia="Times New Roman" w:hAnsi="Arial" w:cs="Arial"/>
          <w:color w:val="000000"/>
          <w:sz w:val="24"/>
          <w:szCs w:val="24"/>
          <w:lang w:eastAsia="pt-BR"/>
        </w:rPr>
        <w:t>subseqüentes</w:t>
      </w:r>
      <w:proofErr w:type="spellEnd"/>
      <w:r w:rsidRPr="00874E0E">
        <w:rPr>
          <w:rFonts w:ascii="Arial" w:eastAsia="Times New Roman" w:hAnsi="Arial" w:cs="Arial"/>
          <w:color w:val="000000"/>
          <w:sz w:val="24"/>
          <w:szCs w:val="24"/>
          <w:lang w:eastAsia="pt-BR"/>
        </w:rPr>
        <w:t>;</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b) 2% (dois por cento) das transferências recebidas do Governo da União e dos Estados através do Fundo de Participações dos Estados, Distrito Federal e Municípios, a partir de 1º de julho de 1971.</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2" w:name="art2p"/>
      <w:bookmarkEnd w:id="2"/>
      <w:r w:rsidRPr="00874E0E">
        <w:rPr>
          <w:rFonts w:ascii="Arial" w:eastAsia="Times New Roman" w:hAnsi="Arial" w:cs="Arial"/>
          <w:color w:val="000000"/>
          <w:sz w:val="24"/>
          <w:szCs w:val="24"/>
          <w:lang w:eastAsia="pt-BR"/>
        </w:rPr>
        <w:t>Parágrafo único - Não recairá, em nenhuma hipótese, sobre as transferências de que trata este artigo, mais de uma contribuição.</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3" w:name="art3"/>
      <w:bookmarkEnd w:id="3"/>
      <w:r w:rsidRPr="00874E0E">
        <w:rPr>
          <w:rFonts w:ascii="Arial" w:eastAsia="Times New Roman" w:hAnsi="Arial" w:cs="Arial"/>
          <w:color w:val="000000"/>
          <w:sz w:val="24"/>
          <w:szCs w:val="24"/>
          <w:lang w:eastAsia="pt-BR"/>
        </w:rPr>
        <w:t xml:space="preserve">Art. 3º - As autarquias, empresas públicas, sociedades de economia mista e fundações, da União, dos Estados, dos Municípios, do Distrito Federal e dos Territórios contribuirão para o Programa com 0,4% (quatro décimos por cento) da receita orçamentária, inclusive transferências e receita operacional, a partir de 1º de julho de 1971; 0,6% (seis décimos por cento) em 1972 e 0,8% (oito décimos por cento) no ano de 1973 e </w:t>
      </w:r>
      <w:proofErr w:type="spellStart"/>
      <w:r w:rsidRPr="00874E0E">
        <w:rPr>
          <w:rFonts w:ascii="Arial" w:eastAsia="Times New Roman" w:hAnsi="Arial" w:cs="Arial"/>
          <w:color w:val="000000"/>
          <w:sz w:val="24"/>
          <w:szCs w:val="24"/>
          <w:lang w:eastAsia="pt-BR"/>
        </w:rPr>
        <w:t>subseqüentes</w:t>
      </w:r>
      <w:proofErr w:type="spellEnd"/>
      <w:r w:rsidRPr="00874E0E">
        <w:rPr>
          <w:rFonts w:ascii="Arial" w:eastAsia="Times New Roman" w:hAnsi="Arial" w:cs="Arial"/>
          <w:color w:val="000000"/>
          <w:sz w:val="24"/>
          <w:szCs w:val="24"/>
          <w:lang w:eastAsia="pt-BR"/>
        </w:rPr>
        <w:t>.</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lastRenderedPageBreak/>
        <w:t>        </w:t>
      </w:r>
      <w:bookmarkStart w:id="4" w:name="art4"/>
      <w:bookmarkEnd w:id="4"/>
      <w:r w:rsidRPr="00874E0E">
        <w:rPr>
          <w:rFonts w:ascii="Arial" w:eastAsia="Times New Roman" w:hAnsi="Arial" w:cs="Arial"/>
          <w:color w:val="000000"/>
          <w:sz w:val="24"/>
          <w:szCs w:val="24"/>
          <w:lang w:eastAsia="pt-BR"/>
        </w:rPr>
        <w:t>Art. 4º - As contribuições recebidas pelo Banco do Brasil serão distribuídas entre todos os servidores em atividade, civis e militares, da União, dos Estados, Municípios, Distrito Federal e Territórios, bem como das suas entidades da Administração Indireta e fundações, observados os seguintes critérios:</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a) 50% proporcionais ao montante da remuneração percebida pelo servidor, no período;</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xml:space="preserve">        b) 50% em partes proporcionais aos </w:t>
      </w:r>
      <w:proofErr w:type="spellStart"/>
      <w:r w:rsidRPr="00874E0E">
        <w:rPr>
          <w:rFonts w:ascii="Arial" w:eastAsia="Times New Roman" w:hAnsi="Arial" w:cs="Arial"/>
          <w:color w:val="000000"/>
          <w:sz w:val="24"/>
          <w:szCs w:val="24"/>
          <w:lang w:eastAsia="pt-BR"/>
        </w:rPr>
        <w:t>qüinqüênios</w:t>
      </w:r>
      <w:proofErr w:type="spellEnd"/>
      <w:r w:rsidRPr="00874E0E">
        <w:rPr>
          <w:rFonts w:ascii="Arial" w:eastAsia="Times New Roman" w:hAnsi="Arial" w:cs="Arial"/>
          <w:color w:val="000000"/>
          <w:sz w:val="24"/>
          <w:szCs w:val="24"/>
          <w:lang w:eastAsia="pt-BR"/>
        </w:rPr>
        <w:t xml:space="preserve"> de serviços prestados pelo servidor.</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Parágrafo único - A distribuição de que trata este artigo somente beneficiará os titulares, nas entidades mencionadas nesta Lei Complementar, de cargo ou função de provimento efetivo ou que possam adquirir estabilidade, ou de emprego de natureza não eventual, regido pela legislação trabalhista.</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5" w:name="art5"/>
      <w:bookmarkEnd w:id="5"/>
      <w:r w:rsidRPr="00874E0E">
        <w:rPr>
          <w:rFonts w:ascii="Arial" w:eastAsia="Times New Roman" w:hAnsi="Arial" w:cs="Arial"/>
          <w:color w:val="000000"/>
          <w:sz w:val="24"/>
          <w:szCs w:val="24"/>
          <w:lang w:eastAsia="pt-BR"/>
        </w:rPr>
        <w:t> Art. 5º - O Banco do Brasil S.A., ao qual competirá a administração do Programa, manterá contas individualizadas para cada servidor e cobrará uma comissão de serviço, tudo na forma que for estipulada pelo Conselho Monetário Nacional.</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6" w:name="art5§1"/>
      <w:bookmarkEnd w:id="6"/>
      <w:r w:rsidRPr="00874E0E">
        <w:rPr>
          <w:rFonts w:ascii="Arial" w:eastAsia="Times New Roman" w:hAnsi="Arial" w:cs="Arial"/>
          <w:color w:val="000000"/>
          <w:sz w:val="24"/>
          <w:szCs w:val="24"/>
          <w:lang w:eastAsia="pt-BR"/>
        </w:rPr>
        <w:t xml:space="preserve">§ 1º - Os depósitos a que se refere este artigo não estão sujeitos </w:t>
      </w:r>
      <w:proofErr w:type="gramStart"/>
      <w:r w:rsidRPr="00874E0E">
        <w:rPr>
          <w:rFonts w:ascii="Arial" w:eastAsia="Times New Roman" w:hAnsi="Arial" w:cs="Arial"/>
          <w:color w:val="000000"/>
          <w:sz w:val="24"/>
          <w:szCs w:val="24"/>
          <w:lang w:eastAsia="pt-BR"/>
        </w:rPr>
        <w:t>a imposto</w:t>
      </w:r>
      <w:proofErr w:type="gramEnd"/>
      <w:r w:rsidRPr="00874E0E">
        <w:rPr>
          <w:rFonts w:ascii="Arial" w:eastAsia="Times New Roman" w:hAnsi="Arial" w:cs="Arial"/>
          <w:color w:val="000000"/>
          <w:sz w:val="24"/>
          <w:szCs w:val="24"/>
          <w:lang w:eastAsia="pt-BR"/>
        </w:rPr>
        <w:t xml:space="preserve"> de renda ou contribuição previdenciária, nem se incorporam, para qualquer fim, à remuneração do cargo, função ou emprego.</w:t>
      </w:r>
    </w:p>
    <w:p w:rsidR="00874E0E" w:rsidRPr="00874E0E" w:rsidRDefault="00874E0E" w:rsidP="00874E0E">
      <w:pPr>
        <w:spacing w:after="0"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7" w:name="art5§2"/>
      <w:bookmarkEnd w:id="7"/>
      <w:r w:rsidRPr="00874E0E">
        <w:rPr>
          <w:rFonts w:ascii="Arial" w:eastAsia="Times New Roman" w:hAnsi="Arial" w:cs="Arial"/>
          <w:strike/>
          <w:color w:val="000000"/>
          <w:sz w:val="24"/>
          <w:szCs w:val="24"/>
          <w:lang w:eastAsia="pt-BR"/>
        </w:rPr>
        <w:t>§ 2º - As contas abertas no Banco do Brasil S.A., na forma desta Lei Complementar, serão creditadas:</w:t>
      </w:r>
      <w:r w:rsidRPr="00874E0E">
        <w:rPr>
          <w:rFonts w:ascii="Arial" w:eastAsia="Times New Roman" w:hAnsi="Arial" w:cs="Arial"/>
          <w:color w:val="000000"/>
          <w:sz w:val="24"/>
          <w:szCs w:val="24"/>
          <w:lang w:eastAsia="pt-BR"/>
        </w:rPr>
        <w:t>          </w:t>
      </w:r>
      <w:hyperlink r:id="rId10" w:anchor="art7" w:history="1">
        <w:r w:rsidRPr="00874E0E">
          <w:rPr>
            <w:rFonts w:ascii="Arial" w:eastAsia="Times New Roman" w:hAnsi="Arial" w:cs="Arial"/>
            <w:color w:val="0000FF"/>
            <w:sz w:val="24"/>
            <w:szCs w:val="24"/>
            <w:u w:val="single"/>
            <w:lang w:eastAsia="pt-BR"/>
          </w:rPr>
          <w:t>(Revogado pela Lei Complementar nº 26, de 1975)</w:t>
        </w:r>
        <w:proofErr w:type="gramStart"/>
      </w:hyperlink>
      <w:proofErr w:type="gramEnd"/>
    </w:p>
    <w:p w:rsidR="00874E0E" w:rsidRPr="00874E0E" w:rsidRDefault="00874E0E" w:rsidP="00874E0E">
      <w:pPr>
        <w:spacing w:after="0" w:line="240" w:lineRule="auto"/>
        <w:jc w:val="both"/>
        <w:rPr>
          <w:rFonts w:ascii="Arial" w:eastAsia="Times New Roman" w:hAnsi="Arial" w:cs="Arial"/>
          <w:color w:val="000000"/>
          <w:sz w:val="27"/>
          <w:szCs w:val="27"/>
          <w:lang w:eastAsia="pt-BR"/>
        </w:rPr>
      </w:pPr>
      <w:r w:rsidRPr="00874E0E">
        <w:rPr>
          <w:rFonts w:ascii="Arial" w:eastAsia="Times New Roman" w:hAnsi="Arial" w:cs="Arial"/>
          <w:strike/>
          <w:color w:val="000000"/>
          <w:sz w:val="24"/>
          <w:szCs w:val="24"/>
          <w:lang w:eastAsia="pt-BR"/>
        </w:rPr>
        <w:t>        </w:t>
      </w:r>
      <w:bookmarkStart w:id="8" w:name="art5§2A"/>
      <w:bookmarkEnd w:id="8"/>
      <w:r w:rsidRPr="00874E0E">
        <w:rPr>
          <w:rFonts w:ascii="Arial" w:eastAsia="Times New Roman" w:hAnsi="Arial" w:cs="Arial"/>
          <w:strike/>
          <w:color w:val="000000"/>
          <w:sz w:val="24"/>
          <w:szCs w:val="24"/>
          <w:lang w:eastAsia="pt-BR"/>
        </w:rPr>
        <w:t xml:space="preserve">a) pela correção monetária anual do saldo credor, </w:t>
      </w:r>
      <w:proofErr w:type="gramStart"/>
      <w:r w:rsidRPr="00874E0E">
        <w:rPr>
          <w:rFonts w:ascii="Arial" w:eastAsia="Times New Roman" w:hAnsi="Arial" w:cs="Arial"/>
          <w:strike/>
          <w:color w:val="000000"/>
          <w:sz w:val="24"/>
          <w:szCs w:val="24"/>
          <w:lang w:eastAsia="pt-BR"/>
        </w:rPr>
        <w:t>obedecidas os</w:t>
      </w:r>
      <w:proofErr w:type="gramEnd"/>
      <w:r w:rsidRPr="00874E0E">
        <w:rPr>
          <w:rFonts w:ascii="Arial" w:eastAsia="Times New Roman" w:hAnsi="Arial" w:cs="Arial"/>
          <w:strike/>
          <w:color w:val="000000"/>
          <w:sz w:val="24"/>
          <w:szCs w:val="24"/>
          <w:lang w:eastAsia="pt-BR"/>
        </w:rPr>
        <w:t xml:space="preserve"> índices aplicáveis às Obrigações Reajustáveis do Tesouro Nacional;</w:t>
      </w:r>
      <w:r w:rsidRPr="00874E0E">
        <w:rPr>
          <w:rFonts w:ascii="Arial" w:eastAsia="Times New Roman" w:hAnsi="Arial" w:cs="Arial"/>
          <w:color w:val="000000"/>
          <w:sz w:val="24"/>
          <w:szCs w:val="24"/>
          <w:lang w:eastAsia="pt-BR"/>
        </w:rPr>
        <w:t>          </w:t>
      </w:r>
      <w:hyperlink r:id="rId11" w:anchor="art7" w:history="1">
        <w:r w:rsidRPr="00874E0E">
          <w:rPr>
            <w:rFonts w:ascii="Arial" w:eastAsia="Times New Roman" w:hAnsi="Arial" w:cs="Arial"/>
            <w:color w:val="0000FF"/>
            <w:sz w:val="24"/>
            <w:szCs w:val="24"/>
            <w:u w:val="single"/>
            <w:lang w:eastAsia="pt-BR"/>
          </w:rPr>
          <w:t>(Revogado pela Lei Complementar nº 26, de 1975)</w:t>
        </w:r>
      </w:hyperlink>
    </w:p>
    <w:p w:rsidR="00874E0E" w:rsidRPr="00874E0E" w:rsidRDefault="00874E0E" w:rsidP="00874E0E">
      <w:pPr>
        <w:spacing w:after="0" w:line="240" w:lineRule="auto"/>
        <w:jc w:val="both"/>
        <w:rPr>
          <w:rFonts w:ascii="Arial" w:eastAsia="Times New Roman" w:hAnsi="Arial" w:cs="Arial"/>
          <w:color w:val="000000"/>
          <w:sz w:val="27"/>
          <w:szCs w:val="27"/>
          <w:lang w:eastAsia="pt-BR"/>
        </w:rPr>
      </w:pPr>
      <w:r w:rsidRPr="00874E0E">
        <w:rPr>
          <w:rFonts w:ascii="Arial" w:eastAsia="Times New Roman" w:hAnsi="Arial" w:cs="Arial"/>
          <w:strike/>
          <w:color w:val="000000"/>
          <w:sz w:val="24"/>
          <w:szCs w:val="24"/>
          <w:lang w:eastAsia="pt-BR"/>
        </w:rPr>
        <w:t>        </w:t>
      </w:r>
      <w:bookmarkStart w:id="9" w:name="art5§2B"/>
      <w:bookmarkEnd w:id="9"/>
      <w:r w:rsidRPr="00874E0E">
        <w:rPr>
          <w:rFonts w:ascii="Arial" w:eastAsia="Times New Roman" w:hAnsi="Arial" w:cs="Arial"/>
          <w:strike/>
          <w:color w:val="000000"/>
          <w:sz w:val="24"/>
          <w:szCs w:val="24"/>
          <w:lang w:eastAsia="pt-BR"/>
        </w:rPr>
        <w:t>b) pelos juros de 3% (três por cento) calculados, anualmente, sobre o saldo corrigido dos depósitos;</w:t>
      </w:r>
      <w:r w:rsidRPr="00874E0E">
        <w:rPr>
          <w:rFonts w:ascii="Arial" w:eastAsia="Times New Roman" w:hAnsi="Arial" w:cs="Arial"/>
          <w:color w:val="000000"/>
          <w:sz w:val="24"/>
          <w:szCs w:val="24"/>
          <w:lang w:eastAsia="pt-BR"/>
        </w:rPr>
        <w:t>          </w:t>
      </w:r>
      <w:hyperlink r:id="rId12" w:anchor="art7" w:history="1">
        <w:r w:rsidRPr="00874E0E">
          <w:rPr>
            <w:rFonts w:ascii="Arial" w:eastAsia="Times New Roman" w:hAnsi="Arial" w:cs="Arial"/>
            <w:color w:val="0000FF"/>
            <w:sz w:val="24"/>
            <w:szCs w:val="24"/>
            <w:u w:val="single"/>
            <w:lang w:eastAsia="pt-BR"/>
          </w:rPr>
          <w:t>(Revogado pela Lei Complementar nº 26, de 1975)</w:t>
        </w:r>
        <w:proofErr w:type="gramStart"/>
      </w:hyperlink>
      <w:proofErr w:type="gramEnd"/>
    </w:p>
    <w:p w:rsidR="00874E0E" w:rsidRPr="00874E0E" w:rsidRDefault="00874E0E" w:rsidP="00874E0E">
      <w:pPr>
        <w:spacing w:after="0" w:line="240" w:lineRule="auto"/>
        <w:jc w:val="both"/>
        <w:rPr>
          <w:rFonts w:ascii="Arial" w:eastAsia="Times New Roman" w:hAnsi="Arial" w:cs="Arial"/>
          <w:color w:val="000000"/>
          <w:sz w:val="27"/>
          <w:szCs w:val="27"/>
          <w:lang w:eastAsia="pt-BR"/>
        </w:rPr>
      </w:pPr>
      <w:r w:rsidRPr="00874E0E">
        <w:rPr>
          <w:rFonts w:ascii="Arial" w:eastAsia="Times New Roman" w:hAnsi="Arial" w:cs="Arial"/>
          <w:strike/>
          <w:color w:val="000000"/>
          <w:sz w:val="24"/>
          <w:szCs w:val="24"/>
          <w:lang w:eastAsia="pt-BR"/>
        </w:rPr>
        <w:t>        </w:t>
      </w:r>
      <w:bookmarkStart w:id="10" w:name="art5§2C"/>
      <w:bookmarkEnd w:id="10"/>
      <w:r w:rsidRPr="00874E0E">
        <w:rPr>
          <w:rFonts w:ascii="Arial" w:eastAsia="Times New Roman" w:hAnsi="Arial" w:cs="Arial"/>
          <w:strike/>
          <w:color w:val="000000"/>
          <w:sz w:val="24"/>
          <w:szCs w:val="24"/>
          <w:lang w:eastAsia="pt-BR"/>
        </w:rPr>
        <w:t>c) pelo resultado líquido das operações realizadas com recursos do Programa, deduzidas as despesas administrativas e as provisões e reservas cuja constituição seja indispensável, quando o rendimento for superior à soma das alíneas a e b.</w:t>
      </w:r>
      <w:r w:rsidRPr="00874E0E">
        <w:rPr>
          <w:rFonts w:ascii="Arial" w:eastAsia="Times New Roman" w:hAnsi="Arial" w:cs="Arial"/>
          <w:color w:val="000000"/>
          <w:sz w:val="24"/>
          <w:szCs w:val="24"/>
          <w:lang w:eastAsia="pt-BR"/>
        </w:rPr>
        <w:t>          </w:t>
      </w:r>
      <w:hyperlink r:id="rId13" w:anchor="art7" w:history="1">
        <w:r w:rsidRPr="00874E0E">
          <w:rPr>
            <w:rFonts w:ascii="Arial" w:eastAsia="Times New Roman" w:hAnsi="Arial" w:cs="Arial"/>
            <w:color w:val="0000FF"/>
            <w:sz w:val="24"/>
            <w:szCs w:val="24"/>
            <w:u w:val="single"/>
            <w:lang w:eastAsia="pt-BR"/>
          </w:rPr>
          <w:t>(Revogado pela Lei Complementar nº 26, de 1975)</w:t>
        </w:r>
        <w:proofErr w:type="gramStart"/>
      </w:hyperlink>
      <w:proofErr w:type="gramEnd"/>
    </w:p>
    <w:p w:rsidR="00874E0E" w:rsidRPr="00874E0E" w:rsidRDefault="00874E0E" w:rsidP="00874E0E">
      <w:pPr>
        <w:spacing w:after="0" w:line="240" w:lineRule="auto"/>
        <w:jc w:val="both"/>
        <w:rPr>
          <w:rFonts w:ascii="Arial" w:eastAsia="Times New Roman" w:hAnsi="Arial" w:cs="Arial"/>
          <w:color w:val="000000"/>
          <w:sz w:val="27"/>
          <w:szCs w:val="27"/>
          <w:lang w:eastAsia="pt-BR"/>
        </w:rPr>
      </w:pPr>
      <w:r w:rsidRPr="00874E0E">
        <w:rPr>
          <w:rFonts w:ascii="Arial" w:eastAsia="Times New Roman" w:hAnsi="Arial" w:cs="Arial"/>
          <w:strike/>
          <w:color w:val="000000"/>
          <w:sz w:val="24"/>
          <w:szCs w:val="24"/>
          <w:lang w:eastAsia="pt-BR"/>
        </w:rPr>
        <w:t>        </w:t>
      </w:r>
      <w:bookmarkStart w:id="11" w:name="art5§3"/>
      <w:bookmarkEnd w:id="11"/>
      <w:r w:rsidRPr="00874E0E">
        <w:rPr>
          <w:rFonts w:ascii="Arial" w:eastAsia="Times New Roman" w:hAnsi="Arial" w:cs="Arial"/>
          <w:strike/>
          <w:color w:val="000000"/>
          <w:sz w:val="24"/>
          <w:szCs w:val="24"/>
          <w:lang w:eastAsia="pt-BR"/>
        </w:rPr>
        <w:t>§ 3º - Ao final de cada ano, contado da data da abertura da conta, será facultado ao servidor o levantamento dos juros e da correção monetária, bem como dos rendimentos da quota-parte produzida pela alínea c anterior, se existir.</w:t>
      </w:r>
      <w:r w:rsidRPr="00874E0E">
        <w:rPr>
          <w:rFonts w:ascii="Arial" w:eastAsia="Times New Roman" w:hAnsi="Arial" w:cs="Arial"/>
          <w:color w:val="000000"/>
          <w:sz w:val="24"/>
          <w:szCs w:val="24"/>
          <w:lang w:eastAsia="pt-BR"/>
        </w:rPr>
        <w:t>      </w:t>
      </w:r>
      <w:proofErr w:type="gramStart"/>
      <w:r w:rsidRPr="00874E0E">
        <w:rPr>
          <w:rFonts w:ascii="Arial" w:eastAsia="Times New Roman" w:hAnsi="Arial" w:cs="Arial"/>
          <w:color w:val="000000"/>
          <w:sz w:val="24"/>
          <w:szCs w:val="24"/>
          <w:lang w:eastAsia="pt-BR"/>
        </w:rPr>
        <w:t xml:space="preserve">  </w:t>
      </w:r>
      <w:proofErr w:type="gramEnd"/>
      <w:r w:rsidRPr="00874E0E">
        <w:rPr>
          <w:rFonts w:ascii="Arial" w:eastAsia="Times New Roman" w:hAnsi="Arial" w:cs="Arial"/>
          <w:color w:val="000000"/>
          <w:sz w:val="24"/>
          <w:szCs w:val="24"/>
          <w:lang w:eastAsia="pt-BR"/>
        </w:rPr>
        <w:t>  </w:t>
      </w:r>
      <w:hyperlink r:id="rId14" w:anchor="art7" w:history="1">
        <w:r w:rsidRPr="00874E0E">
          <w:rPr>
            <w:rFonts w:ascii="Arial" w:eastAsia="Times New Roman" w:hAnsi="Arial" w:cs="Arial"/>
            <w:color w:val="0000FF"/>
            <w:sz w:val="24"/>
            <w:szCs w:val="24"/>
            <w:u w:val="single"/>
            <w:lang w:eastAsia="pt-BR"/>
          </w:rPr>
          <w:t>(Revogado pela Lei Complementar nº 26, de 1975)</w:t>
        </w:r>
      </w:hyperlink>
    </w:p>
    <w:p w:rsidR="00874E0E" w:rsidRPr="00874E0E" w:rsidRDefault="00874E0E" w:rsidP="00874E0E">
      <w:pPr>
        <w:spacing w:after="0" w:line="240" w:lineRule="auto"/>
        <w:jc w:val="both"/>
        <w:rPr>
          <w:rFonts w:ascii="Arial" w:eastAsia="Times New Roman" w:hAnsi="Arial" w:cs="Arial"/>
          <w:color w:val="000000"/>
          <w:sz w:val="27"/>
          <w:szCs w:val="27"/>
          <w:lang w:eastAsia="pt-BR"/>
        </w:rPr>
      </w:pPr>
      <w:r w:rsidRPr="00874E0E">
        <w:rPr>
          <w:rFonts w:ascii="Arial" w:eastAsia="Times New Roman" w:hAnsi="Arial" w:cs="Arial"/>
          <w:strike/>
          <w:color w:val="000000"/>
          <w:sz w:val="24"/>
          <w:szCs w:val="24"/>
          <w:lang w:eastAsia="pt-BR"/>
        </w:rPr>
        <w:t>        </w:t>
      </w:r>
      <w:bookmarkStart w:id="12" w:name="art5§4"/>
      <w:bookmarkEnd w:id="12"/>
      <w:r w:rsidRPr="00874E0E">
        <w:rPr>
          <w:rFonts w:ascii="Arial" w:eastAsia="Times New Roman" w:hAnsi="Arial" w:cs="Arial"/>
          <w:strike/>
          <w:color w:val="000000"/>
          <w:sz w:val="24"/>
          <w:szCs w:val="24"/>
          <w:lang w:eastAsia="pt-BR"/>
        </w:rPr>
        <w:t>§ 4º - Por ocasião de casamento, aposentadoria, transferência para a reserva, reforma ou invalidez do servidor titular da conta, poderá o mesmo receber os valores depositados em seu nome; ocorrendo a morte, esses valores serão atribuídos aos dependentes e, em sua falta, aos sucessores.</w:t>
      </w:r>
      <w:r w:rsidRPr="00874E0E">
        <w:rPr>
          <w:rFonts w:ascii="Arial" w:eastAsia="Times New Roman" w:hAnsi="Arial" w:cs="Arial"/>
          <w:color w:val="000000"/>
          <w:sz w:val="24"/>
          <w:szCs w:val="24"/>
          <w:lang w:eastAsia="pt-BR"/>
        </w:rPr>
        <w:t>      </w:t>
      </w:r>
      <w:proofErr w:type="gramStart"/>
      <w:r w:rsidRPr="00874E0E">
        <w:rPr>
          <w:rFonts w:ascii="Arial" w:eastAsia="Times New Roman" w:hAnsi="Arial" w:cs="Arial"/>
          <w:color w:val="000000"/>
          <w:sz w:val="24"/>
          <w:szCs w:val="24"/>
          <w:lang w:eastAsia="pt-BR"/>
        </w:rPr>
        <w:t xml:space="preserve">  </w:t>
      </w:r>
      <w:proofErr w:type="gramEnd"/>
      <w:r w:rsidRPr="00874E0E">
        <w:rPr>
          <w:rFonts w:ascii="Arial" w:eastAsia="Times New Roman" w:hAnsi="Arial" w:cs="Arial"/>
          <w:color w:val="000000"/>
          <w:sz w:val="24"/>
          <w:szCs w:val="24"/>
          <w:lang w:eastAsia="pt-BR"/>
        </w:rPr>
        <w:t>  </w:t>
      </w:r>
      <w:hyperlink r:id="rId15" w:anchor="art7" w:history="1">
        <w:r w:rsidRPr="00874E0E">
          <w:rPr>
            <w:rFonts w:ascii="Arial" w:eastAsia="Times New Roman" w:hAnsi="Arial" w:cs="Arial"/>
            <w:color w:val="0000FF"/>
            <w:sz w:val="24"/>
            <w:szCs w:val="24"/>
            <w:u w:val="single"/>
            <w:lang w:eastAsia="pt-BR"/>
          </w:rPr>
          <w:t>(Revogado pela Lei Complementar nº 26, de 1975)</w:t>
        </w:r>
      </w:hyperlink>
    </w:p>
    <w:p w:rsidR="00874E0E" w:rsidRPr="00874E0E" w:rsidRDefault="00874E0E" w:rsidP="00874E0E">
      <w:pPr>
        <w:spacing w:after="0" w:line="240" w:lineRule="auto"/>
        <w:jc w:val="both"/>
        <w:rPr>
          <w:rFonts w:ascii="Arial" w:eastAsia="Times New Roman" w:hAnsi="Arial" w:cs="Arial"/>
          <w:color w:val="000000"/>
          <w:sz w:val="27"/>
          <w:szCs w:val="27"/>
          <w:lang w:eastAsia="pt-BR"/>
        </w:rPr>
      </w:pPr>
      <w:r w:rsidRPr="00874E0E">
        <w:rPr>
          <w:rFonts w:ascii="Arial" w:eastAsia="Times New Roman" w:hAnsi="Arial" w:cs="Arial"/>
          <w:strike/>
          <w:color w:val="000000"/>
          <w:sz w:val="24"/>
          <w:szCs w:val="24"/>
          <w:lang w:eastAsia="pt-BR"/>
        </w:rPr>
        <w:t>        </w:t>
      </w:r>
      <w:bookmarkStart w:id="13" w:name="art5§5"/>
      <w:bookmarkEnd w:id="13"/>
      <w:r w:rsidRPr="00874E0E">
        <w:rPr>
          <w:rFonts w:ascii="Arial" w:eastAsia="Times New Roman" w:hAnsi="Arial" w:cs="Arial"/>
          <w:strike/>
          <w:color w:val="000000"/>
          <w:sz w:val="24"/>
          <w:szCs w:val="24"/>
          <w:lang w:eastAsia="pt-BR"/>
        </w:rPr>
        <w:t xml:space="preserve">§ 5º - Na forma das normas aprovadas pelo Conselho Monetário Nacional, o servidor poderá requerer a liberação do saldo de seus depósitos, para </w:t>
      </w:r>
      <w:r w:rsidRPr="00874E0E">
        <w:rPr>
          <w:rFonts w:ascii="Arial" w:eastAsia="Times New Roman" w:hAnsi="Arial" w:cs="Arial"/>
          <w:strike/>
          <w:color w:val="000000"/>
          <w:sz w:val="24"/>
          <w:szCs w:val="24"/>
          <w:lang w:eastAsia="pt-BR"/>
        </w:rPr>
        <w:lastRenderedPageBreak/>
        <w:t>utilização total ou parcial na compra de casa própria.</w:t>
      </w:r>
      <w:r w:rsidRPr="00874E0E">
        <w:rPr>
          <w:rFonts w:ascii="Arial" w:eastAsia="Times New Roman" w:hAnsi="Arial" w:cs="Arial"/>
          <w:color w:val="000000"/>
          <w:sz w:val="24"/>
          <w:szCs w:val="24"/>
          <w:lang w:eastAsia="pt-BR"/>
        </w:rPr>
        <w:t>          </w:t>
      </w:r>
      <w:hyperlink r:id="rId16" w:anchor="art7" w:history="1">
        <w:r w:rsidRPr="00874E0E">
          <w:rPr>
            <w:rFonts w:ascii="Arial" w:eastAsia="Times New Roman" w:hAnsi="Arial" w:cs="Arial"/>
            <w:color w:val="0000FF"/>
            <w:sz w:val="24"/>
            <w:szCs w:val="24"/>
            <w:u w:val="single"/>
            <w:lang w:eastAsia="pt-BR"/>
          </w:rPr>
          <w:t>(Revogado pela Lei Complementar nº 26, de 1975)</w:t>
        </w:r>
        <w:proofErr w:type="gramStart"/>
      </w:hyperlink>
      <w:proofErr w:type="gramEnd"/>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14" w:name="art5§6"/>
      <w:bookmarkEnd w:id="14"/>
      <w:r w:rsidRPr="00874E0E">
        <w:rPr>
          <w:rFonts w:ascii="Arial" w:eastAsia="Times New Roman" w:hAnsi="Arial" w:cs="Arial"/>
          <w:color w:val="000000"/>
          <w:sz w:val="24"/>
          <w:szCs w:val="24"/>
          <w:lang w:eastAsia="pt-BR"/>
        </w:rPr>
        <w:t>§ 6º - O Banco do Brasil S.A. organizará o cadastro geral dos beneficiários desta Lei Complementar.</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15" w:name="art6"/>
      <w:bookmarkEnd w:id="15"/>
      <w:r w:rsidRPr="00874E0E">
        <w:rPr>
          <w:rFonts w:ascii="Arial" w:eastAsia="Times New Roman" w:hAnsi="Arial" w:cs="Arial"/>
          <w:color w:val="000000"/>
          <w:sz w:val="24"/>
          <w:szCs w:val="24"/>
          <w:lang w:eastAsia="pt-BR"/>
        </w:rPr>
        <w:t>Art. 6º - </w:t>
      </w:r>
      <w:r w:rsidRPr="00874E0E">
        <w:rPr>
          <w:rFonts w:ascii="Arial" w:eastAsia="Times New Roman" w:hAnsi="Arial" w:cs="Arial"/>
          <w:strike/>
          <w:color w:val="000000"/>
          <w:sz w:val="24"/>
          <w:szCs w:val="24"/>
          <w:lang w:eastAsia="pt-BR"/>
        </w:rPr>
        <w:t>Na administração do Programa de Integração Social e do Programa de Formação do Patrimônio do Servidor Público, a Caixa Econômica Federal e o Banco do Brasil S.A., não efetuarão repasses além de 20% (vinte por cento) do valor total das aplicações diretas.</w:t>
      </w:r>
      <w:r w:rsidRPr="00874E0E">
        <w:rPr>
          <w:rFonts w:ascii="Arial" w:eastAsia="Times New Roman" w:hAnsi="Arial" w:cs="Arial"/>
          <w:color w:val="000000"/>
          <w:sz w:val="24"/>
          <w:szCs w:val="24"/>
          <w:lang w:eastAsia="pt-BR"/>
        </w:rPr>
        <w:t>        </w:t>
      </w:r>
      <w:hyperlink r:id="rId17" w:anchor="art3" w:history="1">
        <w:r w:rsidRPr="00874E0E">
          <w:rPr>
            <w:rFonts w:ascii="Arial" w:eastAsia="Times New Roman" w:hAnsi="Arial" w:cs="Arial"/>
            <w:color w:val="0000FF"/>
            <w:sz w:val="20"/>
            <w:szCs w:val="20"/>
            <w:u w:val="single"/>
            <w:lang w:eastAsia="pt-BR"/>
          </w:rPr>
          <w:t>(Revogado pela Lei Complementar nº 19, de 1974)</w:t>
        </w:r>
        <w:proofErr w:type="gramStart"/>
      </w:hyperlink>
      <w:proofErr w:type="gramEnd"/>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16" w:name="art7"/>
      <w:bookmarkEnd w:id="16"/>
      <w:r w:rsidRPr="00874E0E">
        <w:rPr>
          <w:rFonts w:ascii="Arial" w:eastAsia="Times New Roman" w:hAnsi="Arial" w:cs="Arial"/>
          <w:color w:val="000000"/>
          <w:sz w:val="24"/>
          <w:szCs w:val="24"/>
          <w:lang w:eastAsia="pt-BR"/>
        </w:rPr>
        <w:t>Art. 7º - As importâncias creditadas nas contas do Programa de Formação do Patrimônio do Servidor Público e do Programa de Integração Social são inalienáveis e impenhoráveis, e serão obrigatoriamente transferidas de um para outro, no caso de passar o servidor, pela alteração da relação de emprego, do setor público para o privado, e vice-versa.</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17" w:name="art8"/>
      <w:bookmarkEnd w:id="17"/>
      <w:r w:rsidRPr="00874E0E">
        <w:rPr>
          <w:rFonts w:ascii="Arial" w:eastAsia="Times New Roman" w:hAnsi="Arial" w:cs="Arial"/>
          <w:color w:val="000000"/>
          <w:sz w:val="24"/>
          <w:szCs w:val="24"/>
          <w:lang w:eastAsia="pt-BR"/>
        </w:rPr>
        <w:t> Art. 8º - A aplicação do disposto nesta Lei complementar aos Estados e Municípios, às suas entidades da Administração Indireta e fundações, bem como aos seus servidores, dependerá de norma legislativa estadual ou municipal.</w:t>
      </w:r>
    </w:p>
    <w:p w:rsidR="00874E0E" w:rsidRPr="00874E0E" w:rsidRDefault="00874E0E" w:rsidP="00874E0E">
      <w:pPr>
        <w:spacing w:before="100" w:beforeAutospacing="1" w:after="100" w:afterAutospacing="1" w:line="240" w:lineRule="auto"/>
        <w:jc w:val="both"/>
        <w:rPr>
          <w:rFonts w:ascii="Arial" w:eastAsia="Times New Roman" w:hAnsi="Arial" w:cs="Arial"/>
          <w:color w:val="000000"/>
          <w:sz w:val="27"/>
          <w:szCs w:val="27"/>
          <w:lang w:eastAsia="pt-BR"/>
        </w:rPr>
      </w:pPr>
      <w:r w:rsidRPr="00874E0E">
        <w:rPr>
          <w:rFonts w:ascii="Arial" w:eastAsia="Times New Roman" w:hAnsi="Arial" w:cs="Arial"/>
          <w:color w:val="000000"/>
          <w:sz w:val="24"/>
          <w:szCs w:val="24"/>
          <w:lang w:eastAsia="pt-BR"/>
        </w:rPr>
        <w:t>        </w:t>
      </w:r>
      <w:bookmarkStart w:id="18" w:name="art9"/>
      <w:bookmarkEnd w:id="18"/>
      <w:r w:rsidRPr="00874E0E">
        <w:rPr>
          <w:rFonts w:ascii="Arial" w:eastAsia="Times New Roman" w:hAnsi="Arial" w:cs="Arial"/>
          <w:color w:val="000000"/>
          <w:sz w:val="24"/>
          <w:szCs w:val="24"/>
          <w:lang w:eastAsia="pt-BR"/>
        </w:rPr>
        <w:t>Art. 9º - Esta Lei Complementar entrará em vigor na data de sua publicação, revogadas as disposições em contrário.</w:t>
      </w:r>
    </w:p>
    <w:p w:rsidR="00874E0E" w:rsidRPr="00874E0E" w:rsidRDefault="00874E0E" w:rsidP="00874E0E">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874E0E">
        <w:rPr>
          <w:rFonts w:ascii="Arial" w:eastAsia="Times New Roman" w:hAnsi="Arial" w:cs="Arial"/>
          <w:color w:val="000000"/>
          <w:sz w:val="24"/>
          <w:szCs w:val="24"/>
          <w:lang w:eastAsia="pt-BR"/>
        </w:rPr>
        <w:t xml:space="preserve">        Brasília, </w:t>
      </w:r>
      <w:proofErr w:type="gramStart"/>
      <w:r w:rsidRPr="00874E0E">
        <w:rPr>
          <w:rFonts w:ascii="Arial" w:eastAsia="Times New Roman" w:hAnsi="Arial" w:cs="Arial"/>
          <w:color w:val="000000"/>
          <w:sz w:val="24"/>
          <w:szCs w:val="24"/>
          <w:lang w:eastAsia="pt-BR"/>
        </w:rPr>
        <w:t>3</w:t>
      </w:r>
      <w:proofErr w:type="gramEnd"/>
      <w:r w:rsidRPr="00874E0E">
        <w:rPr>
          <w:rFonts w:ascii="Arial" w:eastAsia="Times New Roman" w:hAnsi="Arial" w:cs="Arial"/>
          <w:color w:val="000000"/>
          <w:sz w:val="24"/>
          <w:szCs w:val="24"/>
          <w:lang w:eastAsia="pt-BR"/>
        </w:rPr>
        <w:t xml:space="preserve"> de dezembro de 1970; 149º da Independência e 82º da República.</w:t>
      </w:r>
    </w:p>
    <w:p w:rsidR="00874E0E" w:rsidRPr="00874E0E" w:rsidRDefault="00874E0E" w:rsidP="00874E0E">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spellStart"/>
      <w:proofErr w:type="gramStart"/>
      <w:r w:rsidRPr="00874E0E">
        <w:rPr>
          <w:rFonts w:ascii="Arial" w:eastAsia="Times New Roman" w:hAnsi="Arial" w:cs="Arial"/>
          <w:color w:val="000000"/>
          <w:sz w:val="20"/>
          <w:szCs w:val="20"/>
          <w:lang w:eastAsia="pt-BR"/>
        </w:rPr>
        <w:t>EMíLIO</w:t>
      </w:r>
      <w:proofErr w:type="spellEnd"/>
      <w:proofErr w:type="gramEnd"/>
      <w:r w:rsidRPr="00874E0E">
        <w:rPr>
          <w:rFonts w:ascii="Arial" w:eastAsia="Times New Roman" w:hAnsi="Arial" w:cs="Arial"/>
          <w:color w:val="000000"/>
          <w:sz w:val="20"/>
          <w:szCs w:val="20"/>
          <w:lang w:eastAsia="pt-BR"/>
        </w:rPr>
        <w:t xml:space="preserve"> G. MÉDICI</w:t>
      </w:r>
      <w:r w:rsidRPr="00874E0E">
        <w:rPr>
          <w:rFonts w:ascii="Arial" w:eastAsia="Times New Roman" w:hAnsi="Arial" w:cs="Arial"/>
          <w:color w:val="000000"/>
          <w:sz w:val="20"/>
          <w:szCs w:val="20"/>
          <w:lang w:eastAsia="pt-BR"/>
        </w:rPr>
        <w:br/>
      </w:r>
      <w:r w:rsidRPr="00874E0E">
        <w:rPr>
          <w:rFonts w:ascii="Arial" w:eastAsia="Times New Roman" w:hAnsi="Arial" w:cs="Arial"/>
          <w:i/>
          <w:iCs/>
          <w:color w:val="000000"/>
          <w:sz w:val="20"/>
          <w:szCs w:val="20"/>
          <w:lang w:eastAsia="pt-BR"/>
        </w:rPr>
        <w:t xml:space="preserve">Alfredo </w:t>
      </w:r>
      <w:proofErr w:type="spellStart"/>
      <w:r w:rsidRPr="00874E0E">
        <w:rPr>
          <w:rFonts w:ascii="Arial" w:eastAsia="Times New Roman" w:hAnsi="Arial" w:cs="Arial"/>
          <w:i/>
          <w:iCs/>
          <w:color w:val="000000"/>
          <w:sz w:val="20"/>
          <w:szCs w:val="20"/>
          <w:lang w:eastAsia="pt-BR"/>
        </w:rPr>
        <w:t>Buzaid</w:t>
      </w:r>
      <w:proofErr w:type="spellEnd"/>
      <w:r w:rsidRPr="00874E0E">
        <w:rPr>
          <w:rFonts w:ascii="Arial" w:eastAsia="Times New Roman" w:hAnsi="Arial" w:cs="Arial"/>
          <w:i/>
          <w:iCs/>
          <w:color w:val="000000"/>
          <w:sz w:val="20"/>
          <w:szCs w:val="20"/>
          <w:lang w:eastAsia="pt-BR"/>
        </w:rPr>
        <w:br/>
        <w:t>Adalberto de Barros Nunes</w:t>
      </w:r>
      <w:r w:rsidRPr="00874E0E">
        <w:rPr>
          <w:rFonts w:ascii="Arial" w:eastAsia="Times New Roman" w:hAnsi="Arial" w:cs="Arial"/>
          <w:i/>
          <w:iCs/>
          <w:color w:val="000000"/>
          <w:sz w:val="20"/>
          <w:szCs w:val="20"/>
          <w:lang w:eastAsia="pt-BR"/>
        </w:rPr>
        <w:br/>
        <w:t>Orlando Geisel</w:t>
      </w:r>
      <w:r w:rsidRPr="00874E0E">
        <w:rPr>
          <w:rFonts w:ascii="Arial" w:eastAsia="Times New Roman" w:hAnsi="Arial" w:cs="Arial"/>
          <w:i/>
          <w:iCs/>
          <w:color w:val="000000"/>
          <w:sz w:val="20"/>
          <w:szCs w:val="20"/>
          <w:lang w:eastAsia="pt-BR"/>
        </w:rPr>
        <w:br/>
        <w:t>Jorge de Carvalho e Silva</w:t>
      </w:r>
      <w:r w:rsidRPr="00874E0E">
        <w:rPr>
          <w:rFonts w:ascii="Arial" w:eastAsia="Times New Roman" w:hAnsi="Arial" w:cs="Arial"/>
          <w:i/>
          <w:iCs/>
          <w:color w:val="000000"/>
          <w:sz w:val="20"/>
          <w:szCs w:val="20"/>
          <w:lang w:eastAsia="pt-BR"/>
        </w:rPr>
        <w:br/>
        <w:t>Antônio Delfim Netto</w:t>
      </w:r>
      <w:r w:rsidRPr="00874E0E">
        <w:rPr>
          <w:rFonts w:ascii="Arial" w:eastAsia="Times New Roman" w:hAnsi="Arial" w:cs="Arial"/>
          <w:i/>
          <w:iCs/>
          <w:color w:val="000000"/>
          <w:sz w:val="20"/>
          <w:szCs w:val="20"/>
          <w:lang w:eastAsia="pt-BR"/>
        </w:rPr>
        <w:br/>
        <w:t>Mário David Andreazza</w:t>
      </w:r>
      <w:r w:rsidRPr="00874E0E">
        <w:rPr>
          <w:rFonts w:ascii="Arial" w:eastAsia="Times New Roman" w:hAnsi="Arial" w:cs="Arial"/>
          <w:i/>
          <w:iCs/>
          <w:color w:val="000000"/>
          <w:sz w:val="20"/>
          <w:szCs w:val="20"/>
          <w:lang w:eastAsia="pt-BR"/>
        </w:rPr>
        <w:br/>
        <w:t>L.F. Cirne Lima</w:t>
      </w:r>
      <w:r w:rsidRPr="00874E0E">
        <w:rPr>
          <w:rFonts w:ascii="Arial" w:eastAsia="Times New Roman" w:hAnsi="Arial" w:cs="Arial"/>
          <w:i/>
          <w:iCs/>
          <w:color w:val="000000"/>
          <w:sz w:val="20"/>
          <w:szCs w:val="20"/>
          <w:lang w:eastAsia="pt-BR"/>
        </w:rPr>
        <w:br/>
        <w:t>Jarbas G. Passarinho</w:t>
      </w:r>
      <w:r w:rsidRPr="00874E0E">
        <w:rPr>
          <w:rFonts w:ascii="Arial" w:eastAsia="Times New Roman" w:hAnsi="Arial" w:cs="Arial"/>
          <w:i/>
          <w:iCs/>
          <w:color w:val="000000"/>
          <w:sz w:val="20"/>
          <w:szCs w:val="20"/>
          <w:lang w:eastAsia="pt-BR"/>
        </w:rPr>
        <w:br/>
      </w:r>
      <w:proofErr w:type="spellStart"/>
      <w:r w:rsidRPr="00874E0E">
        <w:rPr>
          <w:rFonts w:ascii="Arial" w:eastAsia="Times New Roman" w:hAnsi="Arial" w:cs="Arial"/>
          <w:i/>
          <w:iCs/>
          <w:color w:val="000000"/>
          <w:sz w:val="20"/>
          <w:szCs w:val="20"/>
          <w:lang w:eastAsia="pt-BR"/>
        </w:rPr>
        <w:t>Jvlio</w:t>
      </w:r>
      <w:proofErr w:type="spellEnd"/>
      <w:r w:rsidRPr="00874E0E">
        <w:rPr>
          <w:rFonts w:ascii="Arial" w:eastAsia="Times New Roman" w:hAnsi="Arial" w:cs="Arial"/>
          <w:i/>
          <w:iCs/>
          <w:color w:val="000000"/>
          <w:sz w:val="20"/>
          <w:szCs w:val="20"/>
          <w:lang w:eastAsia="pt-BR"/>
        </w:rPr>
        <w:t xml:space="preserve"> Barata</w:t>
      </w:r>
      <w:r w:rsidRPr="00874E0E">
        <w:rPr>
          <w:rFonts w:ascii="Arial" w:eastAsia="Times New Roman" w:hAnsi="Arial" w:cs="Arial"/>
          <w:i/>
          <w:iCs/>
          <w:color w:val="000000"/>
          <w:sz w:val="20"/>
          <w:szCs w:val="20"/>
          <w:lang w:eastAsia="pt-BR"/>
        </w:rPr>
        <w:br/>
        <w:t>Márcio de Souza e Mello</w:t>
      </w:r>
      <w:r w:rsidRPr="00874E0E">
        <w:rPr>
          <w:rFonts w:ascii="Arial" w:eastAsia="Times New Roman" w:hAnsi="Arial" w:cs="Arial"/>
          <w:i/>
          <w:iCs/>
          <w:color w:val="000000"/>
          <w:sz w:val="20"/>
          <w:szCs w:val="20"/>
          <w:lang w:eastAsia="pt-BR"/>
        </w:rPr>
        <w:br/>
        <w:t xml:space="preserve">F. Rocha </w:t>
      </w:r>
      <w:proofErr w:type="spellStart"/>
      <w:r w:rsidRPr="00874E0E">
        <w:rPr>
          <w:rFonts w:ascii="Arial" w:eastAsia="Times New Roman" w:hAnsi="Arial" w:cs="Arial"/>
          <w:i/>
          <w:iCs/>
          <w:color w:val="000000"/>
          <w:sz w:val="20"/>
          <w:szCs w:val="20"/>
          <w:lang w:eastAsia="pt-BR"/>
        </w:rPr>
        <w:t>Lagôa</w:t>
      </w:r>
      <w:proofErr w:type="spellEnd"/>
      <w:r w:rsidRPr="00874E0E">
        <w:rPr>
          <w:rFonts w:ascii="Arial" w:eastAsia="Times New Roman" w:hAnsi="Arial" w:cs="Arial"/>
          <w:i/>
          <w:iCs/>
          <w:color w:val="000000"/>
          <w:sz w:val="20"/>
          <w:szCs w:val="20"/>
          <w:lang w:eastAsia="pt-BR"/>
        </w:rPr>
        <w:br/>
        <w:t>Marcus Vinicius Pratini de Moraes</w:t>
      </w:r>
      <w:r w:rsidRPr="00874E0E">
        <w:rPr>
          <w:rFonts w:ascii="Arial" w:eastAsia="Times New Roman" w:hAnsi="Arial" w:cs="Arial"/>
          <w:i/>
          <w:iCs/>
          <w:color w:val="000000"/>
          <w:sz w:val="20"/>
          <w:szCs w:val="20"/>
          <w:lang w:eastAsia="pt-BR"/>
        </w:rPr>
        <w:br/>
        <w:t>Antônio Dias Leite Júnior</w:t>
      </w:r>
      <w:r w:rsidRPr="00874E0E">
        <w:rPr>
          <w:rFonts w:ascii="Arial" w:eastAsia="Times New Roman" w:hAnsi="Arial" w:cs="Arial"/>
          <w:i/>
          <w:iCs/>
          <w:color w:val="000000"/>
          <w:sz w:val="20"/>
          <w:szCs w:val="20"/>
          <w:lang w:eastAsia="pt-BR"/>
        </w:rPr>
        <w:br/>
        <w:t>João Paulo dos Reis Velloso</w:t>
      </w:r>
      <w:r w:rsidRPr="00874E0E">
        <w:rPr>
          <w:rFonts w:ascii="Arial" w:eastAsia="Times New Roman" w:hAnsi="Arial" w:cs="Arial"/>
          <w:i/>
          <w:iCs/>
          <w:color w:val="000000"/>
          <w:sz w:val="20"/>
          <w:szCs w:val="20"/>
          <w:lang w:eastAsia="pt-BR"/>
        </w:rPr>
        <w:br/>
        <w:t>José Costa Cavalcanti</w:t>
      </w:r>
      <w:r w:rsidRPr="00874E0E">
        <w:rPr>
          <w:rFonts w:ascii="Arial" w:eastAsia="Times New Roman" w:hAnsi="Arial" w:cs="Arial"/>
          <w:i/>
          <w:iCs/>
          <w:color w:val="000000"/>
          <w:sz w:val="20"/>
          <w:szCs w:val="20"/>
          <w:lang w:eastAsia="pt-BR"/>
        </w:rPr>
        <w:br/>
      </w:r>
      <w:proofErr w:type="spellStart"/>
      <w:r w:rsidRPr="00874E0E">
        <w:rPr>
          <w:rFonts w:ascii="Arial" w:eastAsia="Times New Roman" w:hAnsi="Arial" w:cs="Arial"/>
          <w:i/>
          <w:iCs/>
          <w:color w:val="000000"/>
          <w:sz w:val="20"/>
          <w:szCs w:val="20"/>
          <w:lang w:eastAsia="pt-BR"/>
        </w:rPr>
        <w:t>Hygino</w:t>
      </w:r>
      <w:proofErr w:type="spellEnd"/>
      <w:r w:rsidRPr="00874E0E">
        <w:rPr>
          <w:rFonts w:ascii="Arial" w:eastAsia="Times New Roman" w:hAnsi="Arial" w:cs="Arial"/>
          <w:i/>
          <w:iCs/>
          <w:color w:val="000000"/>
          <w:sz w:val="20"/>
          <w:szCs w:val="20"/>
          <w:lang w:eastAsia="pt-BR"/>
        </w:rPr>
        <w:t xml:space="preserve"> C. </w:t>
      </w:r>
      <w:proofErr w:type="spellStart"/>
      <w:r w:rsidRPr="00874E0E">
        <w:rPr>
          <w:rFonts w:ascii="Arial" w:eastAsia="Times New Roman" w:hAnsi="Arial" w:cs="Arial"/>
          <w:i/>
          <w:iCs/>
          <w:color w:val="000000"/>
          <w:sz w:val="20"/>
          <w:szCs w:val="20"/>
          <w:lang w:eastAsia="pt-BR"/>
        </w:rPr>
        <w:t>Corsetti</w:t>
      </w:r>
      <w:proofErr w:type="spellEnd"/>
    </w:p>
    <w:p w:rsidR="00874E0E" w:rsidRPr="00874E0E" w:rsidRDefault="00874E0E" w:rsidP="00874E0E">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874E0E">
        <w:rPr>
          <w:rFonts w:ascii="Arial" w:eastAsia="Times New Roman" w:hAnsi="Arial" w:cs="Arial"/>
          <w:color w:val="FF0000"/>
          <w:sz w:val="20"/>
          <w:szCs w:val="20"/>
          <w:lang w:eastAsia="pt-BR"/>
        </w:rPr>
        <w:t>Este texto não substitui o publicado no DOU de  4.12.1970</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FF0000"/>
          <w:sz w:val="27"/>
          <w:szCs w:val="27"/>
          <w:lang w:eastAsia="pt-BR"/>
        </w:rPr>
        <w:t>*</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000000"/>
          <w:sz w:val="27"/>
          <w:szCs w:val="27"/>
          <w:lang w:eastAsia="pt-BR"/>
        </w:rPr>
        <w:t> </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000000"/>
          <w:sz w:val="27"/>
          <w:szCs w:val="27"/>
          <w:lang w:eastAsia="pt-BR"/>
        </w:rPr>
        <w:lastRenderedPageBreak/>
        <w:t> </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000000"/>
          <w:sz w:val="27"/>
          <w:szCs w:val="27"/>
          <w:lang w:eastAsia="pt-BR"/>
        </w:rPr>
        <w:t> </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000000"/>
          <w:sz w:val="27"/>
          <w:szCs w:val="27"/>
          <w:lang w:eastAsia="pt-BR"/>
        </w:rPr>
        <w:t> </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000000"/>
          <w:sz w:val="27"/>
          <w:szCs w:val="27"/>
          <w:lang w:eastAsia="pt-BR"/>
        </w:rPr>
        <w:t> </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000000"/>
          <w:sz w:val="27"/>
          <w:szCs w:val="27"/>
          <w:lang w:eastAsia="pt-BR"/>
        </w:rPr>
        <w:t> </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000000"/>
          <w:sz w:val="27"/>
          <w:szCs w:val="27"/>
          <w:lang w:eastAsia="pt-BR"/>
        </w:rPr>
        <w:t> </w:t>
      </w:r>
    </w:p>
    <w:p w:rsidR="00874E0E" w:rsidRPr="00874E0E" w:rsidRDefault="00874E0E" w:rsidP="00874E0E">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74E0E">
        <w:rPr>
          <w:rFonts w:ascii="Times New Roman" w:eastAsia="Times New Roman" w:hAnsi="Times New Roman" w:cs="Times New Roman"/>
          <w:color w:val="000000"/>
          <w:sz w:val="27"/>
          <w:szCs w:val="27"/>
          <w:lang w:eastAsia="pt-BR"/>
        </w:rPr>
        <w:t> </w:t>
      </w:r>
    </w:p>
    <w:p w:rsidR="0047128D" w:rsidRDefault="0047128D">
      <w:bookmarkStart w:id="19" w:name="_GoBack"/>
      <w:bookmarkEnd w:id="19"/>
    </w:p>
    <w:sectPr w:rsidR="004712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E0E"/>
    <w:rsid w:val="0047128D"/>
    <w:rsid w:val="00874E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74E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74E0E"/>
    <w:rPr>
      <w:b/>
      <w:bCs/>
    </w:rPr>
  </w:style>
  <w:style w:type="character" w:styleId="Hyperlink">
    <w:name w:val="Hyperlink"/>
    <w:basedOn w:val="Fontepargpadro"/>
    <w:uiPriority w:val="99"/>
    <w:semiHidden/>
    <w:unhideWhenUsed/>
    <w:rsid w:val="00874E0E"/>
    <w:rPr>
      <w:color w:val="0000FF"/>
      <w:u w:val="single"/>
    </w:rPr>
  </w:style>
  <w:style w:type="character" w:styleId="nfase">
    <w:name w:val="Emphasis"/>
    <w:basedOn w:val="Fontepargpadro"/>
    <w:uiPriority w:val="20"/>
    <w:qFormat/>
    <w:rsid w:val="00874E0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74E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74E0E"/>
    <w:rPr>
      <w:b/>
      <w:bCs/>
    </w:rPr>
  </w:style>
  <w:style w:type="character" w:styleId="Hyperlink">
    <w:name w:val="Hyperlink"/>
    <w:basedOn w:val="Fontepargpadro"/>
    <w:uiPriority w:val="99"/>
    <w:semiHidden/>
    <w:unhideWhenUsed/>
    <w:rsid w:val="00874E0E"/>
    <w:rPr>
      <w:color w:val="0000FF"/>
      <w:u w:val="single"/>
    </w:rPr>
  </w:style>
  <w:style w:type="character" w:styleId="nfase">
    <w:name w:val="Emphasis"/>
    <w:basedOn w:val="Fontepargpadro"/>
    <w:uiPriority w:val="20"/>
    <w:qFormat/>
    <w:rsid w:val="00874E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04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hyperlink" Target="http://www.planalto.gov.br/ccivil_03/leis/lcp/Lcp26.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Decreto-Lei/Del2052.htm" TargetMode="External"/><Relationship Id="rId12" Type="http://schemas.openxmlformats.org/officeDocument/2006/relationships/hyperlink" Target="http://www.planalto.gov.br/ccivil_03/leis/lcp/Lcp26.htm" TargetMode="External"/><Relationship Id="rId17" Type="http://schemas.openxmlformats.org/officeDocument/2006/relationships/hyperlink" Target="http://www.planalto.gov.br/ccivil_03/leis/lcp/Lcp19.htm" TargetMode="External"/><Relationship Id="rId2" Type="http://schemas.microsoft.com/office/2007/relationships/stylesWithEffects" Target="stylesWithEffects.xml"/><Relationship Id="rId16" Type="http://schemas.openxmlformats.org/officeDocument/2006/relationships/hyperlink" Target="http://www.planalto.gov.br/ccivil_03/leis/lcp/Lcp26.htm" TargetMode="External"/><Relationship Id="rId1" Type="http://schemas.openxmlformats.org/officeDocument/2006/relationships/styles" Target="styles.xml"/><Relationship Id="rId6" Type="http://schemas.openxmlformats.org/officeDocument/2006/relationships/hyperlink" Target="http://www.planalto.gov.br/ccivil_03/leis/lcp/Lcp19.htm" TargetMode="External"/><Relationship Id="rId11" Type="http://schemas.openxmlformats.org/officeDocument/2006/relationships/hyperlink" Target="http://www.planalto.gov.br/ccivil_03/leis/lcp/Lcp26.htm" TargetMode="External"/><Relationship Id="rId5" Type="http://schemas.openxmlformats.org/officeDocument/2006/relationships/hyperlink" Target="http://legislacao.planalto.gov.br/legisla/legislacao.nsf/Viw_Identificacao/lcp%208-1970?OpenDocument" TargetMode="External"/><Relationship Id="rId15" Type="http://schemas.openxmlformats.org/officeDocument/2006/relationships/hyperlink" Target="http://www.planalto.gov.br/ccivil_03/leis/lcp/Lcp26.htm" TargetMode="External"/><Relationship Id="rId10" Type="http://schemas.openxmlformats.org/officeDocument/2006/relationships/hyperlink" Target="http://www.planalto.gov.br/ccivil_03/leis/lcp/Lcp26.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decreto/2002/D4524.htm" TargetMode="External"/><Relationship Id="rId14" Type="http://schemas.openxmlformats.org/officeDocument/2006/relationships/hyperlink" Target="http://www.planalto.gov.br/ccivil_03/leis/lcp/Lcp2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1244</Words>
  <Characters>6720</Characters>
  <Application>Microsoft Office Word</Application>
  <DocSecurity>0</DocSecurity>
  <Lines>56</Lines>
  <Paragraphs>15</Paragraphs>
  <ScaleCrop>false</ScaleCrop>
  <Company/>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2023-01-07T20:33:00Z</dcterms:created>
  <dcterms:modified xsi:type="dcterms:W3CDTF">2023-01-07T20:39:00Z</dcterms:modified>
</cp:coreProperties>
</file>