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EE3CCD" w:rsidRPr="00EE3CCD" w:rsidTr="00EE3CCD">
        <w:trPr>
          <w:tblCellSpacing w:w="0" w:type="dxa"/>
          <w:jc w:val="center"/>
        </w:trPr>
        <w:tc>
          <w:tcPr>
            <w:tcW w:w="700" w:type="pct"/>
            <w:vAlign w:val="center"/>
            <w:hideMark/>
          </w:tcPr>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sz w:val="24"/>
                <w:szCs w:val="24"/>
                <w:lang w:eastAsia="pt-BR"/>
              </w:rPr>
            </w:pPr>
            <w:bookmarkStart w:id="0" w:name="_GoBack"/>
            <w:bookmarkEnd w:id="0"/>
            <w:r>
              <w:rPr>
                <w:rFonts w:ascii="Times New Roman" w:eastAsia="Times New Roman" w:hAnsi="Times New Roman" w:cs="Times New Roman"/>
                <w:noProof/>
                <w:sz w:val="24"/>
                <w:szCs w:val="24"/>
                <w:lang w:val="en-US"/>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EB9AC3" id="Retângulo 1" o:spid="_x0000_s1026" alt="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EE3CCD">
              <w:rPr>
                <w:rFonts w:ascii="Arial" w:eastAsia="Times New Roman" w:hAnsi="Arial" w:cs="Arial"/>
                <w:b/>
                <w:bCs/>
                <w:color w:val="808000"/>
                <w:sz w:val="36"/>
                <w:szCs w:val="36"/>
                <w:lang w:eastAsia="pt-BR"/>
              </w:rPr>
              <w:t>Presidência da República</w:t>
            </w:r>
            <w:r w:rsidRPr="00EE3CCD">
              <w:rPr>
                <w:rFonts w:ascii="Arial" w:eastAsia="Times New Roman" w:hAnsi="Arial" w:cs="Arial"/>
                <w:b/>
                <w:bCs/>
                <w:color w:val="808000"/>
                <w:sz w:val="24"/>
                <w:szCs w:val="24"/>
                <w:lang w:eastAsia="pt-BR"/>
              </w:rPr>
              <w:br/>
            </w:r>
            <w:r w:rsidRPr="00EE3CCD">
              <w:rPr>
                <w:rFonts w:ascii="Arial" w:eastAsia="Times New Roman" w:hAnsi="Arial" w:cs="Arial"/>
                <w:b/>
                <w:bCs/>
                <w:color w:val="808000"/>
                <w:sz w:val="27"/>
                <w:szCs w:val="27"/>
                <w:lang w:eastAsia="pt-BR"/>
              </w:rPr>
              <w:t>Casa Civil</w:t>
            </w:r>
            <w:r w:rsidRPr="00EE3CCD">
              <w:rPr>
                <w:rFonts w:ascii="Arial" w:eastAsia="Times New Roman" w:hAnsi="Arial" w:cs="Arial"/>
                <w:b/>
                <w:bCs/>
                <w:color w:val="808000"/>
                <w:sz w:val="27"/>
                <w:szCs w:val="27"/>
                <w:lang w:eastAsia="pt-BR"/>
              </w:rPr>
              <w:br/>
            </w:r>
            <w:r w:rsidRPr="00EE3CCD">
              <w:rPr>
                <w:rFonts w:ascii="Arial" w:eastAsia="Times New Roman" w:hAnsi="Arial" w:cs="Arial"/>
                <w:b/>
                <w:bCs/>
                <w:color w:val="808000"/>
                <w:sz w:val="24"/>
                <w:szCs w:val="24"/>
                <w:lang w:eastAsia="pt-BR"/>
              </w:rPr>
              <w:t>Subchefia para Assuntos Jurídicos</w:t>
            </w:r>
          </w:p>
        </w:tc>
      </w:tr>
    </w:tbl>
    <w:p w:rsidR="00EE3CCD" w:rsidRPr="00EE3CCD" w:rsidRDefault="00CA0373" w:rsidP="00EE3CC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4" w:history="1">
        <w:r w:rsidR="00EE3CCD" w:rsidRPr="00EE3CCD">
          <w:rPr>
            <w:rFonts w:ascii="Arial" w:eastAsia="Times New Roman" w:hAnsi="Arial" w:cs="Arial"/>
            <w:b/>
            <w:bCs/>
            <w:color w:val="000080"/>
            <w:sz w:val="24"/>
            <w:szCs w:val="24"/>
            <w:u w:val="single"/>
            <w:lang w:eastAsia="pt-BR"/>
          </w:rPr>
          <w:t>LEI COMPLEMENTAR Nº 7, DE 7 DE SETEMBRO DE 1970</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EE3CCD" w:rsidRPr="00EE3CCD" w:rsidTr="00EE3CCD">
        <w:trPr>
          <w:tblCellSpacing w:w="0" w:type="dxa"/>
        </w:trPr>
        <w:tc>
          <w:tcPr>
            <w:tcW w:w="2550" w:type="pct"/>
            <w:vAlign w:val="center"/>
            <w:hideMark/>
          </w:tcPr>
          <w:p w:rsidR="00EE3CCD" w:rsidRPr="00EE3CCD" w:rsidRDefault="00CA0373" w:rsidP="00EE3CCD">
            <w:pPr>
              <w:spacing w:after="0" w:line="240" w:lineRule="auto"/>
              <w:rPr>
                <w:rFonts w:ascii="Times New Roman" w:eastAsia="Times New Roman" w:hAnsi="Times New Roman" w:cs="Times New Roman"/>
                <w:sz w:val="24"/>
                <w:szCs w:val="24"/>
                <w:lang w:eastAsia="pt-BR"/>
              </w:rPr>
            </w:pPr>
            <w:hyperlink r:id="rId5" w:history="1">
              <w:r w:rsidR="00EE3CCD" w:rsidRPr="00EE3CCD">
                <w:rPr>
                  <w:rFonts w:ascii="Arial" w:eastAsia="Times New Roman" w:hAnsi="Arial" w:cs="Arial"/>
                  <w:color w:val="0000FF"/>
                  <w:sz w:val="20"/>
                  <w:szCs w:val="20"/>
                  <w:u w:val="single"/>
                  <w:lang w:eastAsia="pt-BR"/>
                </w:rPr>
                <w:t>(Vide Lei Complementar nº 8, de 1970)</w:t>
              </w:r>
            </w:hyperlink>
          </w:p>
          <w:p w:rsidR="00EE3CCD" w:rsidRPr="00EE3CCD" w:rsidRDefault="00CA0373" w:rsidP="00EE3CCD">
            <w:pPr>
              <w:spacing w:after="0" w:line="240" w:lineRule="auto"/>
              <w:rPr>
                <w:rFonts w:ascii="Times New Roman" w:eastAsia="Times New Roman" w:hAnsi="Times New Roman" w:cs="Times New Roman"/>
                <w:sz w:val="24"/>
                <w:szCs w:val="24"/>
                <w:lang w:eastAsia="pt-BR"/>
              </w:rPr>
            </w:pPr>
            <w:hyperlink r:id="rId6" w:history="1">
              <w:r w:rsidR="00EE3CCD" w:rsidRPr="00EE3CCD">
                <w:rPr>
                  <w:rFonts w:ascii="Arial" w:eastAsia="Times New Roman" w:hAnsi="Arial" w:cs="Arial"/>
                  <w:color w:val="0000FF"/>
                  <w:sz w:val="20"/>
                  <w:szCs w:val="20"/>
                  <w:u w:val="single"/>
                  <w:lang w:eastAsia="pt-BR"/>
                </w:rPr>
                <w:t>(Vide Lei Complementar nº 19, de 1974)</w:t>
              </w:r>
            </w:hyperlink>
          </w:p>
          <w:p w:rsidR="00EE3CCD" w:rsidRPr="00EE3CCD" w:rsidRDefault="00CA0373" w:rsidP="00EE3CCD">
            <w:pPr>
              <w:spacing w:after="0" w:line="240" w:lineRule="auto"/>
              <w:rPr>
                <w:rFonts w:ascii="Times New Roman" w:eastAsia="Times New Roman" w:hAnsi="Times New Roman" w:cs="Times New Roman"/>
                <w:sz w:val="24"/>
                <w:szCs w:val="24"/>
                <w:lang w:eastAsia="pt-BR"/>
              </w:rPr>
            </w:pPr>
            <w:hyperlink r:id="rId7" w:anchor="art1" w:history="1">
              <w:r w:rsidR="00EE3CCD" w:rsidRPr="00EE3CCD">
                <w:rPr>
                  <w:rFonts w:ascii="Arial" w:eastAsia="Times New Roman" w:hAnsi="Arial" w:cs="Arial"/>
                  <w:color w:val="0000FF"/>
                  <w:sz w:val="20"/>
                  <w:szCs w:val="20"/>
                  <w:u w:val="single"/>
                  <w:lang w:eastAsia="pt-BR"/>
                </w:rPr>
                <w:t>(Vide Decreto-lei nº 2.052, de 1983)</w:t>
              </w:r>
            </w:hyperlink>
          </w:p>
          <w:p w:rsidR="00EE3CCD" w:rsidRPr="00EE3CCD" w:rsidRDefault="00CA0373" w:rsidP="00EE3CCD">
            <w:pPr>
              <w:spacing w:after="0" w:line="240" w:lineRule="auto"/>
              <w:rPr>
                <w:rFonts w:ascii="Times New Roman" w:eastAsia="Times New Roman" w:hAnsi="Times New Roman" w:cs="Times New Roman"/>
                <w:sz w:val="24"/>
                <w:szCs w:val="24"/>
                <w:lang w:eastAsia="pt-BR"/>
              </w:rPr>
            </w:pPr>
            <w:hyperlink r:id="rId8" w:anchor="art239" w:history="1">
              <w:r w:rsidR="00EE3CCD" w:rsidRPr="00EE3CCD">
                <w:rPr>
                  <w:rFonts w:ascii="Arial" w:eastAsia="Times New Roman" w:hAnsi="Arial" w:cs="Arial"/>
                  <w:color w:val="0000FF"/>
                  <w:sz w:val="20"/>
                  <w:szCs w:val="20"/>
                  <w:u w:val="single"/>
                  <w:lang w:eastAsia="pt-BR"/>
                </w:rPr>
                <w:t>(Vide constituição de 1988)</w:t>
              </w:r>
            </w:hyperlink>
          </w:p>
          <w:p w:rsidR="00EE3CCD" w:rsidRPr="00EE3CCD" w:rsidRDefault="00CA0373" w:rsidP="00EE3CCD">
            <w:pPr>
              <w:spacing w:after="0" w:line="240" w:lineRule="auto"/>
              <w:rPr>
                <w:rFonts w:ascii="Times New Roman" w:eastAsia="Times New Roman" w:hAnsi="Times New Roman" w:cs="Times New Roman"/>
                <w:sz w:val="24"/>
                <w:szCs w:val="24"/>
                <w:lang w:eastAsia="pt-BR"/>
              </w:rPr>
            </w:pPr>
            <w:hyperlink r:id="rId9" w:history="1">
              <w:r w:rsidR="00EE3CCD" w:rsidRPr="00EE3CCD">
                <w:rPr>
                  <w:rFonts w:ascii="Arial" w:eastAsia="Times New Roman" w:hAnsi="Arial" w:cs="Arial"/>
                  <w:color w:val="0000FF"/>
                  <w:sz w:val="20"/>
                  <w:szCs w:val="20"/>
                  <w:u w:val="single"/>
                  <w:lang w:eastAsia="pt-BR"/>
                </w:rPr>
                <w:t>Vide Decreto nº 4.524, de 2002</w:t>
              </w:r>
            </w:hyperlink>
          </w:p>
        </w:tc>
        <w:tc>
          <w:tcPr>
            <w:tcW w:w="2450" w:type="pct"/>
            <w:vAlign w:val="center"/>
            <w:hideMark/>
          </w:tcPr>
          <w:p w:rsidR="00EE3CCD" w:rsidRPr="00EE3CCD" w:rsidRDefault="00EE3CCD" w:rsidP="00EE3CCD">
            <w:pPr>
              <w:spacing w:before="100" w:beforeAutospacing="1" w:after="100" w:afterAutospacing="1" w:line="240" w:lineRule="auto"/>
              <w:rPr>
                <w:rFonts w:ascii="Times New Roman" w:eastAsia="Times New Roman" w:hAnsi="Times New Roman" w:cs="Times New Roman"/>
                <w:sz w:val="24"/>
                <w:szCs w:val="24"/>
                <w:lang w:eastAsia="pt-BR"/>
              </w:rPr>
            </w:pPr>
            <w:r w:rsidRPr="00EE3CCD">
              <w:rPr>
                <w:rFonts w:ascii="Arial" w:eastAsia="Times New Roman" w:hAnsi="Arial" w:cs="Arial"/>
                <w:color w:val="800000"/>
                <w:sz w:val="20"/>
                <w:szCs w:val="20"/>
                <w:lang w:eastAsia="pt-BR"/>
              </w:rPr>
              <w:t>Institui o Programa de Integração Social, e dá outras providências.</w:t>
            </w:r>
          </w:p>
        </w:tc>
      </w:tr>
    </w:tbl>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b/>
          <w:bCs/>
          <w:color w:val="000000"/>
          <w:sz w:val="24"/>
          <w:szCs w:val="24"/>
          <w:lang w:eastAsia="pt-BR"/>
        </w:rPr>
        <w:t>        O PRESIDENTE DA REPÚBLICA: </w:t>
      </w:r>
      <w:r w:rsidRPr="00EE3CCD">
        <w:rPr>
          <w:rFonts w:ascii="Arial" w:eastAsia="Times New Roman" w:hAnsi="Arial" w:cs="Arial"/>
          <w:color w:val="000000"/>
          <w:sz w:val="24"/>
          <w:szCs w:val="24"/>
          <w:lang w:eastAsia="pt-BR"/>
        </w:rPr>
        <w:t>Faço saber que o </w:t>
      </w:r>
      <w:r w:rsidRPr="00EE3CCD">
        <w:rPr>
          <w:rFonts w:ascii="Arial" w:eastAsia="Times New Roman" w:hAnsi="Arial" w:cs="Arial"/>
          <w:b/>
          <w:bCs/>
          <w:color w:val="000000"/>
          <w:sz w:val="24"/>
          <w:szCs w:val="24"/>
          <w:lang w:eastAsia="pt-BR"/>
        </w:rPr>
        <w:t>Congresso Nacional</w:t>
      </w:r>
      <w:r w:rsidRPr="00EE3CCD">
        <w:rPr>
          <w:rFonts w:ascii="Arial" w:eastAsia="Times New Roman" w:hAnsi="Arial" w:cs="Arial"/>
          <w:color w:val="000000"/>
          <w:sz w:val="24"/>
          <w:szCs w:val="24"/>
          <w:lang w:eastAsia="pt-BR"/>
        </w:rPr>
        <w:t> decreta e eu sanciono a seguinte Lei Complementar:</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1" w:name="art1"/>
      <w:bookmarkEnd w:id="1"/>
      <w:r w:rsidRPr="00EE3CCD">
        <w:rPr>
          <w:rFonts w:ascii="Arial" w:eastAsia="Times New Roman" w:hAnsi="Arial" w:cs="Arial"/>
          <w:color w:val="000000"/>
          <w:sz w:val="24"/>
          <w:szCs w:val="24"/>
          <w:lang w:eastAsia="pt-BR"/>
        </w:rPr>
        <w:t>Art. 1.º - É instituído, na forma prevista nesta Lei, o Programa de Integração Social, destinado a promover a integração do empregado na vida e no desenvolvimento das empresas.</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 1º - Para os fins desta Lei, entende-se por empresa a pessoa jurídica, nos termos da legislação do Imposto de Renda, e por empregado todo aquele assim definido pela Legislação Trabalhista.</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 2º - A participação dos trabalhadores avulsos, assim definidos os que prestam serviços a diversas empresas, sem relação empregatícia, no Programa de Integração Social, far-se-á nos termos do Regulamento a ser baixado, de acordo com o art. 11 desta Lei.</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2" w:name="art2"/>
      <w:bookmarkEnd w:id="2"/>
      <w:r w:rsidRPr="00EE3CCD">
        <w:rPr>
          <w:rFonts w:ascii="Arial" w:eastAsia="Times New Roman" w:hAnsi="Arial" w:cs="Arial"/>
          <w:color w:val="000000"/>
          <w:sz w:val="24"/>
          <w:szCs w:val="24"/>
          <w:lang w:eastAsia="pt-BR"/>
        </w:rPr>
        <w:t>Art. 2º - O Programa de que trata o artigo anterior será executado mediante Fundo de Participação, constituído por depósitos efetuados pelas empresas na Caixa Econômica Federal.</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Parágrafo único - A Caixa Econômica Federal poderá celebrar convênios com estabelecimentos da rede bancária nacional, para o fim de receber os depósitos a que se refere este artigo.</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3" w:name="art3"/>
      <w:bookmarkEnd w:id="3"/>
      <w:r w:rsidRPr="00EE3CCD">
        <w:rPr>
          <w:rFonts w:ascii="Arial" w:eastAsia="Times New Roman" w:hAnsi="Arial" w:cs="Arial"/>
          <w:color w:val="000000"/>
          <w:sz w:val="24"/>
          <w:szCs w:val="24"/>
          <w:lang w:eastAsia="pt-BR"/>
        </w:rPr>
        <w:t>Art. 3º - O Fundo de Participação será constituído por duas parcelas:</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a) a primeira, mediante dedução do Imposto de Renda devido, na forma estabelecida no § 1º deste artigo, processando-se o seu recolhimento ao Fundo juntamente com o pagamento do Imposto de Renda;</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4" w:name="art3b"/>
      <w:bookmarkEnd w:id="4"/>
      <w:r w:rsidRPr="00EE3CCD">
        <w:rPr>
          <w:rFonts w:ascii="Arial" w:eastAsia="Times New Roman" w:hAnsi="Arial" w:cs="Arial"/>
          <w:color w:val="000000"/>
          <w:sz w:val="24"/>
          <w:szCs w:val="24"/>
          <w:lang w:eastAsia="pt-BR"/>
        </w:rPr>
        <w:t>b) a segunda, com recursos próprios da empresa, calculados com base no faturamento, como segue:          </w:t>
      </w:r>
      <w:hyperlink r:id="rId10" w:anchor="art1" w:history="1">
        <w:r w:rsidRPr="00EE3CCD">
          <w:rPr>
            <w:rFonts w:ascii="Arial" w:eastAsia="Times New Roman" w:hAnsi="Arial" w:cs="Arial"/>
            <w:color w:val="0000FF"/>
            <w:sz w:val="24"/>
            <w:szCs w:val="24"/>
            <w:u w:val="single"/>
            <w:lang w:eastAsia="pt-BR"/>
          </w:rPr>
          <w:t>(Vide Lei Complementar nº 17, de 1973)</w:t>
        </w:r>
      </w:hyperlink>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1) no exercício de 1971, 0,15%;</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2) no exercício de 1972, 0,25%;</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lastRenderedPageBreak/>
        <w:t>        3) no exercício de 1973, 0,40%;</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4) no exercício de 1974 e subseqüentes, 0,50%.</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 1º - A dedução a que se refere a alínea a deste artigo será feita sem prejuízo do direito de utilização dos incentivos fiscais previstos na legislação em vigor e calculada com base no valor do Imposto de Renda devido, nas seguintes proporções:</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a) no exercício de 1971 -&gt; 2%;</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b) no exercício de 1972 - 3%;</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c) no exercício de 1973 e subseqüentes - 5%.</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 2.º - As instituições financeiras, sociedades seguradoras e outras empresas que não realizam operações de vendas de mercadorias participarão do Programa de Integração Social com uma contribuição ao Fundo de Participação de, recursos próprios de valor idêntico do que for apurado na forma do parágrafo anterior.</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 3º- As empresas a título de incentivos fiscais estejam isentas, ou venham a ser isentadas, do pagamento do Imposto de Renda, contribuirão para o Fundo de Participação, na base de cálculo como se aquele tributo fosse devido, obedecidas as percentagens previstas neste artigo.</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 4º - As entidades de fins não lucrativos, que tenham empregados assim definidos pela legislação trabalhista, contribuirão para o Fundo na forma da lei.</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 5º - A Caixa Econômica Federal resolverá os casos omissos, de acordo com os critérios fixados pelo Conselho Monetário Nacional.</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5" w:name="art4"/>
      <w:bookmarkEnd w:id="5"/>
      <w:r w:rsidRPr="00EE3CCD">
        <w:rPr>
          <w:rFonts w:ascii="Arial" w:eastAsia="Times New Roman" w:hAnsi="Arial" w:cs="Arial"/>
          <w:color w:val="000000"/>
          <w:sz w:val="24"/>
          <w:szCs w:val="24"/>
          <w:lang w:eastAsia="pt-BR"/>
        </w:rPr>
        <w:t>Art. 4.º - O Conselho Nacional poderá alterar, até 50% (cinqüenta por cento), para mais ou para menos, os percentuais de contribuição de que trata o § 2º do art. 3º, tendo em vista a proporcionalidade das contribuições.</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6" w:name="art5"/>
      <w:bookmarkEnd w:id="6"/>
      <w:r w:rsidRPr="00EE3CCD">
        <w:rPr>
          <w:rFonts w:ascii="Arial" w:eastAsia="Times New Roman" w:hAnsi="Arial" w:cs="Arial"/>
          <w:color w:val="000000"/>
          <w:sz w:val="24"/>
          <w:szCs w:val="24"/>
          <w:lang w:eastAsia="pt-BR"/>
        </w:rPr>
        <w:t>Art. 5º - A Caixa Econômica Federal emitirá, em nome de cada empregado, uma Caderneta de Participação - Programa de Integração Social - movimentável na forma dos arts. 8º e 9º desta Lei.</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7" w:name="art6"/>
      <w:bookmarkEnd w:id="7"/>
      <w:r w:rsidRPr="00EE3CCD">
        <w:rPr>
          <w:rFonts w:ascii="Arial" w:eastAsia="Times New Roman" w:hAnsi="Arial" w:cs="Arial"/>
          <w:color w:val="000000"/>
          <w:sz w:val="24"/>
          <w:szCs w:val="24"/>
          <w:lang w:eastAsia="pt-BR"/>
        </w:rPr>
        <w:t>Art. 6.º - A efetivação dos depósitos no Fundo correspondente à contribuição referida na alínea b do art. 3º será processada mensalmente a partir de 1º de julho de 1971.</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Parágrafo único - A contribuição de julho será calculada com base no faturamento de janeiro; a de agosto, com base no faturamento de fevereiro; e assim sucessivamente.</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lastRenderedPageBreak/>
        <w:t>        </w:t>
      </w:r>
      <w:bookmarkStart w:id="8" w:name="art7"/>
      <w:bookmarkEnd w:id="8"/>
      <w:r w:rsidRPr="00EE3CCD">
        <w:rPr>
          <w:rFonts w:ascii="Arial" w:eastAsia="Times New Roman" w:hAnsi="Arial" w:cs="Arial"/>
          <w:color w:val="000000"/>
          <w:sz w:val="24"/>
          <w:szCs w:val="24"/>
          <w:lang w:eastAsia="pt-BR"/>
        </w:rPr>
        <w:t>Art. 7º - A participação do empregado no Fundo far-se-á mediante depósitos efetuados em contas individuais abertas em nome de cada empregado, obedecidos os seguintes critérios:</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a) 50% (cinqüenta por cento) do valor destinado ao Fundo será dividido em partes proporcionais ao montante de salários recebidos no período);</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b) os 50% (cinqüenta por cento) restantes serão divididos em partes proporcionais aos qüinqüênios de serviços prestados pelo empregado.</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 1º - Para os fins deste artigo, a Caixa Econômica Federal, com base nas Informações fornecidas pelas empresas, no prazo de 180 (cento e oitenta) dias, contados da publicação desta Lei, organizará um Cadastro - Geral dos participantes do Fundo, na forma que for estabelecida em regulamento.</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 2º - A omissão dolosa de nome de empregado entre os participantes do Fundo sujeitará a empresa a multa, em benefício do Fundo, no valor de 10 (dez) meses de salários, devidos ao empregado cujo nome houver sido omitido.</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 3º - Igual penalidade será aplicada em caso de declaração falsa sobre o valor do salário e do tempo de serviço do empregado na empresa.</w:t>
      </w:r>
    </w:p>
    <w:p w:rsidR="00EE3CCD" w:rsidRPr="00EE3CCD" w:rsidRDefault="00EE3CCD" w:rsidP="00EE3CCD">
      <w:pPr>
        <w:spacing w:after="0"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9" w:name="art8"/>
      <w:bookmarkEnd w:id="9"/>
      <w:r w:rsidRPr="00EE3CCD">
        <w:rPr>
          <w:rFonts w:ascii="Arial" w:eastAsia="Times New Roman" w:hAnsi="Arial" w:cs="Arial"/>
          <w:color w:val="000000"/>
          <w:sz w:val="24"/>
          <w:szCs w:val="24"/>
          <w:lang w:eastAsia="pt-BR"/>
        </w:rPr>
        <w:t>Art. 8º - </w:t>
      </w:r>
      <w:r w:rsidRPr="00EE3CCD">
        <w:rPr>
          <w:rFonts w:ascii="Arial" w:eastAsia="Times New Roman" w:hAnsi="Arial" w:cs="Arial"/>
          <w:strike/>
          <w:color w:val="000000"/>
          <w:sz w:val="24"/>
          <w:szCs w:val="24"/>
          <w:lang w:eastAsia="pt-BR"/>
        </w:rPr>
        <w:t>As contas de que trata o artigo anterior serão também creditadas:</w:t>
      </w:r>
      <w:r w:rsidRPr="00EE3CCD">
        <w:rPr>
          <w:rFonts w:ascii="Arial" w:eastAsia="Times New Roman" w:hAnsi="Arial" w:cs="Arial"/>
          <w:color w:val="000000"/>
          <w:sz w:val="24"/>
          <w:szCs w:val="24"/>
          <w:lang w:eastAsia="pt-BR"/>
        </w:rPr>
        <w:t>          </w:t>
      </w:r>
      <w:hyperlink r:id="rId11" w:anchor="art7" w:history="1">
        <w:r w:rsidRPr="00EE3CCD">
          <w:rPr>
            <w:rFonts w:ascii="Arial" w:eastAsia="Times New Roman" w:hAnsi="Arial" w:cs="Arial"/>
            <w:color w:val="0000FF"/>
            <w:sz w:val="24"/>
            <w:szCs w:val="24"/>
            <w:u w:val="single"/>
            <w:lang w:eastAsia="pt-BR"/>
          </w:rPr>
          <w:t>(Revogado pela Lei Complementar nº 26, de 1975)</w:t>
        </w:r>
      </w:hyperlink>
    </w:p>
    <w:p w:rsidR="00EE3CCD" w:rsidRPr="00EE3CCD" w:rsidRDefault="00EE3CCD" w:rsidP="00EE3CCD">
      <w:pPr>
        <w:spacing w:after="0" w:line="240" w:lineRule="auto"/>
        <w:rPr>
          <w:rFonts w:ascii="Arial" w:eastAsia="Times New Roman" w:hAnsi="Arial" w:cs="Arial"/>
          <w:color w:val="000000"/>
          <w:sz w:val="27"/>
          <w:szCs w:val="27"/>
          <w:lang w:eastAsia="pt-BR"/>
        </w:rPr>
      </w:pPr>
      <w:r w:rsidRPr="00EE3CCD">
        <w:rPr>
          <w:rFonts w:ascii="Arial" w:eastAsia="Times New Roman" w:hAnsi="Arial" w:cs="Arial"/>
          <w:strike/>
          <w:color w:val="000000"/>
          <w:sz w:val="24"/>
          <w:szCs w:val="24"/>
          <w:lang w:eastAsia="pt-BR"/>
        </w:rPr>
        <w:t>        a) pela correção monetária anual do saldo credor, na mesma proporção da variação fixada para as Obrigações Reajustáveis do Tesouro Nacional;</w:t>
      </w:r>
      <w:r w:rsidRPr="00EE3CCD">
        <w:rPr>
          <w:rFonts w:ascii="Arial" w:eastAsia="Times New Roman" w:hAnsi="Arial" w:cs="Arial"/>
          <w:color w:val="000000"/>
          <w:sz w:val="24"/>
          <w:szCs w:val="24"/>
          <w:lang w:eastAsia="pt-BR"/>
        </w:rPr>
        <w:t>          </w:t>
      </w:r>
      <w:hyperlink r:id="rId12" w:anchor="art7" w:history="1">
        <w:r w:rsidRPr="00EE3CCD">
          <w:rPr>
            <w:rFonts w:ascii="Arial" w:eastAsia="Times New Roman" w:hAnsi="Arial" w:cs="Arial"/>
            <w:color w:val="0000FF"/>
            <w:sz w:val="24"/>
            <w:szCs w:val="24"/>
            <w:u w:val="single"/>
            <w:lang w:eastAsia="pt-BR"/>
          </w:rPr>
          <w:t>(Revogado pela Lei Complementar nº 26, de 1975)</w:t>
        </w:r>
      </w:hyperlink>
    </w:p>
    <w:p w:rsidR="00EE3CCD" w:rsidRPr="00EE3CCD" w:rsidRDefault="00EE3CCD" w:rsidP="00EE3CCD">
      <w:pPr>
        <w:spacing w:after="0" w:line="240" w:lineRule="auto"/>
        <w:rPr>
          <w:rFonts w:ascii="Arial" w:eastAsia="Times New Roman" w:hAnsi="Arial" w:cs="Arial"/>
          <w:color w:val="000000"/>
          <w:sz w:val="27"/>
          <w:szCs w:val="27"/>
          <w:lang w:eastAsia="pt-BR"/>
        </w:rPr>
      </w:pPr>
      <w:r w:rsidRPr="00EE3CCD">
        <w:rPr>
          <w:rFonts w:ascii="Arial" w:eastAsia="Times New Roman" w:hAnsi="Arial" w:cs="Arial"/>
          <w:strike/>
          <w:color w:val="000000"/>
          <w:sz w:val="24"/>
          <w:szCs w:val="24"/>
          <w:lang w:eastAsia="pt-BR"/>
        </w:rPr>
        <w:t>        b) pelos juros de 3% (três por cento) ao ano, calculados, anualmente, sobre o saldo corrigido dos depósitos;</w:t>
      </w:r>
      <w:r w:rsidRPr="00EE3CCD">
        <w:rPr>
          <w:rFonts w:ascii="Arial" w:eastAsia="Times New Roman" w:hAnsi="Arial" w:cs="Arial"/>
          <w:color w:val="000000"/>
          <w:sz w:val="24"/>
          <w:szCs w:val="24"/>
          <w:lang w:eastAsia="pt-BR"/>
        </w:rPr>
        <w:t>              </w:t>
      </w:r>
      <w:hyperlink r:id="rId13" w:anchor="art7" w:history="1">
        <w:r w:rsidRPr="00EE3CCD">
          <w:rPr>
            <w:rFonts w:ascii="Arial" w:eastAsia="Times New Roman" w:hAnsi="Arial" w:cs="Arial"/>
            <w:color w:val="0000FF"/>
            <w:sz w:val="24"/>
            <w:szCs w:val="24"/>
            <w:u w:val="single"/>
            <w:lang w:eastAsia="pt-BR"/>
          </w:rPr>
          <w:t>(Revogado pela Lei Complementar nº 26, de 1975)</w:t>
        </w:r>
      </w:hyperlink>
    </w:p>
    <w:p w:rsidR="00EE3CCD" w:rsidRPr="00EE3CCD" w:rsidRDefault="00EE3CCD" w:rsidP="00EE3CCD">
      <w:pPr>
        <w:spacing w:after="0" w:line="240" w:lineRule="auto"/>
        <w:rPr>
          <w:rFonts w:ascii="Arial" w:eastAsia="Times New Roman" w:hAnsi="Arial" w:cs="Arial"/>
          <w:color w:val="000000"/>
          <w:sz w:val="27"/>
          <w:szCs w:val="27"/>
          <w:lang w:eastAsia="pt-BR"/>
        </w:rPr>
      </w:pPr>
      <w:r w:rsidRPr="00EE3CCD">
        <w:rPr>
          <w:rFonts w:ascii="Arial" w:eastAsia="Times New Roman" w:hAnsi="Arial" w:cs="Arial"/>
          <w:strike/>
          <w:color w:val="000000"/>
          <w:sz w:val="24"/>
          <w:szCs w:val="24"/>
          <w:lang w:eastAsia="pt-BR"/>
        </w:rPr>
        <w:t>        c) pelo resultado líquido das operações realizadas com recursos do Fundo, deduzidas as despesas administrativas e as provisões e reservas cuja constituição seja indispensável, quando o rendimento for superior a soma dos itens "a" e "b".</w:t>
      </w:r>
      <w:r w:rsidRPr="00EE3CCD">
        <w:rPr>
          <w:rFonts w:ascii="Arial" w:eastAsia="Times New Roman" w:hAnsi="Arial" w:cs="Arial"/>
          <w:color w:val="000000"/>
          <w:sz w:val="24"/>
          <w:szCs w:val="24"/>
          <w:lang w:eastAsia="pt-BR"/>
        </w:rPr>
        <w:t>          </w:t>
      </w:r>
      <w:hyperlink r:id="rId14" w:anchor="art7" w:history="1">
        <w:r w:rsidRPr="00EE3CCD">
          <w:rPr>
            <w:rFonts w:ascii="Arial" w:eastAsia="Times New Roman" w:hAnsi="Arial" w:cs="Arial"/>
            <w:color w:val="0000FF"/>
            <w:sz w:val="24"/>
            <w:szCs w:val="24"/>
            <w:u w:val="single"/>
            <w:lang w:eastAsia="pt-BR"/>
          </w:rPr>
          <w:t>(Revogado pela Lei Complementar nº 26, de 1975)</w:t>
        </w:r>
      </w:hyperlink>
    </w:p>
    <w:p w:rsidR="00EE3CCD" w:rsidRPr="00EE3CCD" w:rsidRDefault="00EE3CCD" w:rsidP="00EE3CCD">
      <w:pPr>
        <w:spacing w:after="0" w:line="240" w:lineRule="auto"/>
        <w:rPr>
          <w:rFonts w:ascii="Arial" w:eastAsia="Times New Roman" w:hAnsi="Arial" w:cs="Arial"/>
          <w:color w:val="000000"/>
          <w:sz w:val="27"/>
          <w:szCs w:val="27"/>
          <w:lang w:eastAsia="pt-BR"/>
        </w:rPr>
      </w:pPr>
      <w:r w:rsidRPr="00EE3CCD">
        <w:rPr>
          <w:rFonts w:ascii="Arial" w:eastAsia="Times New Roman" w:hAnsi="Arial" w:cs="Arial"/>
          <w:strike/>
          <w:color w:val="000000"/>
          <w:sz w:val="24"/>
          <w:szCs w:val="24"/>
          <w:lang w:eastAsia="pt-BR"/>
        </w:rPr>
        <w:t>        Parágrafo único - A cada período de um ano, contado da data de abertura da conta, será facultado ao empregado o levantamento do valor dos juros, da correção monetária contabilizada no período e da quota - parte produzida, pelo item c anterior, se existir.</w:t>
      </w:r>
      <w:r w:rsidRPr="00EE3CCD">
        <w:rPr>
          <w:rFonts w:ascii="Arial" w:eastAsia="Times New Roman" w:hAnsi="Arial" w:cs="Arial"/>
          <w:color w:val="000000"/>
          <w:sz w:val="24"/>
          <w:szCs w:val="24"/>
          <w:lang w:eastAsia="pt-BR"/>
        </w:rPr>
        <w:t>          </w:t>
      </w:r>
      <w:hyperlink r:id="rId15" w:anchor="art7" w:history="1">
        <w:r w:rsidRPr="00EE3CCD">
          <w:rPr>
            <w:rFonts w:ascii="Arial" w:eastAsia="Times New Roman" w:hAnsi="Arial" w:cs="Arial"/>
            <w:color w:val="0000FF"/>
            <w:sz w:val="24"/>
            <w:szCs w:val="24"/>
            <w:u w:val="single"/>
            <w:lang w:eastAsia="pt-BR"/>
          </w:rPr>
          <w:t>(Revogado pela Lei Complementar nº 26, de 1975)</w:t>
        </w:r>
      </w:hyperlink>
    </w:p>
    <w:p w:rsidR="00EE3CCD" w:rsidRPr="00EE3CCD" w:rsidRDefault="00EE3CCD" w:rsidP="00EE3CCD">
      <w:pPr>
        <w:spacing w:after="0"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10" w:name="art9"/>
      <w:bookmarkEnd w:id="10"/>
      <w:r w:rsidRPr="00EE3CCD">
        <w:rPr>
          <w:rFonts w:ascii="Arial" w:eastAsia="Times New Roman" w:hAnsi="Arial" w:cs="Arial"/>
          <w:color w:val="000000"/>
          <w:sz w:val="24"/>
          <w:szCs w:val="24"/>
          <w:lang w:eastAsia="pt-BR"/>
        </w:rPr>
        <w:t>Art. 9º - </w:t>
      </w:r>
      <w:r w:rsidRPr="00EE3CCD">
        <w:rPr>
          <w:rFonts w:ascii="Arial" w:eastAsia="Times New Roman" w:hAnsi="Arial" w:cs="Arial"/>
          <w:strike/>
          <w:color w:val="000000"/>
          <w:sz w:val="24"/>
          <w:szCs w:val="24"/>
          <w:lang w:eastAsia="pt-BR"/>
        </w:rPr>
        <w:t>As importâncias creditadas aos empregados nas cadernetas de participação são inalienáveis e impenhoráveís, destinando-se, primordialmente, à formação de patrimônio do trabalhador.</w:t>
      </w:r>
      <w:r w:rsidRPr="00EE3CCD">
        <w:rPr>
          <w:rFonts w:ascii="Arial" w:eastAsia="Times New Roman" w:hAnsi="Arial" w:cs="Arial"/>
          <w:color w:val="000000"/>
          <w:sz w:val="24"/>
          <w:szCs w:val="24"/>
          <w:lang w:eastAsia="pt-BR"/>
        </w:rPr>
        <w:t>          </w:t>
      </w:r>
      <w:hyperlink r:id="rId16" w:anchor="art7" w:history="1">
        <w:r w:rsidRPr="00EE3CCD">
          <w:rPr>
            <w:rFonts w:ascii="Arial" w:eastAsia="Times New Roman" w:hAnsi="Arial" w:cs="Arial"/>
            <w:color w:val="0000FF"/>
            <w:sz w:val="24"/>
            <w:szCs w:val="24"/>
            <w:u w:val="single"/>
            <w:lang w:eastAsia="pt-BR"/>
          </w:rPr>
          <w:t>(Revogado pela Lei Complementar nº 26, de 1975)</w:t>
        </w:r>
      </w:hyperlink>
    </w:p>
    <w:p w:rsidR="00EE3CCD" w:rsidRPr="00EE3CCD" w:rsidRDefault="00EE3CCD" w:rsidP="00EE3CCD">
      <w:pPr>
        <w:spacing w:after="0" w:line="240" w:lineRule="auto"/>
        <w:rPr>
          <w:rFonts w:ascii="Arial" w:eastAsia="Times New Roman" w:hAnsi="Arial" w:cs="Arial"/>
          <w:color w:val="000000"/>
          <w:sz w:val="27"/>
          <w:szCs w:val="27"/>
          <w:lang w:eastAsia="pt-BR"/>
        </w:rPr>
      </w:pPr>
      <w:r w:rsidRPr="00EE3CCD">
        <w:rPr>
          <w:rFonts w:ascii="Arial" w:eastAsia="Times New Roman" w:hAnsi="Arial" w:cs="Arial"/>
          <w:strike/>
          <w:color w:val="000000"/>
          <w:sz w:val="24"/>
          <w:szCs w:val="24"/>
          <w:lang w:eastAsia="pt-BR"/>
        </w:rPr>
        <w:t>        § 1º - Por ocasião de casamento, aposentadoria ou invalidez do empregado titular da conta poderá o mesmo receber os valores depositados, mediante comprovação da ocorrência, nos termos do regulamento; ocorrendo a morte, os valores do depósito serão atribuídos aos dependentes e, em sua falta, aos sucessores, na forma da lei.</w:t>
      </w:r>
      <w:r w:rsidRPr="00EE3CCD">
        <w:rPr>
          <w:rFonts w:ascii="Arial" w:eastAsia="Times New Roman" w:hAnsi="Arial" w:cs="Arial"/>
          <w:color w:val="000000"/>
          <w:sz w:val="24"/>
          <w:szCs w:val="24"/>
          <w:lang w:eastAsia="pt-BR"/>
        </w:rPr>
        <w:t>              </w:t>
      </w:r>
      <w:hyperlink r:id="rId17" w:anchor="art7" w:history="1">
        <w:r w:rsidRPr="00EE3CCD">
          <w:rPr>
            <w:rFonts w:ascii="Arial" w:eastAsia="Times New Roman" w:hAnsi="Arial" w:cs="Arial"/>
            <w:color w:val="0000FF"/>
            <w:sz w:val="24"/>
            <w:szCs w:val="24"/>
            <w:u w:val="single"/>
            <w:lang w:eastAsia="pt-BR"/>
          </w:rPr>
          <w:t>(Revogado pela Lei Complementar nº 26, de 1975)</w:t>
        </w:r>
      </w:hyperlink>
    </w:p>
    <w:p w:rsidR="00EE3CCD" w:rsidRPr="00EE3CCD" w:rsidRDefault="00EE3CCD" w:rsidP="00EE3CCD">
      <w:pPr>
        <w:spacing w:after="0" w:line="240" w:lineRule="auto"/>
        <w:rPr>
          <w:rFonts w:ascii="Arial" w:eastAsia="Times New Roman" w:hAnsi="Arial" w:cs="Arial"/>
          <w:color w:val="000000"/>
          <w:sz w:val="27"/>
          <w:szCs w:val="27"/>
          <w:lang w:eastAsia="pt-BR"/>
        </w:rPr>
      </w:pPr>
      <w:r w:rsidRPr="00EE3CCD">
        <w:rPr>
          <w:rFonts w:ascii="Arial" w:eastAsia="Times New Roman" w:hAnsi="Arial" w:cs="Arial"/>
          <w:strike/>
          <w:color w:val="000000"/>
          <w:sz w:val="24"/>
          <w:szCs w:val="24"/>
          <w:lang w:eastAsia="pt-BR"/>
        </w:rPr>
        <w:lastRenderedPageBreak/>
        <w:t>        § 2º - A pedido do interessado, o saldo dos depósitos poderá ser também utilizado como parte do pagamento destinado à aquisição da casa própria, obedecidas as disposições regulamentares previstas no art. 11.</w:t>
      </w:r>
      <w:r w:rsidRPr="00EE3CCD">
        <w:rPr>
          <w:rFonts w:ascii="Arial" w:eastAsia="Times New Roman" w:hAnsi="Arial" w:cs="Arial"/>
          <w:color w:val="000000"/>
          <w:sz w:val="24"/>
          <w:szCs w:val="24"/>
          <w:lang w:eastAsia="pt-BR"/>
        </w:rPr>
        <w:t>          </w:t>
      </w:r>
      <w:hyperlink r:id="rId18" w:anchor="art7" w:history="1">
        <w:r w:rsidRPr="00EE3CCD">
          <w:rPr>
            <w:rFonts w:ascii="Arial" w:eastAsia="Times New Roman" w:hAnsi="Arial" w:cs="Arial"/>
            <w:color w:val="0000FF"/>
            <w:sz w:val="24"/>
            <w:szCs w:val="24"/>
            <w:u w:val="single"/>
            <w:lang w:eastAsia="pt-BR"/>
          </w:rPr>
          <w:t>(Revogado pela Lei Complementar nº 26, de 1975)</w:t>
        </w:r>
      </w:hyperlink>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11" w:name="art10"/>
      <w:bookmarkEnd w:id="11"/>
      <w:r w:rsidRPr="00EE3CCD">
        <w:rPr>
          <w:rFonts w:ascii="Arial" w:eastAsia="Times New Roman" w:hAnsi="Arial" w:cs="Arial"/>
          <w:color w:val="000000"/>
          <w:sz w:val="24"/>
          <w:szCs w:val="24"/>
          <w:lang w:eastAsia="pt-BR"/>
        </w:rPr>
        <w:t>Art. 10 - As obrigações das empresas, decorrentes desta Lei, são de caráter exclusivamente fiscal, não gerando direitos de natureza trabalhista nem incidência de qualquer contribuição previdencíária em relação a quaisquer prestações devidas, por lei ou por sentença judicial, ao empregado.</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Parágrafo único - As importâncias incorporadas ao Fundo não se classificam como rendimento do trabalho, para qualquer efeito da legislação trabalhista, de Previdência Social ou Fiscal e não se incorporam aos salários ou gratificações, nem estão sujeitas ao imposto sobre a renda e proventos de qualquer natureza.</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12" w:name="art11"/>
      <w:bookmarkEnd w:id="12"/>
      <w:r w:rsidRPr="00EE3CCD">
        <w:rPr>
          <w:rFonts w:ascii="Arial" w:eastAsia="Times New Roman" w:hAnsi="Arial" w:cs="Arial"/>
          <w:color w:val="000000"/>
          <w:sz w:val="24"/>
          <w:szCs w:val="24"/>
          <w:lang w:eastAsia="pt-BR"/>
        </w:rPr>
        <w:t>Art. 11 - Dentro de 120 (cento e vinte) dias, a contar da vigência desta Lei, a Caixa Econômica Federal submeterá à aprovação do Conselho Monetário Nacional o regulamento do Fundo, fixando as normas para o recolhimento e a distribuição dos recursos, assim como as diretrizes e os critérios para a sua aplicação.</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Parágrafo único - O Conselho Monetário Nacional pronunciar-se-á, no prazo de 60 (sessenta) dias, a contar do seu recebimento, sobre o projeto de regulamento do Fundo.</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13" w:name="art12"/>
      <w:bookmarkEnd w:id="13"/>
      <w:r w:rsidRPr="00EE3CCD">
        <w:rPr>
          <w:rFonts w:ascii="Arial" w:eastAsia="Times New Roman" w:hAnsi="Arial" w:cs="Arial"/>
          <w:color w:val="000000"/>
          <w:sz w:val="24"/>
          <w:szCs w:val="24"/>
          <w:lang w:eastAsia="pt-BR"/>
        </w:rPr>
        <w:t>Art. 12 - As disposições desta Lei não se aplicam a quaisquer entidades integrantes da Administração Pública federal, estadual ou municipal, dos Territórios e do Distrito Federal, Direta ou Indireta adotando-se, em todos os níveis, para efeito de conceituação, como entidades da Administração Indireta, os critérios constantes dos </w:t>
      </w:r>
      <w:hyperlink r:id="rId19" w:history="1">
        <w:r w:rsidRPr="00EE3CCD">
          <w:rPr>
            <w:rFonts w:ascii="Arial" w:eastAsia="Times New Roman" w:hAnsi="Arial" w:cs="Arial"/>
            <w:color w:val="0000FF"/>
            <w:sz w:val="24"/>
            <w:szCs w:val="24"/>
            <w:u w:val="single"/>
            <w:lang w:eastAsia="pt-BR"/>
          </w:rPr>
          <w:t>Decretos - Leis nºs 200, de 25 de fevereiro de 1967</w:t>
        </w:r>
      </w:hyperlink>
      <w:r w:rsidRPr="00EE3CCD">
        <w:rPr>
          <w:rFonts w:ascii="Arial" w:eastAsia="Times New Roman" w:hAnsi="Arial" w:cs="Arial"/>
          <w:color w:val="000000"/>
          <w:sz w:val="24"/>
          <w:szCs w:val="24"/>
          <w:lang w:eastAsia="pt-BR"/>
        </w:rPr>
        <w:t>, e </w:t>
      </w:r>
      <w:hyperlink r:id="rId20" w:history="1">
        <w:r w:rsidRPr="00EE3CCD">
          <w:rPr>
            <w:rFonts w:ascii="Arial" w:eastAsia="Times New Roman" w:hAnsi="Arial" w:cs="Arial"/>
            <w:color w:val="0000FF"/>
            <w:sz w:val="24"/>
            <w:szCs w:val="24"/>
            <w:u w:val="single"/>
            <w:lang w:eastAsia="pt-BR"/>
          </w:rPr>
          <w:t>900, de 29 de setembro de 1969</w:t>
        </w:r>
      </w:hyperlink>
      <w:r w:rsidRPr="00EE3CCD">
        <w:rPr>
          <w:rFonts w:ascii="Arial" w:eastAsia="Times New Roman" w:hAnsi="Arial" w:cs="Arial"/>
          <w:color w:val="000000"/>
          <w:sz w:val="24"/>
          <w:szCs w:val="24"/>
          <w:lang w:eastAsia="pt-BR"/>
        </w:rPr>
        <w:t>.</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14" w:name="art13"/>
      <w:bookmarkEnd w:id="14"/>
      <w:r w:rsidRPr="00EE3CCD">
        <w:rPr>
          <w:rFonts w:ascii="Arial" w:eastAsia="Times New Roman" w:hAnsi="Arial" w:cs="Arial"/>
          <w:color w:val="000000"/>
          <w:sz w:val="24"/>
          <w:szCs w:val="24"/>
          <w:lang w:eastAsia="pt-BR"/>
        </w:rPr>
        <w:t>Art. 13 - Esta Lei Complementar entrará em vigor na data de sua publicação.</w:t>
      </w:r>
    </w:p>
    <w:p w:rsidR="00EE3CCD" w:rsidRPr="00EE3CCD" w:rsidRDefault="00EE3CCD" w:rsidP="00EE3CCD">
      <w:pPr>
        <w:spacing w:before="100" w:beforeAutospacing="1" w:after="100" w:afterAutospacing="1" w:line="240" w:lineRule="auto"/>
        <w:rPr>
          <w:rFonts w:ascii="Arial" w:eastAsia="Times New Roman" w:hAnsi="Arial" w:cs="Arial"/>
          <w:color w:val="000000"/>
          <w:sz w:val="27"/>
          <w:szCs w:val="27"/>
          <w:lang w:eastAsia="pt-BR"/>
        </w:rPr>
      </w:pPr>
      <w:r w:rsidRPr="00EE3CCD">
        <w:rPr>
          <w:rFonts w:ascii="Arial" w:eastAsia="Times New Roman" w:hAnsi="Arial" w:cs="Arial"/>
          <w:color w:val="000000"/>
          <w:sz w:val="24"/>
          <w:szCs w:val="24"/>
          <w:lang w:eastAsia="pt-BR"/>
        </w:rPr>
        <w:t>        </w:t>
      </w:r>
      <w:bookmarkStart w:id="15" w:name="art14"/>
      <w:bookmarkEnd w:id="15"/>
      <w:r w:rsidRPr="00EE3CCD">
        <w:rPr>
          <w:rFonts w:ascii="Arial" w:eastAsia="Times New Roman" w:hAnsi="Arial" w:cs="Arial"/>
          <w:color w:val="000000"/>
          <w:sz w:val="24"/>
          <w:szCs w:val="24"/>
          <w:lang w:eastAsia="pt-BR"/>
        </w:rPr>
        <w:t>Art. 14 - Revogam-se as disposições em contrário.</w:t>
      </w:r>
    </w:p>
    <w:p w:rsidR="00EE3CCD" w:rsidRPr="00EE3CCD" w:rsidRDefault="00EE3CCD" w:rsidP="00EE3CC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E3CCD">
        <w:rPr>
          <w:rFonts w:ascii="Arial" w:eastAsia="Times New Roman" w:hAnsi="Arial" w:cs="Arial"/>
          <w:color w:val="000000"/>
          <w:sz w:val="24"/>
          <w:szCs w:val="24"/>
          <w:lang w:eastAsia="pt-BR"/>
        </w:rPr>
        <w:t>        Brasília, 7 de setembro de 1970; 149º da Independência e 82º da República.</w:t>
      </w:r>
    </w:p>
    <w:p w:rsidR="00EE3CCD" w:rsidRPr="00EE3CCD" w:rsidRDefault="00EE3CCD" w:rsidP="00EE3CC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E3CCD">
        <w:rPr>
          <w:rFonts w:ascii="Arial" w:eastAsia="Times New Roman" w:hAnsi="Arial" w:cs="Arial"/>
          <w:color w:val="000000"/>
          <w:sz w:val="20"/>
          <w:szCs w:val="20"/>
          <w:lang w:eastAsia="pt-BR"/>
        </w:rPr>
        <w:t>EMILIO G. MÉDICI</w:t>
      </w:r>
      <w:r w:rsidRPr="00EE3CCD">
        <w:rPr>
          <w:rFonts w:ascii="Arial" w:eastAsia="Times New Roman" w:hAnsi="Arial" w:cs="Arial"/>
          <w:color w:val="000000"/>
          <w:sz w:val="20"/>
          <w:szCs w:val="20"/>
          <w:lang w:eastAsia="pt-BR"/>
        </w:rPr>
        <w:br/>
      </w:r>
      <w:r w:rsidRPr="00EE3CCD">
        <w:rPr>
          <w:rFonts w:ascii="Arial" w:eastAsia="Times New Roman" w:hAnsi="Arial" w:cs="Arial"/>
          <w:i/>
          <w:iCs/>
          <w:color w:val="000000"/>
          <w:sz w:val="20"/>
          <w:szCs w:val="20"/>
          <w:lang w:eastAsia="pt-BR"/>
        </w:rPr>
        <w:t>Alfredo Buzaid</w:t>
      </w:r>
      <w:r w:rsidRPr="00EE3CCD">
        <w:rPr>
          <w:rFonts w:ascii="Arial" w:eastAsia="Times New Roman" w:hAnsi="Arial" w:cs="Arial"/>
          <w:i/>
          <w:iCs/>
          <w:color w:val="000000"/>
          <w:sz w:val="20"/>
          <w:szCs w:val="20"/>
          <w:lang w:eastAsia="pt-BR"/>
        </w:rPr>
        <w:br/>
        <w:t>Adalberto de Barros Nunes</w:t>
      </w:r>
      <w:r w:rsidRPr="00EE3CCD">
        <w:rPr>
          <w:rFonts w:ascii="Arial" w:eastAsia="Times New Roman" w:hAnsi="Arial" w:cs="Arial"/>
          <w:i/>
          <w:iCs/>
          <w:color w:val="000000"/>
          <w:sz w:val="20"/>
          <w:szCs w:val="20"/>
          <w:lang w:eastAsia="pt-BR"/>
        </w:rPr>
        <w:br/>
        <w:t>Orlando Geisel</w:t>
      </w:r>
      <w:r w:rsidRPr="00EE3CCD">
        <w:rPr>
          <w:rFonts w:ascii="Arial" w:eastAsia="Times New Roman" w:hAnsi="Arial" w:cs="Arial"/>
          <w:i/>
          <w:iCs/>
          <w:color w:val="000000"/>
          <w:sz w:val="20"/>
          <w:szCs w:val="20"/>
          <w:lang w:eastAsia="pt-BR"/>
        </w:rPr>
        <w:br/>
        <w:t>Mário Gibson Barboza</w:t>
      </w:r>
      <w:r w:rsidRPr="00EE3CCD">
        <w:rPr>
          <w:rFonts w:ascii="Arial" w:eastAsia="Times New Roman" w:hAnsi="Arial" w:cs="Arial"/>
          <w:i/>
          <w:iCs/>
          <w:color w:val="000000"/>
          <w:sz w:val="20"/>
          <w:szCs w:val="20"/>
          <w:lang w:eastAsia="pt-BR"/>
        </w:rPr>
        <w:br/>
        <w:t>Antônio Delfim Netto</w:t>
      </w:r>
      <w:r w:rsidRPr="00EE3CCD">
        <w:rPr>
          <w:rFonts w:ascii="Arial" w:eastAsia="Times New Roman" w:hAnsi="Arial" w:cs="Arial"/>
          <w:i/>
          <w:iCs/>
          <w:color w:val="000000"/>
          <w:sz w:val="20"/>
          <w:szCs w:val="20"/>
          <w:lang w:eastAsia="pt-BR"/>
        </w:rPr>
        <w:br/>
        <w:t>Mário David Andreazza</w:t>
      </w:r>
      <w:r w:rsidRPr="00EE3CCD">
        <w:rPr>
          <w:rFonts w:ascii="Arial" w:eastAsia="Times New Roman" w:hAnsi="Arial" w:cs="Arial"/>
          <w:i/>
          <w:iCs/>
          <w:color w:val="000000"/>
          <w:sz w:val="20"/>
          <w:szCs w:val="20"/>
          <w:lang w:eastAsia="pt-BR"/>
        </w:rPr>
        <w:br/>
        <w:t>L. F. Cirne Lima</w:t>
      </w:r>
      <w:r w:rsidRPr="00EE3CCD">
        <w:rPr>
          <w:rFonts w:ascii="Arial" w:eastAsia="Times New Roman" w:hAnsi="Arial" w:cs="Arial"/>
          <w:i/>
          <w:iCs/>
          <w:color w:val="000000"/>
          <w:sz w:val="20"/>
          <w:szCs w:val="20"/>
          <w:lang w:eastAsia="pt-BR"/>
        </w:rPr>
        <w:br/>
        <w:t>Jarbas G. Passarinho</w:t>
      </w:r>
      <w:r w:rsidRPr="00EE3CCD">
        <w:rPr>
          <w:rFonts w:ascii="Arial" w:eastAsia="Times New Roman" w:hAnsi="Arial" w:cs="Arial"/>
          <w:i/>
          <w:iCs/>
          <w:color w:val="000000"/>
          <w:sz w:val="20"/>
          <w:szCs w:val="20"/>
          <w:lang w:eastAsia="pt-BR"/>
        </w:rPr>
        <w:br/>
        <w:t>Júlio Barata</w:t>
      </w:r>
      <w:r w:rsidRPr="00EE3CCD">
        <w:rPr>
          <w:rFonts w:ascii="Arial" w:eastAsia="Times New Roman" w:hAnsi="Arial" w:cs="Arial"/>
          <w:i/>
          <w:iCs/>
          <w:color w:val="000000"/>
          <w:sz w:val="20"/>
          <w:szCs w:val="20"/>
          <w:lang w:eastAsia="pt-BR"/>
        </w:rPr>
        <w:br/>
        <w:t>Márcio de Souza e Mello</w:t>
      </w:r>
      <w:r w:rsidRPr="00EE3CCD">
        <w:rPr>
          <w:rFonts w:ascii="Arial" w:eastAsia="Times New Roman" w:hAnsi="Arial" w:cs="Arial"/>
          <w:i/>
          <w:iCs/>
          <w:color w:val="000000"/>
          <w:sz w:val="20"/>
          <w:szCs w:val="20"/>
          <w:lang w:eastAsia="pt-BR"/>
        </w:rPr>
        <w:br/>
      </w:r>
      <w:r w:rsidRPr="00EE3CCD">
        <w:rPr>
          <w:rFonts w:ascii="Arial" w:eastAsia="Times New Roman" w:hAnsi="Arial" w:cs="Arial"/>
          <w:i/>
          <w:iCs/>
          <w:color w:val="000000"/>
          <w:sz w:val="20"/>
          <w:szCs w:val="20"/>
          <w:lang w:eastAsia="pt-BR"/>
        </w:rPr>
        <w:lastRenderedPageBreak/>
        <w:t>F. Rocha Lagoa</w:t>
      </w:r>
      <w:r w:rsidRPr="00EE3CCD">
        <w:rPr>
          <w:rFonts w:ascii="Arial" w:eastAsia="Times New Roman" w:hAnsi="Arial" w:cs="Arial"/>
          <w:i/>
          <w:iCs/>
          <w:color w:val="000000"/>
          <w:sz w:val="20"/>
          <w:szCs w:val="20"/>
          <w:lang w:eastAsia="pt-BR"/>
        </w:rPr>
        <w:br/>
        <w:t>Marcus Vinícius Pratini de Moraes</w:t>
      </w:r>
      <w:r w:rsidRPr="00EE3CCD">
        <w:rPr>
          <w:rFonts w:ascii="Arial" w:eastAsia="Times New Roman" w:hAnsi="Arial" w:cs="Arial"/>
          <w:i/>
          <w:iCs/>
          <w:color w:val="000000"/>
          <w:sz w:val="20"/>
          <w:szCs w:val="20"/>
          <w:lang w:eastAsia="pt-BR"/>
        </w:rPr>
        <w:br/>
        <w:t>Antônio Dias Leite Júnior</w:t>
      </w:r>
      <w:r w:rsidRPr="00EE3CCD">
        <w:rPr>
          <w:rFonts w:ascii="Arial" w:eastAsia="Times New Roman" w:hAnsi="Arial" w:cs="Arial"/>
          <w:i/>
          <w:iCs/>
          <w:color w:val="000000"/>
          <w:sz w:val="20"/>
          <w:szCs w:val="20"/>
          <w:lang w:eastAsia="pt-BR"/>
        </w:rPr>
        <w:br/>
        <w:t>João Paulo dos Reis Velloso</w:t>
      </w:r>
      <w:r w:rsidRPr="00EE3CCD">
        <w:rPr>
          <w:rFonts w:ascii="Arial" w:eastAsia="Times New Roman" w:hAnsi="Arial" w:cs="Arial"/>
          <w:i/>
          <w:iCs/>
          <w:color w:val="000000"/>
          <w:sz w:val="20"/>
          <w:szCs w:val="20"/>
          <w:lang w:eastAsia="pt-BR"/>
        </w:rPr>
        <w:br/>
        <w:t>José Costa Cavalcanti</w:t>
      </w:r>
      <w:r w:rsidRPr="00EE3CCD">
        <w:rPr>
          <w:rFonts w:ascii="Arial" w:eastAsia="Times New Roman" w:hAnsi="Arial" w:cs="Arial"/>
          <w:i/>
          <w:iCs/>
          <w:color w:val="000000"/>
          <w:sz w:val="20"/>
          <w:szCs w:val="20"/>
          <w:lang w:eastAsia="pt-BR"/>
        </w:rPr>
        <w:br/>
        <w:t>Hygino C. Corsetti.</w:t>
      </w:r>
    </w:p>
    <w:p w:rsidR="00EE3CCD" w:rsidRPr="00EE3CCD" w:rsidRDefault="00EE3CCD" w:rsidP="00EE3CCD">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EE3CCD">
        <w:rPr>
          <w:rFonts w:ascii="Arial" w:eastAsia="Times New Roman" w:hAnsi="Arial" w:cs="Arial"/>
          <w:color w:val="FF0000"/>
          <w:sz w:val="20"/>
          <w:szCs w:val="20"/>
          <w:lang w:eastAsia="pt-BR"/>
        </w:rPr>
        <w:t>Este texto não substitui o publicado no DOU de  8.9.1970 e </w:t>
      </w:r>
      <w:hyperlink r:id="rId21" w:history="1">
        <w:r w:rsidRPr="00EE3CCD">
          <w:rPr>
            <w:rFonts w:ascii="Arial" w:eastAsia="Times New Roman" w:hAnsi="Arial" w:cs="Arial"/>
            <w:color w:val="FF0000"/>
            <w:sz w:val="20"/>
            <w:szCs w:val="20"/>
            <w:u w:val="single"/>
            <w:lang w:eastAsia="pt-BR"/>
          </w:rPr>
          <w:t>retificado em 10.9.1970</w:t>
        </w:r>
      </w:hyperlink>
    </w:p>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E3CCD">
        <w:rPr>
          <w:rFonts w:ascii="Arial" w:eastAsia="Times New Roman" w:hAnsi="Arial" w:cs="Arial"/>
          <w:color w:val="FF0000"/>
          <w:sz w:val="20"/>
          <w:szCs w:val="20"/>
          <w:lang w:eastAsia="pt-BR"/>
        </w:rPr>
        <w:t>*</w:t>
      </w:r>
    </w:p>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E3CCD">
        <w:rPr>
          <w:rFonts w:ascii="Times New Roman" w:eastAsia="Times New Roman" w:hAnsi="Times New Roman" w:cs="Times New Roman"/>
          <w:color w:val="000000"/>
          <w:sz w:val="27"/>
          <w:szCs w:val="27"/>
          <w:lang w:eastAsia="pt-BR"/>
        </w:rPr>
        <w:t> </w:t>
      </w:r>
    </w:p>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E3CCD">
        <w:rPr>
          <w:rFonts w:ascii="Times New Roman" w:eastAsia="Times New Roman" w:hAnsi="Times New Roman" w:cs="Times New Roman"/>
          <w:color w:val="000000"/>
          <w:sz w:val="27"/>
          <w:szCs w:val="27"/>
          <w:lang w:eastAsia="pt-BR"/>
        </w:rPr>
        <w:t> </w:t>
      </w:r>
    </w:p>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E3CCD">
        <w:rPr>
          <w:rFonts w:ascii="Times New Roman" w:eastAsia="Times New Roman" w:hAnsi="Times New Roman" w:cs="Times New Roman"/>
          <w:color w:val="000000"/>
          <w:sz w:val="27"/>
          <w:szCs w:val="27"/>
          <w:lang w:eastAsia="pt-BR"/>
        </w:rPr>
        <w:t> </w:t>
      </w:r>
    </w:p>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E3CCD">
        <w:rPr>
          <w:rFonts w:ascii="Times New Roman" w:eastAsia="Times New Roman" w:hAnsi="Times New Roman" w:cs="Times New Roman"/>
          <w:color w:val="000000"/>
          <w:sz w:val="27"/>
          <w:szCs w:val="27"/>
          <w:lang w:eastAsia="pt-BR"/>
        </w:rPr>
        <w:t> </w:t>
      </w:r>
    </w:p>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E3CCD">
        <w:rPr>
          <w:rFonts w:ascii="Times New Roman" w:eastAsia="Times New Roman" w:hAnsi="Times New Roman" w:cs="Times New Roman"/>
          <w:color w:val="000000"/>
          <w:sz w:val="27"/>
          <w:szCs w:val="27"/>
          <w:lang w:eastAsia="pt-BR"/>
        </w:rPr>
        <w:t> </w:t>
      </w:r>
    </w:p>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E3CCD">
        <w:rPr>
          <w:rFonts w:ascii="Times New Roman" w:eastAsia="Times New Roman" w:hAnsi="Times New Roman" w:cs="Times New Roman"/>
          <w:color w:val="000000"/>
          <w:sz w:val="27"/>
          <w:szCs w:val="27"/>
          <w:lang w:eastAsia="pt-BR"/>
        </w:rPr>
        <w:t> </w:t>
      </w:r>
    </w:p>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E3CCD">
        <w:rPr>
          <w:rFonts w:ascii="Times New Roman" w:eastAsia="Times New Roman" w:hAnsi="Times New Roman" w:cs="Times New Roman"/>
          <w:color w:val="000000"/>
          <w:sz w:val="27"/>
          <w:szCs w:val="27"/>
          <w:lang w:eastAsia="pt-BR"/>
        </w:rPr>
        <w:t> </w:t>
      </w:r>
    </w:p>
    <w:p w:rsidR="00EE3CCD" w:rsidRPr="00EE3CCD" w:rsidRDefault="00EE3CCD" w:rsidP="00EE3CCD">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EE3CCD">
        <w:rPr>
          <w:rFonts w:ascii="Times New Roman" w:eastAsia="Times New Roman" w:hAnsi="Times New Roman" w:cs="Times New Roman"/>
          <w:color w:val="000000"/>
          <w:sz w:val="27"/>
          <w:szCs w:val="27"/>
          <w:lang w:eastAsia="pt-BR"/>
        </w:rPr>
        <w:t> </w:t>
      </w:r>
    </w:p>
    <w:p w:rsidR="00F76DB9" w:rsidRDefault="00F76DB9"/>
    <w:sectPr w:rsidR="00F76DB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CCD"/>
    <w:rsid w:val="00CA0373"/>
    <w:rsid w:val="00EE3CCD"/>
    <w:rsid w:val="00F76D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F8556"/>
  <w15:docId w15:val="{E2B6317A-7DAD-4F80-85D4-C1A4AD7C8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E3CC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E3CCD"/>
    <w:rPr>
      <w:b/>
      <w:bCs/>
    </w:rPr>
  </w:style>
  <w:style w:type="character" w:styleId="Hyperlink">
    <w:name w:val="Hyperlink"/>
    <w:basedOn w:val="Fontepargpadro"/>
    <w:uiPriority w:val="99"/>
    <w:semiHidden/>
    <w:unhideWhenUsed/>
    <w:rsid w:val="00EE3CCD"/>
    <w:rPr>
      <w:color w:val="0000FF"/>
      <w:u w:val="single"/>
    </w:rPr>
  </w:style>
  <w:style w:type="character" w:styleId="nfase">
    <w:name w:val="Emphasis"/>
    <w:basedOn w:val="Fontepargpadro"/>
    <w:uiPriority w:val="20"/>
    <w:qFormat/>
    <w:rsid w:val="00EE3C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8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13" Type="http://schemas.openxmlformats.org/officeDocument/2006/relationships/hyperlink" Target="http://www.planalto.gov.br/ccivil_03/leis/lcp/Lcp26.htm" TargetMode="External"/><Relationship Id="rId18" Type="http://schemas.openxmlformats.org/officeDocument/2006/relationships/hyperlink" Target="http://www.planalto.gov.br/ccivil_03/leis/lcp/Lcp26.htm" TargetMode="External"/><Relationship Id="rId3" Type="http://schemas.openxmlformats.org/officeDocument/2006/relationships/webSettings" Target="webSettings.xml"/><Relationship Id="rId21" Type="http://schemas.openxmlformats.org/officeDocument/2006/relationships/hyperlink" Target="http://www.planalto.gov.br/ccivil_03/leis/lcp/Ret/RetLcp7-70.pdf" TargetMode="External"/><Relationship Id="rId7" Type="http://schemas.openxmlformats.org/officeDocument/2006/relationships/hyperlink" Target="http://www.planalto.gov.br/ccivil_03/Decreto-Lei/Del2052.htm" TargetMode="External"/><Relationship Id="rId12" Type="http://schemas.openxmlformats.org/officeDocument/2006/relationships/hyperlink" Target="http://www.planalto.gov.br/ccivil_03/leis/lcp/Lcp26.htm" TargetMode="External"/><Relationship Id="rId17" Type="http://schemas.openxmlformats.org/officeDocument/2006/relationships/hyperlink" Target="http://www.planalto.gov.br/ccivil_03/leis/lcp/Lcp26.htm" TargetMode="External"/><Relationship Id="rId2" Type="http://schemas.openxmlformats.org/officeDocument/2006/relationships/settings" Target="settings.xml"/><Relationship Id="rId16" Type="http://schemas.openxmlformats.org/officeDocument/2006/relationships/hyperlink" Target="http://www.planalto.gov.br/ccivil_03/leis/lcp/Lcp26.htm" TargetMode="External"/><Relationship Id="rId20" Type="http://schemas.openxmlformats.org/officeDocument/2006/relationships/hyperlink" Target="http://www.planalto.gov.br/ccivil_03/Decreto-Lei/Del0900.htm" TargetMode="External"/><Relationship Id="rId1" Type="http://schemas.openxmlformats.org/officeDocument/2006/relationships/styles" Target="styles.xml"/><Relationship Id="rId6" Type="http://schemas.openxmlformats.org/officeDocument/2006/relationships/hyperlink" Target="http://www.planalto.gov.br/ccivil_03/leis/lcp/Lcp19.htm" TargetMode="External"/><Relationship Id="rId11" Type="http://schemas.openxmlformats.org/officeDocument/2006/relationships/hyperlink" Target="http://www.planalto.gov.br/ccivil_03/leis/lcp/Lcp26.htm" TargetMode="External"/><Relationship Id="rId5" Type="http://schemas.openxmlformats.org/officeDocument/2006/relationships/hyperlink" Target="http://www.planalto.gov.br/ccivil_03/leis/lcp/Lcp08.htm" TargetMode="External"/><Relationship Id="rId15" Type="http://schemas.openxmlformats.org/officeDocument/2006/relationships/hyperlink" Target="http://www.planalto.gov.br/ccivil_03/leis/lcp/Lcp26.htm" TargetMode="External"/><Relationship Id="rId23" Type="http://schemas.openxmlformats.org/officeDocument/2006/relationships/theme" Target="theme/theme1.xml"/><Relationship Id="rId10" Type="http://schemas.openxmlformats.org/officeDocument/2006/relationships/hyperlink" Target="http://www.planalto.gov.br/ccivil_03/leis/lcp/Lcp17.htm" TargetMode="External"/><Relationship Id="rId19" Type="http://schemas.openxmlformats.org/officeDocument/2006/relationships/hyperlink" Target="http://www.planalto.gov.br/ccivil_03/Decreto-Lei/Del0200.htm" TargetMode="External"/><Relationship Id="rId4" Type="http://schemas.openxmlformats.org/officeDocument/2006/relationships/hyperlink" Target="http://legislacao.planalto.gov.br/legisla/legislacao.nsf/Viw_Identificacao/lcp%207-1970?OpenDocument" TargetMode="External"/><Relationship Id="rId9" Type="http://schemas.openxmlformats.org/officeDocument/2006/relationships/hyperlink" Target="http://www.planalto.gov.br/ccivil_03/decreto/2002/D4524.htm" TargetMode="External"/><Relationship Id="rId14" Type="http://schemas.openxmlformats.org/officeDocument/2006/relationships/hyperlink" Target="http://www.planalto.gov.br/ccivil_03/leis/lcp/Lcp26.htm" TargetMode="External"/><Relationship Id="rId22"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1660</Words>
  <Characters>9463</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ADM</cp:lastModifiedBy>
  <cp:revision>2</cp:revision>
  <dcterms:created xsi:type="dcterms:W3CDTF">2023-03-16T12:43:00Z</dcterms:created>
  <dcterms:modified xsi:type="dcterms:W3CDTF">2023-03-16T12:43:00Z</dcterms:modified>
</cp:coreProperties>
</file>