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3500" w:type="pct"/>
        <w:jc w:val="center"/>
        <w:tblCellSpacing w:w="0" w:type="dxa"/>
        <w:tblCellMar>
          <w:left w:w="0" w:type="dxa"/>
          <w:right w:w="0" w:type="dxa"/>
        </w:tblCellMar>
        <w:tblLook w:val="04A0" w:firstRow="1" w:lastRow="0" w:firstColumn="1" w:lastColumn="0" w:noHBand="0" w:noVBand="1"/>
      </w:tblPr>
      <w:tblGrid>
        <w:gridCol w:w="1113"/>
        <w:gridCol w:w="4840"/>
      </w:tblGrid>
      <w:tr w:rsidR="00FC0D0F" w:rsidRPr="00FC0D0F" w:rsidTr="00FC0D0F">
        <w:trPr>
          <w:tblCellSpacing w:w="0" w:type="dxa"/>
          <w:jc w:val="center"/>
        </w:trPr>
        <w:tc>
          <w:tcPr>
            <w:tcW w:w="700" w:type="pct"/>
            <w:vAlign w:val="center"/>
            <w:hideMark/>
          </w:tcPr>
          <w:p w:rsidR="00FC0D0F" w:rsidRPr="00FC0D0F" w:rsidRDefault="00FC0D0F" w:rsidP="00FC0D0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FC0D0F">
              <w:rPr>
                <w:rFonts w:ascii="Times New Roman" w:eastAsia="Times New Roman" w:hAnsi="Times New Roman" w:cs="Times New Roman"/>
                <w:noProof/>
                <w:sz w:val="24"/>
                <w:szCs w:val="24"/>
                <w:lang w:eastAsia="it-IT"/>
              </w:rPr>
              <w:drawing>
                <wp:inline distT="0" distB="0" distL="0" distR="0">
                  <wp:extent cx="706755" cy="779145"/>
                  <wp:effectExtent l="0" t="0" r="0" b="1905"/>
                  <wp:docPr id="2" name="Imagem 2" descr="Brastra.gif (4376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stra.gif (4376 bytes)"/>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706755" cy="779145"/>
                          </a:xfrm>
                          <a:prstGeom prst="rect">
                            <a:avLst/>
                          </a:prstGeom>
                          <a:noFill/>
                          <a:ln>
                            <a:noFill/>
                          </a:ln>
                        </pic:spPr>
                      </pic:pic>
                    </a:graphicData>
                  </a:graphic>
                </wp:inline>
              </w:drawing>
            </w:r>
          </w:p>
        </w:tc>
        <w:tc>
          <w:tcPr>
            <w:tcW w:w="4300" w:type="pct"/>
            <w:vAlign w:val="center"/>
            <w:hideMark/>
          </w:tcPr>
          <w:p w:rsidR="00FC0D0F" w:rsidRPr="00FC0D0F" w:rsidRDefault="00FC0D0F" w:rsidP="00FC0D0F">
            <w:pPr>
              <w:spacing w:before="100" w:beforeAutospacing="1" w:after="100" w:afterAutospacing="1" w:line="240" w:lineRule="auto"/>
              <w:jc w:val="center"/>
              <w:rPr>
                <w:rFonts w:ascii="Times New Roman" w:eastAsia="Times New Roman" w:hAnsi="Times New Roman" w:cs="Times New Roman"/>
                <w:sz w:val="24"/>
                <w:szCs w:val="24"/>
                <w:lang w:val="pt-BR" w:eastAsia="it-IT"/>
              </w:rPr>
            </w:pPr>
            <w:r w:rsidRPr="00FC0D0F">
              <w:rPr>
                <w:rFonts w:ascii="Arial" w:eastAsia="Times New Roman" w:hAnsi="Arial" w:cs="Arial"/>
                <w:b/>
                <w:bCs/>
                <w:color w:val="808000"/>
                <w:sz w:val="36"/>
                <w:szCs w:val="36"/>
                <w:lang w:val="pt-BR" w:eastAsia="it-IT"/>
              </w:rPr>
              <w:t>Presidência da República</w:t>
            </w:r>
            <w:r w:rsidRPr="00FC0D0F">
              <w:rPr>
                <w:rFonts w:ascii="Arial" w:eastAsia="Times New Roman" w:hAnsi="Arial" w:cs="Arial"/>
                <w:b/>
                <w:bCs/>
                <w:color w:val="808000"/>
                <w:sz w:val="24"/>
                <w:szCs w:val="24"/>
                <w:lang w:val="pt-BR" w:eastAsia="it-IT"/>
              </w:rPr>
              <w:br/>
            </w:r>
            <w:r w:rsidRPr="00FC0D0F">
              <w:rPr>
                <w:rFonts w:ascii="Arial" w:eastAsia="Times New Roman" w:hAnsi="Arial" w:cs="Arial"/>
                <w:b/>
                <w:bCs/>
                <w:color w:val="808000"/>
                <w:sz w:val="27"/>
                <w:szCs w:val="27"/>
                <w:lang w:val="pt-BR" w:eastAsia="it-IT"/>
              </w:rPr>
              <w:t>Casa Civil</w:t>
            </w:r>
            <w:r w:rsidRPr="00FC0D0F">
              <w:rPr>
                <w:rFonts w:ascii="Arial" w:eastAsia="Times New Roman" w:hAnsi="Arial" w:cs="Arial"/>
                <w:b/>
                <w:bCs/>
                <w:color w:val="808000"/>
                <w:sz w:val="27"/>
                <w:szCs w:val="27"/>
                <w:lang w:val="pt-BR" w:eastAsia="it-IT"/>
              </w:rPr>
              <w:br/>
            </w:r>
            <w:r w:rsidRPr="00FC0D0F">
              <w:rPr>
                <w:rFonts w:ascii="Arial" w:eastAsia="Times New Roman" w:hAnsi="Arial" w:cs="Arial"/>
                <w:b/>
                <w:bCs/>
                <w:color w:val="808000"/>
                <w:sz w:val="24"/>
                <w:szCs w:val="24"/>
                <w:lang w:val="pt-BR" w:eastAsia="it-IT"/>
              </w:rPr>
              <w:t>Subchefia para Assuntos Jurídicos</w:t>
            </w:r>
          </w:p>
        </w:tc>
      </w:tr>
    </w:tbl>
    <w:p w:rsidR="00FC0D0F" w:rsidRPr="00FC0D0F" w:rsidRDefault="00FC0D0F" w:rsidP="00FC0D0F">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hyperlink r:id="rId5" w:history="1">
        <w:r w:rsidRPr="00FC0D0F">
          <w:rPr>
            <w:rFonts w:ascii="Arial" w:eastAsia="Times New Roman" w:hAnsi="Arial" w:cs="Arial"/>
            <w:b/>
            <w:bCs/>
            <w:color w:val="000080"/>
            <w:sz w:val="20"/>
            <w:szCs w:val="20"/>
            <w:u w:val="single"/>
            <w:lang w:val="pt-BR" w:eastAsia="it-IT"/>
          </w:rPr>
          <w:t>EMENDA CONSTITUCIONAL Nº 62, DE 9 DE DEZEMBRO DE 2009</w:t>
        </w:r>
      </w:hyperlink>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FC0D0F" w:rsidRPr="00FC0D0F" w:rsidTr="00FC0D0F">
        <w:trPr>
          <w:tblCellSpacing w:w="0" w:type="dxa"/>
        </w:trPr>
        <w:tc>
          <w:tcPr>
            <w:tcW w:w="2550" w:type="pct"/>
            <w:vAlign w:val="center"/>
            <w:hideMark/>
          </w:tcPr>
          <w:p w:rsidR="00FC0D0F" w:rsidRPr="00FC0D0F" w:rsidRDefault="00FC0D0F" w:rsidP="00FC0D0F">
            <w:pPr>
              <w:spacing w:after="0" w:line="240" w:lineRule="auto"/>
              <w:rPr>
                <w:rFonts w:ascii="Times New Roman" w:eastAsia="Times New Roman" w:hAnsi="Times New Roman" w:cs="Times New Roman"/>
                <w:sz w:val="24"/>
                <w:szCs w:val="24"/>
                <w:lang w:val="pt-BR" w:eastAsia="it-IT"/>
              </w:rPr>
            </w:pPr>
            <w:r w:rsidRPr="00FC0D0F">
              <w:rPr>
                <w:rFonts w:ascii="Times New Roman" w:eastAsia="Times New Roman" w:hAnsi="Times New Roman" w:cs="Times New Roman"/>
                <w:sz w:val="24"/>
                <w:szCs w:val="24"/>
                <w:lang w:val="pt-BR" w:eastAsia="it-IT"/>
              </w:rPr>
              <w:t> </w:t>
            </w:r>
          </w:p>
        </w:tc>
        <w:tc>
          <w:tcPr>
            <w:tcW w:w="2450" w:type="pct"/>
            <w:vAlign w:val="center"/>
            <w:hideMark/>
          </w:tcPr>
          <w:p w:rsidR="00FC0D0F" w:rsidRPr="00FC0D0F" w:rsidRDefault="00FC0D0F" w:rsidP="00FC0D0F">
            <w:pPr>
              <w:spacing w:before="100" w:beforeAutospacing="1" w:after="100" w:afterAutospacing="1" w:line="240" w:lineRule="auto"/>
              <w:rPr>
                <w:rFonts w:ascii="Times New Roman" w:eastAsia="Times New Roman" w:hAnsi="Times New Roman" w:cs="Times New Roman"/>
                <w:sz w:val="24"/>
                <w:szCs w:val="24"/>
                <w:lang w:val="pt-BR" w:eastAsia="it-IT"/>
              </w:rPr>
            </w:pPr>
            <w:r w:rsidRPr="00FC0D0F">
              <w:rPr>
                <w:rFonts w:ascii="Arial" w:eastAsia="Times New Roman" w:hAnsi="Arial" w:cs="Arial"/>
                <w:color w:val="800000"/>
                <w:sz w:val="20"/>
                <w:szCs w:val="20"/>
                <w:lang w:val="pt-BR" w:eastAsia="it-IT"/>
              </w:rPr>
              <w:t>Altera o art. 100 da Constituição Federal e acrescenta o art. 97 ao Ato das Disposições Constitucionais Transitórias, instituindo regime especial de pagamento de precatórios pelos Estados, Distrito Federal e Municípios.</w:t>
            </w:r>
          </w:p>
        </w:tc>
      </w:tr>
    </w:tbl>
    <w:p w:rsidR="00FC0D0F" w:rsidRPr="00FC0D0F" w:rsidRDefault="00FC0D0F" w:rsidP="00FC0D0F">
      <w:pPr>
        <w:spacing w:before="100" w:beforeAutospacing="1" w:after="100" w:afterAutospacing="1" w:line="240" w:lineRule="auto"/>
        <w:ind w:firstLine="567"/>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As Mesas da Câmara dos Deputados e do Senado Federal, nos termos do § 3º do art. 60 da Constituição Federal, promulgam a seguinte Emenda ao texto constitucional:</w:t>
      </w:r>
    </w:p>
    <w:p w:rsidR="00FC0D0F" w:rsidRPr="00FC0D0F" w:rsidRDefault="00FC0D0F" w:rsidP="00FC0D0F">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0" w:name="art1"/>
      <w:bookmarkEnd w:id="0"/>
      <w:r w:rsidRPr="00FC0D0F">
        <w:rPr>
          <w:rFonts w:ascii="Arial" w:eastAsia="Times New Roman" w:hAnsi="Arial" w:cs="Arial"/>
          <w:color w:val="000000"/>
          <w:sz w:val="20"/>
          <w:szCs w:val="20"/>
          <w:lang w:val="pt-BR" w:eastAsia="it-IT"/>
        </w:rPr>
        <w:t>Art. 1º O art. 100 da Constituição Federal passa a vigorar com a seguinte redação:</w:t>
      </w:r>
    </w:p>
    <w:p w:rsidR="00FC0D0F" w:rsidRPr="00FC0D0F" w:rsidRDefault="00FC0D0F" w:rsidP="00FC0D0F">
      <w:pPr>
        <w:spacing w:beforeAutospacing="1" w:after="100" w:afterAutospacing="1" w:line="240" w:lineRule="auto"/>
        <w:rPr>
          <w:rFonts w:ascii="Arial" w:eastAsia="Times New Roman" w:hAnsi="Arial" w:cs="Arial"/>
          <w:color w:val="000000"/>
          <w:sz w:val="20"/>
          <w:szCs w:val="20"/>
          <w:lang w:val="pt-BR" w:eastAsia="it-IT"/>
        </w:rPr>
      </w:pPr>
      <w:hyperlink r:id="rId6" w:anchor="art100." w:history="1">
        <w:r w:rsidRPr="00FC0D0F">
          <w:rPr>
            <w:rFonts w:ascii="Arial" w:eastAsia="Times New Roman" w:hAnsi="Arial" w:cs="Arial"/>
            <w:color w:val="0000FF"/>
            <w:sz w:val="20"/>
            <w:szCs w:val="20"/>
            <w:u w:val="single"/>
            <w:lang w:val="pt-BR" w:eastAsia="it-IT"/>
          </w:rPr>
          <w:t>"Art. 100.</w:t>
        </w:r>
      </w:hyperlink>
      <w:r w:rsidRPr="00FC0D0F">
        <w:rPr>
          <w:rFonts w:ascii="Arial" w:eastAsia="Times New Roman" w:hAnsi="Arial" w:cs="Arial"/>
          <w:color w:val="000000"/>
          <w:sz w:val="20"/>
          <w:szCs w:val="20"/>
          <w:lang w:val="pt-BR" w:eastAsia="it-IT"/>
        </w:rPr>
        <w:t> Os pagamentos devidos pelas Fazendas Públicas Federal, Estaduais, Distrital e Municipais, em virtude de sentença judiciária, far-se-ão exclusivamente na ordem cronológica de apresentação dos precatórios e à conta dos créditos respectivos, proibida a designação de casos ou de pessoas nas dotações orçamentárias e nos créditos adicionais abertos para este fim.</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 1º Os débitos de natureza alimentícia compreendem aqueles decorrentes de salários, vencimentos, proventos, pensões e suas complementações, benefícios previdenciários e indenizações por morte ou por invalidez, fundadas em responsabilidade civil, em virtude de sentença judicial transitada em julgado, e serão pagos com preferência sobre todos os demais débitos, exceto sobre aqueles referidos no § 2º deste artigo.</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 2º Os débitos de natureza alimentícia cujos titulares tenham 60 (sessenta) anos de idade ou mais na data de expedição do precatório, ou sejam portadores de doença grave, definidos na forma da lei, serão pagos com preferência sobre todos os demais débitos, até o valor equivalente ao triplo do fixado em lei para os fins do disposto no § 3º deste artigo, admitido o fracionamento para essa finalidade, sendo que o restante será pago na ordem cronológica de apresentação do precatório.</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 3º O disposto no caput deste artigo relativamente à expedição de precatórios não se aplica aos pagamentos de obrigações definidas em leis como de pequeno valor que as Fazendas referidas devam fazer em virtude de sentença judicial transitada em julgado.</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 4º Para os fins do disposto no § 3º, poderão ser fixados, por leis próprias, valores distintos às entidades de direito público, segundo as diferentes capacidades econômicas, sendo o mínimo igual ao valor do maior benefício do regime geral de previdência social.</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 5º É obrigatória a inclusão, no orçamento das entidades de direito público, de verba necessária ao pagamento de seus débitos, oriundos de sentenças transitadas em julgado, constantes de precatórios judiciários apresentados até 1º de julho, fazendo-se o pagamento até o final do exercício seguinte, quando terão seus valores atualizados monetariamente.</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 6º As dotações orçamentárias e os créditos abertos serão consignados diretamente ao Poder Judiciário, cabendo ao Presidente do Tribunal que proferir a decisão exequenda determinar o pagamento integral e autorizar, a requerimento do credor e exclusivamente para os casos de preterimento de seu direito de precedência ou de não alocação orçamentária do valor necessário à satisfação do seu débito, o sequestro da quantia respectiva.</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lastRenderedPageBreak/>
        <w:t>§ 7º O Presidente do Tribunal competente que, por ato comissivo ou omissivo, retardar ou tentar frustrar a liquidação regular de precatórios incorrerá em crime de responsabilidade e responderá, também, perante o Conselho Nacional de Justiça.</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 8º É vedada a expedição de precatórios complementares ou suplementares de valor pago, bem como o fracionamento, repartição ou quebra do valor da execução para fins de enquadramento de parcela do total ao que dispõe o § 3º deste artigo.</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 9º No momento da expedição dos precatórios, independentemente de regulamentação, deles deverá ser abatido, a título de compensação, valor correspondente aos débitos líquidos e certos, inscritos ou não em dívida ativa e constituídos contra o credor original pela Fazenda Pública devedora, incluídas parcelas vincendas de parcelamentos, ressalvados aqueles cuja execução esteja suspensa em virtude de contestação administrativa ou judicial.</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 10. Antes da expedição dos precatórios, o Tribunal solicitará à Fazenda Pública devedora, para resposta em até 30 (trinta) dias, sob pena de perda do direito de abatimento, informação sobre os débitos que preencham as condições estabelecidas no § 9º, para os fins nele previstos.</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 11. É facultada ao credor, conforme estabelecido em lei da entidade federativa devedora, a entrega de créditos em precatórios para compra de imóveis públicos do respectivo ente federado.</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 12. A partir da promulgação desta Emenda Constitucional, a atualização de valores de requisitórios, após sua expedição, até o efetivo pagamento, independentemente de sua natureza, será feita pelo índice oficial de remuneração básica da caderneta de poupança, e, para fins de compensação da mora, incidirão juros simples no mesmo percentual de juros incidentes sobre a caderneta de poupança, ficando excluída a incidência de juros compensatórios.</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 13. O credor poderá ceder, total ou parcialmente, seus créditos em precatórios a terceiros, independentemente da concordância do devedor, não se aplicando ao cessionário o disposto nos §§ 2º e 3º.</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 14. A cessão de precatórios somente produzirá efeitos após comunicação, por meio de petição protocolizada, ao tribunal de origem e à entidade devedora.</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 15. Sem prejuízo do disposto neste artigo, lei complementar a esta Constituição Federal poderá estabelecer regime especial para pagamento de crédito de precatórios de Estados, Distrito Federal e Municípios, dispondo sobre vinculações à receita corrente líquida e forma e prazo de liquidação.</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 16. A seu critério exclusivo e na forma de lei, a União poderá assumir débitos, oriundos de precatórios, de Estados, Distrito Federal e Municípios, refinanciando-os diretamente."(NR)</w:t>
      </w:r>
    </w:p>
    <w:p w:rsidR="00FC0D0F" w:rsidRPr="00FC0D0F" w:rsidRDefault="00FC0D0F" w:rsidP="00FC0D0F">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1" w:name="art2"/>
      <w:bookmarkEnd w:id="1"/>
      <w:r w:rsidRPr="00FC0D0F">
        <w:rPr>
          <w:rFonts w:ascii="Arial" w:eastAsia="Times New Roman" w:hAnsi="Arial" w:cs="Arial"/>
          <w:color w:val="000000"/>
          <w:sz w:val="20"/>
          <w:szCs w:val="20"/>
          <w:lang w:val="pt-BR" w:eastAsia="it-IT"/>
        </w:rPr>
        <w:t>Art. 2º O Ato das Disposições Constitucionais Transitórias passa a vigorar acrescido do seguinte art. 97:</w:t>
      </w:r>
    </w:p>
    <w:p w:rsidR="00FC0D0F" w:rsidRPr="00FC0D0F" w:rsidRDefault="00FC0D0F" w:rsidP="00FC0D0F">
      <w:pPr>
        <w:spacing w:beforeAutospacing="1" w:after="100" w:afterAutospacing="1" w:line="240" w:lineRule="auto"/>
        <w:rPr>
          <w:rFonts w:ascii="Arial" w:eastAsia="Times New Roman" w:hAnsi="Arial" w:cs="Arial"/>
          <w:color w:val="000000"/>
          <w:sz w:val="20"/>
          <w:szCs w:val="20"/>
          <w:lang w:val="pt-BR" w:eastAsia="it-IT"/>
        </w:rPr>
      </w:pPr>
      <w:hyperlink r:id="rId7" w:anchor="art97adct" w:history="1">
        <w:r w:rsidRPr="00FC0D0F">
          <w:rPr>
            <w:rFonts w:ascii="Arial" w:eastAsia="Times New Roman" w:hAnsi="Arial" w:cs="Arial"/>
            <w:color w:val="0000FF"/>
            <w:sz w:val="20"/>
            <w:szCs w:val="20"/>
            <w:u w:val="single"/>
            <w:lang w:val="pt-BR" w:eastAsia="it-IT"/>
          </w:rPr>
          <w:t>"Art. 97</w:t>
        </w:r>
      </w:hyperlink>
      <w:r w:rsidRPr="00FC0D0F">
        <w:rPr>
          <w:rFonts w:ascii="Arial" w:eastAsia="Times New Roman" w:hAnsi="Arial" w:cs="Arial"/>
          <w:color w:val="000000"/>
          <w:sz w:val="20"/>
          <w:szCs w:val="20"/>
          <w:lang w:val="pt-BR" w:eastAsia="it-IT"/>
        </w:rPr>
        <w:t>. Até que seja editada a lei complementar de que trata o § 15 do art. 100 da Constituição Federal, os Estados, o Distrito Federal e os Municípios que, na data de publicação desta Emenda Constitucional, estejam em mora na quitação de precatórios vencidos, relativos às suas administrações direta e indireta, inclusive os emitidos durante o período de vigência do regime especial instituído por este artigo, farão esses pagamentos de acordo com as normas a seguir estabelecidas, sendo inaplicável o disposto no art. 100 desta Constituição Federal, exceto em seus §§ 2º, 3º, 9º, 10, 11, 12, 13 e 14, e sem prejuízo dos acordos de juízos conciliatórios já formalizados na data de promulgação desta Emenda Constitucional.</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lastRenderedPageBreak/>
        <w:t>§ 1º Os Estados, o Distrito Federal e os Municípios sujeitos ao regime especial de que trata este artigo optarão, por meio de ato do Poder Executivo:</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 xml:space="preserve">I - </w:t>
      </w:r>
      <w:proofErr w:type="gramStart"/>
      <w:r w:rsidRPr="00FC0D0F">
        <w:rPr>
          <w:rFonts w:ascii="Arial" w:eastAsia="Times New Roman" w:hAnsi="Arial" w:cs="Arial"/>
          <w:color w:val="000000"/>
          <w:sz w:val="20"/>
          <w:szCs w:val="20"/>
          <w:lang w:val="pt-BR" w:eastAsia="it-IT"/>
        </w:rPr>
        <w:t>pelo</w:t>
      </w:r>
      <w:proofErr w:type="gramEnd"/>
      <w:r w:rsidRPr="00FC0D0F">
        <w:rPr>
          <w:rFonts w:ascii="Arial" w:eastAsia="Times New Roman" w:hAnsi="Arial" w:cs="Arial"/>
          <w:color w:val="000000"/>
          <w:sz w:val="20"/>
          <w:szCs w:val="20"/>
          <w:lang w:val="pt-BR" w:eastAsia="it-IT"/>
        </w:rPr>
        <w:t xml:space="preserve"> depósito em conta especial do valor referido pelo § 2º deste artigo; ou</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II - pela adoção do regime especial pelo prazo de até 15 (quinze) anos, caso em que o percentual a ser depositado na conta especial a que se refere o § 2º deste artigo corresponderá, anualmente, ao saldo total dos precatórios devidos, acrescido do índice oficial de remuneração básica da caderneta de poupança e de juros simples no mesmo percentual de juros incidentes sobre a caderneta de poupança para fins de compensação da mora, excluída a incidência de juros compensatórios, diminuído das amortizações e dividido pelo número de anos restantes no regime especial de pagamento.</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 2º Para saldar os precatórios, vencidos e a vencer, pelo regime especial, os Estados, o Distrito Federal e os Municípios devedores depositarão mensalmente, em conta especial criada para tal fim, 1/12 (um doze avos) do valor calculado percentualmente sobre as respectivas receitas correntes líquidas, apuradas no segundo mês anterior ao mês de pagamento, sendo que esse percentual, calculado no momento de opção pelo regime e mantido fixo até o final do prazo a que se refere o § 14 deste artigo, será:</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 xml:space="preserve">I - </w:t>
      </w:r>
      <w:proofErr w:type="gramStart"/>
      <w:r w:rsidRPr="00FC0D0F">
        <w:rPr>
          <w:rFonts w:ascii="Arial" w:eastAsia="Times New Roman" w:hAnsi="Arial" w:cs="Arial"/>
          <w:color w:val="000000"/>
          <w:sz w:val="20"/>
          <w:szCs w:val="20"/>
          <w:lang w:val="pt-BR" w:eastAsia="it-IT"/>
        </w:rPr>
        <w:t>para</w:t>
      </w:r>
      <w:proofErr w:type="gramEnd"/>
      <w:r w:rsidRPr="00FC0D0F">
        <w:rPr>
          <w:rFonts w:ascii="Arial" w:eastAsia="Times New Roman" w:hAnsi="Arial" w:cs="Arial"/>
          <w:color w:val="000000"/>
          <w:sz w:val="20"/>
          <w:szCs w:val="20"/>
          <w:lang w:val="pt-BR" w:eastAsia="it-IT"/>
        </w:rPr>
        <w:t xml:space="preserve"> os Estados e para o Distrito Federal:</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a) de, no mínimo, 1,5% (um inteiro e cinco décimos por cento), para os Estados das regiões Norte, Nordeste e Centro-Oeste, além do Distrito Federal, ou cujo estoque de precatórios pendentes das suas administrações direta e indireta corresponder a até 35% (trinta e cinco por cento) do total da receita corrente líquida;</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b) de, no mínimo, 2% (dois por cento), para os Estados das regiões Sul e Sudeste, cujo estoque de precatórios pendentes das suas administrações direta e indireta corresponder a mais de 35% (trinta e cinco por cento) da receita corrente líquida;</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 xml:space="preserve">II - </w:t>
      </w:r>
      <w:proofErr w:type="gramStart"/>
      <w:r w:rsidRPr="00FC0D0F">
        <w:rPr>
          <w:rFonts w:ascii="Arial" w:eastAsia="Times New Roman" w:hAnsi="Arial" w:cs="Arial"/>
          <w:color w:val="000000"/>
          <w:sz w:val="20"/>
          <w:szCs w:val="20"/>
          <w:lang w:val="pt-BR" w:eastAsia="it-IT"/>
        </w:rPr>
        <w:t>para</w:t>
      </w:r>
      <w:proofErr w:type="gramEnd"/>
      <w:r w:rsidRPr="00FC0D0F">
        <w:rPr>
          <w:rFonts w:ascii="Arial" w:eastAsia="Times New Roman" w:hAnsi="Arial" w:cs="Arial"/>
          <w:color w:val="000000"/>
          <w:sz w:val="20"/>
          <w:szCs w:val="20"/>
          <w:lang w:val="pt-BR" w:eastAsia="it-IT"/>
        </w:rPr>
        <w:t xml:space="preserve"> Municípios:</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a) de, no mínimo, 1% (um por cento), para Municípios das regiões Norte, Nordeste e Centro-Oeste, ou cujo estoque de precatórios pendentes das suas administrações direta e indireta corresponder a até 35% (trinta e cinco por cento) da receita corrente líquida;</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b) de, no mínimo, 1,5% (um inteiro e cinco décimos por cento), para Municípios das regiões Sul e Sudeste, cujo estoque de precatórios pendentes das suas administrações direta e indireta corresponder a mais de 35 % (trinta e cinco por cento) da receita corrente líquida.</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 3º Entende-se como receita corrente líquida, para os fins de que trata este artigo, o somatório das receitas tributárias, patrimoniais, industriais, agropecuárias, de contribuições e de serviços, transferências correntes e outras receitas correntes, incluindo as oriundas do § 1º do art. 20 da Constituição Federal, verificado no período compreendido pelo mês de referência e os 11 (onze) meses anteriores, excluídas as duplicidades, e deduzidas:</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 xml:space="preserve">I - </w:t>
      </w:r>
      <w:proofErr w:type="gramStart"/>
      <w:r w:rsidRPr="00FC0D0F">
        <w:rPr>
          <w:rFonts w:ascii="Arial" w:eastAsia="Times New Roman" w:hAnsi="Arial" w:cs="Arial"/>
          <w:color w:val="000000"/>
          <w:sz w:val="20"/>
          <w:szCs w:val="20"/>
          <w:lang w:val="pt-BR" w:eastAsia="it-IT"/>
        </w:rPr>
        <w:t>nos</w:t>
      </w:r>
      <w:proofErr w:type="gramEnd"/>
      <w:r w:rsidRPr="00FC0D0F">
        <w:rPr>
          <w:rFonts w:ascii="Arial" w:eastAsia="Times New Roman" w:hAnsi="Arial" w:cs="Arial"/>
          <w:color w:val="000000"/>
          <w:sz w:val="20"/>
          <w:szCs w:val="20"/>
          <w:lang w:val="pt-BR" w:eastAsia="it-IT"/>
        </w:rPr>
        <w:t xml:space="preserve"> Estados, as parcelas entregues aos Municípios por determinação constitucional;</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 xml:space="preserve">II - </w:t>
      </w:r>
      <w:proofErr w:type="gramStart"/>
      <w:r w:rsidRPr="00FC0D0F">
        <w:rPr>
          <w:rFonts w:ascii="Arial" w:eastAsia="Times New Roman" w:hAnsi="Arial" w:cs="Arial"/>
          <w:color w:val="000000"/>
          <w:sz w:val="20"/>
          <w:szCs w:val="20"/>
          <w:lang w:val="pt-BR" w:eastAsia="it-IT"/>
        </w:rPr>
        <w:t>nos</w:t>
      </w:r>
      <w:proofErr w:type="gramEnd"/>
      <w:r w:rsidRPr="00FC0D0F">
        <w:rPr>
          <w:rFonts w:ascii="Arial" w:eastAsia="Times New Roman" w:hAnsi="Arial" w:cs="Arial"/>
          <w:color w:val="000000"/>
          <w:sz w:val="20"/>
          <w:szCs w:val="20"/>
          <w:lang w:val="pt-BR" w:eastAsia="it-IT"/>
        </w:rPr>
        <w:t xml:space="preserve"> Estados, no Distrito Federal e nos Municípios, a contribuição dos servidores para custeio do seu sistema de previdência e assistência social e as receitas provenientes da compensação financeira referida no § 9º do art. 201 da Constituição Federal.</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 4º As contas especiais de que tratam os §§ 1º e 2º serão administradas pelo Tribunal de Justiça local, para pagamento de precatórios expedidos pelos tribunais.</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lastRenderedPageBreak/>
        <w:t>§ 5º Os recursos depositados nas contas especiais de que tratam os §§ 1º e 2º deste artigo não poderão retornar para Estados, Distrito Federal e Municípios devedores.</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 6º Pelo menos 50% (cinquenta por cento) dos recursos de que tratam os §§ 1º e 2º deste artigo serão utilizados para pagamento de precatórios em ordem cronológica de apresentação, respeitadas as preferências definidas no § 1º, para os requisitórios do mesmo ano e no § 2º do art. 100, para requisitórios de todos os anos.</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 7º Nos casos em que não se possa estabelecer a precedência cronológica entre 2 (dois) precatórios, pagar-se-á primeiramente o precatório de menor valor.</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 8º A aplicação dos recursos restantes dependerá de opção a ser exercida por Estados, Distrito Federal e Municípios devedores, por ato do Poder Executivo, obedecendo à seguinte forma, que poderá ser aplicada isoladamente ou simultaneamente:</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 xml:space="preserve">I - </w:t>
      </w:r>
      <w:proofErr w:type="gramStart"/>
      <w:r w:rsidRPr="00FC0D0F">
        <w:rPr>
          <w:rFonts w:ascii="Arial" w:eastAsia="Times New Roman" w:hAnsi="Arial" w:cs="Arial"/>
          <w:color w:val="000000"/>
          <w:sz w:val="20"/>
          <w:szCs w:val="20"/>
          <w:lang w:val="pt-BR" w:eastAsia="it-IT"/>
        </w:rPr>
        <w:t>destinados</w:t>
      </w:r>
      <w:proofErr w:type="gramEnd"/>
      <w:r w:rsidRPr="00FC0D0F">
        <w:rPr>
          <w:rFonts w:ascii="Arial" w:eastAsia="Times New Roman" w:hAnsi="Arial" w:cs="Arial"/>
          <w:color w:val="000000"/>
          <w:sz w:val="20"/>
          <w:szCs w:val="20"/>
          <w:lang w:val="pt-BR" w:eastAsia="it-IT"/>
        </w:rPr>
        <w:t xml:space="preserve"> ao pagamento dos precatórios por meio do leilão;</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 xml:space="preserve">II - </w:t>
      </w:r>
      <w:proofErr w:type="gramStart"/>
      <w:r w:rsidRPr="00FC0D0F">
        <w:rPr>
          <w:rFonts w:ascii="Arial" w:eastAsia="Times New Roman" w:hAnsi="Arial" w:cs="Arial"/>
          <w:color w:val="000000"/>
          <w:sz w:val="20"/>
          <w:szCs w:val="20"/>
          <w:lang w:val="pt-BR" w:eastAsia="it-IT"/>
        </w:rPr>
        <w:t>destinados</w:t>
      </w:r>
      <w:proofErr w:type="gramEnd"/>
      <w:r w:rsidRPr="00FC0D0F">
        <w:rPr>
          <w:rFonts w:ascii="Arial" w:eastAsia="Times New Roman" w:hAnsi="Arial" w:cs="Arial"/>
          <w:color w:val="000000"/>
          <w:sz w:val="20"/>
          <w:szCs w:val="20"/>
          <w:lang w:val="pt-BR" w:eastAsia="it-IT"/>
        </w:rPr>
        <w:t xml:space="preserve"> a pagamento a vista de precatórios não quitados na forma do § 6° e do inciso I, em ordem única e crescente de valor por precatório;</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III - destinados a pagamento por acordo direto com os credores, na forma estabelecida por lei própria da entidade devedora, que poderá prever criação e forma de funcionamento de câmara de conciliação.</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 9º Os leilões de que trata o inciso I do § 8º deste artigo:</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 xml:space="preserve">I - </w:t>
      </w:r>
      <w:proofErr w:type="gramStart"/>
      <w:r w:rsidRPr="00FC0D0F">
        <w:rPr>
          <w:rFonts w:ascii="Arial" w:eastAsia="Times New Roman" w:hAnsi="Arial" w:cs="Arial"/>
          <w:color w:val="000000"/>
          <w:sz w:val="20"/>
          <w:szCs w:val="20"/>
          <w:lang w:val="pt-BR" w:eastAsia="it-IT"/>
        </w:rPr>
        <w:t>serão</w:t>
      </w:r>
      <w:proofErr w:type="gramEnd"/>
      <w:r w:rsidRPr="00FC0D0F">
        <w:rPr>
          <w:rFonts w:ascii="Arial" w:eastAsia="Times New Roman" w:hAnsi="Arial" w:cs="Arial"/>
          <w:color w:val="000000"/>
          <w:sz w:val="20"/>
          <w:szCs w:val="20"/>
          <w:lang w:val="pt-BR" w:eastAsia="it-IT"/>
        </w:rPr>
        <w:t xml:space="preserve"> realizados por meio de sistema eletrônico administrado por entidade autorizada pela Comissão de Valores Mobiliários ou pelo Banco Central do Brasil;</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II - admitirão a habilitação de precatórios, ou parcela de cada precatório indicada pelo seu detentor, em relação aos quais não esteja pendente, no âmbito do Poder Judiciário, recurso ou impugnação de qualquer natureza, permitida por iniciativa do Poder Executivo a compensação com débitos líquidos e certos, inscritos ou não em dívida ativa e constituídos contra devedor originário pela Fazenda Pública devedora até a data da expedição do precatório, ressalvados aqueles cuja exigibilidade esteja suspensa nos termos da legislação, ou que já tenham sido objeto de abatimento nos termos do § 9º do art. 100 da Constituição Federal;</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III - ocorrerão por meio de oferta pública a todos os credores habilitados pelo respectivo ente federativo devedor;</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 xml:space="preserve">IV - </w:t>
      </w:r>
      <w:proofErr w:type="gramStart"/>
      <w:r w:rsidRPr="00FC0D0F">
        <w:rPr>
          <w:rFonts w:ascii="Arial" w:eastAsia="Times New Roman" w:hAnsi="Arial" w:cs="Arial"/>
          <w:color w:val="000000"/>
          <w:sz w:val="20"/>
          <w:szCs w:val="20"/>
          <w:lang w:val="pt-BR" w:eastAsia="it-IT"/>
        </w:rPr>
        <w:t>considerarão</w:t>
      </w:r>
      <w:proofErr w:type="gramEnd"/>
      <w:r w:rsidRPr="00FC0D0F">
        <w:rPr>
          <w:rFonts w:ascii="Arial" w:eastAsia="Times New Roman" w:hAnsi="Arial" w:cs="Arial"/>
          <w:color w:val="000000"/>
          <w:sz w:val="20"/>
          <w:szCs w:val="20"/>
          <w:lang w:val="pt-BR" w:eastAsia="it-IT"/>
        </w:rPr>
        <w:t xml:space="preserve"> automaticamente habilitado o credor que satisfaça o que consta no inciso II;</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 xml:space="preserve">V - </w:t>
      </w:r>
      <w:proofErr w:type="gramStart"/>
      <w:r w:rsidRPr="00FC0D0F">
        <w:rPr>
          <w:rFonts w:ascii="Arial" w:eastAsia="Times New Roman" w:hAnsi="Arial" w:cs="Arial"/>
          <w:color w:val="000000"/>
          <w:sz w:val="20"/>
          <w:szCs w:val="20"/>
          <w:lang w:val="pt-BR" w:eastAsia="it-IT"/>
        </w:rPr>
        <w:t>serão</w:t>
      </w:r>
      <w:proofErr w:type="gramEnd"/>
      <w:r w:rsidRPr="00FC0D0F">
        <w:rPr>
          <w:rFonts w:ascii="Arial" w:eastAsia="Times New Roman" w:hAnsi="Arial" w:cs="Arial"/>
          <w:color w:val="000000"/>
          <w:sz w:val="20"/>
          <w:szCs w:val="20"/>
          <w:lang w:val="pt-BR" w:eastAsia="it-IT"/>
        </w:rPr>
        <w:t xml:space="preserve"> realizados tantas vezes quanto necessário em função do valor disponível;</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 xml:space="preserve">VI - </w:t>
      </w:r>
      <w:proofErr w:type="gramStart"/>
      <w:r w:rsidRPr="00FC0D0F">
        <w:rPr>
          <w:rFonts w:ascii="Arial" w:eastAsia="Times New Roman" w:hAnsi="Arial" w:cs="Arial"/>
          <w:color w:val="000000"/>
          <w:sz w:val="20"/>
          <w:szCs w:val="20"/>
          <w:lang w:val="pt-BR" w:eastAsia="it-IT"/>
        </w:rPr>
        <w:t>a</w:t>
      </w:r>
      <w:proofErr w:type="gramEnd"/>
      <w:r w:rsidRPr="00FC0D0F">
        <w:rPr>
          <w:rFonts w:ascii="Arial" w:eastAsia="Times New Roman" w:hAnsi="Arial" w:cs="Arial"/>
          <w:color w:val="000000"/>
          <w:sz w:val="20"/>
          <w:szCs w:val="20"/>
          <w:lang w:val="pt-BR" w:eastAsia="it-IT"/>
        </w:rPr>
        <w:t xml:space="preserve"> competição por parcela do valor total ocorrerá a critério do credor, com deságio sobre o valor desta;</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VII - ocorrerão na modalidade deságio, associado ao maior volume ofertado cumulado ou não com o maior percentual de deságio, pelo maior percentual de deságio, podendo ser fixado valor máximo por credor, ou por outro critério a ser definido em edital;</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VIII - o mecanismo de formação de preço constará nos editais publicados para cada leilão;</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 xml:space="preserve">IX - </w:t>
      </w:r>
      <w:proofErr w:type="gramStart"/>
      <w:r w:rsidRPr="00FC0D0F">
        <w:rPr>
          <w:rFonts w:ascii="Arial" w:eastAsia="Times New Roman" w:hAnsi="Arial" w:cs="Arial"/>
          <w:color w:val="000000"/>
          <w:sz w:val="20"/>
          <w:szCs w:val="20"/>
          <w:lang w:val="pt-BR" w:eastAsia="it-IT"/>
        </w:rPr>
        <w:t>a</w:t>
      </w:r>
      <w:proofErr w:type="gramEnd"/>
      <w:r w:rsidRPr="00FC0D0F">
        <w:rPr>
          <w:rFonts w:ascii="Arial" w:eastAsia="Times New Roman" w:hAnsi="Arial" w:cs="Arial"/>
          <w:color w:val="000000"/>
          <w:sz w:val="20"/>
          <w:szCs w:val="20"/>
          <w:lang w:val="pt-BR" w:eastAsia="it-IT"/>
        </w:rPr>
        <w:t xml:space="preserve"> quitação parcial dos precatórios será homologada pelo respectivo Tribunal que o expediu.</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lastRenderedPageBreak/>
        <w:t>§ 10. No caso de não liberação tempestiva dos recursos de que tratam o inciso II do § 1º e os §§ 2º e 6º deste artigo:</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 xml:space="preserve">I - </w:t>
      </w:r>
      <w:proofErr w:type="gramStart"/>
      <w:r w:rsidRPr="00FC0D0F">
        <w:rPr>
          <w:rFonts w:ascii="Arial" w:eastAsia="Times New Roman" w:hAnsi="Arial" w:cs="Arial"/>
          <w:color w:val="000000"/>
          <w:sz w:val="20"/>
          <w:szCs w:val="20"/>
          <w:lang w:val="pt-BR" w:eastAsia="it-IT"/>
        </w:rPr>
        <w:t>haverá</w:t>
      </w:r>
      <w:proofErr w:type="gramEnd"/>
      <w:r w:rsidRPr="00FC0D0F">
        <w:rPr>
          <w:rFonts w:ascii="Arial" w:eastAsia="Times New Roman" w:hAnsi="Arial" w:cs="Arial"/>
          <w:color w:val="000000"/>
          <w:sz w:val="20"/>
          <w:szCs w:val="20"/>
          <w:lang w:val="pt-BR" w:eastAsia="it-IT"/>
        </w:rPr>
        <w:t xml:space="preserve"> o sequestro de quantia nas contas de Estados, Distrito Federal e Municípios devedores, por ordem do Presidente do Tribunal referido no § 4º, até o limite do valor não liberado;</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II - constituir-se-á, alternativamente, por ordem do Presidente do Tribunal requerido, em favor dos credores de precatórios, contra Estados, Distrito Federal e Municípios devedores, direito líquido e certo, autoaplicável e independentemente de regulamentação, à compensação automática com débitos líquidos lançados por esta contra aqueles, e, havendo saldo em favor do credor, o valor terá automaticamente poder liberatório do pagamento de tributos de Estados, Distrito Federal e Municípios devedores, até onde se compensarem;</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III - o chefe do Poder Executivo responderá na forma da legislação de responsabilidade fiscal e de improbidade administrativa;</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 xml:space="preserve">IV - </w:t>
      </w:r>
      <w:proofErr w:type="gramStart"/>
      <w:r w:rsidRPr="00FC0D0F">
        <w:rPr>
          <w:rFonts w:ascii="Arial" w:eastAsia="Times New Roman" w:hAnsi="Arial" w:cs="Arial"/>
          <w:color w:val="000000"/>
          <w:sz w:val="20"/>
          <w:szCs w:val="20"/>
          <w:lang w:val="pt-BR" w:eastAsia="it-IT"/>
        </w:rPr>
        <w:t>enquanto</w:t>
      </w:r>
      <w:proofErr w:type="gramEnd"/>
      <w:r w:rsidRPr="00FC0D0F">
        <w:rPr>
          <w:rFonts w:ascii="Arial" w:eastAsia="Times New Roman" w:hAnsi="Arial" w:cs="Arial"/>
          <w:color w:val="000000"/>
          <w:sz w:val="20"/>
          <w:szCs w:val="20"/>
          <w:lang w:val="pt-BR" w:eastAsia="it-IT"/>
        </w:rPr>
        <w:t xml:space="preserve"> perdurar a omissão, a entidade devedora:</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a) não poderá contrair empréstimo externo ou interno;</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b) ficará impedida de receber transferências voluntárias;</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 xml:space="preserve">V - </w:t>
      </w:r>
      <w:proofErr w:type="gramStart"/>
      <w:r w:rsidRPr="00FC0D0F">
        <w:rPr>
          <w:rFonts w:ascii="Arial" w:eastAsia="Times New Roman" w:hAnsi="Arial" w:cs="Arial"/>
          <w:color w:val="000000"/>
          <w:sz w:val="20"/>
          <w:szCs w:val="20"/>
          <w:lang w:val="pt-BR" w:eastAsia="it-IT"/>
        </w:rPr>
        <w:t>a</w:t>
      </w:r>
      <w:proofErr w:type="gramEnd"/>
      <w:r w:rsidRPr="00FC0D0F">
        <w:rPr>
          <w:rFonts w:ascii="Arial" w:eastAsia="Times New Roman" w:hAnsi="Arial" w:cs="Arial"/>
          <w:color w:val="000000"/>
          <w:sz w:val="20"/>
          <w:szCs w:val="20"/>
          <w:lang w:val="pt-BR" w:eastAsia="it-IT"/>
        </w:rPr>
        <w:t xml:space="preserve"> União reterá os repasses relativos ao Fundo de Participação dos Estados e do Distrito Federal e ao Fundo de Participação dos Municípios, e os depositará nas contas especiais referidas no § 1º, devendo sua utilização obedecer ao que prescreve o § 5º, ambos deste artigo.</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 11. No caso de precatórios relativos a diversos credores, em litisconsórcio, admite-se o desmembramento do valor, realizado pelo Tribunal de origem do precatório, por credor, e, por este, a habilitação do valor total a que tem direito, não se aplicando, neste caso, a regra do § 3º do art. 100 da Constituição Federal.</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 12. Se a lei a que se refere o § 4º do art. 100 não estiver publicada em até 180 (cento e oitenta) dias, contados da data de publicação desta Emenda Constitucional, será considerado, para os fins referidos, em relação a Estados, Distrito Federal e Municípios devedores, omissos na regulamentação, o valor de:</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I - 40 (quarenta) salários mínimos para Estados e para o Distrito Federal;</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II - 30 (trinta) salários mínimos para Municípios.</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 13. Enquanto Estados, Distrito Federal e Municípios devedores estiverem realizando pagamentos de precatórios pelo regime especial, não poderão sofrer sequestro de valores, exceto no caso de não liberação tempestiva dos recursos de que tratam o inciso II do § 1º e o § 2º deste artigo.</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 14. O regime especial de pagamento de precatório previsto no inciso I do § 1º vigorará enquanto o valor dos precatórios devidos for superior ao valor dos recursos vinculados, nos termos do § 2º, ambos deste artigo, ou pelo prazo fixo de até 15 (quinze) anos, no caso da opção prevista no inciso II do § 1º.</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 15. Os precatórios parcelados na forma do art. 33 ou do art. 78 deste Ato das Disposições Constitucionais Transitórias e ainda pendentes de pagamento ingressarão no regime especial com o valor atualizado das parcelas não pagas relativas a cada precatório, bem como o saldo dos acordos judiciais e extrajudiciais.</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lastRenderedPageBreak/>
        <w:t>§ 16. A partir da promulgação desta Emenda Constitucional, a atualização de valores de requisitórios, até o efetivo pagamento, independentemente de sua natureza, será feita pelo índice oficial de remuneração básica da caderneta de poupança, e, para fins de compensação da mora, incidirão juros simples no mesmo percentual de juros incidentes sobre a caderneta de poupança, ficando excluída a incidência de juros compensatórios.</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 17. O valor que exceder o limite previsto no § 2º do art. 100 da Constituição Federal será pago, durante a vigência do regime especial, na forma prevista nos §§ 6º e 7º ou nos incisos I, II e III do § 8° deste artigo, devendo os valores dispendidos para o atendimento do disposto no § 2º do art. 100 da Constituição Federal serem computados para efeito do § 6º deste artigo.</w:t>
      </w:r>
    </w:p>
    <w:p w:rsidR="00FC0D0F" w:rsidRPr="00FC0D0F" w:rsidRDefault="00FC0D0F" w:rsidP="00FC0D0F">
      <w:pPr>
        <w:spacing w:before="100" w:beforeAutospacing="1" w:after="100" w:afterAutospacing="1" w:line="240" w:lineRule="auto"/>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 18. Durante a vigência do regime especial a que se refere este artigo, gozarão também da preferência a que se refere o § 6º os titulares originais de precatórios que tenham completado 60 (sessenta) anos de idade até a data da promulgação desta Emenda Constitucional."</w:t>
      </w:r>
    </w:p>
    <w:p w:rsidR="00FC0D0F" w:rsidRPr="00FC0D0F" w:rsidRDefault="00FC0D0F" w:rsidP="00FC0D0F">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2" w:name="art3"/>
      <w:bookmarkEnd w:id="2"/>
      <w:r w:rsidRPr="00FC0D0F">
        <w:rPr>
          <w:rFonts w:ascii="Arial" w:eastAsia="Times New Roman" w:hAnsi="Arial" w:cs="Arial"/>
          <w:color w:val="000000"/>
          <w:sz w:val="20"/>
          <w:szCs w:val="20"/>
          <w:lang w:val="pt-BR" w:eastAsia="it-IT"/>
        </w:rPr>
        <w:t>Art. 3º A implantação do regime de pagamento criado pelo </w:t>
      </w:r>
      <w:hyperlink r:id="rId8" w:anchor="art97adct" w:history="1">
        <w:r w:rsidRPr="00FC0D0F">
          <w:rPr>
            <w:rFonts w:ascii="Arial" w:eastAsia="Times New Roman" w:hAnsi="Arial" w:cs="Arial"/>
            <w:color w:val="0000FF"/>
            <w:sz w:val="20"/>
            <w:szCs w:val="20"/>
            <w:u w:val="single"/>
            <w:lang w:val="pt-BR" w:eastAsia="it-IT"/>
          </w:rPr>
          <w:t>art. 97 do Ato das Disposições Constitucionais Transitórias</w:t>
        </w:r>
      </w:hyperlink>
      <w:r w:rsidRPr="00FC0D0F">
        <w:rPr>
          <w:rFonts w:ascii="Arial" w:eastAsia="Times New Roman" w:hAnsi="Arial" w:cs="Arial"/>
          <w:color w:val="000000"/>
          <w:sz w:val="20"/>
          <w:szCs w:val="20"/>
          <w:lang w:val="pt-BR" w:eastAsia="it-IT"/>
        </w:rPr>
        <w:t> deverá ocorrer no prazo de até 90 (noventa dias), contados da data da publicação desta Emenda Constitucional.</w:t>
      </w:r>
    </w:p>
    <w:p w:rsidR="00FC0D0F" w:rsidRPr="00FC0D0F" w:rsidRDefault="00FC0D0F" w:rsidP="00FC0D0F">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3" w:name="art4"/>
      <w:bookmarkEnd w:id="3"/>
      <w:r w:rsidRPr="00FC0D0F">
        <w:rPr>
          <w:rFonts w:ascii="Arial" w:eastAsia="Times New Roman" w:hAnsi="Arial" w:cs="Arial"/>
          <w:color w:val="000000"/>
          <w:sz w:val="20"/>
          <w:szCs w:val="20"/>
          <w:lang w:val="pt-BR" w:eastAsia="it-IT"/>
        </w:rPr>
        <w:t>Art. 4º A entidade federativa voltará a observar somente o disposto no </w:t>
      </w:r>
      <w:hyperlink r:id="rId9" w:anchor="art100." w:history="1">
        <w:r w:rsidRPr="00FC0D0F">
          <w:rPr>
            <w:rFonts w:ascii="Arial" w:eastAsia="Times New Roman" w:hAnsi="Arial" w:cs="Arial"/>
            <w:color w:val="0000FF"/>
            <w:sz w:val="20"/>
            <w:szCs w:val="20"/>
            <w:u w:val="single"/>
            <w:lang w:val="pt-BR" w:eastAsia="it-IT"/>
          </w:rPr>
          <w:t>art. 100 da Constituição Federal:</w:t>
        </w:r>
      </w:hyperlink>
    </w:p>
    <w:p w:rsidR="00FC0D0F" w:rsidRPr="00FC0D0F" w:rsidRDefault="00FC0D0F" w:rsidP="00FC0D0F">
      <w:pPr>
        <w:spacing w:before="100" w:beforeAutospacing="1" w:after="100" w:afterAutospacing="1" w:line="240" w:lineRule="auto"/>
        <w:ind w:firstLine="567"/>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I - no caso de opção pelo sistema previsto no </w:t>
      </w:r>
      <w:hyperlink r:id="rId10" w:anchor="art97%C2%A71iadct" w:history="1">
        <w:r w:rsidRPr="00FC0D0F">
          <w:rPr>
            <w:rFonts w:ascii="Arial" w:eastAsia="Times New Roman" w:hAnsi="Arial" w:cs="Arial"/>
            <w:color w:val="0000FF"/>
            <w:sz w:val="20"/>
            <w:szCs w:val="20"/>
            <w:u w:val="single"/>
            <w:lang w:val="pt-BR" w:eastAsia="it-IT"/>
          </w:rPr>
          <w:t>inciso I do § 1º do art. 97 do Ato das Disposições Constitucionais Transitórias</w:t>
        </w:r>
      </w:hyperlink>
      <w:r w:rsidRPr="00FC0D0F">
        <w:rPr>
          <w:rFonts w:ascii="Arial" w:eastAsia="Times New Roman" w:hAnsi="Arial" w:cs="Arial"/>
          <w:color w:val="000000"/>
          <w:sz w:val="20"/>
          <w:szCs w:val="20"/>
          <w:lang w:val="pt-BR" w:eastAsia="it-IT"/>
        </w:rPr>
        <w:t>, quando o valor dos precatórios devidos for inferior ao dos recursos destinados ao seu pagamento;</w:t>
      </w:r>
    </w:p>
    <w:p w:rsidR="00FC0D0F" w:rsidRPr="00FC0D0F" w:rsidRDefault="00FC0D0F" w:rsidP="00FC0D0F">
      <w:pPr>
        <w:spacing w:before="100" w:beforeAutospacing="1" w:after="100" w:afterAutospacing="1" w:line="240" w:lineRule="auto"/>
        <w:ind w:firstLine="567"/>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II - no caso de opção pelo sistema previsto no </w:t>
      </w:r>
      <w:hyperlink r:id="rId11" w:anchor="art97art%C2%A71iiadct" w:history="1">
        <w:r w:rsidRPr="00FC0D0F">
          <w:rPr>
            <w:rFonts w:ascii="Arial" w:eastAsia="Times New Roman" w:hAnsi="Arial" w:cs="Arial"/>
            <w:color w:val="0000FF"/>
            <w:sz w:val="20"/>
            <w:szCs w:val="20"/>
            <w:u w:val="single"/>
            <w:lang w:val="pt-BR" w:eastAsia="it-IT"/>
          </w:rPr>
          <w:t>inciso II do § 1º do art. 97 do Ato das Disposições Constitucionais Transitórias</w:t>
        </w:r>
      </w:hyperlink>
      <w:r w:rsidRPr="00FC0D0F">
        <w:rPr>
          <w:rFonts w:ascii="Arial" w:eastAsia="Times New Roman" w:hAnsi="Arial" w:cs="Arial"/>
          <w:color w:val="000000"/>
          <w:sz w:val="20"/>
          <w:szCs w:val="20"/>
          <w:lang w:val="pt-BR" w:eastAsia="it-IT"/>
        </w:rPr>
        <w:t>, ao final do prazo.</w:t>
      </w:r>
    </w:p>
    <w:p w:rsidR="00FC0D0F" w:rsidRPr="00FC0D0F" w:rsidRDefault="00FC0D0F" w:rsidP="00FC0D0F">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4" w:name="art5"/>
      <w:bookmarkEnd w:id="4"/>
      <w:r w:rsidRPr="00FC0D0F">
        <w:rPr>
          <w:rFonts w:ascii="Arial" w:eastAsia="Times New Roman" w:hAnsi="Arial" w:cs="Arial"/>
          <w:color w:val="000000"/>
          <w:sz w:val="20"/>
          <w:szCs w:val="20"/>
          <w:lang w:val="pt-BR" w:eastAsia="it-IT"/>
        </w:rPr>
        <w:t>Art. 5º Ficam convalidadas todas as cessões de precatórios efetuadas antes da promulgação desta Emenda Constitucional, independentemente da concordância da entidade devedora.</w:t>
      </w:r>
    </w:p>
    <w:p w:rsidR="00FC0D0F" w:rsidRPr="00FC0D0F" w:rsidRDefault="00FC0D0F" w:rsidP="00FC0D0F">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5" w:name="art6"/>
      <w:bookmarkEnd w:id="5"/>
      <w:r w:rsidRPr="00FC0D0F">
        <w:rPr>
          <w:rFonts w:ascii="Arial" w:eastAsia="Times New Roman" w:hAnsi="Arial" w:cs="Arial"/>
          <w:color w:val="000000"/>
          <w:sz w:val="20"/>
          <w:szCs w:val="20"/>
          <w:lang w:val="pt-BR" w:eastAsia="it-IT"/>
        </w:rPr>
        <w:t>Art. 6º Ficam também convalidadas todas as compensações de precatórios com tributos vencidos até 31 de outubro de 2009 da entidade devedora, efetuadas na forma do disposto no </w:t>
      </w:r>
      <w:hyperlink r:id="rId12" w:anchor="art78%C2%A72adct" w:history="1">
        <w:r w:rsidRPr="00FC0D0F">
          <w:rPr>
            <w:rFonts w:ascii="Arial" w:eastAsia="Times New Roman" w:hAnsi="Arial" w:cs="Arial"/>
            <w:color w:val="0000FF"/>
            <w:sz w:val="20"/>
            <w:szCs w:val="20"/>
            <w:u w:val="single"/>
            <w:lang w:val="pt-BR" w:eastAsia="it-IT"/>
          </w:rPr>
          <w:t>§ 2º do art. 78 do ADCT</w:t>
        </w:r>
      </w:hyperlink>
      <w:r w:rsidRPr="00FC0D0F">
        <w:rPr>
          <w:rFonts w:ascii="Arial" w:eastAsia="Times New Roman" w:hAnsi="Arial" w:cs="Arial"/>
          <w:color w:val="000000"/>
          <w:sz w:val="20"/>
          <w:szCs w:val="20"/>
          <w:lang w:val="pt-BR" w:eastAsia="it-IT"/>
        </w:rPr>
        <w:t>, realizadas antes da promulgação desta Emenda Constitucional.</w:t>
      </w:r>
    </w:p>
    <w:p w:rsidR="00FC0D0F" w:rsidRPr="00FC0D0F" w:rsidRDefault="00FC0D0F" w:rsidP="00FC0D0F">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 w:name="art7"/>
      <w:bookmarkEnd w:id="6"/>
      <w:r w:rsidRPr="00FC0D0F">
        <w:rPr>
          <w:rFonts w:ascii="Arial" w:eastAsia="Times New Roman" w:hAnsi="Arial" w:cs="Arial"/>
          <w:color w:val="000000"/>
          <w:sz w:val="20"/>
          <w:szCs w:val="20"/>
          <w:lang w:val="pt-BR" w:eastAsia="it-IT"/>
        </w:rPr>
        <w:t>Art. 7º Esta Emenda Constitucional entra em vigor na data de sua publicação.</w:t>
      </w:r>
    </w:p>
    <w:p w:rsidR="00FC0D0F" w:rsidRPr="00FC0D0F" w:rsidRDefault="00FC0D0F" w:rsidP="00FC0D0F">
      <w:pPr>
        <w:spacing w:before="100" w:beforeAutospacing="1" w:after="100" w:afterAutospacing="1" w:line="240" w:lineRule="auto"/>
        <w:ind w:firstLine="567"/>
        <w:jc w:val="center"/>
        <w:rPr>
          <w:rFonts w:ascii="Arial" w:eastAsia="Times New Roman" w:hAnsi="Arial" w:cs="Arial"/>
          <w:color w:val="000000"/>
          <w:sz w:val="20"/>
          <w:szCs w:val="20"/>
          <w:lang w:val="pt-BR" w:eastAsia="it-IT"/>
        </w:rPr>
      </w:pPr>
      <w:r w:rsidRPr="00FC0D0F">
        <w:rPr>
          <w:rFonts w:ascii="Arial" w:eastAsia="Times New Roman" w:hAnsi="Arial" w:cs="Arial"/>
          <w:color w:val="000000"/>
          <w:sz w:val="20"/>
          <w:szCs w:val="20"/>
          <w:lang w:val="pt-BR" w:eastAsia="it-IT"/>
        </w:rPr>
        <w:t>Brasília, em 9 de dezembro de 2009.</w:t>
      </w:r>
    </w:p>
    <w:tbl>
      <w:tblPr>
        <w:tblW w:w="8400" w:type="dxa"/>
        <w:jc w:val="center"/>
        <w:tblCellSpacing w:w="0" w:type="dxa"/>
        <w:tblCellMar>
          <w:left w:w="0" w:type="dxa"/>
          <w:right w:w="0" w:type="dxa"/>
        </w:tblCellMar>
        <w:tblLook w:val="04A0" w:firstRow="1" w:lastRow="0" w:firstColumn="1" w:lastColumn="0" w:noHBand="0" w:noVBand="1"/>
      </w:tblPr>
      <w:tblGrid>
        <w:gridCol w:w="4200"/>
        <w:gridCol w:w="4200"/>
      </w:tblGrid>
      <w:tr w:rsidR="00FC0D0F" w:rsidRPr="00FC0D0F" w:rsidTr="00FC0D0F">
        <w:trPr>
          <w:trHeight w:val="600"/>
          <w:tblCellSpacing w:w="0" w:type="dxa"/>
          <w:jc w:val="center"/>
        </w:trPr>
        <w:tc>
          <w:tcPr>
            <w:tcW w:w="2500" w:type="pct"/>
            <w:vAlign w:val="center"/>
            <w:hideMark/>
          </w:tcPr>
          <w:p w:rsidR="00FC0D0F" w:rsidRPr="00FC0D0F" w:rsidRDefault="00FC0D0F" w:rsidP="00FC0D0F">
            <w:pPr>
              <w:spacing w:after="0" w:line="240" w:lineRule="auto"/>
              <w:jc w:val="center"/>
              <w:rPr>
                <w:rFonts w:ascii="Times New Roman" w:eastAsia="Times New Roman" w:hAnsi="Times New Roman" w:cs="Times New Roman"/>
                <w:sz w:val="24"/>
                <w:szCs w:val="24"/>
                <w:lang w:val="pt-BR" w:eastAsia="it-IT"/>
              </w:rPr>
            </w:pPr>
            <w:r w:rsidRPr="00FC0D0F">
              <w:rPr>
                <w:rFonts w:ascii="Arial" w:eastAsia="Times New Roman" w:hAnsi="Arial" w:cs="Arial"/>
                <w:b/>
                <w:bCs/>
                <w:sz w:val="20"/>
                <w:szCs w:val="20"/>
                <w:lang w:val="pt-BR" w:eastAsia="it-IT"/>
              </w:rPr>
              <w:t>Mesa da Câmara dos Deputados</w:t>
            </w:r>
          </w:p>
        </w:tc>
        <w:tc>
          <w:tcPr>
            <w:tcW w:w="2500" w:type="pct"/>
            <w:vAlign w:val="center"/>
            <w:hideMark/>
          </w:tcPr>
          <w:p w:rsidR="00FC0D0F" w:rsidRPr="00FC0D0F" w:rsidRDefault="00FC0D0F" w:rsidP="00FC0D0F">
            <w:pPr>
              <w:spacing w:after="0" w:line="240" w:lineRule="auto"/>
              <w:jc w:val="center"/>
              <w:rPr>
                <w:rFonts w:ascii="Times New Roman" w:eastAsia="Times New Roman" w:hAnsi="Times New Roman" w:cs="Times New Roman"/>
                <w:sz w:val="24"/>
                <w:szCs w:val="24"/>
                <w:lang w:eastAsia="it-IT"/>
              </w:rPr>
            </w:pPr>
            <w:r w:rsidRPr="00FC0D0F">
              <w:rPr>
                <w:rFonts w:ascii="Arial" w:eastAsia="Times New Roman" w:hAnsi="Arial" w:cs="Arial"/>
                <w:b/>
                <w:bCs/>
                <w:sz w:val="20"/>
                <w:szCs w:val="20"/>
                <w:lang w:eastAsia="it-IT"/>
              </w:rPr>
              <w:t>Mesa do Senado Federal</w:t>
            </w:r>
          </w:p>
        </w:tc>
      </w:tr>
      <w:tr w:rsidR="00FC0D0F" w:rsidRPr="00FC0D0F" w:rsidTr="00FC0D0F">
        <w:trPr>
          <w:trHeight w:val="600"/>
          <w:tblCellSpacing w:w="0" w:type="dxa"/>
          <w:jc w:val="center"/>
        </w:trPr>
        <w:tc>
          <w:tcPr>
            <w:tcW w:w="2500" w:type="pct"/>
            <w:vAlign w:val="center"/>
            <w:hideMark/>
          </w:tcPr>
          <w:p w:rsidR="00FC0D0F" w:rsidRPr="00FC0D0F" w:rsidRDefault="00FC0D0F" w:rsidP="00FC0D0F">
            <w:pPr>
              <w:spacing w:after="0" w:line="240" w:lineRule="auto"/>
              <w:jc w:val="center"/>
              <w:rPr>
                <w:rFonts w:ascii="Times New Roman" w:eastAsia="Times New Roman" w:hAnsi="Times New Roman" w:cs="Times New Roman"/>
                <w:sz w:val="24"/>
                <w:szCs w:val="24"/>
                <w:lang w:eastAsia="it-IT"/>
              </w:rPr>
            </w:pPr>
            <w:r w:rsidRPr="00FC0D0F">
              <w:rPr>
                <w:rFonts w:ascii="Arial" w:eastAsia="Times New Roman" w:hAnsi="Arial" w:cs="Arial"/>
                <w:sz w:val="20"/>
                <w:szCs w:val="20"/>
                <w:lang w:eastAsia="it-IT"/>
              </w:rPr>
              <w:t>Deputado MICHEL TEMER</w:t>
            </w:r>
            <w:r w:rsidRPr="00FC0D0F">
              <w:rPr>
                <w:rFonts w:ascii="Arial" w:eastAsia="Times New Roman" w:hAnsi="Arial" w:cs="Arial"/>
                <w:sz w:val="20"/>
                <w:szCs w:val="20"/>
                <w:lang w:eastAsia="it-IT"/>
              </w:rPr>
              <w:br/>
              <w:t>Presidente</w:t>
            </w:r>
          </w:p>
        </w:tc>
        <w:tc>
          <w:tcPr>
            <w:tcW w:w="2500" w:type="pct"/>
            <w:vAlign w:val="center"/>
            <w:hideMark/>
          </w:tcPr>
          <w:p w:rsidR="00FC0D0F" w:rsidRPr="00FC0D0F" w:rsidRDefault="00FC0D0F" w:rsidP="00FC0D0F">
            <w:pPr>
              <w:spacing w:after="0" w:line="240" w:lineRule="auto"/>
              <w:jc w:val="center"/>
              <w:rPr>
                <w:rFonts w:ascii="Times New Roman" w:eastAsia="Times New Roman" w:hAnsi="Times New Roman" w:cs="Times New Roman"/>
                <w:sz w:val="24"/>
                <w:szCs w:val="24"/>
                <w:lang w:val="pt-BR" w:eastAsia="it-IT"/>
              </w:rPr>
            </w:pPr>
            <w:r w:rsidRPr="00FC0D0F">
              <w:rPr>
                <w:rFonts w:ascii="Arial" w:eastAsia="Times New Roman" w:hAnsi="Arial" w:cs="Arial"/>
                <w:sz w:val="20"/>
                <w:szCs w:val="20"/>
                <w:lang w:val="pt-BR" w:eastAsia="it-IT"/>
              </w:rPr>
              <w:t>Senador MARCONI PERILLO</w:t>
            </w:r>
            <w:r w:rsidRPr="00FC0D0F">
              <w:rPr>
                <w:rFonts w:ascii="Arial" w:eastAsia="Times New Roman" w:hAnsi="Arial" w:cs="Arial"/>
                <w:sz w:val="20"/>
                <w:szCs w:val="20"/>
                <w:lang w:val="pt-BR" w:eastAsia="it-IT"/>
              </w:rPr>
              <w:br/>
              <w:t>1º Vice-Presidente, no exercício da Presidência</w:t>
            </w:r>
          </w:p>
        </w:tc>
      </w:tr>
      <w:tr w:rsidR="00FC0D0F" w:rsidRPr="00FC0D0F" w:rsidTr="00FC0D0F">
        <w:trPr>
          <w:trHeight w:val="600"/>
          <w:tblCellSpacing w:w="0" w:type="dxa"/>
          <w:jc w:val="center"/>
        </w:trPr>
        <w:tc>
          <w:tcPr>
            <w:tcW w:w="2500" w:type="pct"/>
            <w:vAlign w:val="center"/>
            <w:hideMark/>
          </w:tcPr>
          <w:p w:rsidR="00FC0D0F" w:rsidRPr="00FC0D0F" w:rsidRDefault="00FC0D0F" w:rsidP="00FC0D0F">
            <w:pPr>
              <w:spacing w:after="0" w:line="240" w:lineRule="auto"/>
              <w:jc w:val="center"/>
              <w:rPr>
                <w:rFonts w:ascii="Times New Roman" w:eastAsia="Times New Roman" w:hAnsi="Times New Roman" w:cs="Times New Roman"/>
                <w:sz w:val="24"/>
                <w:szCs w:val="24"/>
                <w:lang w:val="pt-BR" w:eastAsia="it-IT"/>
              </w:rPr>
            </w:pPr>
            <w:r w:rsidRPr="00FC0D0F">
              <w:rPr>
                <w:rFonts w:ascii="Arial" w:eastAsia="Times New Roman" w:hAnsi="Arial" w:cs="Arial"/>
                <w:sz w:val="20"/>
                <w:szCs w:val="20"/>
                <w:lang w:val="pt-BR" w:eastAsia="it-IT"/>
              </w:rPr>
              <w:t>Deputado MARCO MAIA</w:t>
            </w:r>
            <w:r w:rsidRPr="00FC0D0F">
              <w:rPr>
                <w:rFonts w:ascii="Arial" w:eastAsia="Times New Roman" w:hAnsi="Arial" w:cs="Arial"/>
                <w:sz w:val="20"/>
                <w:szCs w:val="20"/>
                <w:lang w:val="pt-BR" w:eastAsia="it-IT"/>
              </w:rPr>
              <w:br/>
              <w:t>1º Vice-Presidente</w:t>
            </w:r>
          </w:p>
        </w:tc>
        <w:tc>
          <w:tcPr>
            <w:tcW w:w="2500" w:type="pct"/>
            <w:vAlign w:val="center"/>
            <w:hideMark/>
          </w:tcPr>
          <w:p w:rsidR="00FC0D0F" w:rsidRPr="00FC0D0F" w:rsidRDefault="00FC0D0F" w:rsidP="00FC0D0F">
            <w:pPr>
              <w:spacing w:after="0" w:line="240" w:lineRule="auto"/>
              <w:jc w:val="center"/>
              <w:rPr>
                <w:rFonts w:ascii="Times New Roman" w:eastAsia="Times New Roman" w:hAnsi="Times New Roman" w:cs="Times New Roman"/>
                <w:sz w:val="24"/>
                <w:szCs w:val="24"/>
                <w:lang w:eastAsia="it-IT"/>
              </w:rPr>
            </w:pPr>
            <w:r w:rsidRPr="00FC0D0F">
              <w:rPr>
                <w:rFonts w:ascii="Arial" w:eastAsia="Times New Roman" w:hAnsi="Arial" w:cs="Arial"/>
                <w:color w:val="000000"/>
                <w:sz w:val="20"/>
                <w:szCs w:val="20"/>
                <w:lang w:eastAsia="it-IT"/>
              </w:rPr>
              <w:t>Senadora SERYS SLHESSARENKO</w:t>
            </w:r>
            <w:r w:rsidRPr="00FC0D0F">
              <w:rPr>
                <w:rFonts w:ascii="Arial" w:eastAsia="Times New Roman" w:hAnsi="Arial" w:cs="Arial"/>
                <w:color w:val="000000"/>
                <w:sz w:val="20"/>
                <w:szCs w:val="20"/>
                <w:lang w:eastAsia="it-IT"/>
              </w:rPr>
              <w:br/>
              <w:t>2º Vice-Presidente</w:t>
            </w:r>
          </w:p>
        </w:tc>
      </w:tr>
      <w:tr w:rsidR="00FC0D0F" w:rsidRPr="00FC0D0F" w:rsidTr="00FC0D0F">
        <w:trPr>
          <w:trHeight w:val="600"/>
          <w:tblCellSpacing w:w="0" w:type="dxa"/>
          <w:jc w:val="center"/>
        </w:trPr>
        <w:tc>
          <w:tcPr>
            <w:tcW w:w="2500" w:type="pct"/>
            <w:vAlign w:val="center"/>
            <w:hideMark/>
          </w:tcPr>
          <w:p w:rsidR="00FC0D0F" w:rsidRPr="00FC0D0F" w:rsidRDefault="00FC0D0F" w:rsidP="00FC0D0F">
            <w:pPr>
              <w:spacing w:after="0" w:line="240" w:lineRule="auto"/>
              <w:jc w:val="center"/>
              <w:rPr>
                <w:rFonts w:ascii="Times New Roman" w:eastAsia="Times New Roman" w:hAnsi="Times New Roman" w:cs="Times New Roman"/>
                <w:sz w:val="24"/>
                <w:szCs w:val="24"/>
                <w:lang w:val="pt-BR" w:eastAsia="it-IT"/>
              </w:rPr>
            </w:pPr>
            <w:r w:rsidRPr="00FC0D0F">
              <w:rPr>
                <w:rFonts w:ascii="Arial" w:eastAsia="Times New Roman" w:hAnsi="Arial" w:cs="Arial"/>
                <w:sz w:val="20"/>
                <w:szCs w:val="20"/>
                <w:lang w:val="pt-BR" w:eastAsia="it-IT"/>
              </w:rPr>
              <w:t>Deputado ANTÔNIO CARLOS</w:t>
            </w:r>
            <w:r w:rsidRPr="00FC0D0F">
              <w:rPr>
                <w:rFonts w:ascii="Arial" w:eastAsia="Times New Roman" w:hAnsi="Arial" w:cs="Arial"/>
                <w:sz w:val="20"/>
                <w:szCs w:val="20"/>
                <w:lang w:val="pt-BR" w:eastAsia="it-IT"/>
              </w:rPr>
              <w:br/>
              <w:t>MAGALHÃES NETO</w:t>
            </w:r>
            <w:r w:rsidRPr="00FC0D0F">
              <w:rPr>
                <w:rFonts w:ascii="Arial" w:eastAsia="Times New Roman" w:hAnsi="Arial" w:cs="Arial"/>
                <w:sz w:val="20"/>
                <w:szCs w:val="20"/>
                <w:lang w:val="pt-BR" w:eastAsia="it-IT"/>
              </w:rPr>
              <w:br/>
              <w:t>2º Vice-Presidente</w:t>
            </w:r>
          </w:p>
        </w:tc>
        <w:tc>
          <w:tcPr>
            <w:tcW w:w="2500" w:type="pct"/>
            <w:vAlign w:val="center"/>
            <w:hideMark/>
          </w:tcPr>
          <w:p w:rsidR="00FC0D0F" w:rsidRPr="00FC0D0F" w:rsidRDefault="00FC0D0F" w:rsidP="00FC0D0F">
            <w:pPr>
              <w:spacing w:before="100" w:beforeAutospacing="1" w:after="100" w:afterAutospacing="1" w:line="240" w:lineRule="auto"/>
              <w:jc w:val="center"/>
              <w:rPr>
                <w:rFonts w:ascii="Times New Roman" w:eastAsia="Times New Roman" w:hAnsi="Times New Roman" w:cs="Times New Roman"/>
                <w:sz w:val="24"/>
                <w:szCs w:val="24"/>
                <w:lang w:val="pt-BR" w:eastAsia="it-IT"/>
              </w:rPr>
            </w:pPr>
            <w:r w:rsidRPr="00FC0D0F">
              <w:rPr>
                <w:rFonts w:ascii="Arial" w:eastAsia="Times New Roman" w:hAnsi="Arial" w:cs="Arial"/>
                <w:sz w:val="20"/>
                <w:szCs w:val="20"/>
                <w:lang w:val="pt-BR" w:eastAsia="it-IT"/>
              </w:rPr>
              <w:t>Senador HERÁCLITO FORTES</w:t>
            </w:r>
            <w:r w:rsidRPr="00FC0D0F">
              <w:rPr>
                <w:rFonts w:ascii="Arial" w:eastAsia="Times New Roman" w:hAnsi="Arial" w:cs="Arial"/>
                <w:sz w:val="20"/>
                <w:szCs w:val="20"/>
                <w:lang w:val="pt-BR" w:eastAsia="it-IT"/>
              </w:rPr>
              <w:br/>
              <w:t>1º Secretário</w:t>
            </w:r>
          </w:p>
        </w:tc>
      </w:tr>
      <w:tr w:rsidR="00FC0D0F" w:rsidRPr="00FC0D0F" w:rsidTr="00FC0D0F">
        <w:trPr>
          <w:trHeight w:val="600"/>
          <w:tblCellSpacing w:w="0" w:type="dxa"/>
          <w:jc w:val="center"/>
        </w:trPr>
        <w:tc>
          <w:tcPr>
            <w:tcW w:w="2500" w:type="pct"/>
            <w:vAlign w:val="center"/>
            <w:hideMark/>
          </w:tcPr>
          <w:p w:rsidR="00FC0D0F" w:rsidRPr="00FC0D0F" w:rsidRDefault="00FC0D0F" w:rsidP="00FC0D0F">
            <w:pPr>
              <w:spacing w:after="0" w:line="240" w:lineRule="auto"/>
              <w:jc w:val="center"/>
              <w:rPr>
                <w:rFonts w:ascii="Times New Roman" w:eastAsia="Times New Roman" w:hAnsi="Times New Roman" w:cs="Times New Roman"/>
                <w:sz w:val="24"/>
                <w:szCs w:val="24"/>
                <w:lang w:val="pt-BR" w:eastAsia="it-IT"/>
              </w:rPr>
            </w:pPr>
            <w:r w:rsidRPr="00FC0D0F">
              <w:rPr>
                <w:rFonts w:ascii="Arial" w:eastAsia="Times New Roman" w:hAnsi="Arial" w:cs="Arial"/>
                <w:sz w:val="20"/>
                <w:szCs w:val="20"/>
                <w:lang w:val="pt-BR" w:eastAsia="it-IT"/>
              </w:rPr>
              <w:t>Deputado RAFAEL GUERRA</w:t>
            </w:r>
            <w:r w:rsidRPr="00FC0D0F">
              <w:rPr>
                <w:rFonts w:ascii="Arial" w:eastAsia="Times New Roman" w:hAnsi="Arial" w:cs="Arial"/>
                <w:sz w:val="20"/>
                <w:szCs w:val="20"/>
                <w:lang w:val="pt-BR" w:eastAsia="it-IT"/>
              </w:rPr>
              <w:br/>
              <w:t>1º Secretário</w:t>
            </w:r>
          </w:p>
        </w:tc>
        <w:tc>
          <w:tcPr>
            <w:tcW w:w="2500" w:type="pct"/>
            <w:vAlign w:val="center"/>
            <w:hideMark/>
          </w:tcPr>
          <w:p w:rsidR="00FC0D0F" w:rsidRPr="00FC0D0F" w:rsidRDefault="00FC0D0F" w:rsidP="00FC0D0F">
            <w:pPr>
              <w:spacing w:before="100" w:beforeAutospacing="1" w:after="100" w:afterAutospacing="1" w:line="240" w:lineRule="auto"/>
              <w:jc w:val="center"/>
              <w:rPr>
                <w:rFonts w:ascii="Times New Roman" w:eastAsia="Times New Roman" w:hAnsi="Times New Roman" w:cs="Times New Roman"/>
                <w:sz w:val="24"/>
                <w:szCs w:val="24"/>
                <w:lang w:val="pt-BR" w:eastAsia="it-IT"/>
              </w:rPr>
            </w:pPr>
            <w:r w:rsidRPr="00FC0D0F">
              <w:rPr>
                <w:rFonts w:ascii="Arial" w:eastAsia="Times New Roman" w:hAnsi="Arial" w:cs="Arial"/>
                <w:color w:val="000000"/>
                <w:sz w:val="20"/>
                <w:szCs w:val="20"/>
                <w:lang w:val="pt-BR" w:eastAsia="it-IT"/>
              </w:rPr>
              <w:t>Senador JOÃO VICENTE CLAUDINO</w:t>
            </w:r>
            <w:r w:rsidRPr="00FC0D0F">
              <w:rPr>
                <w:rFonts w:ascii="Arial" w:eastAsia="Times New Roman" w:hAnsi="Arial" w:cs="Arial"/>
                <w:color w:val="000000"/>
                <w:sz w:val="20"/>
                <w:szCs w:val="20"/>
                <w:lang w:val="pt-BR" w:eastAsia="it-IT"/>
              </w:rPr>
              <w:br/>
              <w:t>2º Secretário</w:t>
            </w:r>
          </w:p>
        </w:tc>
      </w:tr>
      <w:tr w:rsidR="00FC0D0F" w:rsidRPr="00FC0D0F" w:rsidTr="00FC0D0F">
        <w:trPr>
          <w:trHeight w:val="600"/>
          <w:tblCellSpacing w:w="0" w:type="dxa"/>
          <w:jc w:val="center"/>
        </w:trPr>
        <w:tc>
          <w:tcPr>
            <w:tcW w:w="2500" w:type="pct"/>
            <w:vAlign w:val="center"/>
            <w:hideMark/>
          </w:tcPr>
          <w:p w:rsidR="00FC0D0F" w:rsidRPr="00FC0D0F" w:rsidRDefault="00FC0D0F" w:rsidP="00FC0D0F">
            <w:pPr>
              <w:spacing w:after="0" w:line="240" w:lineRule="auto"/>
              <w:jc w:val="center"/>
              <w:rPr>
                <w:rFonts w:ascii="Times New Roman" w:eastAsia="Times New Roman" w:hAnsi="Times New Roman" w:cs="Times New Roman"/>
                <w:sz w:val="24"/>
                <w:szCs w:val="24"/>
                <w:lang w:val="pt-BR" w:eastAsia="it-IT"/>
              </w:rPr>
            </w:pPr>
            <w:r w:rsidRPr="00FC0D0F">
              <w:rPr>
                <w:rFonts w:ascii="Arial" w:eastAsia="Times New Roman" w:hAnsi="Arial" w:cs="Arial"/>
                <w:sz w:val="20"/>
                <w:szCs w:val="20"/>
                <w:lang w:val="pt-BR" w:eastAsia="it-IT"/>
              </w:rPr>
              <w:t>Deputado INOCÊNCIO OLIVEIRA</w:t>
            </w:r>
            <w:r w:rsidRPr="00FC0D0F">
              <w:rPr>
                <w:rFonts w:ascii="Arial" w:eastAsia="Times New Roman" w:hAnsi="Arial" w:cs="Arial"/>
                <w:sz w:val="20"/>
                <w:szCs w:val="20"/>
                <w:lang w:val="pt-BR" w:eastAsia="it-IT"/>
              </w:rPr>
              <w:br/>
              <w:t>2º Secretário</w:t>
            </w:r>
          </w:p>
        </w:tc>
        <w:tc>
          <w:tcPr>
            <w:tcW w:w="2500" w:type="pct"/>
            <w:vAlign w:val="center"/>
            <w:hideMark/>
          </w:tcPr>
          <w:p w:rsidR="00FC0D0F" w:rsidRPr="00FC0D0F" w:rsidRDefault="00FC0D0F" w:rsidP="00FC0D0F">
            <w:pPr>
              <w:spacing w:after="0" w:line="240" w:lineRule="auto"/>
              <w:jc w:val="center"/>
              <w:rPr>
                <w:rFonts w:ascii="Times New Roman" w:eastAsia="Times New Roman" w:hAnsi="Times New Roman" w:cs="Times New Roman"/>
                <w:sz w:val="24"/>
                <w:szCs w:val="24"/>
                <w:lang w:val="pt-BR" w:eastAsia="it-IT"/>
              </w:rPr>
            </w:pPr>
            <w:r w:rsidRPr="00FC0D0F">
              <w:rPr>
                <w:rFonts w:ascii="Arial" w:eastAsia="Times New Roman" w:hAnsi="Arial" w:cs="Arial"/>
                <w:sz w:val="20"/>
                <w:szCs w:val="20"/>
                <w:lang w:val="pt-BR" w:eastAsia="it-IT"/>
              </w:rPr>
              <w:t>Senador MÃO SANTA</w:t>
            </w:r>
            <w:r w:rsidRPr="00FC0D0F">
              <w:rPr>
                <w:rFonts w:ascii="Arial" w:eastAsia="Times New Roman" w:hAnsi="Arial" w:cs="Arial"/>
                <w:sz w:val="20"/>
                <w:szCs w:val="20"/>
                <w:lang w:val="pt-BR" w:eastAsia="it-IT"/>
              </w:rPr>
              <w:br/>
              <w:t>3º Secretário</w:t>
            </w:r>
          </w:p>
        </w:tc>
      </w:tr>
      <w:tr w:rsidR="00FC0D0F" w:rsidRPr="00FC0D0F" w:rsidTr="00FC0D0F">
        <w:trPr>
          <w:trHeight w:val="600"/>
          <w:tblCellSpacing w:w="0" w:type="dxa"/>
          <w:jc w:val="center"/>
        </w:trPr>
        <w:tc>
          <w:tcPr>
            <w:tcW w:w="2500" w:type="pct"/>
            <w:vAlign w:val="center"/>
            <w:hideMark/>
          </w:tcPr>
          <w:p w:rsidR="00FC0D0F" w:rsidRPr="00FC0D0F" w:rsidRDefault="00FC0D0F" w:rsidP="00FC0D0F">
            <w:pPr>
              <w:spacing w:after="0" w:line="240" w:lineRule="auto"/>
              <w:jc w:val="center"/>
              <w:rPr>
                <w:rFonts w:ascii="Times New Roman" w:eastAsia="Times New Roman" w:hAnsi="Times New Roman" w:cs="Times New Roman"/>
                <w:sz w:val="24"/>
                <w:szCs w:val="24"/>
                <w:lang w:val="pt-BR" w:eastAsia="it-IT"/>
              </w:rPr>
            </w:pPr>
            <w:r w:rsidRPr="00FC0D0F">
              <w:rPr>
                <w:rFonts w:ascii="Arial" w:eastAsia="Times New Roman" w:hAnsi="Arial" w:cs="Arial"/>
                <w:sz w:val="20"/>
                <w:szCs w:val="20"/>
                <w:lang w:val="pt-BR" w:eastAsia="it-IT"/>
              </w:rPr>
              <w:lastRenderedPageBreak/>
              <w:t>Deputado </w:t>
            </w:r>
            <w:r w:rsidRPr="00FC0D0F">
              <w:rPr>
                <w:rFonts w:ascii="Arial" w:eastAsia="Times New Roman" w:hAnsi="Arial" w:cs="Arial"/>
                <w:caps/>
                <w:sz w:val="20"/>
                <w:szCs w:val="20"/>
                <w:lang w:val="pt-BR" w:eastAsia="it-IT"/>
              </w:rPr>
              <w:t>ODAIR CUNHA</w:t>
            </w:r>
            <w:r w:rsidRPr="00FC0D0F">
              <w:rPr>
                <w:rFonts w:ascii="Arial" w:eastAsia="Times New Roman" w:hAnsi="Arial" w:cs="Arial"/>
                <w:sz w:val="20"/>
                <w:szCs w:val="20"/>
                <w:lang w:val="pt-BR" w:eastAsia="it-IT"/>
              </w:rPr>
              <w:br/>
              <w:t>3º Secretário</w:t>
            </w:r>
          </w:p>
        </w:tc>
        <w:tc>
          <w:tcPr>
            <w:tcW w:w="2500" w:type="pct"/>
            <w:vAlign w:val="center"/>
            <w:hideMark/>
          </w:tcPr>
          <w:p w:rsidR="00FC0D0F" w:rsidRPr="00FC0D0F" w:rsidRDefault="00FC0D0F" w:rsidP="00FC0D0F">
            <w:pPr>
              <w:spacing w:after="0" w:line="240" w:lineRule="auto"/>
              <w:jc w:val="center"/>
              <w:rPr>
                <w:rFonts w:ascii="Times New Roman" w:eastAsia="Times New Roman" w:hAnsi="Times New Roman" w:cs="Times New Roman"/>
                <w:sz w:val="24"/>
                <w:szCs w:val="24"/>
                <w:lang w:val="pt-BR" w:eastAsia="it-IT"/>
              </w:rPr>
            </w:pPr>
            <w:r w:rsidRPr="00FC0D0F">
              <w:rPr>
                <w:rFonts w:ascii="Arial" w:eastAsia="Times New Roman" w:hAnsi="Arial" w:cs="Arial"/>
                <w:sz w:val="20"/>
                <w:szCs w:val="20"/>
                <w:lang w:val="pt-BR" w:eastAsia="it-IT"/>
              </w:rPr>
              <w:t>Senador PATRÍCIA SABOYA</w:t>
            </w:r>
            <w:r w:rsidRPr="00FC0D0F">
              <w:rPr>
                <w:rFonts w:ascii="Arial" w:eastAsia="Times New Roman" w:hAnsi="Arial" w:cs="Arial"/>
                <w:sz w:val="20"/>
                <w:szCs w:val="20"/>
                <w:lang w:val="pt-BR" w:eastAsia="it-IT"/>
              </w:rPr>
              <w:br/>
              <w:t>no exercício da 4ª Secretária</w:t>
            </w:r>
          </w:p>
        </w:tc>
      </w:tr>
      <w:tr w:rsidR="00FC0D0F" w:rsidRPr="00FC0D0F" w:rsidTr="00FC0D0F">
        <w:trPr>
          <w:trHeight w:val="600"/>
          <w:tblCellSpacing w:w="0" w:type="dxa"/>
          <w:jc w:val="center"/>
        </w:trPr>
        <w:tc>
          <w:tcPr>
            <w:tcW w:w="2500" w:type="pct"/>
            <w:vAlign w:val="center"/>
            <w:hideMark/>
          </w:tcPr>
          <w:p w:rsidR="00FC0D0F" w:rsidRPr="00FC0D0F" w:rsidRDefault="00FC0D0F" w:rsidP="00FC0D0F">
            <w:pPr>
              <w:spacing w:after="0" w:line="240" w:lineRule="auto"/>
              <w:jc w:val="center"/>
              <w:rPr>
                <w:rFonts w:ascii="Times New Roman" w:eastAsia="Times New Roman" w:hAnsi="Times New Roman" w:cs="Times New Roman"/>
                <w:sz w:val="24"/>
                <w:szCs w:val="24"/>
                <w:lang w:val="pt-BR" w:eastAsia="it-IT"/>
              </w:rPr>
            </w:pPr>
            <w:r w:rsidRPr="00FC0D0F">
              <w:rPr>
                <w:rFonts w:ascii="Arial" w:eastAsia="Times New Roman" w:hAnsi="Arial" w:cs="Arial"/>
                <w:sz w:val="20"/>
                <w:szCs w:val="20"/>
                <w:lang w:val="pt-BR" w:eastAsia="it-IT"/>
              </w:rPr>
              <w:t>Deputado NELSON MARQUEZELLI</w:t>
            </w:r>
            <w:r w:rsidRPr="00FC0D0F">
              <w:rPr>
                <w:rFonts w:ascii="Arial" w:eastAsia="Times New Roman" w:hAnsi="Arial" w:cs="Arial"/>
                <w:sz w:val="20"/>
                <w:szCs w:val="20"/>
                <w:lang w:val="pt-BR" w:eastAsia="it-IT"/>
              </w:rPr>
              <w:br/>
              <w:t>4º Secretário</w:t>
            </w:r>
          </w:p>
        </w:tc>
        <w:tc>
          <w:tcPr>
            <w:tcW w:w="2500" w:type="pct"/>
            <w:vAlign w:val="center"/>
            <w:hideMark/>
          </w:tcPr>
          <w:p w:rsidR="00FC0D0F" w:rsidRPr="00FC0D0F" w:rsidRDefault="00FC0D0F" w:rsidP="00FC0D0F">
            <w:pPr>
              <w:spacing w:after="0" w:line="240" w:lineRule="auto"/>
              <w:jc w:val="center"/>
              <w:rPr>
                <w:rFonts w:ascii="Times New Roman" w:eastAsia="Times New Roman" w:hAnsi="Times New Roman" w:cs="Times New Roman"/>
                <w:sz w:val="24"/>
                <w:szCs w:val="24"/>
                <w:lang w:val="pt-BR" w:eastAsia="it-IT"/>
              </w:rPr>
            </w:pPr>
            <w:r w:rsidRPr="00FC0D0F">
              <w:rPr>
                <w:rFonts w:ascii="Times New Roman" w:eastAsia="Times New Roman" w:hAnsi="Times New Roman" w:cs="Times New Roman"/>
                <w:sz w:val="24"/>
                <w:szCs w:val="24"/>
                <w:lang w:val="pt-BR" w:eastAsia="it-IT"/>
              </w:rPr>
              <w:t> </w:t>
            </w:r>
          </w:p>
        </w:tc>
      </w:tr>
    </w:tbl>
    <w:p w:rsidR="00FC0D0F" w:rsidRPr="00FC0D0F" w:rsidRDefault="00FC0D0F" w:rsidP="00FC0D0F">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FC0D0F">
        <w:rPr>
          <w:rFonts w:ascii="Arial" w:eastAsia="Times New Roman" w:hAnsi="Arial" w:cs="Arial"/>
          <w:color w:val="FF0000"/>
          <w:sz w:val="24"/>
          <w:szCs w:val="24"/>
          <w:lang w:val="pt-BR" w:eastAsia="it-IT"/>
        </w:rPr>
        <w:t>Este texto não substitui o publicado no DOU 10.12.2009</w:t>
      </w:r>
    </w:p>
    <w:p w:rsidR="00FC0D0F" w:rsidRPr="00FC0D0F" w:rsidRDefault="00FC0D0F" w:rsidP="00FC0D0F">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FC0D0F">
        <w:rPr>
          <w:rFonts w:ascii="Arial" w:eastAsia="Times New Roman" w:hAnsi="Arial" w:cs="Arial"/>
          <w:color w:val="FF0000"/>
          <w:sz w:val="24"/>
          <w:szCs w:val="24"/>
          <w:lang w:eastAsia="it-IT"/>
        </w:rPr>
        <w:t>*</w:t>
      </w:r>
    </w:p>
    <w:p w:rsidR="00FC0D0F" w:rsidRPr="00FC0D0F" w:rsidRDefault="00FC0D0F" w:rsidP="00FC0D0F">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FC0D0F">
        <w:rPr>
          <w:rFonts w:ascii="Times New Roman" w:eastAsia="Times New Roman" w:hAnsi="Times New Roman" w:cs="Times New Roman"/>
          <w:color w:val="000000"/>
          <w:sz w:val="27"/>
          <w:szCs w:val="27"/>
          <w:lang w:eastAsia="it-IT"/>
        </w:rPr>
        <w:t> </w:t>
      </w:r>
    </w:p>
    <w:p w:rsidR="00FC0D0F" w:rsidRPr="00FC0D0F" w:rsidRDefault="00FC0D0F" w:rsidP="00FC0D0F">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FC0D0F">
        <w:rPr>
          <w:rFonts w:ascii="Times New Roman" w:eastAsia="Times New Roman" w:hAnsi="Times New Roman" w:cs="Times New Roman"/>
          <w:color w:val="000000"/>
          <w:sz w:val="27"/>
          <w:szCs w:val="27"/>
          <w:lang w:eastAsia="it-IT"/>
        </w:rPr>
        <w:t> </w:t>
      </w:r>
    </w:p>
    <w:p w:rsidR="00FC0D0F" w:rsidRPr="00FC0D0F" w:rsidRDefault="00FC0D0F" w:rsidP="00FC0D0F">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FC0D0F">
        <w:rPr>
          <w:rFonts w:ascii="Times New Roman" w:eastAsia="Times New Roman" w:hAnsi="Times New Roman" w:cs="Times New Roman"/>
          <w:color w:val="000000"/>
          <w:sz w:val="27"/>
          <w:szCs w:val="27"/>
          <w:lang w:eastAsia="it-IT"/>
        </w:rPr>
        <w:t> </w:t>
      </w:r>
    </w:p>
    <w:p w:rsidR="00FC0D0F" w:rsidRPr="00FC0D0F" w:rsidRDefault="00FC0D0F" w:rsidP="00FC0D0F">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FC0D0F">
        <w:rPr>
          <w:rFonts w:ascii="Times New Roman" w:eastAsia="Times New Roman" w:hAnsi="Times New Roman" w:cs="Times New Roman"/>
          <w:color w:val="000000"/>
          <w:sz w:val="27"/>
          <w:szCs w:val="27"/>
          <w:lang w:eastAsia="it-IT"/>
        </w:rPr>
        <w:t> </w:t>
      </w:r>
    </w:p>
    <w:p w:rsidR="00FC0D0F" w:rsidRPr="00FC0D0F" w:rsidRDefault="00FC0D0F" w:rsidP="00FC0D0F">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FC0D0F">
        <w:rPr>
          <w:rFonts w:ascii="Times New Roman" w:eastAsia="Times New Roman" w:hAnsi="Times New Roman" w:cs="Times New Roman"/>
          <w:color w:val="000000"/>
          <w:sz w:val="27"/>
          <w:szCs w:val="27"/>
          <w:lang w:eastAsia="it-IT"/>
        </w:rPr>
        <w:t> </w:t>
      </w:r>
    </w:p>
    <w:p w:rsidR="00B33C40" w:rsidRPr="00FC0D0F" w:rsidRDefault="00B33C40">
      <w:pPr>
        <w:rPr>
          <w:lang w:val="pt-BR"/>
        </w:rPr>
      </w:pPr>
      <w:bookmarkStart w:id="7" w:name="_GoBack"/>
      <w:bookmarkEnd w:id="7"/>
    </w:p>
    <w:sectPr w:rsidR="00B33C40" w:rsidRPr="00FC0D0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3"/>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D0F"/>
    <w:rsid w:val="00B33C40"/>
    <w:rsid w:val="00FC0D0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58845"/>
  <w15:chartTrackingRefBased/>
  <w15:docId w15:val="{D5E46E40-B3E1-47F2-8AFB-7A90FA1D9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FC0D0F"/>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Forte">
    <w:name w:val="Strong"/>
    <w:basedOn w:val="Fontepargpadro"/>
    <w:uiPriority w:val="22"/>
    <w:qFormat/>
    <w:rsid w:val="00FC0D0F"/>
    <w:rPr>
      <w:b/>
      <w:bCs/>
    </w:rPr>
  </w:style>
  <w:style w:type="character" w:styleId="Hyperlink">
    <w:name w:val="Hyperlink"/>
    <w:basedOn w:val="Fontepargpadro"/>
    <w:uiPriority w:val="99"/>
    <w:semiHidden/>
    <w:unhideWhenUsed/>
    <w:rsid w:val="00FC0D0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8020889">
      <w:bodyDiv w:val="1"/>
      <w:marLeft w:val="0"/>
      <w:marRight w:val="0"/>
      <w:marTop w:val="0"/>
      <w:marBottom w:val="0"/>
      <w:divBdr>
        <w:top w:val="none" w:sz="0" w:space="0" w:color="auto"/>
        <w:left w:val="none" w:sz="0" w:space="0" w:color="auto"/>
        <w:bottom w:val="none" w:sz="0" w:space="0" w:color="auto"/>
        <w:right w:val="none" w:sz="0" w:space="0" w:color="auto"/>
      </w:divBdr>
      <w:divsChild>
        <w:div w:id="8319926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37371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60295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11986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056149574">
      <w:bodyDiv w:val="1"/>
      <w:marLeft w:val="0"/>
      <w:marRight w:val="0"/>
      <w:marTop w:val="0"/>
      <w:marBottom w:val="0"/>
      <w:divBdr>
        <w:top w:val="none" w:sz="0" w:space="0" w:color="auto"/>
        <w:left w:val="none" w:sz="0" w:space="0" w:color="auto"/>
        <w:bottom w:val="none" w:sz="0" w:space="0" w:color="auto"/>
        <w:right w:val="none" w:sz="0" w:space="0" w:color="auto"/>
      </w:divBdr>
      <w:divsChild>
        <w:div w:id="5229847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068752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986818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30601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Constituicao/Constituicao.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planalto.gov.br/ccivil_03/Constituicao/Constituicao.htm" TargetMode="External"/><Relationship Id="rId12" Type="http://schemas.openxmlformats.org/officeDocument/2006/relationships/hyperlink" Target="http://www.planalto.gov.br/ccivil_03/Constituicao/Constituicao.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lanalto.gov.br/ccivil_03/Constituicao/Constituicao.htm" TargetMode="External"/><Relationship Id="rId11" Type="http://schemas.openxmlformats.org/officeDocument/2006/relationships/hyperlink" Target="http://www.planalto.gov.br/ccivil_03/Constituicao/Constituicao.htm" TargetMode="External"/><Relationship Id="rId5" Type="http://schemas.openxmlformats.org/officeDocument/2006/relationships/hyperlink" Target="http://legislacao.planalto.gov.br/legisla/legislacao.nsf/Viw_Identificacao/emc%2062-2009?OpenDocument" TargetMode="External"/><Relationship Id="rId10" Type="http://schemas.openxmlformats.org/officeDocument/2006/relationships/hyperlink" Target="http://www.planalto.gov.br/ccivil_03/Constituicao/Constituicao.htm" TargetMode="External"/><Relationship Id="rId4" Type="http://schemas.openxmlformats.org/officeDocument/2006/relationships/image" Target="media/image1.gif"/><Relationship Id="rId9" Type="http://schemas.openxmlformats.org/officeDocument/2006/relationships/hyperlink" Target="http://www.planalto.gov.br/ccivil_03/Constituicao/Constituicao.htm" TargetMode="Externa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2990</Words>
  <Characters>17046</Characters>
  <Application>Microsoft Office Word</Application>
  <DocSecurity>0</DocSecurity>
  <Lines>142</Lines>
  <Paragraphs>39</Paragraphs>
  <ScaleCrop>false</ScaleCrop>
  <Company/>
  <LinksUpToDate>false</LinksUpToDate>
  <CharactersWithSpaces>19997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2</cp:revision>
  <dcterms:created xsi:type="dcterms:W3CDTF">2022-08-14T18:07:00Z</dcterms:created>
  <dcterms:modified xsi:type="dcterms:W3CDTF">2022-08-14T18:10:00Z</dcterms:modified>
</cp:coreProperties>
</file>