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164090" w:rsidRPr="00164090" w:rsidTr="00164090">
        <w:trPr>
          <w:tblCellSpacing w:w="0" w:type="dxa"/>
          <w:jc w:val="center"/>
        </w:trPr>
        <w:tc>
          <w:tcPr>
            <w:tcW w:w="700" w:type="pct"/>
            <w:vAlign w:val="center"/>
            <w:hideMark/>
          </w:tcPr>
          <w:p w:rsidR="00164090" w:rsidRPr="00164090" w:rsidRDefault="00164090" w:rsidP="00164090">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164090">
              <w:rPr>
                <w:rFonts w:ascii="Times New Roman" w:eastAsia="Times New Roman" w:hAnsi="Times New Roman" w:cs="Times New Roman"/>
                <w:noProof/>
                <w:sz w:val="24"/>
                <w:szCs w:val="24"/>
                <w:lang w:eastAsia="it-IT"/>
              </w:rPr>
              <w:drawing>
                <wp:inline distT="0" distB="0" distL="0" distR="0">
                  <wp:extent cx="706755" cy="779145"/>
                  <wp:effectExtent l="0" t="0" r="0" b="1905"/>
                  <wp:docPr id="1" name="Imagem 1" descr="Brastra.gif (437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tra.gif (4376 by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06755" cy="779145"/>
                          </a:xfrm>
                          <a:prstGeom prst="rect">
                            <a:avLst/>
                          </a:prstGeom>
                          <a:noFill/>
                          <a:ln>
                            <a:noFill/>
                          </a:ln>
                        </pic:spPr>
                      </pic:pic>
                    </a:graphicData>
                  </a:graphic>
                </wp:inline>
              </w:drawing>
            </w:r>
          </w:p>
        </w:tc>
        <w:tc>
          <w:tcPr>
            <w:tcW w:w="4300" w:type="pct"/>
            <w:vAlign w:val="center"/>
            <w:hideMark/>
          </w:tcPr>
          <w:p w:rsidR="00164090" w:rsidRPr="00164090" w:rsidRDefault="00164090" w:rsidP="00164090">
            <w:pPr>
              <w:spacing w:before="100" w:beforeAutospacing="1" w:after="100" w:afterAutospacing="1" w:line="240" w:lineRule="auto"/>
              <w:jc w:val="center"/>
              <w:rPr>
                <w:rFonts w:ascii="Times New Roman" w:eastAsia="Times New Roman" w:hAnsi="Times New Roman" w:cs="Times New Roman"/>
                <w:sz w:val="24"/>
                <w:szCs w:val="24"/>
                <w:lang w:val="pt-BR" w:eastAsia="it-IT"/>
              </w:rPr>
            </w:pPr>
            <w:r w:rsidRPr="00164090">
              <w:rPr>
                <w:rFonts w:ascii="Arial" w:eastAsia="Times New Roman" w:hAnsi="Arial" w:cs="Arial"/>
                <w:b/>
                <w:bCs/>
                <w:color w:val="808000"/>
                <w:sz w:val="36"/>
                <w:szCs w:val="36"/>
                <w:lang w:val="pt-BR" w:eastAsia="it-IT"/>
              </w:rPr>
              <w:t>Presidência da República</w:t>
            </w:r>
            <w:r w:rsidRPr="00164090">
              <w:rPr>
                <w:rFonts w:ascii="Arial" w:eastAsia="Times New Roman" w:hAnsi="Arial" w:cs="Arial"/>
                <w:b/>
                <w:bCs/>
                <w:color w:val="808000"/>
                <w:sz w:val="24"/>
                <w:szCs w:val="24"/>
                <w:lang w:val="pt-BR" w:eastAsia="it-IT"/>
              </w:rPr>
              <w:br/>
            </w:r>
            <w:r w:rsidRPr="00164090">
              <w:rPr>
                <w:rFonts w:ascii="Arial" w:eastAsia="Times New Roman" w:hAnsi="Arial" w:cs="Arial"/>
                <w:b/>
                <w:bCs/>
                <w:color w:val="808000"/>
                <w:sz w:val="27"/>
                <w:szCs w:val="27"/>
                <w:lang w:val="pt-BR" w:eastAsia="it-IT"/>
              </w:rPr>
              <w:t>Casa Civil</w:t>
            </w:r>
            <w:r w:rsidRPr="00164090">
              <w:rPr>
                <w:rFonts w:ascii="Arial" w:eastAsia="Times New Roman" w:hAnsi="Arial" w:cs="Arial"/>
                <w:b/>
                <w:bCs/>
                <w:color w:val="808000"/>
                <w:sz w:val="27"/>
                <w:szCs w:val="27"/>
                <w:lang w:val="pt-BR" w:eastAsia="it-IT"/>
              </w:rPr>
              <w:br/>
            </w:r>
            <w:r w:rsidRPr="00164090">
              <w:rPr>
                <w:rFonts w:ascii="Arial" w:eastAsia="Times New Roman" w:hAnsi="Arial" w:cs="Arial"/>
                <w:b/>
                <w:bCs/>
                <w:color w:val="808000"/>
                <w:sz w:val="24"/>
                <w:szCs w:val="24"/>
                <w:lang w:val="pt-BR" w:eastAsia="it-IT"/>
              </w:rPr>
              <w:t>Subchefia para Assuntos Jurídicos</w:t>
            </w:r>
          </w:p>
        </w:tc>
      </w:tr>
    </w:tbl>
    <w:p w:rsidR="00164090" w:rsidRPr="00164090" w:rsidRDefault="00164090" w:rsidP="00164090">
      <w:pPr>
        <w:spacing w:before="100" w:beforeAutospacing="1" w:after="100" w:afterAutospacing="1" w:line="240" w:lineRule="auto"/>
        <w:jc w:val="center"/>
        <w:rPr>
          <w:rFonts w:ascii="Times New Roman" w:eastAsia="Times New Roman" w:hAnsi="Times New Roman" w:cs="Times New Roman"/>
          <w:color w:val="000000"/>
          <w:sz w:val="27"/>
          <w:szCs w:val="27"/>
          <w:lang w:val="pt-BR" w:eastAsia="it-IT"/>
        </w:rPr>
      </w:pPr>
      <w:hyperlink r:id="rId5" w:history="1">
        <w:r w:rsidRPr="00164090">
          <w:rPr>
            <w:rFonts w:ascii="Arial" w:eastAsia="Times New Roman" w:hAnsi="Arial" w:cs="Arial"/>
            <w:b/>
            <w:bCs/>
            <w:color w:val="000080"/>
            <w:sz w:val="20"/>
            <w:szCs w:val="20"/>
            <w:lang w:val="pt-BR" w:eastAsia="it-IT"/>
          </w:rPr>
          <w:t>EMENDA CONSTITUCIONAL Nº 37, DE 12 DE JUNHO DE 2002</w:t>
        </w:r>
      </w:hyperlink>
    </w:p>
    <w:tbl>
      <w:tblPr>
        <w:tblW w:w="5000" w:type="pct"/>
        <w:tblCellSpacing w:w="0" w:type="dxa"/>
        <w:tblCellMar>
          <w:left w:w="0" w:type="dxa"/>
          <w:right w:w="0" w:type="dxa"/>
        </w:tblCellMar>
        <w:tblLook w:val="04A0" w:firstRow="1" w:lastRow="0" w:firstColumn="1" w:lastColumn="0" w:noHBand="0" w:noVBand="1"/>
      </w:tblPr>
      <w:tblGrid>
        <w:gridCol w:w="4507"/>
        <w:gridCol w:w="3997"/>
      </w:tblGrid>
      <w:tr w:rsidR="00164090" w:rsidRPr="00164090" w:rsidTr="00164090">
        <w:trPr>
          <w:tblCellSpacing w:w="0" w:type="dxa"/>
        </w:trPr>
        <w:tc>
          <w:tcPr>
            <w:tcW w:w="2650" w:type="pct"/>
            <w:vAlign w:val="center"/>
            <w:hideMark/>
          </w:tcPr>
          <w:p w:rsidR="00164090" w:rsidRPr="00164090" w:rsidRDefault="00164090" w:rsidP="00164090">
            <w:pPr>
              <w:spacing w:after="0" w:line="240" w:lineRule="auto"/>
              <w:rPr>
                <w:rFonts w:ascii="Times New Roman" w:eastAsia="Times New Roman" w:hAnsi="Times New Roman" w:cs="Times New Roman"/>
                <w:color w:val="000000"/>
                <w:sz w:val="27"/>
                <w:szCs w:val="27"/>
                <w:lang w:val="pt-BR" w:eastAsia="it-IT"/>
              </w:rPr>
            </w:pPr>
          </w:p>
        </w:tc>
        <w:tc>
          <w:tcPr>
            <w:tcW w:w="2350" w:type="pct"/>
            <w:vAlign w:val="center"/>
            <w:hideMark/>
          </w:tcPr>
          <w:p w:rsidR="00164090" w:rsidRPr="00164090" w:rsidRDefault="00164090" w:rsidP="00164090">
            <w:pPr>
              <w:spacing w:before="100" w:beforeAutospacing="1" w:after="100" w:afterAutospacing="1" w:line="240" w:lineRule="auto"/>
              <w:rPr>
                <w:rFonts w:ascii="Times New Roman" w:eastAsia="Times New Roman" w:hAnsi="Times New Roman" w:cs="Times New Roman"/>
                <w:sz w:val="24"/>
                <w:szCs w:val="24"/>
                <w:lang w:eastAsia="it-IT"/>
              </w:rPr>
            </w:pPr>
            <w:r w:rsidRPr="00164090">
              <w:rPr>
                <w:rFonts w:ascii="Arial" w:eastAsia="Times New Roman" w:hAnsi="Arial" w:cs="Arial"/>
                <w:color w:val="800000"/>
                <w:sz w:val="20"/>
                <w:szCs w:val="20"/>
                <w:lang w:val="pt-BR" w:eastAsia="it-IT"/>
              </w:rPr>
              <w:t xml:space="preserve">Altera os arts. 100 e 156 da Constituição Federal e acrescenta os arts. </w:t>
            </w:r>
            <w:r w:rsidRPr="00164090">
              <w:rPr>
                <w:rFonts w:ascii="Arial" w:eastAsia="Times New Roman" w:hAnsi="Arial" w:cs="Arial"/>
                <w:color w:val="800000"/>
                <w:sz w:val="20"/>
                <w:szCs w:val="20"/>
                <w:lang w:eastAsia="it-IT"/>
              </w:rPr>
              <w:t>84, 85, 86, 87 e 88 ao Ato das Disposições Constitucionais Transitórias.</w:t>
            </w:r>
          </w:p>
        </w:tc>
      </w:tr>
    </w:tbl>
    <w:p w:rsidR="00164090" w:rsidRPr="00164090" w:rsidRDefault="00164090" w:rsidP="00164090">
      <w:pPr>
        <w:spacing w:before="100" w:beforeAutospacing="1" w:after="100" w:afterAutospacing="1" w:line="450" w:lineRule="atLeast"/>
        <w:ind w:firstLine="525"/>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As Mesas da Câmara dos Deputados e do Senado Federal, nos termos do § 3º do art. 60 da Constituição Federal, promulgam a seguinte Emenda ao texto constitucional:</w:t>
      </w:r>
    </w:p>
    <w:p w:rsidR="00164090" w:rsidRPr="00164090" w:rsidRDefault="00164090" w:rsidP="00164090">
      <w:pPr>
        <w:spacing w:before="100" w:beforeAutospacing="1" w:after="100" w:afterAutospacing="1" w:line="450" w:lineRule="atLeast"/>
        <w:ind w:firstLine="525"/>
        <w:rPr>
          <w:rFonts w:ascii="Times New Roman" w:eastAsia="Times New Roman" w:hAnsi="Times New Roman" w:cs="Times New Roman"/>
          <w:color w:val="000000"/>
          <w:sz w:val="27"/>
          <w:szCs w:val="27"/>
          <w:lang w:val="pt-BR" w:eastAsia="it-IT"/>
        </w:rPr>
      </w:pPr>
      <w:bookmarkStart w:id="0" w:name="art1"/>
      <w:bookmarkEnd w:id="0"/>
      <w:r w:rsidRPr="00164090">
        <w:rPr>
          <w:rFonts w:ascii="Arial" w:eastAsia="Times New Roman" w:hAnsi="Arial" w:cs="Arial"/>
          <w:color w:val="000000"/>
          <w:sz w:val="20"/>
          <w:szCs w:val="20"/>
          <w:lang w:val="pt-BR" w:eastAsia="it-IT"/>
        </w:rPr>
        <w:t>Art. 1º O art. 100 da Constituição Federal passa a vigorar acrescido do seguinte § 4º, renumerando-se os subseqüentes: </w:t>
      </w:r>
    </w:p>
    <w:p w:rsidR="00164090" w:rsidRPr="00164090" w:rsidRDefault="00164090" w:rsidP="00164090">
      <w:pPr>
        <w:spacing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“Art. 100. ..............................................</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hyperlink r:id="rId6" w:anchor="art100%C2%A74" w:history="1">
        <w:r w:rsidRPr="00164090">
          <w:rPr>
            <w:rFonts w:ascii="Arial" w:eastAsia="Times New Roman" w:hAnsi="Arial" w:cs="Arial"/>
            <w:color w:val="0000FF"/>
            <w:sz w:val="20"/>
            <w:szCs w:val="20"/>
            <w:u w:val="single"/>
            <w:lang w:val="pt-BR" w:eastAsia="it-IT"/>
          </w:rPr>
          <w:t>§ 4º</w:t>
        </w:r>
      </w:hyperlink>
      <w:r w:rsidRPr="00164090">
        <w:rPr>
          <w:rFonts w:ascii="Arial" w:eastAsia="Times New Roman" w:hAnsi="Arial" w:cs="Arial"/>
          <w:color w:val="000000"/>
          <w:sz w:val="20"/>
          <w:szCs w:val="20"/>
          <w:lang w:val="pt-BR" w:eastAsia="it-IT"/>
        </w:rPr>
        <w:t> São vedados a expedição de precatório complementar ou suplementar de valor pago, bem como fracionamento, repartição ou quebra do valor da execução, a fim de que seu pagamento não se faça, em parte, na forma estabelecida no § 3º deste artigo e, em parte, mediante expedição de precatório.</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......................................................”(NR)</w:t>
      </w:r>
    </w:p>
    <w:p w:rsidR="00164090" w:rsidRPr="00164090" w:rsidRDefault="00164090" w:rsidP="00164090">
      <w:pPr>
        <w:spacing w:before="100" w:beforeAutospacing="1" w:after="100" w:afterAutospacing="1" w:line="450" w:lineRule="atLeast"/>
        <w:ind w:firstLine="525"/>
        <w:rPr>
          <w:rFonts w:ascii="Times New Roman" w:eastAsia="Times New Roman" w:hAnsi="Times New Roman" w:cs="Times New Roman"/>
          <w:color w:val="000000"/>
          <w:sz w:val="27"/>
          <w:szCs w:val="27"/>
          <w:lang w:val="pt-BR" w:eastAsia="it-IT"/>
        </w:rPr>
      </w:pPr>
      <w:bookmarkStart w:id="1" w:name="art2"/>
      <w:bookmarkEnd w:id="1"/>
      <w:r w:rsidRPr="00164090">
        <w:rPr>
          <w:rFonts w:ascii="Arial" w:eastAsia="Times New Roman" w:hAnsi="Arial" w:cs="Arial"/>
          <w:color w:val="000000"/>
          <w:sz w:val="20"/>
          <w:szCs w:val="20"/>
          <w:lang w:val="pt-BR" w:eastAsia="it-IT"/>
        </w:rPr>
        <w:t>Art. 2º O § 3º do art. 156 da Constituição Federal passa a vigorar com a seguinte redação:</w:t>
      </w:r>
    </w:p>
    <w:p w:rsidR="00164090" w:rsidRPr="00164090" w:rsidRDefault="00164090" w:rsidP="00164090">
      <w:pPr>
        <w:spacing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“Art. 156. ............................................</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hyperlink r:id="rId7" w:anchor="art156%C2%A73" w:history="1">
        <w:r w:rsidRPr="00164090">
          <w:rPr>
            <w:rFonts w:ascii="Arial" w:eastAsia="Times New Roman" w:hAnsi="Arial" w:cs="Arial"/>
            <w:color w:val="0000FF"/>
            <w:sz w:val="20"/>
            <w:szCs w:val="20"/>
            <w:u w:val="single"/>
            <w:lang w:val="pt-BR" w:eastAsia="it-IT"/>
          </w:rPr>
          <w:t>§ 3º</w:t>
        </w:r>
      </w:hyperlink>
      <w:r w:rsidRPr="00164090">
        <w:rPr>
          <w:rFonts w:ascii="Arial" w:eastAsia="Times New Roman" w:hAnsi="Arial" w:cs="Arial"/>
          <w:color w:val="000000"/>
          <w:sz w:val="20"/>
          <w:szCs w:val="20"/>
          <w:lang w:val="pt-BR" w:eastAsia="it-IT"/>
        </w:rPr>
        <w:t> Em relação ao imposto previsto no inciso III do </w:t>
      </w:r>
      <w:r w:rsidRPr="00164090">
        <w:rPr>
          <w:rFonts w:ascii="Arial" w:eastAsia="Times New Roman" w:hAnsi="Arial" w:cs="Arial"/>
          <w:i/>
          <w:iCs/>
          <w:color w:val="000000"/>
          <w:sz w:val="20"/>
          <w:szCs w:val="20"/>
          <w:lang w:val="pt-BR" w:eastAsia="it-IT"/>
        </w:rPr>
        <w:t>caput</w:t>
      </w:r>
      <w:r w:rsidRPr="00164090">
        <w:rPr>
          <w:rFonts w:ascii="Arial" w:eastAsia="Times New Roman" w:hAnsi="Arial" w:cs="Arial"/>
          <w:color w:val="000000"/>
          <w:sz w:val="20"/>
          <w:szCs w:val="20"/>
          <w:lang w:val="pt-BR" w:eastAsia="it-IT"/>
        </w:rPr>
        <w:t> deste artigo, cabe à lei complementar:</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 - fixar as suas alíquotas máximas e mínimas;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III – regular a forma e as condições como isenções, incentivos e benefícios fiscais serão concedidos e revogados.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.....................................................”(NR)</w:t>
      </w:r>
    </w:p>
    <w:p w:rsidR="00164090" w:rsidRPr="00164090" w:rsidRDefault="00164090" w:rsidP="00164090">
      <w:pPr>
        <w:spacing w:before="100" w:beforeAutospacing="1" w:after="100" w:afterAutospacing="1" w:line="450" w:lineRule="atLeast"/>
        <w:ind w:firstLine="525"/>
        <w:rPr>
          <w:rFonts w:ascii="Times New Roman" w:eastAsia="Times New Roman" w:hAnsi="Times New Roman" w:cs="Times New Roman"/>
          <w:color w:val="000000"/>
          <w:sz w:val="27"/>
          <w:szCs w:val="27"/>
          <w:lang w:val="pt-BR" w:eastAsia="it-IT"/>
        </w:rPr>
      </w:pPr>
      <w:bookmarkStart w:id="2" w:name="art3"/>
      <w:bookmarkEnd w:id="2"/>
      <w:r w:rsidRPr="00164090">
        <w:rPr>
          <w:rFonts w:ascii="Arial" w:eastAsia="Times New Roman" w:hAnsi="Arial" w:cs="Arial"/>
          <w:color w:val="000000"/>
          <w:sz w:val="20"/>
          <w:szCs w:val="20"/>
          <w:lang w:val="pt-BR" w:eastAsia="it-IT"/>
        </w:rPr>
        <w:t>Art. 3º O Ato das Disposições Constitucionais Transitórias passa a vigorar acrescido dos seguintes arts. 84, 85, 86, 87 e 88:</w:t>
      </w:r>
    </w:p>
    <w:p w:rsidR="00164090" w:rsidRPr="00164090" w:rsidRDefault="00164090" w:rsidP="00164090">
      <w:pPr>
        <w:spacing w:beforeAutospacing="1" w:after="100" w:afterAutospacing="1" w:line="240" w:lineRule="auto"/>
        <w:rPr>
          <w:rFonts w:ascii="Times New Roman" w:eastAsia="Times New Roman" w:hAnsi="Times New Roman" w:cs="Times New Roman"/>
          <w:color w:val="000000"/>
          <w:sz w:val="27"/>
          <w:szCs w:val="27"/>
          <w:lang w:val="pt-BR" w:eastAsia="it-IT"/>
        </w:rPr>
      </w:pPr>
      <w:hyperlink r:id="rId8" w:anchor="adctart84" w:history="1">
        <w:r w:rsidRPr="00164090">
          <w:rPr>
            <w:rFonts w:ascii="Arial" w:eastAsia="Times New Roman" w:hAnsi="Arial" w:cs="Arial"/>
            <w:color w:val="0000FF"/>
            <w:sz w:val="20"/>
            <w:szCs w:val="20"/>
            <w:u w:val="single"/>
            <w:lang w:val="pt-BR" w:eastAsia="it-IT"/>
          </w:rPr>
          <w:t>“Art. 84.</w:t>
        </w:r>
      </w:hyperlink>
      <w:r w:rsidRPr="00164090">
        <w:rPr>
          <w:rFonts w:ascii="Arial" w:eastAsia="Times New Roman" w:hAnsi="Arial" w:cs="Arial"/>
          <w:color w:val="000000"/>
          <w:sz w:val="20"/>
          <w:szCs w:val="20"/>
          <w:lang w:val="pt-BR" w:eastAsia="it-IT"/>
        </w:rPr>
        <w:t> A contribuição provisória sobre movimentação ou transmissão de valores e de créditos e direitos de natureza   financeira, prevista nos arts. 74, 75 e 80, I, deste Ato das Disposições Constitucionais Transitórias, será cobrada até 31 de dezembro de 2004.</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 1º Fica  prorrogada,  até  a  data  referida no </w:t>
      </w:r>
      <w:r w:rsidRPr="00164090">
        <w:rPr>
          <w:rFonts w:ascii="Arial" w:eastAsia="Times New Roman" w:hAnsi="Arial" w:cs="Arial"/>
          <w:i/>
          <w:iCs/>
          <w:color w:val="000000"/>
          <w:sz w:val="20"/>
          <w:szCs w:val="20"/>
          <w:lang w:val="pt-BR" w:eastAsia="it-IT"/>
        </w:rPr>
        <w:t>caput</w:t>
      </w:r>
      <w:r w:rsidRPr="00164090">
        <w:rPr>
          <w:rFonts w:ascii="Arial" w:eastAsia="Times New Roman" w:hAnsi="Arial" w:cs="Arial"/>
          <w:color w:val="000000"/>
          <w:sz w:val="20"/>
          <w:szCs w:val="20"/>
          <w:lang w:val="pt-BR" w:eastAsia="it-IT"/>
        </w:rPr>
        <w:t> deste artigo, a vigência da Lei nº 9.311, de 24 de outubro de 1996, e suas alterações.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 2º Do produto da arrecadação da contribuição social de que trata este artigo será destinada a parcela correspondente à alíquota de:</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 - vinte centésimos por cento ao Fundo Nacional de Saúde, para financiamento das ações e serviços de saúde;</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II - dez centésimos por cento ao custeio da previdência social;</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III - oito centésimos por cento ao Fundo de Combate e Erradicação da Pobreza, de que tratam os arts. 80 e 81 deste Ato das Disposições Constitucionais Transitórias.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 3º A alíquota  da  contribuição  de  que trata este artigo será de:</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 - trinta e oito centésimos por cento, nos exercícios financeiros de 2002 e 2003;</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II - oito centésimos por cento, no exercício financeiro de 2004, quando será integralmente destinada ao Fundo de Combate e Erradicação da Pobreza, de que tratam os arts. 80 e 81 deste Ato das Disposições Constitucionais Transitórias.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hyperlink r:id="rId9" w:anchor="adctart85" w:history="1">
        <w:r w:rsidRPr="00164090">
          <w:rPr>
            <w:rFonts w:ascii="Arial" w:eastAsia="Times New Roman" w:hAnsi="Arial" w:cs="Arial"/>
            <w:color w:val="0000FF"/>
            <w:sz w:val="20"/>
            <w:szCs w:val="20"/>
            <w:u w:val="single"/>
            <w:lang w:val="pt-BR" w:eastAsia="it-IT"/>
          </w:rPr>
          <w:t>Art. 85. </w:t>
        </w:r>
      </w:hyperlink>
      <w:r w:rsidRPr="00164090">
        <w:rPr>
          <w:rFonts w:ascii="Arial" w:eastAsia="Times New Roman" w:hAnsi="Arial" w:cs="Arial"/>
          <w:color w:val="000000"/>
          <w:sz w:val="20"/>
          <w:szCs w:val="20"/>
          <w:lang w:val="pt-BR" w:eastAsia="it-IT"/>
        </w:rPr>
        <w:t>A contribuição a que se refere o art. 84 deste Ato das Disposições Constitucionais Transitórias não incidirá, a partir do trigésimo dia da data de publicação desta Emenda Constitucional, nos lançamentos: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 - em contas correntes de depósito especialmente abertas e exclusivamente utilizadas para operações de:</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a) câmaras e prestadoras de serviços de compensação e de liquidação de que trata o parágrafo único do art. 2º da Lei nº 10.214, de 27 de março de 2001;</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b) companhias  securitizadoras  de   que   trata  a Lei nº 9.514, de 20 de novembro de 1997;</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c) sociedades anônimas que tenham por objeto exclusivo a aquisição de créditos oriundos de operações praticadas no mercado financeiro;</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II - em contas correntes de depósito, relativos a:</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a) operações de compra e venda de ações, realizadas em recintos ou sistemas de negociação de bolsas de valores e no mercado de balcão organizado;</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b) contratos referenciados em ações ou índices de ações, em suas diversas modalidades, negociados em bolsas de valores, de mercadorias e de futuros;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III - em contas de investidores estrangeiros, relativos a entradas no País e a remessas para o exterior de recursos financeiros empregados, exclusivamente, em operações e contratos referidos no inciso II deste artigo.</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 1º O  Poder  Executivo  disciplinará o disposto neste artigo no prazo de trinta dias da data de publicação desta Emenda Constitucional.</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lastRenderedPageBreak/>
        <w:t>§ 2º O disposto  no  inciso I deste artigo aplica-se somente às operações relacionadas em ato do Poder Executivo, dentre aquelas que constituam o objeto social das referidas entidades.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 3º O disposto no inciso II  deste  artigo aplica-se somente a operações e contratos efetuados por intermédio de instituições financeiras, sociedades corretoras de títulos e valores mobiliários, sociedades distribuidoras de títulos e valores mobiliários e sociedades corretoras de mercadorias.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hyperlink r:id="rId10" w:anchor="adctart86" w:history="1">
        <w:r w:rsidRPr="00164090">
          <w:rPr>
            <w:rFonts w:ascii="Arial" w:eastAsia="Times New Roman" w:hAnsi="Arial" w:cs="Arial"/>
            <w:color w:val="0000FF"/>
            <w:sz w:val="20"/>
            <w:szCs w:val="20"/>
            <w:u w:val="single"/>
            <w:lang w:val="pt-BR" w:eastAsia="it-IT"/>
          </w:rPr>
          <w:t>Art. 86.</w:t>
        </w:r>
      </w:hyperlink>
      <w:r w:rsidRPr="00164090">
        <w:rPr>
          <w:rFonts w:ascii="Arial" w:eastAsia="Times New Roman" w:hAnsi="Arial" w:cs="Arial"/>
          <w:color w:val="000000"/>
          <w:sz w:val="20"/>
          <w:szCs w:val="20"/>
          <w:lang w:val="pt-BR" w:eastAsia="it-IT"/>
        </w:rPr>
        <w:t> Serão pagos conforme disposto no art. 100 da Constituição Federal, não se lhes aplicando a regra de parcelamento estabelecida no </w:t>
      </w:r>
      <w:r w:rsidRPr="00164090">
        <w:rPr>
          <w:rFonts w:ascii="Arial" w:eastAsia="Times New Roman" w:hAnsi="Arial" w:cs="Arial"/>
          <w:i/>
          <w:iCs/>
          <w:color w:val="000000"/>
          <w:sz w:val="20"/>
          <w:szCs w:val="20"/>
          <w:lang w:val="pt-BR" w:eastAsia="it-IT"/>
        </w:rPr>
        <w:t>caput</w:t>
      </w:r>
      <w:r w:rsidRPr="00164090">
        <w:rPr>
          <w:rFonts w:ascii="Arial" w:eastAsia="Times New Roman" w:hAnsi="Arial" w:cs="Arial"/>
          <w:color w:val="000000"/>
          <w:sz w:val="20"/>
          <w:szCs w:val="20"/>
          <w:lang w:val="pt-BR" w:eastAsia="it-IT"/>
        </w:rPr>
        <w:t> do art. 78 deste Ato das Disposições Constitucionais Transitórias, os débitos da Fazenda Federal, Estadual, Distrital ou Municipal oriundos de sentenças transitadas em julgado, que preencham, cumulativamente, as seguintes condições: </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 - ter  sido  objeto  de  emissão  de  precatórios judiciários;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II - ter sido definidos como de pequeno valor pela lei de que trata o § 3º do art. 100 da Constituição Federal ou pelo art. 87 deste Ato das Disposições Constitucionais Transitórias;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III - estar, total  ou  parcialmente, pendentes  de pagamento na data da publicação desta Emenda Constitucional.</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 1º Os débitos a que se refere o </w:t>
      </w:r>
      <w:r w:rsidRPr="00164090">
        <w:rPr>
          <w:rFonts w:ascii="Arial" w:eastAsia="Times New Roman" w:hAnsi="Arial" w:cs="Arial"/>
          <w:i/>
          <w:iCs/>
          <w:color w:val="000000"/>
          <w:sz w:val="20"/>
          <w:szCs w:val="20"/>
          <w:lang w:val="pt-BR" w:eastAsia="it-IT"/>
        </w:rPr>
        <w:t>caput</w:t>
      </w:r>
      <w:r w:rsidRPr="00164090">
        <w:rPr>
          <w:rFonts w:ascii="Arial" w:eastAsia="Times New Roman" w:hAnsi="Arial" w:cs="Arial"/>
          <w:color w:val="000000"/>
          <w:sz w:val="20"/>
          <w:szCs w:val="20"/>
          <w:lang w:val="pt-BR" w:eastAsia="it-IT"/>
        </w:rPr>
        <w:t> deste artigo, ou os respectivos saldos, serão pagos na ordem cronológica de apresentação dos respectivos precatórios, com precedência sobre os de maior valor.</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 2º Os débitos a que se refere o </w:t>
      </w:r>
      <w:r w:rsidRPr="00164090">
        <w:rPr>
          <w:rFonts w:ascii="Arial" w:eastAsia="Times New Roman" w:hAnsi="Arial" w:cs="Arial"/>
          <w:i/>
          <w:iCs/>
          <w:color w:val="000000"/>
          <w:sz w:val="20"/>
          <w:szCs w:val="20"/>
          <w:lang w:val="pt-BR" w:eastAsia="it-IT"/>
        </w:rPr>
        <w:t>caput</w:t>
      </w:r>
      <w:r w:rsidRPr="00164090">
        <w:rPr>
          <w:rFonts w:ascii="Arial" w:eastAsia="Times New Roman" w:hAnsi="Arial" w:cs="Arial"/>
          <w:color w:val="000000"/>
          <w:sz w:val="20"/>
          <w:szCs w:val="20"/>
          <w:lang w:val="pt-BR" w:eastAsia="it-IT"/>
        </w:rPr>
        <w:t> deste artigo, se ainda não tiverem sido objeto de pagamento parcial, nos termos do art. 78 deste Ato das Disposições Constitucionais Transitórias, poderão ser pagos em duas parcelas anuais, se assim dispuser a lei. </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 3º Observada a ordem cronológica de sua apresentação, os débitos de natureza alimentícia previstos neste artigo terão precedência para pagamento sobre todos os demais.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hyperlink r:id="rId11" w:anchor="adctart87" w:history="1">
        <w:r w:rsidRPr="00164090">
          <w:rPr>
            <w:rFonts w:ascii="Arial" w:eastAsia="Times New Roman" w:hAnsi="Arial" w:cs="Arial"/>
            <w:color w:val="0000FF"/>
            <w:sz w:val="20"/>
            <w:szCs w:val="20"/>
            <w:u w:val="single"/>
            <w:lang w:val="pt-BR" w:eastAsia="it-IT"/>
          </w:rPr>
          <w:t>Art. 87.</w:t>
        </w:r>
      </w:hyperlink>
      <w:r w:rsidRPr="00164090">
        <w:rPr>
          <w:rFonts w:ascii="Arial" w:eastAsia="Times New Roman" w:hAnsi="Arial" w:cs="Arial"/>
          <w:color w:val="000000"/>
          <w:sz w:val="20"/>
          <w:szCs w:val="20"/>
          <w:lang w:val="pt-BR" w:eastAsia="it-IT"/>
        </w:rPr>
        <w:t> Para efeito do que dispõem o § 3º do art. 100 da Constituição Federal e o art. 78 deste Ato das Disposições Constitucionais Transitórias serão considerados de pequeno valor, até que se dê a publicação oficial das respectivas leis definidoras pelos entes da Federação, observado o disposto no § 4º do art. 100 da Constituição Federal, os débitos ou obrigações consignados em precatório judiciário, que tenham valor igual ou inferior a:</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 - quarenta salários-mínimos, perante a Fazenda dos Estados e do Distrito Federal;</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II - trinta  salários-mínimos,  perante  a  Fazenda dos Municípios.</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Parágrafo único. Se o valor da execução ultrapassar o estabelecido neste artigo, o pagamento far-se-á, sempre, por meio de precatório, sendo facultada à parte exeqüente a renúncia ao crédito do valor excedente, para que possa optar pelo pagamento do saldo sem o precatório, da forma prevista no § 3º do art. 100.</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hyperlink r:id="rId12" w:anchor="adctart88" w:history="1">
        <w:r w:rsidRPr="00164090">
          <w:rPr>
            <w:rFonts w:ascii="Arial" w:eastAsia="Times New Roman" w:hAnsi="Arial" w:cs="Arial"/>
            <w:color w:val="0000FF"/>
            <w:sz w:val="20"/>
            <w:szCs w:val="20"/>
            <w:u w:val="single"/>
            <w:lang w:val="pt-BR" w:eastAsia="it-IT"/>
          </w:rPr>
          <w:t>Art. 88.</w:t>
        </w:r>
      </w:hyperlink>
      <w:r w:rsidRPr="00164090">
        <w:rPr>
          <w:rFonts w:ascii="Arial" w:eastAsia="Times New Roman" w:hAnsi="Arial" w:cs="Arial"/>
          <w:color w:val="000000"/>
          <w:sz w:val="20"/>
          <w:szCs w:val="20"/>
          <w:lang w:val="pt-BR" w:eastAsia="it-IT"/>
        </w:rPr>
        <w:t> Enquanto  lei  complementar  não  disciplinar  o disposto nos incisos I e III do § 3º do art. 156 da Constituição Federal, o imposto a que se refere o inciso III do </w:t>
      </w:r>
      <w:r w:rsidRPr="00164090">
        <w:rPr>
          <w:rFonts w:ascii="Arial" w:eastAsia="Times New Roman" w:hAnsi="Arial" w:cs="Arial"/>
          <w:i/>
          <w:iCs/>
          <w:color w:val="000000"/>
          <w:sz w:val="20"/>
          <w:szCs w:val="20"/>
          <w:lang w:val="pt-BR" w:eastAsia="it-IT"/>
        </w:rPr>
        <w:t>caput</w:t>
      </w:r>
      <w:r w:rsidRPr="00164090">
        <w:rPr>
          <w:rFonts w:ascii="Arial" w:eastAsia="Times New Roman" w:hAnsi="Arial" w:cs="Arial"/>
          <w:color w:val="000000"/>
          <w:sz w:val="20"/>
          <w:szCs w:val="20"/>
          <w:lang w:val="pt-BR" w:eastAsia="it-IT"/>
        </w:rPr>
        <w:t> do mesmo artigo:</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 – terá alíquota mínima de dois por cento, exceto para os serviços a que se referem os itens 32, 33 e 34 da Lista de Serviços anexa ao Decreto-Lei nº 406, de 31 de dezembro de 1968;</w:t>
      </w:r>
    </w:p>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II – não  será  objeto  de  concessão  de  isenções, incentivos e benefícios fiscais, que resulte, direta ou indiretamente, na redução da alíquota mínima estabelecida no inciso I.”</w:t>
      </w:r>
    </w:p>
    <w:p w:rsidR="00164090" w:rsidRPr="00164090" w:rsidRDefault="00164090" w:rsidP="00164090">
      <w:pPr>
        <w:spacing w:before="100" w:beforeAutospacing="1" w:after="100" w:afterAutospacing="1" w:line="240" w:lineRule="auto"/>
        <w:ind w:firstLine="525"/>
        <w:rPr>
          <w:rFonts w:ascii="Times New Roman" w:eastAsia="Times New Roman" w:hAnsi="Times New Roman" w:cs="Times New Roman"/>
          <w:color w:val="000000"/>
          <w:sz w:val="27"/>
          <w:szCs w:val="27"/>
          <w:lang w:val="pt-BR" w:eastAsia="it-IT"/>
        </w:rPr>
      </w:pPr>
      <w:bookmarkStart w:id="3" w:name="art4"/>
      <w:bookmarkEnd w:id="3"/>
      <w:r w:rsidRPr="00164090">
        <w:rPr>
          <w:rFonts w:ascii="Arial" w:eastAsia="Times New Roman" w:hAnsi="Arial" w:cs="Arial"/>
          <w:color w:val="000000"/>
          <w:sz w:val="20"/>
          <w:szCs w:val="20"/>
          <w:lang w:val="pt-BR" w:eastAsia="it-IT"/>
        </w:rPr>
        <w:lastRenderedPageBreak/>
        <w:t>Art. 4º Esta Emenda Constitucional entra em vigor na data de sua publicação.</w:t>
      </w:r>
    </w:p>
    <w:p w:rsidR="00164090" w:rsidRPr="00164090" w:rsidRDefault="00164090" w:rsidP="00164090">
      <w:pPr>
        <w:spacing w:before="100" w:beforeAutospacing="1" w:after="100" w:afterAutospacing="1" w:line="240" w:lineRule="auto"/>
        <w:ind w:firstLine="525"/>
        <w:jc w:val="center"/>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000000"/>
          <w:sz w:val="20"/>
          <w:szCs w:val="20"/>
          <w:lang w:val="pt-BR" w:eastAsia="it-IT"/>
        </w:rPr>
        <w:t>Brasília, em 12 de junho de 2002</w:t>
      </w:r>
    </w:p>
    <w:tbl>
      <w:tblPr>
        <w:tblW w:w="9000" w:type="dxa"/>
        <w:jc w:val="center"/>
        <w:tblCellMar>
          <w:top w:w="150" w:type="dxa"/>
          <w:left w:w="0" w:type="dxa"/>
          <w:bottom w:w="150" w:type="dxa"/>
          <w:right w:w="0" w:type="dxa"/>
        </w:tblCellMar>
        <w:tblLook w:val="04A0" w:firstRow="1" w:lastRow="0" w:firstColumn="1" w:lastColumn="0" w:noHBand="0" w:noVBand="1"/>
      </w:tblPr>
      <w:tblGrid>
        <w:gridCol w:w="4500"/>
        <w:gridCol w:w="4500"/>
      </w:tblGrid>
      <w:tr w:rsidR="00164090" w:rsidRPr="00164090" w:rsidTr="00164090">
        <w:trPr>
          <w:jc w:val="center"/>
        </w:trPr>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val="pt-BR" w:eastAsia="it-IT"/>
              </w:rPr>
            </w:pPr>
            <w:r w:rsidRPr="00164090">
              <w:rPr>
                <w:rFonts w:ascii="Arial" w:eastAsia="Times New Roman" w:hAnsi="Arial" w:cs="Arial"/>
                <w:b/>
                <w:bCs/>
                <w:sz w:val="20"/>
                <w:szCs w:val="20"/>
                <w:lang w:val="pt-BR" w:eastAsia="it-IT"/>
              </w:rPr>
              <w:t>Mesa da Câmara dos Deputados</w:t>
            </w:r>
          </w:p>
        </w:tc>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eastAsia="it-IT"/>
              </w:rPr>
            </w:pPr>
            <w:r w:rsidRPr="00164090">
              <w:rPr>
                <w:rFonts w:ascii="Arial" w:eastAsia="Times New Roman" w:hAnsi="Arial" w:cs="Arial"/>
                <w:b/>
                <w:bCs/>
                <w:sz w:val="20"/>
                <w:szCs w:val="20"/>
                <w:lang w:eastAsia="it-IT"/>
              </w:rPr>
              <w:t>Mesa do Senado Federal</w:t>
            </w:r>
          </w:p>
        </w:tc>
      </w:tr>
      <w:tr w:rsidR="00164090" w:rsidRPr="00164090" w:rsidTr="00164090">
        <w:trPr>
          <w:jc w:val="center"/>
        </w:trPr>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eastAsia="it-IT"/>
              </w:rPr>
            </w:pPr>
            <w:r w:rsidRPr="00164090">
              <w:rPr>
                <w:rFonts w:ascii="Arial" w:eastAsia="Times New Roman" w:hAnsi="Arial" w:cs="Arial"/>
                <w:sz w:val="20"/>
                <w:szCs w:val="20"/>
                <w:lang w:eastAsia="it-IT"/>
              </w:rPr>
              <w:t>Deputado AÉCIO NEVES</w:t>
            </w:r>
            <w:r w:rsidRPr="00164090">
              <w:rPr>
                <w:rFonts w:ascii="Arial" w:eastAsia="Times New Roman" w:hAnsi="Arial" w:cs="Arial"/>
                <w:sz w:val="20"/>
                <w:szCs w:val="20"/>
                <w:lang w:eastAsia="it-IT"/>
              </w:rPr>
              <w:br/>
              <w:t>Presidente</w:t>
            </w:r>
          </w:p>
        </w:tc>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eastAsia="it-IT"/>
              </w:rPr>
            </w:pPr>
            <w:r w:rsidRPr="00164090">
              <w:rPr>
                <w:rFonts w:ascii="Arial" w:eastAsia="Times New Roman" w:hAnsi="Arial" w:cs="Arial"/>
                <w:sz w:val="20"/>
                <w:szCs w:val="20"/>
                <w:lang w:eastAsia="it-IT"/>
              </w:rPr>
              <w:t>Senador RAMEZ TEBET</w:t>
            </w:r>
            <w:r w:rsidRPr="00164090">
              <w:rPr>
                <w:rFonts w:ascii="Arial" w:eastAsia="Times New Roman" w:hAnsi="Arial" w:cs="Arial"/>
                <w:sz w:val="20"/>
                <w:szCs w:val="20"/>
                <w:lang w:eastAsia="it-IT"/>
              </w:rPr>
              <w:br/>
              <w:t>Presidente</w:t>
            </w:r>
          </w:p>
        </w:tc>
      </w:tr>
      <w:tr w:rsidR="00164090" w:rsidRPr="00164090" w:rsidTr="00164090">
        <w:trPr>
          <w:jc w:val="center"/>
        </w:trPr>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val="pt-BR" w:eastAsia="it-IT"/>
              </w:rPr>
            </w:pPr>
            <w:r w:rsidRPr="00164090">
              <w:rPr>
                <w:rFonts w:ascii="Arial" w:eastAsia="Times New Roman" w:hAnsi="Arial" w:cs="Arial"/>
                <w:sz w:val="20"/>
                <w:szCs w:val="20"/>
                <w:lang w:val="pt-BR" w:eastAsia="it-IT"/>
              </w:rPr>
              <w:t>Deputado BARBOSA NETO</w:t>
            </w:r>
            <w:r w:rsidRPr="00164090">
              <w:rPr>
                <w:rFonts w:ascii="Arial" w:eastAsia="Times New Roman" w:hAnsi="Arial" w:cs="Arial"/>
                <w:sz w:val="20"/>
                <w:szCs w:val="20"/>
                <w:lang w:val="pt-BR" w:eastAsia="it-IT"/>
              </w:rPr>
              <w:br/>
              <w:t>2º Vice-Presidente</w:t>
            </w:r>
          </w:p>
        </w:tc>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val="pt-BR" w:eastAsia="it-IT"/>
              </w:rPr>
            </w:pPr>
            <w:r w:rsidRPr="00164090">
              <w:rPr>
                <w:rFonts w:ascii="Arial" w:eastAsia="Times New Roman" w:hAnsi="Arial" w:cs="Arial"/>
                <w:sz w:val="20"/>
                <w:szCs w:val="20"/>
                <w:lang w:val="pt-BR" w:eastAsia="it-IT"/>
              </w:rPr>
              <w:t>Senador EDISON LOBÃO</w:t>
            </w:r>
            <w:r w:rsidRPr="00164090">
              <w:rPr>
                <w:rFonts w:ascii="Arial" w:eastAsia="Times New Roman" w:hAnsi="Arial" w:cs="Arial"/>
                <w:sz w:val="20"/>
                <w:szCs w:val="20"/>
                <w:lang w:val="pt-BR" w:eastAsia="it-IT"/>
              </w:rPr>
              <w:br/>
              <w:t>1º Vice-Presidente</w:t>
            </w:r>
          </w:p>
        </w:tc>
      </w:tr>
      <w:tr w:rsidR="00164090" w:rsidRPr="00164090" w:rsidTr="00164090">
        <w:trPr>
          <w:jc w:val="center"/>
        </w:trPr>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val="pt-BR" w:eastAsia="it-IT"/>
              </w:rPr>
            </w:pPr>
            <w:r w:rsidRPr="00164090">
              <w:rPr>
                <w:rFonts w:ascii="Arial" w:eastAsia="Times New Roman" w:hAnsi="Arial" w:cs="Arial"/>
                <w:sz w:val="20"/>
                <w:szCs w:val="20"/>
                <w:lang w:val="pt-BR" w:eastAsia="it-IT"/>
              </w:rPr>
              <w:t>Deputado NILTON CAPIXABA</w:t>
            </w:r>
            <w:r w:rsidRPr="00164090">
              <w:rPr>
                <w:rFonts w:ascii="Arial" w:eastAsia="Times New Roman" w:hAnsi="Arial" w:cs="Arial"/>
                <w:sz w:val="20"/>
                <w:szCs w:val="20"/>
                <w:lang w:val="pt-BR" w:eastAsia="it-IT"/>
              </w:rPr>
              <w:br/>
              <w:t>2º Secretário</w:t>
            </w:r>
          </w:p>
        </w:tc>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val="pt-BR" w:eastAsia="it-IT"/>
              </w:rPr>
            </w:pPr>
            <w:r w:rsidRPr="00164090">
              <w:rPr>
                <w:rFonts w:ascii="Arial" w:eastAsia="Times New Roman" w:hAnsi="Arial" w:cs="Arial"/>
                <w:sz w:val="20"/>
                <w:szCs w:val="20"/>
                <w:lang w:val="pt-BR" w:eastAsia="it-IT"/>
              </w:rPr>
              <w:t>Senador CARLOS WILSON</w:t>
            </w:r>
            <w:r w:rsidRPr="00164090">
              <w:rPr>
                <w:rFonts w:ascii="Arial" w:eastAsia="Times New Roman" w:hAnsi="Arial" w:cs="Arial"/>
                <w:sz w:val="20"/>
                <w:szCs w:val="20"/>
                <w:lang w:val="pt-BR" w:eastAsia="it-IT"/>
              </w:rPr>
              <w:br/>
              <w:t>1º Secretário</w:t>
            </w:r>
          </w:p>
        </w:tc>
      </w:tr>
      <w:tr w:rsidR="00164090" w:rsidRPr="00164090" w:rsidTr="00164090">
        <w:trPr>
          <w:jc w:val="center"/>
        </w:trPr>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val="pt-BR" w:eastAsia="it-IT"/>
              </w:rPr>
            </w:pPr>
            <w:r w:rsidRPr="00164090">
              <w:rPr>
                <w:rFonts w:ascii="Arial" w:eastAsia="Times New Roman" w:hAnsi="Arial" w:cs="Arial"/>
                <w:sz w:val="20"/>
                <w:szCs w:val="20"/>
                <w:lang w:val="pt-BR" w:eastAsia="it-IT"/>
              </w:rPr>
              <w:t>Deputado PAULO ROCHA</w:t>
            </w:r>
            <w:r w:rsidRPr="00164090">
              <w:rPr>
                <w:rFonts w:ascii="Arial" w:eastAsia="Times New Roman" w:hAnsi="Arial" w:cs="Arial"/>
                <w:sz w:val="20"/>
                <w:szCs w:val="20"/>
                <w:lang w:val="pt-BR" w:eastAsia="it-IT"/>
              </w:rPr>
              <w:br/>
              <w:t>3º Secretário</w:t>
            </w:r>
          </w:p>
        </w:tc>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val="pt-BR" w:eastAsia="it-IT"/>
              </w:rPr>
            </w:pPr>
            <w:r w:rsidRPr="00164090">
              <w:rPr>
                <w:rFonts w:ascii="Arial" w:eastAsia="Times New Roman" w:hAnsi="Arial" w:cs="Arial"/>
                <w:sz w:val="20"/>
                <w:szCs w:val="20"/>
                <w:lang w:val="pt-BR" w:eastAsia="it-IT"/>
              </w:rPr>
              <w:t>Senador ANTERO PAES DE BARROS</w:t>
            </w:r>
            <w:r w:rsidRPr="00164090">
              <w:rPr>
                <w:rFonts w:ascii="Arial" w:eastAsia="Times New Roman" w:hAnsi="Arial" w:cs="Arial"/>
                <w:sz w:val="20"/>
                <w:szCs w:val="20"/>
                <w:lang w:val="pt-BR" w:eastAsia="it-IT"/>
              </w:rPr>
              <w:br/>
              <w:t>2º Secretário</w:t>
            </w:r>
          </w:p>
        </w:tc>
      </w:tr>
      <w:tr w:rsidR="00164090" w:rsidRPr="00164090" w:rsidTr="00164090">
        <w:trPr>
          <w:jc w:val="center"/>
        </w:trPr>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val="pt-BR" w:eastAsia="it-IT"/>
              </w:rPr>
            </w:pPr>
            <w:r w:rsidRPr="00164090">
              <w:rPr>
                <w:rFonts w:ascii="Arial" w:eastAsia="Times New Roman" w:hAnsi="Arial" w:cs="Arial"/>
                <w:sz w:val="20"/>
                <w:szCs w:val="20"/>
                <w:lang w:val="pt-BR" w:eastAsia="it-IT"/>
              </w:rPr>
              <w:t>Deputado CIRO NOGUEIRA</w:t>
            </w:r>
            <w:r w:rsidRPr="00164090">
              <w:rPr>
                <w:rFonts w:ascii="Arial" w:eastAsia="Times New Roman" w:hAnsi="Arial" w:cs="Arial"/>
                <w:sz w:val="20"/>
                <w:szCs w:val="20"/>
                <w:lang w:val="pt-BR" w:eastAsia="it-IT"/>
              </w:rPr>
              <w:br/>
              <w:t>4º Secretário</w:t>
            </w:r>
          </w:p>
        </w:tc>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val="pt-BR" w:eastAsia="it-IT"/>
              </w:rPr>
            </w:pPr>
            <w:r w:rsidRPr="00164090">
              <w:rPr>
                <w:rFonts w:ascii="Arial" w:eastAsia="Times New Roman" w:hAnsi="Arial" w:cs="Arial"/>
                <w:sz w:val="20"/>
                <w:szCs w:val="20"/>
                <w:lang w:val="pt-BR" w:eastAsia="it-IT"/>
              </w:rPr>
              <w:t>Senador RONALDO CUNHA LIMA</w:t>
            </w:r>
            <w:r w:rsidRPr="00164090">
              <w:rPr>
                <w:rFonts w:ascii="Arial" w:eastAsia="Times New Roman" w:hAnsi="Arial" w:cs="Arial"/>
                <w:sz w:val="20"/>
                <w:szCs w:val="20"/>
                <w:lang w:val="pt-BR" w:eastAsia="it-IT"/>
              </w:rPr>
              <w:br/>
              <w:t>3º Secretário</w:t>
            </w:r>
          </w:p>
        </w:tc>
      </w:tr>
      <w:tr w:rsidR="00164090" w:rsidRPr="00164090" w:rsidTr="00164090">
        <w:trPr>
          <w:jc w:val="center"/>
        </w:trPr>
        <w:tc>
          <w:tcPr>
            <w:tcW w:w="4489" w:type="dxa"/>
            <w:tcMar>
              <w:top w:w="0" w:type="dxa"/>
              <w:left w:w="70" w:type="dxa"/>
              <w:bottom w:w="0" w:type="dxa"/>
              <w:right w:w="70" w:type="dxa"/>
            </w:tcMar>
            <w:hideMark/>
          </w:tcPr>
          <w:p w:rsidR="00164090" w:rsidRPr="00164090" w:rsidRDefault="00164090" w:rsidP="00164090">
            <w:pPr>
              <w:spacing w:after="0" w:line="240" w:lineRule="auto"/>
              <w:rPr>
                <w:rFonts w:ascii="Times New Roman" w:eastAsia="Times New Roman" w:hAnsi="Times New Roman" w:cs="Times New Roman"/>
                <w:sz w:val="24"/>
                <w:szCs w:val="24"/>
                <w:lang w:val="pt-BR" w:eastAsia="it-IT"/>
              </w:rPr>
            </w:pPr>
          </w:p>
        </w:tc>
        <w:tc>
          <w:tcPr>
            <w:tcW w:w="4489" w:type="dxa"/>
            <w:tcMar>
              <w:top w:w="0" w:type="dxa"/>
              <w:left w:w="70" w:type="dxa"/>
              <w:bottom w:w="0" w:type="dxa"/>
              <w:right w:w="70" w:type="dxa"/>
            </w:tcMar>
            <w:hideMark/>
          </w:tcPr>
          <w:p w:rsidR="00164090" w:rsidRPr="00164090" w:rsidRDefault="00164090" w:rsidP="00164090">
            <w:pPr>
              <w:spacing w:before="150" w:after="150" w:line="240" w:lineRule="auto"/>
              <w:jc w:val="center"/>
              <w:rPr>
                <w:rFonts w:ascii="Times New Roman" w:eastAsia="Times New Roman" w:hAnsi="Times New Roman" w:cs="Times New Roman"/>
                <w:sz w:val="24"/>
                <w:szCs w:val="24"/>
                <w:lang w:val="pt-BR" w:eastAsia="it-IT"/>
              </w:rPr>
            </w:pPr>
            <w:r w:rsidRPr="00164090">
              <w:rPr>
                <w:rFonts w:ascii="Arial" w:eastAsia="Times New Roman" w:hAnsi="Arial" w:cs="Arial"/>
                <w:sz w:val="20"/>
                <w:szCs w:val="20"/>
                <w:lang w:val="pt-BR" w:eastAsia="it-IT"/>
              </w:rPr>
              <w:t>Senador MOZARILDO CAVALCANTI</w:t>
            </w:r>
            <w:r w:rsidRPr="00164090">
              <w:rPr>
                <w:rFonts w:ascii="Arial" w:eastAsia="Times New Roman" w:hAnsi="Arial" w:cs="Arial"/>
                <w:sz w:val="20"/>
                <w:szCs w:val="20"/>
                <w:lang w:val="pt-BR" w:eastAsia="it-IT"/>
              </w:rPr>
              <w:br/>
              <w:t>4º Secretário</w:t>
            </w:r>
          </w:p>
        </w:tc>
      </w:tr>
    </w:tbl>
    <w:p w:rsidR="00164090" w:rsidRPr="00164090" w:rsidRDefault="00164090" w:rsidP="00164090">
      <w:pPr>
        <w:spacing w:before="100" w:beforeAutospacing="1" w:after="100" w:afterAutospacing="1" w:line="240" w:lineRule="auto"/>
        <w:rPr>
          <w:rFonts w:ascii="Times New Roman" w:eastAsia="Times New Roman" w:hAnsi="Times New Roman" w:cs="Times New Roman"/>
          <w:color w:val="000000"/>
          <w:sz w:val="27"/>
          <w:szCs w:val="27"/>
          <w:lang w:val="pt-BR" w:eastAsia="it-IT"/>
        </w:rPr>
      </w:pPr>
      <w:r w:rsidRPr="00164090">
        <w:rPr>
          <w:rFonts w:ascii="Arial" w:eastAsia="Times New Roman" w:hAnsi="Arial" w:cs="Arial"/>
          <w:color w:val="FF0000"/>
          <w:sz w:val="20"/>
          <w:szCs w:val="20"/>
          <w:lang w:val="pt-BR" w:eastAsia="it-IT"/>
        </w:rPr>
        <w:t>Este texto não substitui o publicado no DOU 13.6.2002</w:t>
      </w:r>
    </w:p>
    <w:p w:rsidR="00164090" w:rsidRPr="00164090" w:rsidRDefault="00164090" w:rsidP="00164090">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164090">
        <w:rPr>
          <w:rFonts w:ascii="Arial" w:eastAsia="Times New Roman" w:hAnsi="Arial" w:cs="Arial"/>
          <w:color w:val="FF0000"/>
          <w:sz w:val="24"/>
          <w:szCs w:val="24"/>
          <w:lang w:eastAsia="it-IT"/>
        </w:rPr>
        <w:t>*</w:t>
      </w:r>
    </w:p>
    <w:p w:rsidR="00164090" w:rsidRPr="00164090" w:rsidRDefault="00164090" w:rsidP="00164090">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164090">
        <w:rPr>
          <w:rFonts w:ascii="Times New Roman" w:eastAsia="Times New Roman" w:hAnsi="Times New Roman" w:cs="Times New Roman"/>
          <w:color w:val="000000"/>
          <w:sz w:val="27"/>
          <w:szCs w:val="27"/>
          <w:lang w:eastAsia="it-IT"/>
        </w:rPr>
        <w:t> </w:t>
      </w:r>
    </w:p>
    <w:p w:rsidR="00164090" w:rsidRPr="00164090" w:rsidRDefault="00164090" w:rsidP="00164090">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164090">
        <w:rPr>
          <w:rFonts w:ascii="Times New Roman" w:eastAsia="Times New Roman" w:hAnsi="Times New Roman" w:cs="Times New Roman"/>
          <w:color w:val="000000"/>
          <w:sz w:val="27"/>
          <w:szCs w:val="27"/>
          <w:lang w:eastAsia="it-IT"/>
        </w:rPr>
        <w:t> </w:t>
      </w:r>
    </w:p>
    <w:p w:rsidR="00164090" w:rsidRPr="00164090" w:rsidRDefault="00164090" w:rsidP="00164090">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164090">
        <w:rPr>
          <w:rFonts w:ascii="Times New Roman" w:eastAsia="Times New Roman" w:hAnsi="Times New Roman" w:cs="Times New Roman"/>
          <w:color w:val="000000"/>
          <w:sz w:val="27"/>
          <w:szCs w:val="27"/>
          <w:lang w:eastAsia="it-IT"/>
        </w:rPr>
        <w:t> </w:t>
      </w:r>
    </w:p>
    <w:p w:rsidR="00164090" w:rsidRPr="00164090" w:rsidRDefault="00164090" w:rsidP="00164090">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164090">
        <w:rPr>
          <w:rFonts w:ascii="Times New Roman" w:eastAsia="Times New Roman" w:hAnsi="Times New Roman" w:cs="Times New Roman"/>
          <w:color w:val="000000"/>
          <w:sz w:val="27"/>
          <w:szCs w:val="27"/>
          <w:lang w:eastAsia="it-IT"/>
        </w:rPr>
        <w:t> </w:t>
      </w:r>
    </w:p>
    <w:p w:rsidR="00164090" w:rsidRPr="00164090" w:rsidRDefault="00164090" w:rsidP="00164090">
      <w:pPr>
        <w:spacing w:before="100" w:beforeAutospacing="1" w:after="100" w:afterAutospacing="1" w:line="240" w:lineRule="auto"/>
        <w:jc w:val="center"/>
        <w:rPr>
          <w:rFonts w:ascii="Times New Roman" w:eastAsia="Times New Roman" w:hAnsi="Times New Roman" w:cs="Times New Roman"/>
          <w:color w:val="000000"/>
          <w:sz w:val="27"/>
          <w:szCs w:val="27"/>
          <w:lang w:eastAsia="it-IT"/>
        </w:rPr>
      </w:pPr>
      <w:r w:rsidRPr="00164090">
        <w:rPr>
          <w:rFonts w:ascii="Times New Roman" w:eastAsia="Times New Roman" w:hAnsi="Times New Roman" w:cs="Times New Roman"/>
          <w:color w:val="000000"/>
          <w:sz w:val="27"/>
          <w:szCs w:val="27"/>
          <w:lang w:eastAsia="it-IT"/>
        </w:rPr>
        <w:t> </w:t>
      </w:r>
    </w:p>
    <w:p w:rsidR="001A58BB" w:rsidRDefault="001A58BB">
      <w:bookmarkStart w:id="4" w:name="_GoBack"/>
      <w:bookmarkEnd w:id="4"/>
    </w:p>
    <w:sectPr w:rsidR="001A58B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090"/>
    <w:rsid w:val="00164090"/>
    <w:rsid w:val="001A58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ACE7C"/>
  <w15:chartTrackingRefBased/>
  <w15:docId w15:val="{1468466D-7945-41F6-955C-3E89BB9B3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16409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Forte">
    <w:name w:val="Strong"/>
    <w:basedOn w:val="Fontepargpadro"/>
    <w:uiPriority w:val="22"/>
    <w:qFormat/>
    <w:rsid w:val="00164090"/>
    <w:rPr>
      <w:b/>
      <w:bCs/>
    </w:rPr>
  </w:style>
  <w:style w:type="character" w:styleId="Hyperlink">
    <w:name w:val="Hyperlink"/>
    <w:basedOn w:val="Fontepargpadro"/>
    <w:uiPriority w:val="99"/>
    <w:semiHidden/>
    <w:unhideWhenUsed/>
    <w:rsid w:val="00164090"/>
    <w:rPr>
      <w:color w:val="0000FF"/>
      <w:u w:val="single"/>
    </w:rPr>
  </w:style>
  <w:style w:type="paragraph" w:customStyle="1" w:styleId="texto1">
    <w:name w:val="texto1"/>
    <w:basedOn w:val="Normal"/>
    <w:rsid w:val="0016409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artigoart">
    <w:name w:val="artigoart"/>
    <w:basedOn w:val="Normal"/>
    <w:rsid w:val="0016409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artigopargrafo">
    <w:name w:val="artigopargrafo"/>
    <w:basedOn w:val="Normal"/>
    <w:rsid w:val="00164090"/>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574578">
      <w:bodyDiv w:val="1"/>
      <w:marLeft w:val="0"/>
      <w:marRight w:val="0"/>
      <w:marTop w:val="0"/>
      <w:marBottom w:val="0"/>
      <w:divBdr>
        <w:top w:val="none" w:sz="0" w:space="0" w:color="auto"/>
        <w:left w:val="none" w:sz="0" w:space="0" w:color="auto"/>
        <w:bottom w:val="none" w:sz="0" w:space="0" w:color="auto"/>
        <w:right w:val="none" w:sz="0" w:space="0" w:color="auto"/>
      </w:divBdr>
      <w:divsChild>
        <w:div w:id="14337441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266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60906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57966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2290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59340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lanalto.gov.br/ccivil_03/Constituicao/Constituicao.htm" TargetMode="External"/><Relationship Id="rId12" Type="http://schemas.openxmlformats.org/officeDocument/2006/relationships/hyperlink" Target="http://www.planalto.gov.br/ccivil_03/Constituicao/Constituicao.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lanalto.gov.br/ccivil_03/Constituicao/Constituicao.htm" TargetMode="External"/><Relationship Id="rId11" Type="http://schemas.openxmlformats.org/officeDocument/2006/relationships/hyperlink" Target="http://www.planalto.gov.br/ccivil_03/Constituicao/Constituicao.htm" TargetMode="External"/><Relationship Id="rId5" Type="http://schemas.openxmlformats.org/officeDocument/2006/relationships/hyperlink" Target="http://legislacao.planalto.gov.br/legisla/legislacao.nsf/Viw_Identificacao/emc%2037-2002?OpenDocument" TargetMode="External"/><Relationship Id="rId10" Type="http://schemas.openxmlformats.org/officeDocument/2006/relationships/hyperlink" Target="http://www.planalto.gov.br/ccivil_03/Constituicao/Constituicao.htm" TargetMode="External"/><Relationship Id="rId4" Type="http://schemas.openxmlformats.org/officeDocument/2006/relationships/image" Target="media/image1.gif"/><Relationship Id="rId9" Type="http://schemas.openxmlformats.org/officeDocument/2006/relationships/hyperlink" Target="http://www.planalto.gov.br/ccivil_03/Constituicao/Constituicao.htm"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1361</Words>
  <Characters>7762</Characters>
  <Application>Microsoft Office Word</Application>
  <DocSecurity>0</DocSecurity>
  <Lines>64</Lines>
  <Paragraphs>18</Paragraphs>
  <ScaleCrop>false</ScaleCrop>
  <Company/>
  <LinksUpToDate>false</LinksUpToDate>
  <CharactersWithSpaces>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2022-08-14T14:08:00Z</dcterms:created>
  <dcterms:modified xsi:type="dcterms:W3CDTF">2022-08-14T14:09:00Z</dcterms:modified>
</cp:coreProperties>
</file>