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94DA26" w14:textId="54493610" w:rsidR="00022F57" w:rsidRDefault="00B5475E" w:rsidP="007F180E">
      <w:pPr>
        <w:spacing w:line="276" w:lineRule="auto"/>
        <w:jc w:val="center"/>
        <w:rPr>
          <w:rFonts w:ascii="Times New Roman" w:eastAsia="Aptos" w:hAnsi="Times New Roman" w:cs="Times New Roman"/>
          <w:b/>
          <w:bCs/>
          <w:sz w:val="32"/>
          <w:szCs w:val="32"/>
        </w:rPr>
      </w:pPr>
      <w:r w:rsidRPr="007F180E">
        <w:rPr>
          <w:rFonts w:ascii="Times New Roman" w:eastAsia="Aptos" w:hAnsi="Times New Roman" w:cs="Times New Roman"/>
          <w:b/>
          <w:bCs/>
          <w:sz w:val="32"/>
          <w:szCs w:val="32"/>
        </w:rPr>
        <w:t xml:space="preserve">Tracking the Ten Thousand: Using GIS to Conceptualize Spatial Narrative in Xenophon's </w:t>
      </w:r>
      <w:r w:rsidRPr="001A6473">
        <w:rPr>
          <w:rFonts w:ascii="Times New Roman" w:eastAsia="Aptos" w:hAnsi="Times New Roman" w:cs="Times New Roman"/>
          <w:b/>
          <w:bCs/>
          <w:i/>
          <w:iCs/>
          <w:sz w:val="32"/>
          <w:szCs w:val="32"/>
        </w:rPr>
        <w:t>Anabasis</w:t>
      </w:r>
    </w:p>
    <w:p w14:paraId="343AC55E" w14:textId="19CFF24E" w:rsidR="007F180E" w:rsidRPr="001A6473" w:rsidRDefault="001A6473" w:rsidP="007F180E">
      <w:pPr>
        <w:spacing w:line="276" w:lineRule="auto"/>
        <w:jc w:val="center"/>
        <w:rPr>
          <w:rFonts w:ascii="Times New Roman" w:eastAsia="Aptos" w:hAnsi="Times New Roman" w:cs="Times New Roman"/>
          <w:sz w:val="32"/>
          <w:szCs w:val="32"/>
        </w:rPr>
      </w:pPr>
      <w:r w:rsidRPr="001A6473">
        <w:rPr>
          <w:rFonts w:ascii="Times New Roman" w:eastAsia="Aptos" w:hAnsi="Times New Roman" w:cs="Times New Roman"/>
          <w:sz w:val="32"/>
          <w:szCs w:val="32"/>
        </w:rPr>
        <w:t>Cian</w:t>
      </w:r>
      <w:r>
        <w:rPr>
          <w:rFonts w:ascii="Times New Roman" w:eastAsia="Aptos" w:hAnsi="Times New Roman" w:cs="Times New Roman"/>
          <w:sz w:val="32"/>
          <w:szCs w:val="32"/>
        </w:rPr>
        <w:t xml:space="preserve"> Colgan</w:t>
      </w:r>
      <w:r>
        <w:rPr>
          <w:rStyle w:val="FootnoteReference"/>
          <w:rFonts w:ascii="Times New Roman" w:eastAsia="Aptos" w:hAnsi="Times New Roman" w:cs="Times New Roman"/>
          <w:sz w:val="32"/>
          <w:szCs w:val="32"/>
        </w:rPr>
        <w:footnoteReference w:id="1"/>
      </w:r>
    </w:p>
    <w:p w14:paraId="69834F6C" w14:textId="77777777" w:rsidR="007F180E" w:rsidRPr="007F180E" w:rsidRDefault="007F180E" w:rsidP="007F180E">
      <w:pPr>
        <w:spacing w:line="276" w:lineRule="auto"/>
        <w:jc w:val="center"/>
        <w:rPr>
          <w:rFonts w:ascii="Times New Roman" w:eastAsia="Aptos" w:hAnsi="Times New Roman" w:cs="Times New Roman"/>
          <w:b/>
          <w:bCs/>
          <w:sz w:val="32"/>
          <w:szCs w:val="32"/>
        </w:rPr>
      </w:pPr>
    </w:p>
    <w:p w14:paraId="10ED707D" w14:textId="213AB531" w:rsidR="00926728" w:rsidRPr="00926728" w:rsidRDefault="00926728" w:rsidP="00B5475E">
      <w:pPr>
        <w:rPr>
          <w:rFonts w:ascii="Aptos" w:eastAsia="Aptos" w:hAnsi="Aptos" w:cs="Aptos"/>
          <w:b/>
          <w:bCs/>
        </w:rPr>
      </w:pPr>
      <w:r>
        <w:rPr>
          <w:rFonts w:ascii="Aptos" w:eastAsia="Aptos" w:hAnsi="Aptos" w:cs="Aptos"/>
          <w:b/>
          <w:bCs/>
        </w:rPr>
        <w:t>Abstract</w:t>
      </w:r>
    </w:p>
    <w:p w14:paraId="79CCE126" w14:textId="77777777" w:rsidR="00926728" w:rsidRDefault="00926728" w:rsidP="00926728">
      <w:pPr>
        <w:spacing w:line="276" w:lineRule="auto"/>
        <w:rPr>
          <w:rFonts w:ascii="Times New Roman" w:eastAsia="Times New Roman" w:hAnsi="Times New Roman" w:cs="Times New Roman"/>
        </w:rPr>
      </w:pPr>
      <w:r>
        <w:rPr>
          <w:rFonts w:ascii="Times New Roman" w:eastAsia="Times New Roman" w:hAnsi="Times New Roman" w:cs="Times New Roman"/>
        </w:rPr>
        <w:t xml:space="preserve">Xenophon’s </w:t>
      </w:r>
      <w:r>
        <w:rPr>
          <w:rFonts w:ascii="Times New Roman" w:eastAsia="Times New Roman" w:hAnsi="Times New Roman" w:cs="Times New Roman"/>
          <w:i/>
          <w:iCs/>
        </w:rPr>
        <w:t>Anabasis</w:t>
      </w:r>
      <w:r>
        <w:rPr>
          <w:rFonts w:ascii="Times New Roman" w:eastAsia="Times New Roman" w:hAnsi="Times New Roman" w:cs="Times New Roman"/>
        </w:rPr>
        <w:t xml:space="preserve"> is a military travelogue that recounts the journey of the so-called Ten Thousand, a Greek mercenary army hired by the Persian prince Cyrus the Younger in 401 BCE. The narrative follows the march towards the Battle of Cunaxa, where Cyrus was killed, and the retreat through hostile lands from Babylon to </w:t>
      </w:r>
      <w:proofErr w:type="spellStart"/>
      <w:r>
        <w:rPr>
          <w:rFonts w:ascii="Times New Roman" w:eastAsia="Times New Roman" w:hAnsi="Times New Roman" w:cs="Times New Roman"/>
        </w:rPr>
        <w:t>Pergamus</w:t>
      </w:r>
      <w:proofErr w:type="spellEnd"/>
      <w:r>
        <w:rPr>
          <w:rFonts w:ascii="Times New Roman" w:eastAsia="Times New Roman" w:hAnsi="Times New Roman" w:cs="Times New Roman"/>
        </w:rPr>
        <w:t xml:space="preserve">. Much discourse has surrounded the inconsistencies of Xenophon’s account, and many static maps have attempted to retrace his steps. While static representations are valuable, the array of geographic information systems (GIS) technologies allows for dynamic modeling at a finer granularity. This project discusses </w:t>
      </w:r>
      <w:r>
        <w:rPr>
          <w:rFonts w:ascii="Times New Roman" w:eastAsia="Times New Roman" w:hAnsi="Times New Roman" w:cs="Times New Roman"/>
          <w:i/>
          <w:iCs/>
        </w:rPr>
        <w:t xml:space="preserve">Tracking the </w:t>
      </w:r>
      <w:r w:rsidRPr="00A93F9D">
        <w:rPr>
          <w:rFonts w:ascii="Times New Roman" w:eastAsia="Times New Roman" w:hAnsi="Times New Roman" w:cs="Times New Roman"/>
          <w:i/>
          <w:iCs/>
        </w:rPr>
        <w:t>Ten Thousand</w:t>
      </w:r>
      <w:r>
        <w:rPr>
          <w:rFonts w:ascii="Times New Roman" w:eastAsia="Times New Roman" w:hAnsi="Times New Roman" w:cs="Times New Roman"/>
        </w:rPr>
        <w:t xml:space="preserve">, an ongoing project exploring the spatial narrative of the </w:t>
      </w:r>
      <w:r w:rsidRPr="00A93F9D">
        <w:rPr>
          <w:rFonts w:ascii="Times New Roman" w:eastAsia="Times New Roman" w:hAnsi="Times New Roman" w:cs="Times New Roman"/>
          <w:i/>
          <w:iCs/>
        </w:rPr>
        <w:t>Anabasis</w:t>
      </w:r>
      <w:r>
        <w:rPr>
          <w:rFonts w:ascii="Times New Roman" w:eastAsia="Times New Roman" w:hAnsi="Times New Roman" w:cs="Times New Roman"/>
        </w:rPr>
        <w:t xml:space="preserve">. </w:t>
      </w:r>
      <w:r w:rsidRPr="00A93F9D">
        <w:rPr>
          <w:rFonts w:ascii="Times New Roman" w:eastAsia="Times New Roman" w:hAnsi="Times New Roman" w:cs="Times New Roman"/>
        </w:rPr>
        <w:t>With</w:t>
      </w:r>
      <w:r>
        <w:rPr>
          <w:rFonts w:ascii="Times New Roman" w:eastAsia="Times New Roman" w:hAnsi="Times New Roman" w:cs="Times New Roman"/>
        </w:rPr>
        <w:t xml:space="preserve"> full awareness of limitations this study demonstrates how GIS can be used as an interpretive framework to deepen literary analysis and reveal new insights into authorial bias.</w:t>
      </w:r>
    </w:p>
    <w:p w14:paraId="69BC97C9" w14:textId="77777777" w:rsidR="00926728" w:rsidRDefault="00926728" w:rsidP="00926728">
      <w:pPr>
        <w:spacing w:line="276" w:lineRule="auto"/>
        <w:rPr>
          <w:rFonts w:ascii="Times New Roman" w:eastAsia="Times New Roman" w:hAnsi="Times New Roman" w:cs="Times New Roman"/>
        </w:rPr>
      </w:pPr>
    </w:p>
    <w:p w14:paraId="43E67A8C" w14:textId="77777777" w:rsidR="00926728" w:rsidRDefault="00926728" w:rsidP="00926728">
      <w:r>
        <w:t>Keywords: GIS, history, archaeology, spatial analysis, cultural geography, least-cost, viewshed, 3D modeling</w:t>
      </w:r>
    </w:p>
    <w:p w14:paraId="54A0F6EB" w14:textId="77777777" w:rsidR="00926728" w:rsidRDefault="00926728" w:rsidP="00B5475E">
      <w:pPr>
        <w:rPr>
          <w:rFonts w:ascii="Aptos" w:eastAsia="Aptos" w:hAnsi="Aptos" w:cs="Aptos"/>
        </w:rPr>
      </w:pPr>
    </w:p>
    <w:p w14:paraId="306F993A" w14:textId="23F6F851" w:rsidR="00B5475E" w:rsidRDefault="00B5475E" w:rsidP="00B5475E">
      <w:pPr>
        <w:rPr>
          <w:rFonts w:ascii="Aptos" w:eastAsia="Aptos" w:hAnsi="Aptos" w:cs="Aptos"/>
          <w:b/>
          <w:bCs/>
        </w:rPr>
      </w:pPr>
      <w:r w:rsidRPr="06E887F8">
        <w:rPr>
          <w:rFonts w:ascii="Aptos" w:eastAsia="Aptos" w:hAnsi="Aptos" w:cs="Aptos"/>
          <w:b/>
          <w:bCs/>
        </w:rPr>
        <w:t xml:space="preserve">The </w:t>
      </w:r>
      <w:r w:rsidRPr="06E887F8">
        <w:rPr>
          <w:rFonts w:ascii="Aptos" w:eastAsia="Aptos" w:hAnsi="Aptos" w:cs="Aptos"/>
          <w:b/>
          <w:bCs/>
          <w:i/>
          <w:iCs/>
        </w:rPr>
        <w:t>Anabasis</w:t>
      </w:r>
      <w:r w:rsidRPr="06E887F8">
        <w:rPr>
          <w:rFonts w:ascii="Aptos" w:eastAsia="Aptos" w:hAnsi="Aptos" w:cs="Aptos"/>
          <w:b/>
          <w:bCs/>
        </w:rPr>
        <w:t xml:space="preserve"> </w:t>
      </w:r>
    </w:p>
    <w:p w14:paraId="445602D6" w14:textId="77777777" w:rsidR="00B5475E" w:rsidRPr="00BA48AC" w:rsidRDefault="00B5475E" w:rsidP="00B5475E">
      <w:pPr>
        <w:rPr>
          <w:rFonts w:ascii="Aptos" w:eastAsia="Aptos" w:hAnsi="Aptos" w:cs="Aptos"/>
        </w:rPr>
      </w:pPr>
      <w:r w:rsidRPr="068BA729">
        <w:rPr>
          <w:rFonts w:ascii="Aptos" w:eastAsia="Aptos" w:hAnsi="Aptos" w:cs="Aptos"/>
        </w:rPr>
        <w:t xml:space="preserve">The </w:t>
      </w:r>
      <w:r w:rsidRPr="068BA729">
        <w:rPr>
          <w:rFonts w:ascii="Aptos" w:eastAsia="Aptos" w:hAnsi="Aptos" w:cs="Aptos"/>
          <w:i/>
          <w:iCs/>
        </w:rPr>
        <w:t xml:space="preserve">Anabasis </w:t>
      </w:r>
      <w:r w:rsidRPr="068BA729">
        <w:rPr>
          <w:rFonts w:ascii="Aptos" w:eastAsia="Aptos" w:hAnsi="Aptos" w:cs="Aptos"/>
        </w:rPr>
        <w:t xml:space="preserve">of Xenophon recounts the journey of the so-called Ten Thousand, a Greek mercenary army hired by the Persian prince Cyrus the Younger in 401 BCE. The narrative follows the march into the battle of Cunaxa, where Cyrus is killed, and the harrowing retreat through hostile lands from Babylon to </w:t>
      </w:r>
      <w:proofErr w:type="spellStart"/>
      <w:r>
        <w:rPr>
          <w:rFonts w:ascii="Aptos" w:eastAsia="Aptos" w:hAnsi="Aptos" w:cs="Aptos"/>
        </w:rPr>
        <w:t>Chrysopolis</w:t>
      </w:r>
      <w:proofErr w:type="spellEnd"/>
      <w:r>
        <w:rPr>
          <w:rFonts w:ascii="Aptos" w:eastAsia="Aptos" w:hAnsi="Aptos" w:cs="Aptos"/>
        </w:rPr>
        <w:t xml:space="preserve">, the account ending in </w:t>
      </w:r>
      <w:proofErr w:type="spellStart"/>
      <w:r>
        <w:rPr>
          <w:rFonts w:ascii="Aptos" w:eastAsia="Aptos" w:hAnsi="Aptos" w:cs="Aptos"/>
        </w:rPr>
        <w:t>Pergamus</w:t>
      </w:r>
      <w:proofErr w:type="spellEnd"/>
      <w:r w:rsidRPr="068BA729">
        <w:rPr>
          <w:rFonts w:ascii="Aptos" w:eastAsia="Aptos" w:hAnsi="Aptos" w:cs="Aptos"/>
        </w:rPr>
        <w:t xml:space="preserve">. </w:t>
      </w:r>
      <w:r>
        <w:rPr>
          <w:rFonts w:ascii="Aptos" w:eastAsia="Aptos" w:hAnsi="Aptos" w:cs="Aptos"/>
        </w:rPr>
        <w:t>M</w:t>
      </w:r>
      <w:r w:rsidRPr="068BA729">
        <w:rPr>
          <w:rFonts w:ascii="Aptos" w:eastAsia="Aptos" w:hAnsi="Aptos" w:cs="Aptos"/>
        </w:rPr>
        <w:t>uch ink has been spilled over the inconsistencies of Xenophon’s account</w:t>
      </w:r>
      <w:r>
        <w:rPr>
          <w:rFonts w:ascii="Aptos" w:eastAsia="Aptos" w:hAnsi="Aptos" w:cs="Aptos"/>
        </w:rPr>
        <w:t>; many travelers in the 19</w:t>
      </w:r>
      <w:r w:rsidRPr="00BA48AC">
        <w:rPr>
          <w:rFonts w:ascii="Aptos" w:eastAsia="Aptos" w:hAnsi="Aptos" w:cs="Aptos"/>
          <w:vertAlign w:val="superscript"/>
        </w:rPr>
        <w:t>th</w:t>
      </w:r>
      <w:r>
        <w:rPr>
          <w:rFonts w:ascii="Aptos" w:eastAsia="Aptos" w:hAnsi="Aptos" w:cs="Aptos"/>
        </w:rPr>
        <w:t xml:space="preserve"> through 21</w:t>
      </w:r>
      <w:r w:rsidRPr="00BA48AC">
        <w:rPr>
          <w:rFonts w:ascii="Aptos" w:eastAsia="Aptos" w:hAnsi="Aptos" w:cs="Aptos"/>
          <w:vertAlign w:val="superscript"/>
        </w:rPr>
        <w:t>st</w:t>
      </w:r>
      <w:r>
        <w:rPr>
          <w:rFonts w:ascii="Aptos" w:eastAsia="Aptos" w:hAnsi="Aptos" w:cs="Aptos"/>
        </w:rPr>
        <w:t xml:space="preserve"> centuries have attempted to retrace the steps on foot (Rennel 1816; Kinnier 1818; Ainsworth 1844; Lynch 1901; Haupt 1907; Mason 1920; Lehmann-Haupt 1931; Byron 1937; Farrel 1961; Brennan 2005) and archaeologists have surveyed relevant areas (Layard 1853; Bewsher 1866; Williams 1996; </w:t>
      </w:r>
      <w:proofErr w:type="spellStart"/>
      <w:r>
        <w:rPr>
          <w:rFonts w:ascii="Aptos" w:eastAsia="Aptos" w:hAnsi="Aptos" w:cs="Aptos"/>
        </w:rPr>
        <w:t>Gawlikowski</w:t>
      </w:r>
      <w:proofErr w:type="spellEnd"/>
      <w:r>
        <w:rPr>
          <w:rFonts w:ascii="Aptos" w:eastAsia="Aptos" w:hAnsi="Aptos" w:cs="Aptos"/>
        </w:rPr>
        <w:t xml:space="preserve"> 1996; Comfort et al. 2000; Comfort </w:t>
      </w:r>
      <w:r w:rsidRPr="00BA48AC">
        <w:rPr>
          <w:rFonts w:ascii="Aptos" w:eastAsia="Aptos" w:hAnsi="Aptos" w:cs="Aptos"/>
        </w:rPr>
        <w:t xml:space="preserve">and </w:t>
      </w:r>
      <w:proofErr w:type="spellStart"/>
      <w:r w:rsidRPr="00BA48AC">
        <w:rPr>
          <w:rFonts w:ascii="Aptos" w:hAnsi="Aptos" w:cs="Arial"/>
          <w:color w:val="000000"/>
        </w:rPr>
        <w:t>Ergeç</w:t>
      </w:r>
      <w:proofErr w:type="spellEnd"/>
      <w:r w:rsidRPr="00BA48AC">
        <w:rPr>
          <w:rFonts w:ascii="Arial" w:hAnsi="Arial" w:cs="Arial"/>
          <w:color w:val="000000"/>
        </w:rPr>
        <w:t xml:space="preserve"> </w:t>
      </w:r>
      <w:r w:rsidRPr="00BA48AC">
        <w:rPr>
          <w:rFonts w:ascii="Aptos" w:eastAsia="Aptos" w:hAnsi="Aptos" w:cs="Aptos"/>
        </w:rPr>
        <w:t>2001</w:t>
      </w:r>
      <w:r>
        <w:rPr>
          <w:rFonts w:ascii="Aptos" w:eastAsia="Aptos" w:hAnsi="Aptos" w:cs="Aptos"/>
        </w:rPr>
        <w:t xml:space="preserve">; </w:t>
      </w:r>
      <w:r w:rsidRPr="00BA48AC">
        <w:rPr>
          <w:rFonts w:ascii="Aptos" w:eastAsia="Aptos" w:hAnsi="Aptos" w:cs="Aptos"/>
        </w:rPr>
        <w:t>Reade</w:t>
      </w:r>
      <w:r>
        <w:rPr>
          <w:rFonts w:ascii="Aptos" w:eastAsia="Aptos" w:hAnsi="Aptos" w:cs="Aptos"/>
        </w:rPr>
        <w:t xml:space="preserve"> 2015; Doonan 2018; Brennan and Tuplin 2024; Emir 2024) or related new findings back to the text (</w:t>
      </w:r>
      <w:proofErr w:type="spellStart"/>
      <w:r>
        <w:rPr>
          <w:rFonts w:ascii="Aptos" w:eastAsia="Aptos" w:hAnsi="Aptos" w:cs="Aptos"/>
        </w:rPr>
        <w:t>Zimansky</w:t>
      </w:r>
      <w:proofErr w:type="spellEnd"/>
      <w:r>
        <w:rPr>
          <w:rFonts w:ascii="Aptos" w:eastAsia="Aptos" w:hAnsi="Aptos" w:cs="Aptos"/>
        </w:rPr>
        <w:t xml:space="preserve"> 1995; </w:t>
      </w:r>
      <w:proofErr w:type="spellStart"/>
      <w:r>
        <w:rPr>
          <w:rFonts w:ascii="Aptos" w:eastAsia="Aptos" w:hAnsi="Aptos" w:cs="Aptos"/>
        </w:rPr>
        <w:t>Bittarello</w:t>
      </w:r>
      <w:proofErr w:type="spellEnd"/>
      <w:r>
        <w:rPr>
          <w:rFonts w:ascii="Aptos" w:eastAsia="Aptos" w:hAnsi="Aptos" w:cs="Aptos"/>
        </w:rPr>
        <w:t xml:space="preserve"> 2022). Many </w:t>
      </w:r>
      <w:r w:rsidRPr="068BA729">
        <w:rPr>
          <w:rFonts w:ascii="Aptos" w:eastAsia="Aptos" w:hAnsi="Aptos" w:cs="Aptos"/>
        </w:rPr>
        <w:t xml:space="preserve">static maps </w:t>
      </w:r>
      <w:r>
        <w:rPr>
          <w:rFonts w:ascii="Aptos" w:eastAsia="Aptos" w:hAnsi="Aptos" w:cs="Aptos"/>
        </w:rPr>
        <w:t xml:space="preserve">have </w:t>
      </w:r>
      <w:r w:rsidRPr="068BA729">
        <w:rPr>
          <w:rFonts w:ascii="Aptos" w:eastAsia="Aptos" w:hAnsi="Aptos" w:cs="Aptos"/>
        </w:rPr>
        <w:t xml:space="preserve">been produced to retrace his steps </w:t>
      </w:r>
      <w:r w:rsidRPr="068BA729">
        <w:rPr>
          <w:rFonts w:ascii="Aptos" w:eastAsia="Aptos" w:hAnsi="Aptos" w:cs="Aptos"/>
        </w:rPr>
        <w:fldChar w:fldCharType="begin"/>
      </w:r>
      <w:r w:rsidRPr="068BA729">
        <w:rPr>
          <w:rFonts w:ascii="Aptos" w:eastAsia="Aptos" w:hAnsi="Aptos" w:cs="Aptos"/>
        </w:rPr>
        <w:instrText xml:space="preserve"> ADDIN ZOTERO_ITEM CSL_CITATION {"citationID":"zrgRyehq","properties":{"formattedCitation":"(Mitford 2000; Reade 2015; Paradeisopoulos 2023)","plainCitation":"(Mitford 2000; Reade 2015; Paradeisopoulos 2023)","noteIndex":0},"citationItems":[{"id":5284,"uris":["http://zotero.org/groups/5586635/items/WKTA6ZW2"],"itemData":{"id":5284,"type":"article-journal","container-title":"Anatolian Studies","DOI":"10.2307/3643017","ISSN":"0066-1546","note":"publisher: British Institute at Ankara","page":"127-131","source":"JSTOR","title":"Thalatta, Thalatta: Xenophon's View of the Black Sea","title-short":"Thalatta, Thalatta","volume":"50","author":[{"family":"Mitford","given":"Tim"}],"issued":{"date-parts":[["2000"]]}}},{"id":5287,"uris":["http://zotero.org/groups/5586635/items/K7SYXVPT"],"itemData":{"id":5287,"type":"article-journal","abstract":"The Anabasis of the Greek historian Xenophon describes the march of a mercenary army in 401–400 b.c. from the Aegean coast down the Euphrates to Babylonia, and back up the Tigris to the Black Sea and the Aegean. This paper presents the evidence for the army's route through Babylonia and Assyria, and attempts to resolve the main uncertainties.1","container-title":"IRAQ","DOI":"10.1017/irq.2015.15","ISSN":"0021-0889, 2053-4744","language":"en","page":"173-202","source":"Cambridge University Press","title":"XENOPHON'S ROUTE THROUGH BABYLONIA AND ASSYRIA","volume":"77","author":[{"family":"Reade","given":"Julian Edgeworth"}],"issued":{"date-parts":[["2015",12]]}}},{"id":5311,"uris":["http://zotero.org/groups/5586635/items/DMR3EP4Z"],"itemData":{"id":5311,"type":"article-journal","abstract":"The four major latest (twentieth-century) contributions to the solution of Xenophon’s riddle are in chronological order those of Boucher (1913) in French; Lehmann-Haupt (1931) in German; Manfredi (1986) in Italian; and Lendle (1995) in German.","language":"en","source":"www.academia.edu","title":"Xenophon's riddle solved?","URL":"https://www.academia.edu/115957341/Xenophons_riddle_solved","author":[{"family":"Paradeisopoulos","given":"Iordanis"}],"accessed":{"date-parts":[["2024",9,2]]},"issued":{"date-parts":[["2023",1,1]]}}}],"schema":"https://github.com/citation-style-language/schema/raw/master/csl-citation.json"} </w:instrText>
      </w:r>
      <w:r w:rsidRPr="068BA729">
        <w:rPr>
          <w:rFonts w:ascii="Aptos" w:eastAsia="Aptos" w:hAnsi="Aptos" w:cs="Aptos"/>
        </w:rPr>
        <w:fldChar w:fldCharType="separate"/>
      </w:r>
      <w:r w:rsidRPr="068BA729">
        <w:rPr>
          <w:rFonts w:ascii="Aptos" w:eastAsia="Aptos" w:hAnsi="Aptos" w:cs="Aptos"/>
          <w:noProof/>
        </w:rPr>
        <w:t>(</w:t>
      </w:r>
      <w:r>
        <w:rPr>
          <w:rFonts w:ascii="Aptos" w:eastAsia="Aptos" w:hAnsi="Aptos" w:cs="Aptos"/>
          <w:noProof/>
        </w:rPr>
        <w:t xml:space="preserve">eg. </w:t>
      </w:r>
      <w:r w:rsidRPr="068BA729">
        <w:rPr>
          <w:rFonts w:ascii="Aptos" w:eastAsia="Aptos" w:hAnsi="Aptos" w:cs="Aptos"/>
          <w:noProof/>
        </w:rPr>
        <w:t xml:space="preserve">Mitford 2000; </w:t>
      </w:r>
      <w:r>
        <w:rPr>
          <w:rFonts w:ascii="Aptos" w:eastAsia="Aptos" w:hAnsi="Aptos" w:cs="Aptos"/>
          <w:noProof/>
        </w:rPr>
        <w:lastRenderedPageBreak/>
        <w:t>Paradeisopoulos 2014;</w:t>
      </w:r>
      <w:r w:rsidRPr="068BA729">
        <w:rPr>
          <w:rFonts w:ascii="Aptos" w:eastAsia="Aptos" w:hAnsi="Aptos" w:cs="Aptos"/>
          <w:noProof/>
        </w:rPr>
        <w:t xml:space="preserve"> </w:t>
      </w:r>
      <w:r>
        <w:rPr>
          <w:rFonts w:ascii="Aptos" w:eastAsia="Aptos" w:hAnsi="Aptos" w:cs="Aptos"/>
          <w:noProof/>
        </w:rPr>
        <w:t>Brennan and Thomas 2021</w:t>
      </w:r>
      <w:r w:rsidRPr="068BA729">
        <w:rPr>
          <w:rFonts w:ascii="Aptos" w:eastAsia="Aptos" w:hAnsi="Aptos" w:cs="Aptos"/>
          <w:noProof/>
        </w:rPr>
        <w:t>)</w:t>
      </w:r>
      <w:r w:rsidRPr="068BA729">
        <w:rPr>
          <w:rFonts w:ascii="Aptos" w:eastAsia="Aptos" w:hAnsi="Aptos" w:cs="Aptos"/>
        </w:rPr>
        <w:fldChar w:fldCharType="end"/>
      </w:r>
      <w:r>
        <w:rPr>
          <w:rFonts w:ascii="Aptos" w:eastAsia="Aptos" w:hAnsi="Aptos" w:cs="Aptos"/>
        </w:rPr>
        <w:t xml:space="preserve">, and while static maps can be a valuable asset, this </w:t>
      </w:r>
      <w:r w:rsidRPr="068BA729">
        <w:rPr>
          <w:rFonts w:ascii="Aptos" w:eastAsia="Aptos" w:hAnsi="Aptos" w:cs="Aptos"/>
        </w:rPr>
        <w:t>project is the first attempt at creating a</w:t>
      </w:r>
      <w:r>
        <w:rPr>
          <w:rFonts w:ascii="Aptos" w:eastAsia="Aptos" w:hAnsi="Aptos" w:cs="Aptos"/>
        </w:rPr>
        <w:t xml:space="preserve">n interactive and dynamic GIS map of the entire </w:t>
      </w:r>
      <w:r>
        <w:rPr>
          <w:rFonts w:ascii="Aptos" w:eastAsia="Aptos" w:hAnsi="Aptos" w:cs="Aptos"/>
          <w:i/>
          <w:iCs/>
        </w:rPr>
        <w:t>Anabasis</w:t>
      </w:r>
      <w:r>
        <w:rPr>
          <w:rFonts w:ascii="Aptos" w:eastAsia="Aptos" w:hAnsi="Aptos" w:cs="Aptos"/>
        </w:rPr>
        <w:t>.</w:t>
      </w:r>
    </w:p>
    <w:p w14:paraId="32B7B17F" w14:textId="32DF8940" w:rsidR="00B5475E" w:rsidRDefault="00B5475E" w:rsidP="00B5475E">
      <w:pPr>
        <w:rPr>
          <w:rFonts w:ascii="Aptos" w:eastAsia="Aptos" w:hAnsi="Aptos" w:cs="Aptos"/>
        </w:rPr>
      </w:pPr>
      <w:r w:rsidRPr="4CEC54F4">
        <w:rPr>
          <w:rFonts w:ascii="Aptos" w:eastAsia="Aptos" w:hAnsi="Aptos" w:cs="Aptos"/>
        </w:rPr>
        <w:t xml:space="preserve">We used a combination of landscape-oriented approaches, including viewshed analysis, least-cost path </w:t>
      </w:r>
      <w:r>
        <w:rPr>
          <w:rFonts w:ascii="Aptos" w:eastAsia="Aptos" w:hAnsi="Aptos" w:cs="Aptos"/>
        </w:rPr>
        <w:t>(LCP) and least-cost corridor (LCC) analyses (c</w:t>
      </w:r>
      <w:r w:rsidR="001A6473">
        <w:rPr>
          <w:rFonts w:ascii="Aptos" w:eastAsia="Aptos" w:hAnsi="Aptos" w:cs="Aptos"/>
        </w:rPr>
        <w:t>.</w:t>
      </w:r>
      <w:r>
        <w:rPr>
          <w:rFonts w:ascii="Aptos" w:eastAsia="Aptos" w:hAnsi="Aptos" w:cs="Aptos"/>
        </w:rPr>
        <w:t>f. Herzog 2017</w:t>
      </w:r>
      <w:r w:rsidR="001A6473">
        <w:rPr>
          <w:rFonts w:ascii="Aptos" w:eastAsia="Aptos" w:hAnsi="Aptos" w:cs="Aptos"/>
        </w:rPr>
        <w:t xml:space="preserve">; </w:t>
      </w:r>
      <w:r>
        <w:rPr>
          <w:rFonts w:ascii="Aptos" w:eastAsia="Aptos" w:hAnsi="Aptos" w:cs="Aptos"/>
        </w:rPr>
        <w:t xml:space="preserve">Seifried and Gardner 2019; Salaris 2025), </w:t>
      </w:r>
      <w:r w:rsidRPr="4CEC54F4">
        <w:rPr>
          <w:rFonts w:ascii="Aptos" w:eastAsia="Aptos" w:hAnsi="Aptos" w:cs="Aptos"/>
        </w:rPr>
        <w:t xml:space="preserve">cost-surface analysis (CSA), and 3D modeling. With full awareness of </w:t>
      </w:r>
      <w:r>
        <w:rPr>
          <w:rFonts w:ascii="Aptos" w:eastAsia="Aptos" w:hAnsi="Aptos" w:cs="Aptos"/>
        </w:rPr>
        <w:t xml:space="preserve">its </w:t>
      </w:r>
      <w:r w:rsidRPr="4CEC54F4">
        <w:rPr>
          <w:rFonts w:ascii="Aptos" w:eastAsia="Aptos" w:hAnsi="Aptos" w:cs="Aptos"/>
        </w:rPr>
        <w:t xml:space="preserve">limitations </w:t>
      </w:r>
      <w:r>
        <w:rPr>
          <w:rFonts w:ascii="Aptos" w:eastAsia="Aptos" w:hAnsi="Aptos" w:cs="Aptos"/>
        </w:rPr>
        <w:t xml:space="preserve">and potential pitfalls </w:t>
      </w:r>
      <w:r>
        <w:rPr>
          <w:rFonts w:ascii="Aptos" w:eastAsia="Aptos" w:hAnsi="Aptos" w:cs="Aptos"/>
        </w:rPr>
        <w:fldChar w:fldCharType="begin"/>
      </w:r>
      <w:r>
        <w:rPr>
          <w:rFonts w:ascii="Aptos" w:eastAsia="Aptos" w:hAnsi="Aptos" w:cs="Aptos"/>
        </w:rPr>
        <w:instrText xml:space="preserve"> ADDIN ZOTERO_ITEM CSL_CITATION {"citationID":"RL6YSXaj","properties":{"formattedCitation":"(Herzog 2017)","plainCitation":"(Herzog 2017)","noteIndex":0},"citationItems":[{"id":5160,"uris":["http://zotero.org/groups/5586635/items/GTDUMIET"],"itemData":{"id":5160,"type":"article-journal","abstract":"The aim of this contribution is on the one hand to map pre-industrial long distance roads located in a hilly region east of Cologne, Germany, as exactly as possible and on the other hand to assess the accuracy of least-cost approaches that are increasingly applied by archaeologists for prehistoric road reconstruction. Probably the earliest map covering the study area east of Cologne dates back to 1575. The map is distorted so that rectification is difficult. But it is possible to assess the local accuracy of the map and to transfer the approximate routes to a modern map manually. Most of the area covered by the 1575 map is also depicted on a set of more accurate maps created in the early 19th century and a somewhat later historical map set (ca. 1842 AD). The historical roads on these rectified historical maps close to the approximate roads were digitized and compared to the outcomes of least-cost analysis, specifically least-cost paths and accessibility maps. Based on these route reconstructions with limited accuracy, Lidar data is checked to identify remains of these roads. Several approaches for visualizing Lidar data are tested to identify appropriate methods for detecting sunken roads. Possible sunken roads detected on the Lidar images were validated by checking cross sections in the digital elevation model and in the field.","container-title":"Studies in Digital Heritage","DOI":"10.14434/sdh.v1i2.23283","ISSN":"2574-1748","issue":"2","language":"en","license":"Copyright (c) 2017 Irmela Herzog","note":"number: 2","page":"642-660","source":"scholarworks.iu.edu","title":"Reconstructing Pre-Industrial Long Distance Roads in a Hilly Region in Germany, Based on Historical and Archaeological Data","volume":"1","author":[{"family":"Herzog","given":"Irmela"}],"issued":{"date-parts":[["2017",12,14]]}}}],"schema":"https://github.com/citation-style-language/schema/raw/master/csl-citation.json"} </w:instrText>
      </w:r>
      <w:r>
        <w:rPr>
          <w:rFonts w:ascii="Aptos" w:eastAsia="Aptos" w:hAnsi="Aptos" w:cs="Aptos"/>
        </w:rPr>
        <w:fldChar w:fldCharType="separate"/>
      </w:r>
      <w:r>
        <w:rPr>
          <w:rFonts w:ascii="Aptos" w:eastAsia="Aptos" w:hAnsi="Aptos" w:cs="Aptos"/>
          <w:noProof/>
        </w:rPr>
        <w:t>(</w:t>
      </w:r>
      <w:r w:rsidRPr="00BA48AC">
        <w:t>Hacιgüzeller</w:t>
      </w:r>
      <w:r>
        <w:rPr>
          <w:rFonts w:ascii="Aptos" w:eastAsia="Aptos" w:hAnsi="Aptos" w:cs="Aptos"/>
          <w:noProof/>
        </w:rPr>
        <w:t xml:space="preserve"> 2012; Bodenhamer 2010; Herzog 2017; Murietta-Flores 2017</w:t>
      </w:r>
      <w:r w:rsidR="001A6473">
        <w:rPr>
          <w:rFonts w:ascii="Aptos" w:eastAsia="Aptos" w:hAnsi="Aptos" w:cs="Aptos"/>
          <w:noProof/>
        </w:rPr>
        <w:t xml:space="preserve">; </w:t>
      </w:r>
      <w:r>
        <w:rPr>
          <w:rFonts w:ascii="Aptos" w:eastAsia="Aptos" w:hAnsi="Aptos" w:cs="Aptos"/>
          <w:noProof/>
        </w:rPr>
        <w:t>Palladino 2023; Barker et al. 2024; Palladino and Colgan 2025)</w:t>
      </w:r>
      <w:r>
        <w:rPr>
          <w:rFonts w:ascii="Aptos" w:eastAsia="Aptos" w:hAnsi="Aptos" w:cs="Aptos"/>
        </w:rPr>
        <w:fldChar w:fldCharType="end"/>
      </w:r>
      <w:r w:rsidRPr="4CEC54F4">
        <w:rPr>
          <w:rFonts w:ascii="Aptos" w:eastAsia="Aptos" w:hAnsi="Aptos" w:cs="Aptos"/>
        </w:rPr>
        <w:t>, we did not consider GIS as a tool to establish a ground truth</w:t>
      </w:r>
      <w:r>
        <w:rPr>
          <w:rFonts w:ascii="Aptos" w:eastAsia="Aptos" w:hAnsi="Aptos" w:cs="Aptos"/>
        </w:rPr>
        <w:t xml:space="preserve"> (Wilson 2017)</w:t>
      </w:r>
      <w:r w:rsidRPr="4CEC54F4">
        <w:rPr>
          <w:rFonts w:ascii="Aptos" w:eastAsia="Aptos" w:hAnsi="Aptos" w:cs="Aptos"/>
        </w:rPr>
        <w:t xml:space="preserve">, but as an interpretive framework to examine the </w:t>
      </w:r>
      <w:r>
        <w:rPr>
          <w:rFonts w:ascii="Aptos" w:eastAsia="Aptos" w:hAnsi="Aptos" w:cs="Aptos"/>
        </w:rPr>
        <w:t xml:space="preserve">complex </w:t>
      </w:r>
      <w:r w:rsidRPr="4CEC54F4">
        <w:rPr>
          <w:rFonts w:ascii="Aptos" w:eastAsia="Aptos" w:hAnsi="Aptos" w:cs="Aptos"/>
        </w:rPr>
        <w:t xml:space="preserve">dialogue between </w:t>
      </w:r>
      <w:r>
        <w:rPr>
          <w:rFonts w:ascii="Aptos" w:eastAsia="Aptos" w:hAnsi="Aptos" w:cs="Aptos"/>
        </w:rPr>
        <w:t xml:space="preserve">narrative </w:t>
      </w:r>
      <w:r w:rsidRPr="4CEC54F4">
        <w:rPr>
          <w:rFonts w:ascii="Aptos" w:eastAsia="Aptos" w:hAnsi="Aptos" w:cs="Aptos"/>
        </w:rPr>
        <w:t xml:space="preserve">and material </w:t>
      </w:r>
      <w:r>
        <w:rPr>
          <w:rFonts w:ascii="Aptos" w:eastAsia="Aptos" w:hAnsi="Aptos" w:cs="Aptos"/>
        </w:rPr>
        <w:t>environmental conditions</w:t>
      </w:r>
      <w:r w:rsidRPr="4CEC54F4">
        <w:rPr>
          <w:rFonts w:ascii="Aptos" w:eastAsia="Aptos" w:hAnsi="Aptos" w:cs="Aptos"/>
        </w:rPr>
        <w:t>, providing a</w:t>
      </w:r>
      <w:r>
        <w:rPr>
          <w:rFonts w:ascii="Aptos" w:eastAsia="Aptos" w:hAnsi="Aptos" w:cs="Aptos"/>
        </w:rPr>
        <w:t xml:space="preserve"> more dynamic</w:t>
      </w:r>
      <w:r w:rsidRPr="4CEC54F4">
        <w:rPr>
          <w:rFonts w:ascii="Aptos" w:eastAsia="Aptos" w:hAnsi="Aptos" w:cs="Aptos"/>
        </w:rPr>
        <w:t xml:space="preserve"> way to represent the narrative and to alert to patterns that are not always discernible in other ways</w:t>
      </w:r>
      <w:r>
        <w:rPr>
          <w:rFonts w:ascii="Aptos" w:eastAsia="Aptos" w:hAnsi="Aptos" w:cs="Aptos"/>
        </w:rPr>
        <w:t xml:space="preserve"> </w:t>
      </w:r>
      <w:r>
        <w:rPr>
          <w:rFonts w:ascii="Aptos" w:eastAsia="Aptos" w:hAnsi="Aptos" w:cs="Aptos"/>
        </w:rPr>
        <w:fldChar w:fldCharType="begin"/>
      </w:r>
      <w:r>
        <w:rPr>
          <w:rFonts w:ascii="Aptos" w:eastAsia="Aptos" w:hAnsi="Aptos" w:cs="Aptos"/>
        </w:rPr>
        <w:instrText xml:space="preserve"> ADDIN ZOTERO_ITEM CSL_CITATION {"citationID":"e49WLP9P","properties":{"formattedCitation":"(Jasnow, Evans, and Clay 2018)","plainCitation":"(Jasnow, Evans, and Clay 2018)","noteIndex":0},"citationItems":[{"id":5157,"uris":["http://zotero.org/groups/5586635/items/KZPNH3Q7"],"itemData":{"id":5157,"type":"article-journal","abstract":", summary:, This paper argues that the town-by-town narratives of the Catalogue of Ships are organized according to the realities of local geography. The poet's methodical organization becomes apparent when lists of Catalogue sites are interpreted in light of two previously unnoticed units of oral compositional thought: syntactical and line-by-line groups, which frequently map onto local topographic features. In addition, we argue that the exceptional way that syntactical groups are used in the Boiotian contingent may suggest its origin in an oral-traditional Thebaid.","container-title":"TAPA","ISSN":"2575-7199","issue":"1","note":"publisher: Johns Hopkins University Press","page":"1-44","source":"Project MUSE","title":"Poetic and Geographical Organization in the Catalogue of Ships","volume":"148","author":[{"family":"Jasnow","given":"Benjamin"},{"family":"Evans","given":"Courtney"},{"family":"Clay","given":"Jenny Strauss"}],"issued":{"date-parts":[["2018"]]}}}],"schema":"https://github.com/citation-style-language/schema/raw/master/csl-citation.json"} </w:instrText>
      </w:r>
      <w:r>
        <w:rPr>
          <w:rFonts w:ascii="Aptos" w:eastAsia="Aptos" w:hAnsi="Aptos" w:cs="Aptos"/>
        </w:rPr>
        <w:fldChar w:fldCharType="separate"/>
      </w:r>
      <w:r>
        <w:rPr>
          <w:rFonts w:ascii="Aptos" w:eastAsia="Aptos" w:hAnsi="Aptos" w:cs="Aptos"/>
          <w:noProof/>
        </w:rPr>
        <w:t>(Jasnow et al. 2018</w:t>
      </w:r>
      <w:r w:rsidR="001A6473">
        <w:rPr>
          <w:rFonts w:ascii="Aptos" w:eastAsia="Aptos" w:hAnsi="Aptos" w:cs="Aptos"/>
          <w:noProof/>
        </w:rPr>
        <w:t>;</w:t>
      </w:r>
      <w:r w:rsidR="001A6473" w:rsidRPr="001A6473">
        <w:rPr>
          <w:rFonts w:ascii="Aptos" w:eastAsia="Aptos" w:hAnsi="Aptos" w:cs="Aptos"/>
          <w:noProof/>
        </w:rPr>
        <w:t xml:space="preserve"> </w:t>
      </w:r>
      <w:r w:rsidR="001A6473">
        <w:rPr>
          <w:rFonts w:ascii="Aptos" w:eastAsia="Aptos" w:hAnsi="Aptos" w:cs="Aptos"/>
          <w:noProof/>
        </w:rPr>
        <w:t>Balck et al. 2023;</w:t>
      </w:r>
      <w:r>
        <w:rPr>
          <w:rFonts w:ascii="Aptos" w:eastAsia="Aptos" w:hAnsi="Aptos" w:cs="Aptos"/>
          <w:noProof/>
        </w:rPr>
        <w:t xml:space="preserve"> </w:t>
      </w:r>
      <w:r>
        <w:t>Petrulevich and Boeck 2023</w:t>
      </w:r>
      <w:r>
        <w:rPr>
          <w:rFonts w:ascii="Aptos" w:eastAsia="Aptos" w:hAnsi="Aptos" w:cs="Aptos"/>
          <w:noProof/>
        </w:rPr>
        <w:t>)</w:t>
      </w:r>
      <w:r>
        <w:rPr>
          <w:rFonts w:ascii="Aptos" w:eastAsia="Aptos" w:hAnsi="Aptos" w:cs="Aptos"/>
        </w:rPr>
        <w:fldChar w:fldCharType="end"/>
      </w:r>
      <w:r w:rsidRPr="4CEC54F4">
        <w:rPr>
          <w:rFonts w:ascii="Aptos" w:eastAsia="Aptos" w:hAnsi="Aptos" w:cs="Aptos"/>
        </w:rPr>
        <w:t xml:space="preserve">. </w:t>
      </w:r>
    </w:p>
    <w:p w14:paraId="4C21223D" w14:textId="77777777" w:rsidR="00B5475E" w:rsidRDefault="00B5475E" w:rsidP="00B5475E">
      <w:r w:rsidRPr="4CEC54F4">
        <w:rPr>
          <w:rFonts w:ascii="Aptos" w:eastAsia="Aptos" w:hAnsi="Aptos" w:cs="Aptos"/>
          <w:b/>
          <w:bCs/>
        </w:rPr>
        <w:t xml:space="preserve">Designing a </w:t>
      </w:r>
      <w:r>
        <w:rPr>
          <w:rFonts w:ascii="Aptos" w:eastAsia="Aptos" w:hAnsi="Aptos" w:cs="Aptos"/>
          <w:b/>
          <w:bCs/>
        </w:rPr>
        <w:t>M</w:t>
      </w:r>
      <w:r w:rsidRPr="4CEC54F4">
        <w:rPr>
          <w:rFonts w:ascii="Aptos" w:eastAsia="Aptos" w:hAnsi="Aptos" w:cs="Aptos"/>
          <w:b/>
          <w:bCs/>
        </w:rPr>
        <w:t>ap for Xenophon</w:t>
      </w:r>
    </w:p>
    <w:p w14:paraId="4ED6CA75" w14:textId="77777777" w:rsidR="001A6473" w:rsidRDefault="001A6473" w:rsidP="00B5475E">
      <w:pPr>
        <w:rPr>
          <w:rFonts w:ascii="Aptos" w:eastAsia="Aptos" w:hAnsi="Aptos" w:cs="Aptos"/>
        </w:rPr>
      </w:pPr>
      <w:r>
        <w:rPr>
          <w:rFonts w:ascii="Aptos" w:eastAsia="Aptos" w:hAnsi="Aptos" w:cs="Aptos"/>
        </w:rPr>
        <w:t>We annotated</w:t>
      </w:r>
      <w:r w:rsidRPr="4CEC54F4">
        <w:rPr>
          <w:rFonts w:ascii="Aptos" w:eastAsia="Aptos" w:hAnsi="Aptos" w:cs="Aptos"/>
        </w:rPr>
        <w:t xml:space="preserve"> </w:t>
      </w:r>
      <w:r>
        <w:rPr>
          <w:rFonts w:ascii="Aptos" w:eastAsia="Aptos" w:hAnsi="Aptos" w:cs="Aptos"/>
        </w:rPr>
        <w:t xml:space="preserve">an English translation of all seven books of the </w:t>
      </w:r>
      <w:r>
        <w:rPr>
          <w:rFonts w:ascii="Aptos" w:eastAsia="Aptos" w:hAnsi="Aptos" w:cs="Aptos"/>
          <w:i/>
          <w:iCs/>
        </w:rPr>
        <w:t>Anabasis</w:t>
      </w:r>
      <w:r>
        <w:rPr>
          <w:rFonts w:ascii="Aptos" w:eastAsia="Aptos" w:hAnsi="Aptos" w:cs="Aptos"/>
        </w:rPr>
        <w:t xml:space="preserve"> (Carleton Lewis Brownson, </w:t>
      </w:r>
      <w:r w:rsidRPr="00A22338">
        <w:t>Loeb Classical Library, London 1922</w:t>
      </w:r>
      <w:r>
        <w:t>)</w:t>
      </w:r>
      <w:r>
        <w:rPr>
          <w:rFonts w:ascii="Aptos" w:eastAsia="Aptos" w:hAnsi="Aptos" w:cs="Aptos"/>
        </w:rPr>
        <w:t xml:space="preserve"> of </w:t>
      </w:r>
      <w:r w:rsidRPr="00BD3A0A">
        <w:rPr>
          <w:rFonts w:ascii="Aptos" w:eastAsia="Aptos" w:hAnsi="Aptos" w:cs="Aptos"/>
        </w:rPr>
        <w:t xml:space="preserve">using </w:t>
      </w:r>
      <w:proofErr w:type="spellStart"/>
      <w:r w:rsidRPr="4CEC54F4">
        <w:rPr>
          <w:rFonts w:ascii="Aptos" w:eastAsia="Aptos" w:hAnsi="Aptos" w:cs="Aptos"/>
        </w:rPr>
        <w:t>Recogito</w:t>
      </w:r>
      <w:proofErr w:type="spellEnd"/>
      <w:r w:rsidRPr="4CEC54F4">
        <w:rPr>
          <w:rFonts w:ascii="Aptos" w:eastAsia="Aptos" w:hAnsi="Aptos" w:cs="Aptos"/>
        </w:rPr>
        <w:t xml:space="preserve"> (</w:t>
      </w:r>
      <w:hyperlink r:id="rId6">
        <w:r w:rsidRPr="4CEC54F4">
          <w:rPr>
            <w:rStyle w:val="Hyperlink"/>
            <w:rFonts w:ascii="Aptos" w:eastAsia="Aptos" w:hAnsi="Aptos" w:cs="Aptos"/>
          </w:rPr>
          <w:t>https://recogito.pelagios.org/</w:t>
        </w:r>
      </w:hyperlink>
      <w:r w:rsidRPr="4CEC54F4">
        <w:rPr>
          <w:rFonts w:ascii="Aptos" w:eastAsia="Aptos" w:hAnsi="Aptos" w:cs="Aptos"/>
        </w:rPr>
        <w:t>)</w:t>
      </w:r>
      <w:r>
        <w:rPr>
          <w:rFonts w:ascii="Aptos" w:eastAsia="Aptos" w:hAnsi="Aptos" w:cs="Aptos"/>
        </w:rPr>
        <w:t xml:space="preserve">. </w:t>
      </w:r>
      <w:r w:rsidR="00B5475E" w:rsidRPr="4CEC54F4">
        <w:rPr>
          <w:rFonts w:ascii="Aptos" w:eastAsia="Aptos" w:hAnsi="Aptos" w:cs="Aptos"/>
        </w:rPr>
        <w:t xml:space="preserve">Tags were added to each annotation using an internal data schema </w:t>
      </w:r>
      <w:r w:rsidR="00B5475E">
        <w:rPr>
          <w:rFonts w:ascii="Aptos" w:eastAsia="Aptos" w:hAnsi="Aptos" w:cs="Aptos"/>
        </w:rPr>
        <w:t xml:space="preserve">(modified from Palladino et al. 2024) </w:t>
      </w:r>
      <w:r w:rsidR="00B5475E" w:rsidRPr="4CEC54F4">
        <w:rPr>
          <w:rFonts w:ascii="Aptos" w:eastAsia="Aptos" w:hAnsi="Aptos" w:cs="Aptos"/>
        </w:rPr>
        <w:t>for different entity types and the point of view of the narrative (e.g. “visited” or “referenced” tags to mark locations physically visited or only mentioned). The places annotated in the text were georeferenced against gazetteers such as Pleiades (</w:t>
      </w:r>
      <w:hyperlink r:id="rId7">
        <w:r w:rsidR="00B5475E" w:rsidRPr="4CEC54F4">
          <w:rPr>
            <w:rStyle w:val="Hyperlink"/>
            <w:rFonts w:ascii="Aptos" w:eastAsia="Aptos" w:hAnsi="Aptos" w:cs="Aptos"/>
          </w:rPr>
          <w:t>https://pleiades.stoa.org/</w:t>
        </w:r>
      </w:hyperlink>
      <w:r w:rsidR="00B5475E" w:rsidRPr="4CEC54F4">
        <w:rPr>
          <w:rFonts w:ascii="Aptos" w:eastAsia="Aptos" w:hAnsi="Aptos" w:cs="Aptos"/>
        </w:rPr>
        <w:t xml:space="preserve">). </w:t>
      </w:r>
      <w:r w:rsidRPr="4CEC54F4">
        <w:rPr>
          <w:rFonts w:ascii="Aptos" w:eastAsia="Aptos" w:hAnsi="Aptos" w:cs="Aptos"/>
        </w:rPr>
        <w:t xml:space="preserve">The resulting annotations were then imported </w:t>
      </w:r>
      <w:r>
        <w:rPr>
          <w:rFonts w:ascii="Aptos" w:eastAsia="Aptos" w:hAnsi="Aptos" w:cs="Aptos"/>
        </w:rPr>
        <w:t xml:space="preserve">and turned into </w:t>
      </w:r>
      <w:proofErr w:type="gramStart"/>
      <w:r>
        <w:rPr>
          <w:rFonts w:ascii="Aptos" w:eastAsia="Aptos" w:hAnsi="Aptos" w:cs="Aptos"/>
        </w:rPr>
        <w:t>locally-stored</w:t>
      </w:r>
      <w:proofErr w:type="gramEnd"/>
      <w:r>
        <w:rPr>
          <w:rFonts w:ascii="Aptos" w:eastAsia="Aptos" w:hAnsi="Aptos" w:cs="Aptos"/>
        </w:rPr>
        <w:t xml:space="preserve"> point-data shapefiles</w:t>
      </w:r>
      <w:r w:rsidRPr="4CEC54F4">
        <w:rPr>
          <w:rFonts w:ascii="Aptos" w:eastAsia="Aptos" w:hAnsi="Aptos" w:cs="Aptos"/>
        </w:rPr>
        <w:t xml:space="preserve"> </w:t>
      </w:r>
      <w:r>
        <w:rPr>
          <w:rFonts w:ascii="Aptos" w:eastAsia="Aptos" w:hAnsi="Aptos" w:cs="Aptos"/>
        </w:rPr>
        <w:t>in</w:t>
      </w:r>
      <w:r w:rsidRPr="4CEC54F4">
        <w:rPr>
          <w:rFonts w:ascii="Aptos" w:eastAsia="Aptos" w:hAnsi="Aptos" w:cs="Aptos"/>
        </w:rPr>
        <w:t xml:space="preserve"> ArcGIS</w:t>
      </w:r>
      <w:r>
        <w:rPr>
          <w:rFonts w:ascii="Aptos" w:eastAsia="Aptos" w:hAnsi="Aptos" w:cs="Aptos"/>
        </w:rPr>
        <w:t xml:space="preserve"> Pro (v. 3.3.0).</w:t>
      </w:r>
    </w:p>
    <w:p w14:paraId="4F54AFC0" w14:textId="7554BCAA" w:rsidR="00B5475E" w:rsidRDefault="00B5475E" w:rsidP="00B5475E">
      <w:pPr>
        <w:rPr>
          <w:rFonts w:ascii="Aptos" w:eastAsia="Aptos" w:hAnsi="Aptos" w:cs="Aptos"/>
        </w:rPr>
      </w:pPr>
      <w:r>
        <w:rPr>
          <w:rFonts w:ascii="Aptos" w:eastAsia="Aptos" w:hAnsi="Aptos" w:cs="Aptos"/>
          <w:noProof/>
        </w:rPr>
        <w:lastRenderedPageBreak/>
        <w:drawing>
          <wp:inline distT="0" distB="0" distL="0" distR="0" wp14:anchorId="2FC1DDDA" wp14:editId="3B68C0D9">
            <wp:extent cx="6491338" cy="3802565"/>
            <wp:effectExtent l="0" t="0" r="0" b="0"/>
            <wp:docPr id="1167833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833854" name="Picture 1167833854"/>
                    <pic:cNvPicPr/>
                  </pic:nvPicPr>
                  <pic:blipFill>
                    <a:blip r:embed="rId8" cstate="print">
                      <a:extLst>
                        <a:ext uri="{28A0092B-C50C-407E-A947-70E740481C1C}">
                          <a14:useLocalDpi xmlns:a14="http://schemas.microsoft.com/office/drawing/2010/main" val="0"/>
                        </a:ext>
                      </a:extLst>
                    </a:blip>
                    <a:stretch>
                      <a:fillRect/>
                    </a:stretch>
                  </pic:blipFill>
                  <pic:spPr>
                    <a:xfrm>
                      <a:off x="0" y="0"/>
                      <a:ext cx="6503924" cy="3809938"/>
                    </a:xfrm>
                    <a:prstGeom prst="rect">
                      <a:avLst/>
                    </a:prstGeom>
                  </pic:spPr>
                </pic:pic>
              </a:graphicData>
            </a:graphic>
          </wp:inline>
        </w:drawing>
      </w:r>
    </w:p>
    <w:p w14:paraId="7EE73402" w14:textId="44A126A7" w:rsidR="00B5475E" w:rsidRPr="00BA48AC" w:rsidRDefault="00B5475E" w:rsidP="00B5475E">
      <w:pPr>
        <w:rPr>
          <w:rFonts w:ascii="Aptos" w:eastAsia="Aptos" w:hAnsi="Aptos" w:cs="Aptos"/>
          <w:i/>
          <w:iCs/>
          <w:sz w:val="20"/>
          <w:szCs w:val="20"/>
        </w:rPr>
      </w:pPr>
      <w:r>
        <w:rPr>
          <w:rFonts w:ascii="Aptos" w:eastAsia="Aptos" w:hAnsi="Aptos" w:cs="Aptos"/>
          <w:i/>
          <w:iCs/>
          <w:sz w:val="20"/>
          <w:szCs w:val="20"/>
        </w:rPr>
        <w:t xml:space="preserve">Figure 1: A screenshot of an annotated portion of Book 1 in </w:t>
      </w:r>
      <w:proofErr w:type="spellStart"/>
      <w:r>
        <w:rPr>
          <w:rFonts w:ascii="Aptos" w:eastAsia="Aptos" w:hAnsi="Aptos" w:cs="Aptos"/>
          <w:i/>
          <w:iCs/>
          <w:sz w:val="20"/>
          <w:szCs w:val="20"/>
        </w:rPr>
        <w:t>Recogito</w:t>
      </w:r>
      <w:proofErr w:type="spellEnd"/>
      <w:r>
        <w:rPr>
          <w:rFonts w:ascii="Aptos" w:eastAsia="Aptos" w:hAnsi="Aptos" w:cs="Aptos"/>
          <w:i/>
          <w:iCs/>
          <w:sz w:val="20"/>
          <w:szCs w:val="20"/>
        </w:rPr>
        <w:t>. Authoritative name tags (e</w:t>
      </w:r>
      <w:r w:rsidR="001A6473">
        <w:rPr>
          <w:rFonts w:ascii="Aptos" w:eastAsia="Aptos" w:hAnsi="Aptos" w:cs="Aptos"/>
          <w:i/>
          <w:iCs/>
          <w:sz w:val="20"/>
          <w:szCs w:val="20"/>
        </w:rPr>
        <w:t>.</w:t>
      </w:r>
      <w:r>
        <w:rPr>
          <w:rFonts w:ascii="Aptos" w:eastAsia="Aptos" w:hAnsi="Aptos" w:cs="Aptos"/>
          <w:i/>
          <w:iCs/>
          <w:sz w:val="20"/>
          <w:szCs w:val="20"/>
        </w:rPr>
        <w:t>g. “</w:t>
      </w:r>
      <w:proofErr w:type="spellStart"/>
      <w:r>
        <w:rPr>
          <w:rFonts w:ascii="Aptos" w:eastAsia="Aptos" w:hAnsi="Aptos" w:cs="Aptos"/>
          <w:i/>
          <w:iCs/>
          <w:sz w:val="20"/>
          <w:szCs w:val="20"/>
        </w:rPr>
        <w:t>Dolopia</w:t>
      </w:r>
      <w:proofErr w:type="spellEnd"/>
      <w:r>
        <w:rPr>
          <w:rFonts w:ascii="Aptos" w:eastAsia="Aptos" w:hAnsi="Aptos" w:cs="Aptos"/>
          <w:i/>
          <w:iCs/>
          <w:sz w:val="20"/>
          <w:szCs w:val="20"/>
        </w:rPr>
        <w:t xml:space="preserve">” indicate a valid </w:t>
      </w:r>
      <w:proofErr w:type="spellStart"/>
      <w:r>
        <w:rPr>
          <w:rFonts w:ascii="Aptos" w:eastAsia="Aptos" w:hAnsi="Aptos" w:cs="Aptos"/>
          <w:i/>
          <w:iCs/>
          <w:sz w:val="20"/>
          <w:szCs w:val="20"/>
        </w:rPr>
        <w:t>Wikidata</w:t>
      </w:r>
      <w:proofErr w:type="spellEnd"/>
      <w:r>
        <w:rPr>
          <w:rFonts w:ascii="Aptos" w:eastAsia="Aptos" w:hAnsi="Aptos" w:cs="Aptos"/>
          <w:i/>
          <w:iCs/>
          <w:sz w:val="20"/>
          <w:szCs w:val="20"/>
        </w:rPr>
        <w:t xml:space="preserve"> link. Annotating the text in </w:t>
      </w:r>
      <w:proofErr w:type="spellStart"/>
      <w:r>
        <w:rPr>
          <w:rFonts w:ascii="Aptos" w:eastAsia="Aptos" w:hAnsi="Aptos" w:cs="Aptos"/>
          <w:i/>
          <w:iCs/>
          <w:sz w:val="20"/>
          <w:szCs w:val="20"/>
        </w:rPr>
        <w:t>Recogitio</w:t>
      </w:r>
      <w:proofErr w:type="spellEnd"/>
      <w:r>
        <w:rPr>
          <w:rFonts w:ascii="Aptos" w:eastAsia="Aptos" w:hAnsi="Aptos" w:cs="Aptos"/>
          <w:i/>
          <w:iCs/>
          <w:sz w:val="20"/>
          <w:szCs w:val="20"/>
        </w:rPr>
        <w:t xml:space="preserve">, and fetching associated place information from Pleiades, was merely the first step in reconstruction. These annotations were </w:t>
      </w:r>
      <w:r w:rsidR="007F180E">
        <w:rPr>
          <w:rFonts w:ascii="Aptos" w:eastAsia="Aptos" w:hAnsi="Aptos" w:cs="Aptos"/>
          <w:i/>
          <w:iCs/>
          <w:sz w:val="20"/>
          <w:szCs w:val="20"/>
        </w:rPr>
        <w:t xml:space="preserve">then exported into a CSV and imported into ArcGIS Pro, turned into shapefiles, and then altered from there based on route reconstruction. </w:t>
      </w:r>
    </w:p>
    <w:p w14:paraId="06C33A13" w14:textId="5B2A310A" w:rsidR="00B5475E" w:rsidRDefault="00B5475E" w:rsidP="00B5475E">
      <w:pPr>
        <w:rPr>
          <w:rFonts w:ascii="Aptos" w:eastAsia="Aptos" w:hAnsi="Aptos" w:cs="Aptos"/>
          <w:color w:val="000000" w:themeColor="text1"/>
        </w:rPr>
      </w:pPr>
      <w:r w:rsidRPr="11E3B7B5">
        <w:rPr>
          <w:rFonts w:ascii="Aptos" w:eastAsia="Aptos" w:hAnsi="Aptos" w:cs="Aptos"/>
        </w:rPr>
        <w:t>To reconstruct the itinerary as individual route segments, we used a combination of distance calculation, least-cost</w:t>
      </w:r>
      <w:r>
        <w:rPr>
          <w:rFonts w:ascii="Aptos" w:eastAsia="Aptos" w:hAnsi="Aptos" w:cs="Aptos"/>
        </w:rPr>
        <w:t>,</w:t>
      </w:r>
      <w:r w:rsidRPr="11E3B7B5">
        <w:rPr>
          <w:rFonts w:ascii="Aptos" w:eastAsia="Aptos" w:hAnsi="Aptos" w:cs="Aptos"/>
        </w:rPr>
        <w:t xml:space="preserve"> and viewshed analys</w:t>
      </w:r>
      <w:r>
        <w:rPr>
          <w:rFonts w:ascii="Aptos" w:eastAsia="Aptos" w:hAnsi="Aptos" w:cs="Aptos"/>
        </w:rPr>
        <w:t>es</w:t>
      </w:r>
      <w:r w:rsidRPr="11E3B7B5">
        <w:rPr>
          <w:rFonts w:ascii="Aptos" w:eastAsia="Aptos" w:hAnsi="Aptos" w:cs="Aptos"/>
        </w:rPr>
        <w:t xml:space="preserve">. We worked with two types of textual evidence, distances and directions, to better understand the orientation of each route portion: we used a </w:t>
      </w:r>
      <w:r>
        <w:rPr>
          <w:rFonts w:ascii="Aptos" w:eastAsia="Aptos" w:hAnsi="Aptos" w:cs="Aptos"/>
        </w:rPr>
        <w:t xml:space="preserve">basic </w:t>
      </w:r>
      <w:r w:rsidRPr="11E3B7B5">
        <w:rPr>
          <w:rFonts w:ascii="Aptos" w:eastAsia="Aptos" w:hAnsi="Aptos" w:cs="Aptos"/>
        </w:rPr>
        <w:t>conversion of 1 parasang = 5.4 km</w:t>
      </w:r>
      <w:r>
        <w:rPr>
          <w:rFonts w:ascii="Aptos" w:eastAsia="Aptos" w:hAnsi="Aptos" w:cs="Aptos"/>
        </w:rPr>
        <w:t xml:space="preserve"> (Smith 1860; for complications see Rood 2010; </w:t>
      </w:r>
      <w:proofErr w:type="spellStart"/>
      <w:r>
        <w:rPr>
          <w:rFonts w:ascii="Aptos" w:eastAsia="Aptos" w:hAnsi="Aptos" w:cs="Aptos"/>
        </w:rPr>
        <w:t>Paradeisopoulos</w:t>
      </w:r>
      <w:proofErr w:type="spellEnd"/>
      <w:r>
        <w:rPr>
          <w:rFonts w:ascii="Aptos" w:eastAsia="Aptos" w:hAnsi="Aptos" w:cs="Aptos"/>
        </w:rPr>
        <w:t xml:space="preserve"> 2014)</w:t>
      </w:r>
      <w:r w:rsidRPr="11E3B7B5">
        <w:rPr>
          <w:rFonts w:ascii="Aptos" w:eastAsia="Aptos" w:hAnsi="Aptos" w:cs="Aptos"/>
        </w:rPr>
        <w:t xml:space="preserve">, taking Xenophon’s given distance at face value as much as possible. When the destination was unlocated or the direction of the route unclear, we used the buffer tool and the declared distance, if available, to create a radius of potential destinations, and integrated it with viewshed analysis and 3D models to better understand the most plausible direction. </w:t>
      </w:r>
      <w:r w:rsidRPr="11E3B7B5">
        <w:rPr>
          <w:color w:val="000000" w:themeColor="text1"/>
        </w:rPr>
        <w:t xml:space="preserve">Using public domain USGS GMTED2010 median-values data, we created a digital elevation model (DEM) that emphasized terrain variation: with this DEM, we created a numerical </w:t>
      </w:r>
      <w:r>
        <w:rPr>
          <w:color w:val="000000" w:themeColor="text1"/>
        </w:rPr>
        <w:t>cost-surface raster (CSR)</w:t>
      </w:r>
      <w:r w:rsidRPr="11E3B7B5">
        <w:rPr>
          <w:color w:val="000000" w:themeColor="text1"/>
        </w:rPr>
        <w:t xml:space="preserve"> to simulate plausible low-cost paths and combined it with viewshed analysis, simulating what could be seen on the location. 3D modeling acted as a supplement to check and clarify the plausibility of these reconstructions.</w:t>
      </w:r>
      <w:r w:rsidRPr="11E3B7B5">
        <w:rPr>
          <w:rFonts w:ascii="Aptos" w:eastAsia="Aptos" w:hAnsi="Aptos" w:cs="Aptos"/>
          <w:color w:val="000000" w:themeColor="text1"/>
        </w:rPr>
        <w:t xml:space="preserve"> </w:t>
      </w:r>
      <w:r>
        <w:rPr>
          <w:rFonts w:ascii="Aptos" w:eastAsia="Aptos" w:hAnsi="Aptos" w:cs="Aptos"/>
          <w:color w:val="000000" w:themeColor="text1"/>
        </w:rPr>
        <w:t>An interactive version of the map was hosted online</w:t>
      </w:r>
      <w:r w:rsidR="007F180E">
        <w:rPr>
          <w:rFonts w:ascii="Aptos" w:eastAsia="Aptos" w:hAnsi="Aptos" w:cs="Aptos"/>
          <w:color w:val="000000" w:themeColor="text1"/>
        </w:rPr>
        <w:t xml:space="preserve"> (</w:t>
      </w:r>
      <w:hyperlink r:id="rId9" w:history="1">
        <w:r w:rsidR="007F180E" w:rsidRPr="00B149DB">
          <w:rPr>
            <w:rStyle w:val="Hyperlink"/>
          </w:rPr>
          <w:t>https://arcg.is/18rDDf3</w:t>
        </w:r>
      </w:hyperlink>
      <w:r w:rsidR="001A6473">
        <w:rPr>
          <w:color w:val="000000" w:themeColor="text1"/>
        </w:rPr>
        <w:t xml:space="preserve">, </w:t>
      </w:r>
      <w:r w:rsidR="007F180E">
        <w:rPr>
          <w:color w:val="000000" w:themeColor="text1"/>
        </w:rPr>
        <w:t>with a dedicated site in-progress</w:t>
      </w:r>
      <w:r w:rsidR="007F180E" w:rsidRPr="007F180E">
        <w:rPr>
          <w:color w:val="000000" w:themeColor="text1"/>
        </w:rPr>
        <w:t>)</w:t>
      </w:r>
      <w:r w:rsidRPr="007F180E">
        <w:rPr>
          <w:rFonts w:ascii="Aptos" w:eastAsia="Aptos" w:hAnsi="Aptos" w:cs="Aptos"/>
          <w:color w:val="000000" w:themeColor="text1"/>
        </w:rPr>
        <w:t>,</w:t>
      </w:r>
      <w:r>
        <w:rPr>
          <w:rFonts w:ascii="Aptos" w:eastAsia="Aptos" w:hAnsi="Aptos" w:cs="Aptos"/>
          <w:color w:val="000000" w:themeColor="text1"/>
        </w:rPr>
        <w:t xml:space="preserve"> allowing a user to explore the </w:t>
      </w:r>
      <w:r>
        <w:rPr>
          <w:rFonts w:ascii="Aptos" w:eastAsia="Aptos" w:hAnsi="Aptos" w:cs="Aptos"/>
          <w:color w:val="000000" w:themeColor="text1"/>
        </w:rPr>
        <w:lastRenderedPageBreak/>
        <w:t>narrative cartographically. All the metadata was likewise accessible, including extensive documentation on each reconstructed route segment, its reasonings and/or ambiguities.</w:t>
      </w:r>
    </w:p>
    <w:p w14:paraId="0A979C6F" w14:textId="77777777" w:rsidR="00B5475E" w:rsidRDefault="00B5475E" w:rsidP="00B5475E">
      <w:pPr>
        <w:rPr>
          <w:rFonts w:ascii="Aptos" w:eastAsia="Aptos" w:hAnsi="Aptos" w:cs="Aptos"/>
          <w:color w:val="000000" w:themeColor="text1"/>
        </w:rPr>
      </w:pPr>
      <w:r>
        <w:rPr>
          <w:rFonts w:ascii="Aptos" w:eastAsia="Aptos" w:hAnsi="Aptos" w:cs="Aptos"/>
          <w:noProof/>
          <w:color w:val="000000" w:themeColor="text1"/>
        </w:rPr>
        <w:drawing>
          <wp:inline distT="0" distB="0" distL="0" distR="0" wp14:anchorId="3CBB17B4" wp14:editId="70892A2E">
            <wp:extent cx="6640185" cy="2854712"/>
            <wp:effectExtent l="0" t="0" r="2540" b="3175"/>
            <wp:docPr id="10603209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320945" name="Picture 106032094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652382" cy="2859956"/>
                    </a:xfrm>
                    <a:prstGeom prst="rect">
                      <a:avLst/>
                    </a:prstGeom>
                  </pic:spPr>
                </pic:pic>
              </a:graphicData>
            </a:graphic>
          </wp:inline>
        </w:drawing>
      </w:r>
    </w:p>
    <w:p w14:paraId="75590445" w14:textId="32423672" w:rsidR="00B5475E" w:rsidRDefault="00B5475E" w:rsidP="00B5475E">
      <w:pPr>
        <w:rPr>
          <w:rFonts w:ascii="Aptos" w:eastAsia="Aptos" w:hAnsi="Aptos" w:cs="Aptos"/>
          <w:b/>
          <w:bCs/>
        </w:rPr>
      </w:pPr>
      <w:r w:rsidRPr="00BA48AC">
        <w:rPr>
          <w:color w:val="000000" w:themeColor="text1"/>
          <w:sz w:val="20"/>
          <w:szCs w:val="20"/>
        </w:rPr>
        <w:t>Fig</w:t>
      </w:r>
      <w:r>
        <w:rPr>
          <w:color w:val="000000" w:themeColor="text1"/>
          <w:sz w:val="20"/>
          <w:szCs w:val="20"/>
        </w:rPr>
        <w:t xml:space="preserve">ure 2: A screenshot of the interactive </w:t>
      </w:r>
      <w:proofErr w:type="spellStart"/>
      <w:r>
        <w:rPr>
          <w:color w:val="000000" w:themeColor="text1"/>
          <w:sz w:val="20"/>
          <w:szCs w:val="20"/>
        </w:rPr>
        <w:t>StoryMap</w:t>
      </w:r>
      <w:proofErr w:type="spellEnd"/>
      <w:r>
        <w:rPr>
          <w:color w:val="000000" w:themeColor="text1"/>
          <w:sz w:val="20"/>
          <w:szCs w:val="20"/>
        </w:rPr>
        <w:t xml:space="preserve"> (</w:t>
      </w:r>
      <w:hyperlink r:id="rId11" w:history="1">
        <w:r w:rsidRPr="00B149DB">
          <w:rPr>
            <w:rStyle w:val="Hyperlink"/>
            <w:sz w:val="20"/>
            <w:szCs w:val="20"/>
          </w:rPr>
          <w:t>https://arcg.is/18rDDf3</w:t>
        </w:r>
      </w:hyperlink>
      <w:r>
        <w:rPr>
          <w:color w:val="000000" w:themeColor="text1"/>
          <w:sz w:val="20"/>
          <w:szCs w:val="20"/>
        </w:rPr>
        <w:t>) highlighting a segment of Book 5 with a pop-out window showing preliminary metadata.</w:t>
      </w:r>
    </w:p>
    <w:p w14:paraId="7305C2E0" w14:textId="77777777" w:rsidR="00B5475E" w:rsidRDefault="00B5475E" w:rsidP="00B5475E">
      <w:pPr>
        <w:rPr>
          <w:rFonts w:ascii="Aptos" w:eastAsia="Aptos" w:hAnsi="Aptos" w:cs="Aptos"/>
          <w:b/>
          <w:bCs/>
        </w:rPr>
      </w:pPr>
      <w:r>
        <w:rPr>
          <w:rFonts w:ascii="Aptos" w:eastAsia="Aptos" w:hAnsi="Aptos" w:cs="Aptos"/>
          <w:b/>
          <w:bCs/>
        </w:rPr>
        <w:t>Case Study: The Chalybes Problem</w:t>
      </w:r>
    </w:p>
    <w:p w14:paraId="3F11F64C" w14:textId="77777777" w:rsidR="00B5475E" w:rsidRDefault="00B5475E" w:rsidP="00B5475E">
      <w:pPr>
        <w:shd w:val="clear" w:color="auto" w:fill="FFFFFF" w:themeFill="background1"/>
        <w:rPr>
          <w:color w:val="000000" w:themeColor="text1"/>
        </w:rPr>
      </w:pPr>
      <w:r w:rsidRPr="068BA729">
        <w:rPr>
          <w:color w:val="000000" w:themeColor="text1"/>
        </w:rPr>
        <w:t>Xenophon’s narrative and the map can often be reconciled, sometimes with remarkable accuracy with respect to the distances provided, and GIS helps understanding the reasons why the army may have taken certain directions. However, there are cases where the conflict between story and map is irresolvable.</w:t>
      </w:r>
      <w:r w:rsidRPr="00BD237A">
        <w:rPr>
          <w:noProof/>
        </w:rPr>
        <w:t xml:space="preserve"> </w:t>
      </w:r>
    </w:p>
    <w:p w14:paraId="2F22A33E" w14:textId="77777777" w:rsidR="00B5475E" w:rsidRDefault="00B5475E" w:rsidP="00B5475E">
      <w:pPr>
        <w:keepNext/>
        <w:shd w:val="clear" w:color="auto" w:fill="FFFFFF" w:themeFill="background1"/>
        <w:rPr>
          <w:noProof/>
        </w:rPr>
      </w:pPr>
      <w:r w:rsidRPr="068BA729">
        <w:rPr>
          <w:color w:val="000000" w:themeColor="text1"/>
        </w:rPr>
        <w:t xml:space="preserve">In </w:t>
      </w:r>
      <w:r w:rsidRPr="068BA729">
        <w:rPr>
          <w:i/>
          <w:iCs/>
          <w:color w:val="000000" w:themeColor="text1"/>
        </w:rPr>
        <w:t>Anab.</w:t>
      </w:r>
      <w:r w:rsidRPr="068BA729">
        <w:rPr>
          <w:color w:val="000000" w:themeColor="text1"/>
        </w:rPr>
        <w:t xml:space="preserve"> 4.6.6–4.7.19, Xenophon’s distances are hundreds of kilometers over what the geographic area can accommodate. Xenophon marks this part of the march through the encounter with the </w:t>
      </w:r>
      <w:proofErr w:type="spellStart"/>
      <w:r w:rsidRPr="068BA729">
        <w:rPr>
          <w:color w:val="000000" w:themeColor="text1"/>
        </w:rPr>
        <w:t>Chalybians</w:t>
      </w:r>
      <w:proofErr w:type="spellEnd"/>
      <w:r w:rsidRPr="068BA729">
        <w:rPr>
          <w:color w:val="000000" w:themeColor="text1"/>
        </w:rPr>
        <w:t xml:space="preserve">, a tribe located much farther west in contemporary sources. Visual modeling shows that Xenophon’s Chalybes are a generic label imposed on non-Greek Black Sea peoples (a reflection of a Greek conceptualization of the world), and its spatial ambiguity is used intentionally to disguise the complicated navigation in this </w:t>
      </w:r>
      <w:r w:rsidRPr="068BA729">
        <w:rPr>
          <w:color w:val="000000" w:themeColor="text1"/>
        </w:rPr>
        <w:lastRenderedPageBreak/>
        <w:t>region. Our map, therefore, far from suggesting a clear-cut route, reflects Xenophon’s</w:t>
      </w:r>
      <w:r>
        <w:rPr>
          <w:color w:val="000000" w:themeColor="text1"/>
        </w:rPr>
        <w:t xml:space="preserve"> </w:t>
      </w:r>
      <w:r w:rsidRPr="068BA729">
        <w:rPr>
          <w:color w:val="000000" w:themeColor="text1"/>
        </w:rPr>
        <w:t>narrative expedients in a particularly controversial passage.</w:t>
      </w:r>
      <w:r w:rsidRPr="00BD237A">
        <w:rPr>
          <w:noProof/>
        </w:rPr>
        <w:t xml:space="preserve"> </w:t>
      </w:r>
    </w:p>
    <w:p w14:paraId="5EDD4EFF" w14:textId="77777777" w:rsidR="00B5475E" w:rsidRDefault="00B5475E" w:rsidP="00B5475E">
      <w:pPr>
        <w:keepNext/>
        <w:shd w:val="clear" w:color="auto" w:fill="FFFFFF" w:themeFill="background1"/>
      </w:pPr>
      <w:r>
        <w:rPr>
          <w:noProof/>
        </w:rPr>
        <w:drawing>
          <wp:inline distT="0" distB="0" distL="0" distR="0" wp14:anchorId="59242616" wp14:editId="5AD6121A">
            <wp:extent cx="5943600" cy="4592955"/>
            <wp:effectExtent l="0" t="0" r="0" b="4445"/>
            <wp:docPr id="9637426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42601" name="Picture 9637426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B2C85CB" w14:textId="39CED6BC" w:rsidR="00B5475E" w:rsidRPr="00BA48AC" w:rsidRDefault="00B5475E" w:rsidP="00B5475E">
      <w:pPr>
        <w:pStyle w:val="Caption"/>
        <w:rPr>
          <w:color w:val="000000" w:themeColor="text1"/>
          <w:sz w:val="20"/>
          <w:szCs w:val="20"/>
        </w:rPr>
      </w:pPr>
      <w:r w:rsidRPr="00BA48AC">
        <w:rPr>
          <w:color w:val="000000" w:themeColor="text1"/>
          <w:sz w:val="20"/>
          <w:szCs w:val="20"/>
        </w:rPr>
        <w:t>Figure</w:t>
      </w:r>
      <w:r>
        <w:rPr>
          <w:color w:val="000000" w:themeColor="text1"/>
          <w:sz w:val="20"/>
          <w:szCs w:val="20"/>
        </w:rPr>
        <w:t xml:space="preserve"> 3</w:t>
      </w:r>
      <w:r w:rsidRPr="00BA48AC">
        <w:rPr>
          <w:color w:val="000000" w:themeColor="text1"/>
          <w:sz w:val="20"/>
          <w:szCs w:val="20"/>
        </w:rPr>
        <w:t xml:space="preserve">. The second half of the march recounted in Book 4, with reconstructed endpoints for the place of encounter with the local tribes, the </w:t>
      </w:r>
      <w:proofErr w:type="spellStart"/>
      <w:r w:rsidRPr="00BA48AC">
        <w:rPr>
          <w:color w:val="000000" w:themeColor="text1"/>
          <w:sz w:val="20"/>
          <w:szCs w:val="20"/>
        </w:rPr>
        <w:t>Taochians</w:t>
      </w:r>
      <w:proofErr w:type="spellEnd"/>
      <w:r w:rsidRPr="00BA48AC">
        <w:rPr>
          <w:color w:val="000000" w:themeColor="text1"/>
          <w:sz w:val="20"/>
          <w:szCs w:val="20"/>
        </w:rPr>
        <w:t xml:space="preserve"> and the </w:t>
      </w:r>
      <w:proofErr w:type="spellStart"/>
      <w:r w:rsidRPr="00BA48AC">
        <w:rPr>
          <w:color w:val="000000" w:themeColor="text1"/>
          <w:sz w:val="20"/>
          <w:szCs w:val="20"/>
        </w:rPr>
        <w:t>Chalybians</w:t>
      </w:r>
      <w:proofErr w:type="spellEnd"/>
      <w:r w:rsidRPr="00BA48AC">
        <w:rPr>
          <w:color w:val="000000" w:themeColor="text1"/>
          <w:sz w:val="20"/>
          <w:szCs w:val="20"/>
        </w:rPr>
        <w:t>.</w:t>
      </w:r>
    </w:p>
    <w:p w14:paraId="2615B1F0" w14:textId="77777777" w:rsidR="00B5475E" w:rsidRDefault="00B5475E" w:rsidP="00B5475E">
      <w:pPr>
        <w:rPr>
          <w:color w:val="000000" w:themeColor="text1"/>
        </w:rPr>
      </w:pPr>
      <w:r w:rsidRPr="068BA729">
        <w:rPr>
          <w:rFonts w:ascii="Aptos" w:eastAsia="Aptos" w:hAnsi="Aptos" w:cs="Aptos"/>
          <w:b/>
          <w:bCs/>
        </w:rPr>
        <w:t xml:space="preserve">Conclusions </w:t>
      </w:r>
    </w:p>
    <w:p w14:paraId="2957FAF6" w14:textId="77777777" w:rsidR="00B5475E" w:rsidRDefault="00B5475E" w:rsidP="00B5475E">
      <w:pPr>
        <w:rPr>
          <w:color w:val="000000" w:themeColor="text1"/>
        </w:rPr>
      </w:pPr>
      <w:r w:rsidRPr="068BA729">
        <w:rPr>
          <w:color w:val="000000" w:themeColor="text1"/>
        </w:rPr>
        <w:t>The subjectivity of Xenophon’s account pushes the limits of quantitative GIS modeling. At the same time, GIS enables an exploration of narrative within the perspective of the physical environment and its constraints. Even in examples where the two are irreconcilable, that very incompatibility reveals deeper insights into the text.</w:t>
      </w:r>
    </w:p>
    <w:p w14:paraId="2F4380BE" w14:textId="39BB4B7E" w:rsidR="00B5475E" w:rsidRDefault="00B5475E" w:rsidP="00B5475E">
      <w:pPr>
        <w:rPr>
          <w:color w:val="000000" w:themeColor="text1"/>
        </w:rPr>
      </w:pPr>
      <w:r w:rsidRPr="4CEC54F4">
        <w:rPr>
          <w:color w:val="000000" w:themeColor="text1"/>
        </w:rPr>
        <w:t xml:space="preserve">This project highlights the potential of </w:t>
      </w:r>
      <w:r>
        <w:rPr>
          <w:color w:val="000000" w:themeColor="text1"/>
        </w:rPr>
        <w:t xml:space="preserve">GIS and </w:t>
      </w:r>
      <w:r w:rsidRPr="4CEC54F4">
        <w:rPr>
          <w:color w:val="000000" w:themeColor="text1"/>
        </w:rPr>
        <w:t xml:space="preserve">Digital Humanities </w:t>
      </w:r>
      <w:r>
        <w:rPr>
          <w:color w:val="000000" w:themeColor="text1"/>
        </w:rPr>
        <w:t>in representing uncertainty</w:t>
      </w:r>
      <w:r w:rsidRPr="4CEC54F4">
        <w:rPr>
          <w:color w:val="000000" w:themeColor="text1"/>
        </w:rPr>
        <w:t>. The ancient text acts as focal point</w:t>
      </w:r>
      <w:r>
        <w:rPr>
          <w:color w:val="000000" w:themeColor="text1"/>
        </w:rPr>
        <w:t xml:space="preserve"> but GIS representations </w:t>
      </w:r>
      <w:r w:rsidRPr="4CEC54F4">
        <w:rPr>
          <w:color w:val="000000" w:themeColor="text1"/>
        </w:rPr>
        <w:t>offer</w:t>
      </w:r>
      <w:r>
        <w:rPr>
          <w:color w:val="000000" w:themeColor="text1"/>
        </w:rPr>
        <w:t xml:space="preserve"> a new lens into the geographic narrative and authorial intent,</w:t>
      </w:r>
      <w:r w:rsidRPr="4CEC54F4">
        <w:rPr>
          <w:color w:val="000000" w:themeColor="text1"/>
        </w:rPr>
        <w:t xml:space="preserve"> supporting a nuanced awareness of the limitations of </w:t>
      </w:r>
      <w:r>
        <w:rPr>
          <w:color w:val="000000" w:themeColor="text1"/>
        </w:rPr>
        <w:t xml:space="preserve">both </w:t>
      </w:r>
      <w:r w:rsidRPr="4CEC54F4">
        <w:rPr>
          <w:color w:val="000000" w:themeColor="text1"/>
        </w:rPr>
        <w:t xml:space="preserve">the </w:t>
      </w:r>
      <w:r>
        <w:rPr>
          <w:color w:val="000000" w:themeColor="text1"/>
        </w:rPr>
        <w:t xml:space="preserve">text and </w:t>
      </w:r>
      <w:r w:rsidRPr="4CEC54F4">
        <w:rPr>
          <w:color w:val="000000" w:themeColor="text1"/>
        </w:rPr>
        <w:t>map</w:t>
      </w:r>
      <w:r>
        <w:rPr>
          <w:color w:val="000000" w:themeColor="text1"/>
        </w:rPr>
        <w:t xml:space="preserve"> (Palladino 2021; Foka et al. 2023).</w:t>
      </w:r>
    </w:p>
    <w:p w14:paraId="4BAEB68A" w14:textId="77777777" w:rsidR="00B5475E" w:rsidRDefault="00B5475E" w:rsidP="00B5475E">
      <w:pPr>
        <w:rPr>
          <w:rFonts w:ascii="Aptos" w:eastAsia="Aptos" w:hAnsi="Aptos" w:cs="Aptos"/>
          <w:b/>
          <w:bCs/>
        </w:rPr>
      </w:pPr>
      <w:r>
        <w:rPr>
          <w:rFonts w:ascii="Aptos" w:eastAsia="Aptos" w:hAnsi="Aptos" w:cs="Aptos"/>
          <w:b/>
          <w:bCs/>
        </w:rPr>
        <w:br w:type="page"/>
      </w:r>
    </w:p>
    <w:p w14:paraId="089DAAD9" w14:textId="77777777" w:rsidR="00B5475E" w:rsidRPr="00B5475E" w:rsidRDefault="00B5475E" w:rsidP="00B5475E">
      <w:pPr>
        <w:rPr>
          <w:rFonts w:ascii="Aptos" w:eastAsia="Aptos" w:hAnsi="Aptos" w:cs="Aptos"/>
          <w:b/>
          <w:bCs/>
        </w:rPr>
      </w:pPr>
      <w:r w:rsidRPr="00B5475E">
        <w:rPr>
          <w:rFonts w:ascii="Aptos" w:eastAsia="Aptos" w:hAnsi="Aptos" w:cs="Aptos"/>
          <w:b/>
          <w:bCs/>
        </w:rPr>
        <w:lastRenderedPageBreak/>
        <w:t xml:space="preserve">Bibliography </w:t>
      </w:r>
    </w:p>
    <w:p w14:paraId="23AFEABA" w14:textId="77777777" w:rsidR="00B5475E" w:rsidRPr="00B5475E" w:rsidRDefault="00B5475E" w:rsidP="00B5475E">
      <w:pPr>
        <w:ind w:left="720" w:hanging="720"/>
        <w:rPr>
          <w:rStyle w:val="eop"/>
          <w:rFonts w:ascii="Aptos" w:eastAsiaTheme="majorEastAsia" w:hAnsi="Aptos"/>
          <w:color w:val="000000"/>
          <w:sz w:val="22"/>
          <w:szCs w:val="22"/>
          <w:shd w:val="clear" w:color="auto" w:fill="FFFFFF"/>
        </w:rPr>
      </w:pPr>
      <w:r w:rsidRPr="00B5475E">
        <w:rPr>
          <w:rFonts w:ascii="Aptos" w:hAnsi="Aptos"/>
          <w:sz w:val="22"/>
          <w:szCs w:val="22"/>
        </w:rPr>
        <w:t xml:space="preserve">Ainsworth, William Francis. (1844). </w:t>
      </w:r>
      <w:r w:rsidRPr="00B5475E">
        <w:rPr>
          <w:rFonts w:ascii="Aptos" w:hAnsi="Aptos"/>
          <w:i/>
          <w:iCs/>
          <w:sz w:val="22"/>
          <w:szCs w:val="22"/>
        </w:rPr>
        <w:t>Travels in the Track of the Ten Thousand Greeks: Being a Geographical and Descriptive Account of the Expedition of Cyrus and of the Retreat of the Ten Thousand Greeks, as Related by Xenophon</w:t>
      </w:r>
      <w:r w:rsidRPr="00B5475E">
        <w:rPr>
          <w:rFonts w:ascii="Aptos" w:hAnsi="Aptos"/>
          <w:sz w:val="22"/>
          <w:szCs w:val="22"/>
        </w:rPr>
        <w:t>. Parker.</w:t>
      </w:r>
      <w:r w:rsidRPr="00B5475E">
        <w:rPr>
          <w:rStyle w:val="eop"/>
          <w:rFonts w:ascii="Aptos" w:eastAsiaTheme="majorEastAsia" w:hAnsi="Aptos"/>
          <w:color w:val="000000"/>
          <w:sz w:val="22"/>
          <w:szCs w:val="22"/>
          <w:shd w:val="clear" w:color="auto" w:fill="FFFFFF"/>
        </w:rPr>
        <w:t> </w:t>
      </w:r>
    </w:p>
    <w:p w14:paraId="2ECC9546" w14:textId="6018B978" w:rsidR="00B5475E" w:rsidRPr="00B5475E" w:rsidRDefault="00B5475E" w:rsidP="00B5475E">
      <w:pPr>
        <w:ind w:left="720" w:hanging="720"/>
        <w:rPr>
          <w:rStyle w:val="eop"/>
          <w:rFonts w:ascii="Aptos" w:eastAsiaTheme="majorEastAsia" w:hAnsi="Aptos"/>
          <w:color w:val="000000"/>
          <w:sz w:val="22"/>
          <w:szCs w:val="22"/>
          <w:shd w:val="clear" w:color="auto" w:fill="FFFFFF"/>
        </w:rPr>
      </w:pPr>
      <w:proofErr w:type="spellStart"/>
      <w:r w:rsidRPr="00B5475E">
        <w:rPr>
          <w:rFonts w:ascii="Aptos" w:hAnsi="Aptos"/>
          <w:sz w:val="22"/>
          <w:szCs w:val="22"/>
        </w:rPr>
        <w:t>Balck</w:t>
      </w:r>
      <w:proofErr w:type="spellEnd"/>
      <w:r w:rsidRPr="00B5475E">
        <w:rPr>
          <w:rFonts w:ascii="Aptos" w:hAnsi="Aptos"/>
          <w:sz w:val="22"/>
          <w:szCs w:val="22"/>
        </w:rPr>
        <w:t>, Sandra, Ingo Frank, Hermann Beyer-</w:t>
      </w:r>
      <w:proofErr w:type="spellStart"/>
      <w:r w:rsidRPr="00B5475E">
        <w:rPr>
          <w:rFonts w:ascii="Aptos" w:hAnsi="Aptos"/>
          <w:sz w:val="22"/>
          <w:szCs w:val="22"/>
        </w:rPr>
        <w:t>Thoma</w:t>
      </w:r>
      <w:proofErr w:type="spellEnd"/>
      <w:r w:rsidRPr="00B5475E">
        <w:rPr>
          <w:rFonts w:ascii="Aptos" w:hAnsi="Aptos"/>
          <w:sz w:val="22"/>
          <w:szCs w:val="22"/>
        </w:rPr>
        <w:t xml:space="preserve">, and Anna </w:t>
      </w:r>
      <w:proofErr w:type="spellStart"/>
      <w:r w:rsidRPr="00B5475E">
        <w:rPr>
          <w:rFonts w:ascii="Aptos" w:hAnsi="Aptos"/>
          <w:sz w:val="22"/>
          <w:szCs w:val="22"/>
        </w:rPr>
        <w:t>Ananieva</w:t>
      </w:r>
      <w:proofErr w:type="spellEnd"/>
      <w:r w:rsidRPr="00B5475E">
        <w:rPr>
          <w:rFonts w:ascii="Aptos" w:hAnsi="Aptos"/>
          <w:sz w:val="22"/>
          <w:szCs w:val="22"/>
        </w:rPr>
        <w:t xml:space="preserve">. (2023). “Interlinking Text and Data with Semantic Annotation and Ontology Design Patterns to </w:t>
      </w:r>
      <w:proofErr w:type="spellStart"/>
      <w:r w:rsidRPr="00B5475E">
        <w:rPr>
          <w:rFonts w:ascii="Aptos" w:hAnsi="Aptos"/>
          <w:sz w:val="22"/>
          <w:szCs w:val="22"/>
        </w:rPr>
        <w:t>Analyse</w:t>
      </w:r>
      <w:proofErr w:type="spellEnd"/>
      <w:r w:rsidRPr="00B5475E">
        <w:rPr>
          <w:rFonts w:ascii="Aptos" w:hAnsi="Aptos"/>
          <w:sz w:val="22"/>
          <w:szCs w:val="22"/>
        </w:rPr>
        <w:t xml:space="preserve"> Historical Travelogues.” Digital Humanities Quarterly 17 (3). https://www.digitalhumanities. org/</w:t>
      </w:r>
      <w:proofErr w:type="spellStart"/>
      <w:r w:rsidRPr="00B5475E">
        <w:rPr>
          <w:rFonts w:ascii="Aptos" w:hAnsi="Aptos"/>
          <w:sz w:val="22"/>
          <w:szCs w:val="22"/>
        </w:rPr>
        <w:t>dhq</w:t>
      </w:r>
      <w:proofErr w:type="spellEnd"/>
      <w:r w:rsidRPr="00B5475E">
        <w:rPr>
          <w:rFonts w:ascii="Aptos" w:hAnsi="Aptos"/>
          <w:sz w:val="22"/>
          <w:szCs w:val="22"/>
        </w:rPr>
        <w:t>/vol/17/3/000726/000726.html.</w:t>
      </w:r>
    </w:p>
    <w:p w14:paraId="79875EA4" w14:textId="77777777" w:rsidR="00B5475E" w:rsidRPr="00B5475E" w:rsidRDefault="00B5475E" w:rsidP="00B5475E">
      <w:pPr>
        <w:ind w:left="720" w:hanging="720"/>
        <w:rPr>
          <w:rFonts w:ascii="Aptos" w:hAnsi="Aptos"/>
          <w:color w:val="000000" w:themeColor="text1"/>
          <w:sz w:val="22"/>
          <w:szCs w:val="22"/>
        </w:rPr>
      </w:pPr>
      <w:r w:rsidRPr="00B5475E">
        <w:rPr>
          <w:rFonts w:ascii="Aptos" w:hAnsi="Aptos"/>
          <w:color w:val="000000" w:themeColor="text1"/>
          <w:sz w:val="22"/>
          <w:szCs w:val="22"/>
          <w:shd w:val="clear" w:color="auto" w:fill="FFFFFF"/>
        </w:rPr>
        <w:t xml:space="preserve">Barker, Elton, Chiara Palladino, and Shai Gordin. (2024). “Digital Approaches to Investigating Space and Place in Classical Studies.” </w:t>
      </w:r>
      <w:r w:rsidRPr="00B5475E">
        <w:rPr>
          <w:rFonts w:ascii="Aptos" w:hAnsi="Aptos"/>
          <w:i/>
          <w:iCs/>
          <w:color w:val="000000" w:themeColor="text1"/>
          <w:sz w:val="22"/>
          <w:szCs w:val="22"/>
          <w:shd w:val="clear" w:color="auto" w:fill="FFFFFF"/>
        </w:rPr>
        <w:t>The Classical Review</w:t>
      </w:r>
      <w:r w:rsidRPr="00B5475E">
        <w:rPr>
          <w:rFonts w:ascii="Aptos" w:hAnsi="Aptos"/>
          <w:color w:val="000000" w:themeColor="text1"/>
          <w:sz w:val="22"/>
          <w:szCs w:val="22"/>
          <w:shd w:val="clear" w:color="auto" w:fill="FFFFFF"/>
        </w:rPr>
        <w:t xml:space="preserve">, </w:t>
      </w:r>
      <w:r w:rsidRPr="00B5475E">
        <w:rPr>
          <w:rFonts w:ascii="Aptos" w:hAnsi="Aptos"/>
          <w:i/>
          <w:iCs/>
          <w:color w:val="000000" w:themeColor="text1"/>
          <w:sz w:val="22"/>
          <w:szCs w:val="22"/>
          <w:shd w:val="clear" w:color="auto" w:fill="FFFFFF"/>
        </w:rPr>
        <w:t>74</w:t>
      </w:r>
      <w:r w:rsidRPr="00B5475E">
        <w:rPr>
          <w:rFonts w:ascii="Aptos" w:hAnsi="Aptos"/>
          <w:color w:val="000000" w:themeColor="text1"/>
          <w:sz w:val="22"/>
          <w:szCs w:val="22"/>
          <w:shd w:val="clear" w:color="auto" w:fill="FFFFFF"/>
        </w:rPr>
        <w:t xml:space="preserve">(1), 1–19. doi:10.1017/S0009840X23002858. </w:t>
      </w:r>
    </w:p>
    <w:p w14:paraId="5946ACF7" w14:textId="77777777" w:rsidR="00B5475E" w:rsidRPr="00B5475E" w:rsidRDefault="00B5475E" w:rsidP="00B5475E">
      <w:pPr>
        <w:ind w:left="720" w:hanging="720"/>
        <w:rPr>
          <w:rStyle w:val="eop"/>
          <w:rFonts w:ascii="Aptos" w:eastAsiaTheme="majorEastAsia" w:hAnsi="Aptos"/>
          <w:color w:val="000000"/>
          <w:sz w:val="22"/>
          <w:szCs w:val="22"/>
          <w:shd w:val="clear" w:color="auto" w:fill="FFFFFF"/>
        </w:rPr>
      </w:pPr>
      <w:r w:rsidRPr="00B5475E">
        <w:rPr>
          <w:rFonts w:ascii="Aptos" w:hAnsi="Aptos"/>
          <w:sz w:val="22"/>
          <w:szCs w:val="22"/>
        </w:rPr>
        <w:t>Barnett, R. D. (1982). “Urartu.” In The Cambridge Ancient History, edited by E. Sollberger, I. E. S. Edwards, John Boardman, and N. G. L. Hammond, 2nd ed., 3:314–71. </w:t>
      </w:r>
      <w:r w:rsidRPr="00B5475E">
        <w:rPr>
          <w:rFonts w:ascii="Aptos" w:hAnsi="Aptos"/>
          <w:i/>
          <w:iCs/>
          <w:sz w:val="22"/>
          <w:szCs w:val="22"/>
        </w:rPr>
        <w:t>The Cambridge Ancient History</w:t>
      </w:r>
      <w:r w:rsidRPr="00B5475E">
        <w:rPr>
          <w:rFonts w:ascii="Aptos" w:hAnsi="Aptos"/>
          <w:sz w:val="22"/>
          <w:szCs w:val="22"/>
        </w:rPr>
        <w:t xml:space="preserve">. Cambridge: Cambridge University Press. </w:t>
      </w:r>
      <w:hyperlink r:id="rId13" w:history="1">
        <w:r w:rsidRPr="00B5475E">
          <w:rPr>
            <w:rFonts w:ascii="Aptos" w:hAnsi="Aptos"/>
            <w:sz w:val="22"/>
            <w:szCs w:val="22"/>
          </w:rPr>
          <w:t>https://doi.org/10.1017/CHOL9780521224963.009</w:t>
        </w:r>
      </w:hyperlink>
      <w:r w:rsidRPr="00B5475E">
        <w:rPr>
          <w:rFonts w:ascii="Aptos" w:hAnsi="Aptos"/>
          <w:sz w:val="22"/>
          <w:szCs w:val="22"/>
        </w:rPr>
        <w:t>.</w:t>
      </w:r>
      <w:r w:rsidRPr="00B5475E">
        <w:rPr>
          <w:rStyle w:val="eop"/>
          <w:rFonts w:ascii="Aptos" w:eastAsiaTheme="majorEastAsia" w:hAnsi="Aptos"/>
          <w:color w:val="000000"/>
          <w:sz w:val="22"/>
          <w:szCs w:val="22"/>
          <w:shd w:val="clear" w:color="auto" w:fill="FFFFFF"/>
        </w:rPr>
        <w:t> </w:t>
      </w:r>
    </w:p>
    <w:p w14:paraId="07667572" w14:textId="77777777" w:rsidR="00B5475E" w:rsidRPr="00B5475E" w:rsidRDefault="00B5475E" w:rsidP="00B5475E">
      <w:pPr>
        <w:ind w:left="720" w:hanging="720"/>
        <w:rPr>
          <w:rStyle w:val="eop"/>
          <w:rFonts w:ascii="Aptos" w:hAnsi="Aptos"/>
          <w:sz w:val="22"/>
          <w:szCs w:val="22"/>
        </w:rPr>
      </w:pPr>
      <w:r w:rsidRPr="00B5475E">
        <w:rPr>
          <w:rFonts w:ascii="Aptos" w:hAnsi="Aptos"/>
          <w:sz w:val="22"/>
          <w:szCs w:val="22"/>
        </w:rPr>
        <w:t xml:space="preserve">Bewsher, J. B. (1866). On Part of Mesopotamia, between </w:t>
      </w:r>
      <w:proofErr w:type="spellStart"/>
      <w:r w:rsidRPr="00B5475E">
        <w:rPr>
          <w:rFonts w:ascii="Aptos" w:hAnsi="Aptos"/>
          <w:sz w:val="22"/>
          <w:szCs w:val="22"/>
        </w:rPr>
        <w:t>Sheriat-el-Beytha</w:t>
      </w:r>
      <w:proofErr w:type="spellEnd"/>
      <w:r w:rsidRPr="00B5475E">
        <w:rPr>
          <w:rFonts w:ascii="Aptos" w:hAnsi="Aptos"/>
          <w:sz w:val="22"/>
          <w:szCs w:val="22"/>
        </w:rPr>
        <w:t xml:space="preserve">, on the Tigris, to Tel Ibrahim. </w:t>
      </w:r>
      <w:r w:rsidRPr="00B5475E">
        <w:rPr>
          <w:rFonts w:ascii="Aptos" w:hAnsi="Aptos"/>
          <w:i/>
          <w:iCs/>
          <w:sz w:val="22"/>
          <w:szCs w:val="22"/>
        </w:rPr>
        <w:t>Proceedings of the Royal Geographical Society of London</w:t>
      </w:r>
      <w:r w:rsidRPr="00B5475E">
        <w:rPr>
          <w:rFonts w:ascii="Aptos" w:hAnsi="Aptos"/>
          <w:sz w:val="22"/>
          <w:szCs w:val="22"/>
        </w:rPr>
        <w:t xml:space="preserve">, </w:t>
      </w:r>
      <w:r w:rsidRPr="00B5475E">
        <w:rPr>
          <w:rFonts w:ascii="Aptos" w:hAnsi="Aptos"/>
          <w:i/>
          <w:iCs/>
          <w:sz w:val="22"/>
          <w:szCs w:val="22"/>
        </w:rPr>
        <w:t>11</w:t>
      </w:r>
      <w:r w:rsidRPr="00B5475E">
        <w:rPr>
          <w:rFonts w:ascii="Aptos" w:hAnsi="Aptos"/>
          <w:sz w:val="22"/>
          <w:szCs w:val="22"/>
        </w:rPr>
        <w:t>(4), 155–159. https://doi.org/10.2307/1799641</w:t>
      </w:r>
    </w:p>
    <w:p w14:paraId="00B4579B" w14:textId="77777777" w:rsidR="00B5475E" w:rsidRPr="00B5475E" w:rsidRDefault="00B5475E" w:rsidP="00B5475E">
      <w:pPr>
        <w:rPr>
          <w:rStyle w:val="eop"/>
          <w:rFonts w:ascii="Aptos" w:eastAsiaTheme="majorEastAsia" w:hAnsi="Aptos"/>
          <w:sz w:val="22"/>
          <w:szCs w:val="22"/>
        </w:rPr>
      </w:pPr>
      <w:proofErr w:type="spellStart"/>
      <w:r w:rsidRPr="00B5475E">
        <w:rPr>
          <w:rFonts w:ascii="Aptos" w:hAnsi="Aptos"/>
          <w:sz w:val="22"/>
          <w:szCs w:val="22"/>
        </w:rPr>
        <w:t>Bittarello</w:t>
      </w:r>
      <w:proofErr w:type="spellEnd"/>
      <w:r w:rsidRPr="00B5475E">
        <w:rPr>
          <w:rFonts w:ascii="Aptos" w:hAnsi="Aptos"/>
          <w:sz w:val="22"/>
          <w:szCs w:val="22"/>
        </w:rPr>
        <w:t xml:space="preserve">, Maria Beatrice. (2022). The Chalybes as an Historical People. </w:t>
      </w:r>
      <w:r w:rsidRPr="00B5475E">
        <w:rPr>
          <w:rFonts w:ascii="Aptos" w:hAnsi="Aptos"/>
          <w:i/>
          <w:iCs/>
          <w:sz w:val="22"/>
          <w:szCs w:val="22"/>
        </w:rPr>
        <w:t xml:space="preserve">Helios </w:t>
      </w:r>
      <w:r w:rsidRPr="00B5475E">
        <w:rPr>
          <w:rFonts w:ascii="Aptos" w:hAnsi="Aptos"/>
          <w:sz w:val="22"/>
          <w:szCs w:val="22"/>
        </w:rPr>
        <w:t>49 (2): 147–76.</w:t>
      </w:r>
      <w:r w:rsidRPr="00B5475E">
        <w:rPr>
          <w:rFonts w:ascii="Aptos" w:eastAsiaTheme="majorEastAsia" w:hAnsi="Aptos"/>
          <w:sz w:val="22"/>
          <w:szCs w:val="22"/>
        </w:rPr>
        <w:t> </w:t>
      </w:r>
    </w:p>
    <w:p w14:paraId="219189D6"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t xml:space="preserve">Bodenhamer, David J. (2010). The Potential of Spatial Humanities. In </w:t>
      </w:r>
      <w:r w:rsidRPr="00B5475E">
        <w:rPr>
          <w:rFonts w:ascii="Aptos" w:eastAsiaTheme="majorEastAsia" w:hAnsi="Aptos"/>
          <w:i/>
          <w:iCs/>
          <w:sz w:val="22"/>
          <w:szCs w:val="22"/>
        </w:rPr>
        <w:t>New Worlds out of Old Texts: Revisiting Ancient Space and Place</w:t>
      </w:r>
      <w:r w:rsidRPr="00B5475E">
        <w:rPr>
          <w:rFonts w:ascii="Aptos" w:eastAsiaTheme="majorEastAsia" w:hAnsi="Aptos"/>
          <w:sz w:val="22"/>
          <w:szCs w:val="22"/>
        </w:rPr>
        <w:t>, edited by E. T. E. Barker, S. </w:t>
      </w:r>
      <w:proofErr w:type="spellStart"/>
      <w:r w:rsidRPr="00B5475E">
        <w:rPr>
          <w:rFonts w:ascii="Aptos" w:eastAsiaTheme="majorEastAsia" w:hAnsi="Aptos"/>
          <w:sz w:val="22"/>
          <w:szCs w:val="22"/>
        </w:rPr>
        <w:t>Bouzarovski</w:t>
      </w:r>
      <w:proofErr w:type="spellEnd"/>
      <w:r w:rsidRPr="00B5475E">
        <w:rPr>
          <w:rFonts w:ascii="Aptos" w:eastAsiaTheme="majorEastAsia" w:hAnsi="Aptos"/>
          <w:sz w:val="22"/>
          <w:szCs w:val="22"/>
        </w:rPr>
        <w:t>, C. B. R. Pelling, and L. Isaksen, 14–30. Bloomington: Indiana University Press. </w:t>
      </w:r>
    </w:p>
    <w:p w14:paraId="676196E1"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t xml:space="preserve">Brennan, Shane. (2005). </w:t>
      </w:r>
      <w:r w:rsidRPr="00B5475E">
        <w:rPr>
          <w:rFonts w:ascii="Aptos" w:eastAsiaTheme="majorEastAsia" w:hAnsi="Aptos"/>
          <w:i/>
          <w:iCs/>
          <w:sz w:val="22"/>
          <w:szCs w:val="22"/>
        </w:rPr>
        <w:t>In the Tracks of the Ten Thousand: A Journey on Foot Through Turkey, Syria, and Iraq</w:t>
      </w:r>
      <w:r w:rsidRPr="00B5475E">
        <w:rPr>
          <w:rFonts w:ascii="Aptos" w:eastAsiaTheme="majorEastAsia" w:hAnsi="Aptos"/>
          <w:sz w:val="22"/>
          <w:szCs w:val="22"/>
        </w:rPr>
        <w:t>. Robert Hale.</w:t>
      </w:r>
    </w:p>
    <w:p w14:paraId="25E62DAA" w14:textId="77777777" w:rsidR="00B5475E" w:rsidRPr="00B5475E" w:rsidRDefault="00B5475E" w:rsidP="00B5475E">
      <w:pPr>
        <w:pStyle w:val="paragraph"/>
        <w:spacing w:before="0" w:beforeAutospacing="0" w:after="240" w:afterAutospacing="0"/>
        <w:ind w:left="720" w:hanging="720"/>
        <w:textAlignment w:val="baseline"/>
        <w:rPr>
          <w:rStyle w:val="eop"/>
          <w:rFonts w:ascii="Aptos" w:eastAsiaTheme="majorEastAsia" w:hAnsi="Aptos"/>
          <w:sz w:val="22"/>
          <w:szCs w:val="22"/>
        </w:rPr>
      </w:pPr>
      <w:r w:rsidRPr="00B5475E">
        <w:rPr>
          <w:rFonts w:ascii="Aptos" w:eastAsiaTheme="majorEastAsia" w:hAnsi="Aptos"/>
          <w:sz w:val="22"/>
          <w:szCs w:val="22"/>
        </w:rPr>
        <w:t xml:space="preserve">Brennan, Shane, and David Thomas, eds. (2021). </w:t>
      </w:r>
      <w:r w:rsidRPr="00B5475E">
        <w:rPr>
          <w:rFonts w:ascii="Aptos" w:eastAsiaTheme="majorEastAsia" w:hAnsi="Aptos"/>
          <w:i/>
          <w:iCs/>
          <w:sz w:val="22"/>
          <w:szCs w:val="22"/>
        </w:rPr>
        <w:t>The Landmark Xenophon’s Anabasis</w:t>
      </w:r>
      <w:r w:rsidRPr="00B5475E">
        <w:rPr>
          <w:rFonts w:ascii="Aptos" w:eastAsiaTheme="majorEastAsia" w:hAnsi="Aptos"/>
          <w:sz w:val="22"/>
          <w:szCs w:val="22"/>
        </w:rPr>
        <w:t>. New York: Pantheon Books. </w:t>
      </w:r>
    </w:p>
    <w:p w14:paraId="0A728E8E"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t>Brennan, Shane, and Christopher J. Tuplin. (2023). “</w:t>
      </w:r>
      <w:proofErr w:type="spellStart"/>
      <w:r w:rsidRPr="00B5475E">
        <w:rPr>
          <w:rFonts w:ascii="Aptos" w:eastAsiaTheme="majorEastAsia" w:hAnsi="Aptos"/>
          <w:sz w:val="22"/>
          <w:szCs w:val="22"/>
        </w:rPr>
        <w:t>Theches</w:t>
      </w:r>
      <w:proofErr w:type="spellEnd"/>
      <w:r w:rsidRPr="00B5475E">
        <w:rPr>
          <w:rFonts w:ascii="Aptos" w:eastAsiaTheme="majorEastAsia" w:hAnsi="Aptos"/>
          <w:sz w:val="22"/>
          <w:szCs w:val="22"/>
        </w:rPr>
        <w:t xml:space="preserve">: An Elusive Mountain.” </w:t>
      </w:r>
      <w:r w:rsidRPr="00B5475E">
        <w:rPr>
          <w:rFonts w:ascii="Aptos" w:eastAsiaTheme="majorEastAsia" w:hAnsi="Aptos"/>
          <w:i/>
          <w:iCs/>
          <w:sz w:val="22"/>
          <w:szCs w:val="22"/>
        </w:rPr>
        <w:t xml:space="preserve">Anatolian Studies </w:t>
      </w:r>
      <w:r w:rsidRPr="00B5475E">
        <w:rPr>
          <w:rFonts w:ascii="Aptos" w:eastAsiaTheme="majorEastAsia" w:hAnsi="Aptos"/>
          <w:sz w:val="22"/>
          <w:szCs w:val="22"/>
        </w:rPr>
        <w:t xml:space="preserve">73 (January):129–49. </w:t>
      </w:r>
      <w:hyperlink r:id="rId14" w:history="1">
        <w:r w:rsidRPr="00B5475E">
          <w:rPr>
            <w:rFonts w:ascii="Aptos" w:eastAsiaTheme="majorEastAsia" w:hAnsi="Aptos"/>
            <w:sz w:val="22"/>
            <w:szCs w:val="22"/>
          </w:rPr>
          <w:t>https://doi.org/10.1017/S0066154623000054</w:t>
        </w:r>
      </w:hyperlink>
      <w:r w:rsidRPr="00B5475E">
        <w:rPr>
          <w:rFonts w:ascii="Aptos" w:eastAsiaTheme="majorEastAsia" w:hAnsi="Aptos"/>
          <w:sz w:val="22"/>
          <w:szCs w:val="22"/>
        </w:rPr>
        <w:t>.</w:t>
      </w:r>
      <w:r w:rsidRPr="00B5475E">
        <w:rPr>
          <w:rStyle w:val="eop"/>
          <w:rFonts w:ascii="Aptos" w:eastAsiaTheme="majorEastAsia" w:hAnsi="Aptos"/>
          <w:sz w:val="22"/>
          <w:szCs w:val="22"/>
        </w:rPr>
        <w:t> </w:t>
      </w:r>
    </w:p>
    <w:p w14:paraId="67D38F1D"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t xml:space="preserve">Byron, Robert. (1937). </w:t>
      </w:r>
      <w:r w:rsidRPr="00B5475E">
        <w:rPr>
          <w:rFonts w:ascii="Aptos" w:eastAsiaTheme="majorEastAsia" w:hAnsi="Aptos"/>
          <w:i/>
          <w:iCs/>
          <w:sz w:val="22"/>
          <w:szCs w:val="22"/>
        </w:rPr>
        <w:t>The Road to Oxiana.</w:t>
      </w:r>
      <w:r w:rsidRPr="00B5475E">
        <w:rPr>
          <w:rFonts w:ascii="Aptos" w:eastAsiaTheme="majorEastAsia" w:hAnsi="Aptos"/>
          <w:sz w:val="22"/>
          <w:szCs w:val="22"/>
        </w:rPr>
        <w:t xml:space="preserve"> London: Macmillan. </w:t>
      </w:r>
    </w:p>
    <w:p w14:paraId="3A2627D9"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proofErr w:type="spellStart"/>
      <w:r w:rsidRPr="00B5475E">
        <w:rPr>
          <w:rFonts w:ascii="Aptos" w:eastAsiaTheme="majorEastAsia" w:hAnsi="Aptos"/>
          <w:sz w:val="22"/>
          <w:szCs w:val="22"/>
        </w:rPr>
        <w:t>Diakonoff</w:t>
      </w:r>
      <w:proofErr w:type="spellEnd"/>
      <w:r w:rsidRPr="00B5475E">
        <w:rPr>
          <w:rFonts w:ascii="Aptos" w:eastAsiaTheme="majorEastAsia" w:hAnsi="Aptos"/>
          <w:sz w:val="22"/>
          <w:szCs w:val="22"/>
        </w:rPr>
        <w:t>, Igor M., and S. M. </w:t>
      </w:r>
      <w:proofErr w:type="spellStart"/>
      <w:r w:rsidRPr="00B5475E">
        <w:rPr>
          <w:rFonts w:ascii="Aptos" w:eastAsiaTheme="majorEastAsia" w:hAnsi="Aptos"/>
          <w:sz w:val="22"/>
          <w:szCs w:val="22"/>
        </w:rPr>
        <w:t>Kashkai</w:t>
      </w:r>
      <w:proofErr w:type="spellEnd"/>
      <w:r w:rsidRPr="00B5475E">
        <w:rPr>
          <w:rFonts w:ascii="Aptos" w:eastAsiaTheme="majorEastAsia" w:hAnsi="Aptos"/>
          <w:sz w:val="22"/>
          <w:szCs w:val="22"/>
        </w:rPr>
        <w:t>. (1981)</w:t>
      </w:r>
      <w:r w:rsidRPr="00B5475E">
        <w:rPr>
          <w:rFonts w:ascii="Aptos" w:eastAsiaTheme="majorEastAsia" w:hAnsi="Aptos"/>
          <w:i/>
          <w:iCs/>
          <w:sz w:val="22"/>
          <w:szCs w:val="22"/>
        </w:rPr>
        <w:t>. Geographical Names According to Urartian Texts</w:t>
      </w:r>
      <w:r w:rsidRPr="00B5475E">
        <w:rPr>
          <w:rFonts w:ascii="Aptos" w:eastAsiaTheme="majorEastAsia" w:hAnsi="Aptos"/>
          <w:sz w:val="22"/>
          <w:szCs w:val="22"/>
        </w:rPr>
        <w:t xml:space="preserve">. Wiesbaden: Dr. Ludwig Reichert Verlag. </w:t>
      </w:r>
      <w:hyperlink r:id="rId15" w:history="1">
        <w:r w:rsidRPr="00B5475E">
          <w:rPr>
            <w:rFonts w:ascii="Aptos" w:eastAsiaTheme="majorEastAsia" w:hAnsi="Aptos"/>
            <w:sz w:val="22"/>
            <w:szCs w:val="22"/>
          </w:rPr>
          <w:t>http://archive.org/details/diakonoff-kashkai-1981-urartian-geo</w:t>
        </w:r>
      </w:hyperlink>
      <w:r w:rsidRPr="00B5475E">
        <w:rPr>
          <w:rFonts w:ascii="Aptos" w:eastAsiaTheme="majorEastAsia" w:hAnsi="Aptos"/>
          <w:sz w:val="22"/>
          <w:szCs w:val="22"/>
        </w:rPr>
        <w:t>.</w:t>
      </w:r>
      <w:r w:rsidRPr="00B5475E">
        <w:rPr>
          <w:rStyle w:val="eop"/>
          <w:rFonts w:ascii="Aptos" w:eastAsiaTheme="majorEastAsia" w:hAnsi="Aptos"/>
          <w:sz w:val="22"/>
          <w:szCs w:val="22"/>
        </w:rPr>
        <w:t> </w:t>
      </w:r>
    </w:p>
    <w:p w14:paraId="64D38147" w14:textId="77777777" w:rsidR="00B5475E" w:rsidRPr="00B5475E" w:rsidRDefault="00B5475E" w:rsidP="00B5475E">
      <w:pPr>
        <w:spacing w:after="240"/>
        <w:ind w:left="720" w:hanging="720"/>
        <w:rPr>
          <w:rFonts w:ascii="Aptos" w:hAnsi="Aptos"/>
          <w:sz w:val="22"/>
          <w:szCs w:val="22"/>
        </w:rPr>
      </w:pPr>
      <w:r w:rsidRPr="00B5475E">
        <w:rPr>
          <w:rFonts w:ascii="Aptos" w:hAnsi="Aptos"/>
          <w:sz w:val="22"/>
          <w:szCs w:val="22"/>
        </w:rPr>
        <w:t xml:space="preserve">Comfort, A., Abadie-Reynal, C., &amp; </w:t>
      </w:r>
      <w:proofErr w:type="spellStart"/>
      <w:r w:rsidRPr="00B5475E">
        <w:rPr>
          <w:rFonts w:ascii="Aptos" w:hAnsi="Aptos"/>
          <w:sz w:val="22"/>
          <w:szCs w:val="22"/>
        </w:rPr>
        <w:t>Ergeç</w:t>
      </w:r>
      <w:proofErr w:type="spellEnd"/>
      <w:r w:rsidRPr="00B5475E">
        <w:rPr>
          <w:rFonts w:ascii="Aptos" w:hAnsi="Aptos"/>
          <w:sz w:val="22"/>
          <w:szCs w:val="22"/>
        </w:rPr>
        <w:t xml:space="preserve">, R. (2000). Crossing the Euphrates in Antiquity: Zeugma Seen from Space. </w:t>
      </w:r>
      <w:r w:rsidRPr="00B5475E">
        <w:rPr>
          <w:rFonts w:ascii="Aptos" w:hAnsi="Aptos"/>
          <w:i/>
          <w:iCs/>
          <w:sz w:val="22"/>
          <w:szCs w:val="22"/>
        </w:rPr>
        <w:t>Anatolian Studies</w:t>
      </w:r>
      <w:r w:rsidRPr="00B5475E">
        <w:rPr>
          <w:rFonts w:ascii="Aptos" w:hAnsi="Aptos"/>
          <w:sz w:val="22"/>
          <w:szCs w:val="22"/>
        </w:rPr>
        <w:t xml:space="preserve">, </w:t>
      </w:r>
      <w:r w:rsidRPr="00B5475E">
        <w:rPr>
          <w:rFonts w:ascii="Aptos" w:hAnsi="Aptos"/>
          <w:i/>
          <w:iCs/>
          <w:sz w:val="22"/>
          <w:szCs w:val="22"/>
        </w:rPr>
        <w:t>50</w:t>
      </w:r>
      <w:r w:rsidRPr="00B5475E">
        <w:rPr>
          <w:rFonts w:ascii="Aptos" w:hAnsi="Aptos"/>
          <w:sz w:val="22"/>
          <w:szCs w:val="22"/>
        </w:rPr>
        <w:t>, 99–126. https://doi.org/10.2307/3643016</w:t>
      </w:r>
    </w:p>
    <w:p w14:paraId="21136BA5" w14:textId="77777777" w:rsidR="00B5475E" w:rsidRPr="00B5475E" w:rsidRDefault="00B5475E" w:rsidP="00B5475E">
      <w:pPr>
        <w:ind w:left="720" w:hanging="720"/>
        <w:rPr>
          <w:rFonts w:ascii="Aptos" w:hAnsi="Aptos"/>
          <w:sz w:val="22"/>
          <w:szCs w:val="22"/>
        </w:rPr>
      </w:pPr>
      <w:r w:rsidRPr="00B5475E">
        <w:rPr>
          <w:rFonts w:ascii="Aptos" w:hAnsi="Aptos"/>
          <w:sz w:val="22"/>
          <w:szCs w:val="22"/>
        </w:rPr>
        <w:lastRenderedPageBreak/>
        <w:t xml:space="preserve">Comfort, A., and </w:t>
      </w:r>
      <w:proofErr w:type="spellStart"/>
      <w:r w:rsidRPr="00B5475E">
        <w:rPr>
          <w:rFonts w:ascii="Aptos" w:hAnsi="Aptos"/>
          <w:sz w:val="22"/>
          <w:szCs w:val="22"/>
        </w:rPr>
        <w:t>Ergeç</w:t>
      </w:r>
      <w:proofErr w:type="spellEnd"/>
      <w:r w:rsidRPr="00B5475E">
        <w:rPr>
          <w:rFonts w:ascii="Aptos" w:hAnsi="Aptos"/>
          <w:sz w:val="22"/>
          <w:szCs w:val="22"/>
        </w:rPr>
        <w:t xml:space="preserve">, R. (2001). Following the Euphrates in Antiquity: North-South Routes around Zeugma. </w:t>
      </w:r>
      <w:r w:rsidRPr="00B5475E">
        <w:rPr>
          <w:rFonts w:ascii="Aptos" w:hAnsi="Aptos"/>
          <w:i/>
          <w:iCs/>
          <w:sz w:val="22"/>
          <w:szCs w:val="22"/>
        </w:rPr>
        <w:t>Anatolian Studies</w:t>
      </w:r>
      <w:r w:rsidRPr="00B5475E">
        <w:rPr>
          <w:rFonts w:ascii="Aptos" w:hAnsi="Aptos"/>
          <w:sz w:val="22"/>
          <w:szCs w:val="22"/>
        </w:rPr>
        <w:t xml:space="preserve">, </w:t>
      </w:r>
      <w:r w:rsidRPr="00B5475E">
        <w:rPr>
          <w:rFonts w:ascii="Aptos" w:hAnsi="Aptos"/>
          <w:i/>
          <w:iCs/>
          <w:sz w:val="22"/>
          <w:szCs w:val="22"/>
        </w:rPr>
        <w:t>51</w:t>
      </w:r>
      <w:r w:rsidRPr="00B5475E">
        <w:rPr>
          <w:rFonts w:ascii="Aptos" w:hAnsi="Aptos"/>
          <w:sz w:val="22"/>
          <w:szCs w:val="22"/>
        </w:rPr>
        <w:t xml:space="preserve">, 19–49. </w:t>
      </w:r>
      <w:hyperlink r:id="rId16" w:history="1">
        <w:r w:rsidRPr="00B5475E">
          <w:rPr>
            <w:rStyle w:val="Hyperlink"/>
            <w:rFonts w:ascii="Aptos" w:hAnsi="Aptos"/>
            <w:sz w:val="22"/>
            <w:szCs w:val="22"/>
          </w:rPr>
          <w:t>https://doi.org/10.2307/3643026</w:t>
        </w:r>
      </w:hyperlink>
    </w:p>
    <w:p w14:paraId="01154D2C" w14:textId="77777777" w:rsidR="00B5475E" w:rsidRPr="00B5475E" w:rsidRDefault="00B5475E" w:rsidP="00B5475E">
      <w:pPr>
        <w:ind w:left="720" w:hanging="720"/>
        <w:rPr>
          <w:rStyle w:val="eop"/>
          <w:rFonts w:ascii="Aptos" w:eastAsiaTheme="majorEastAsia" w:hAnsi="Aptos"/>
          <w:color w:val="000000"/>
          <w:sz w:val="22"/>
          <w:szCs w:val="22"/>
          <w:shd w:val="clear" w:color="auto" w:fill="FFFFFF"/>
        </w:rPr>
      </w:pPr>
      <w:r w:rsidRPr="00B5475E">
        <w:rPr>
          <w:rFonts w:ascii="Aptos" w:hAnsi="Aptos"/>
          <w:sz w:val="22"/>
          <w:szCs w:val="22"/>
        </w:rPr>
        <w:t xml:space="preserve">Farrell, W. J. (1961). A Revised Itinerary of the Route Followed by Cyrus the Younger through Syria, 401 B.C. </w:t>
      </w:r>
      <w:r w:rsidRPr="00B5475E">
        <w:rPr>
          <w:rFonts w:ascii="Aptos" w:hAnsi="Aptos"/>
          <w:i/>
          <w:iCs/>
          <w:sz w:val="22"/>
          <w:szCs w:val="22"/>
        </w:rPr>
        <w:t>The Journal of Hellenic Studies</w:t>
      </w:r>
      <w:r w:rsidRPr="00B5475E">
        <w:rPr>
          <w:rFonts w:ascii="Aptos" w:hAnsi="Aptos"/>
          <w:sz w:val="22"/>
          <w:szCs w:val="22"/>
        </w:rPr>
        <w:t xml:space="preserve"> 81 (November):153–55. </w:t>
      </w:r>
      <w:hyperlink r:id="rId17" w:history="1">
        <w:r w:rsidRPr="00B5475E">
          <w:rPr>
            <w:rFonts w:ascii="Aptos" w:hAnsi="Aptos"/>
            <w:sz w:val="22"/>
            <w:szCs w:val="22"/>
          </w:rPr>
          <w:t>https://doi.org/10.2307/628085</w:t>
        </w:r>
      </w:hyperlink>
      <w:r w:rsidRPr="00B5475E">
        <w:rPr>
          <w:rFonts w:ascii="Aptos" w:hAnsi="Aptos"/>
          <w:sz w:val="22"/>
          <w:szCs w:val="22"/>
        </w:rPr>
        <w:t>.</w:t>
      </w:r>
      <w:r w:rsidRPr="00B5475E">
        <w:rPr>
          <w:rStyle w:val="eop"/>
          <w:rFonts w:ascii="Aptos" w:eastAsiaTheme="majorEastAsia" w:hAnsi="Aptos"/>
          <w:color w:val="000000"/>
          <w:sz w:val="22"/>
          <w:szCs w:val="22"/>
          <w:shd w:val="clear" w:color="auto" w:fill="FFFFFF"/>
        </w:rPr>
        <w:t> </w:t>
      </w:r>
    </w:p>
    <w:p w14:paraId="293E3540" w14:textId="3B606B98" w:rsidR="00B5475E" w:rsidRPr="00B5475E" w:rsidRDefault="00B5475E" w:rsidP="00B5475E">
      <w:pPr>
        <w:ind w:left="720" w:hanging="720"/>
        <w:rPr>
          <w:rFonts w:ascii="Aptos" w:hAnsi="Aptos"/>
          <w:sz w:val="22"/>
          <w:szCs w:val="22"/>
        </w:rPr>
      </w:pPr>
      <w:r w:rsidRPr="00B5475E">
        <w:rPr>
          <w:rFonts w:ascii="Aptos" w:hAnsi="Aptos"/>
          <w:sz w:val="22"/>
          <w:szCs w:val="22"/>
        </w:rPr>
        <w:t xml:space="preserve">Foka, A., E. Barker, K. Konstantinidou, N. </w:t>
      </w:r>
      <w:proofErr w:type="spellStart"/>
      <w:r w:rsidRPr="00B5475E">
        <w:rPr>
          <w:rFonts w:ascii="Aptos" w:hAnsi="Aptos"/>
          <w:sz w:val="22"/>
          <w:szCs w:val="22"/>
        </w:rPr>
        <w:t>Mostofian</w:t>
      </w:r>
      <w:proofErr w:type="spellEnd"/>
      <w:r w:rsidRPr="00B5475E">
        <w:rPr>
          <w:rFonts w:ascii="Aptos" w:hAnsi="Aptos"/>
          <w:sz w:val="22"/>
          <w:szCs w:val="22"/>
        </w:rPr>
        <w:t xml:space="preserve">, B. Kiesling, L. </w:t>
      </w:r>
      <w:proofErr w:type="spellStart"/>
      <w:r w:rsidRPr="00B5475E">
        <w:rPr>
          <w:rFonts w:ascii="Aptos" w:hAnsi="Aptos"/>
          <w:sz w:val="22"/>
          <w:szCs w:val="22"/>
        </w:rPr>
        <w:t>Talatas</w:t>
      </w:r>
      <w:proofErr w:type="spellEnd"/>
      <w:r w:rsidRPr="00B5475E">
        <w:rPr>
          <w:rFonts w:ascii="Aptos" w:hAnsi="Aptos"/>
          <w:sz w:val="22"/>
          <w:szCs w:val="22"/>
        </w:rPr>
        <w:t xml:space="preserve">, C. </w:t>
      </w:r>
      <w:proofErr w:type="spellStart"/>
      <w:r w:rsidRPr="00B5475E">
        <w:rPr>
          <w:rFonts w:ascii="Aptos" w:hAnsi="Aptos"/>
          <w:sz w:val="22"/>
          <w:szCs w:val="22"/>
        </w:rPr>
        <w:t>Demiroglu</w:t>
      </w:r>
      <w:proofErr w:type="spellEnd"/>
      <w:r w:rsidRPr="00B5475E">
        <w:rPr>
          <w:rFonts w:ascii="Aptos" w:hAnsi="Aptos"/>
          <w:sz w:val="22"/>
          <w:szCs w:val="22"/>
        </w:rPr>
        <w:t xml:space="preserve">, and K. Palm. (2023). “A Digital </w:t>
      </w:r>
      <w:proofErr w:type="spellStart"/>
      <w:r w:rsidRPr="00B5475E">
        <w:rPr>
          <w:rFonts w:ascii="Aptos" w:hAnsi="Aptos"/>
          <w:sz w:val="22"/>
          <w:szCs w:val="22"/>
        </w:rPr>
        <w:t>Periegesis</w:t>
      </w:r>
      <w:proofErr w:type="spellEnd"/>
      <w:r w:rsidRPr="00B5475E">
        <w:rPr>
          <w:rFonts w:ascii="Aptos" w:hAnsi="Aptos"/>
          <w:sz w:val="22"/>
          <w:szCs w:val="22"/>
        </w:rPr>
        <w:t xml:space="preserve">: Implementing Spatial Research Infrastructures for Classical History and Archaeology.” In Digital Spatial Infrastructures and Worldviews in Pre-Modern Societies, edited by A. </w:t>
      </w:r>
      <w:proofErr w:type="spellStart"/>
      <w:r w:rsidRPr="00B5475E">
        <w:rPr>
          <w:rFonts w:ascii="Aptos" w:hAnsi="Aptos"/>
          <w:sz w:val="22"/>
          <w:szCs w:val="22"/>
        </w:rPr>
        <w:t>Petrulevich</w:t>
      </w:r>
      <w:proofErr w:type="spellEnd"/>
      <w:r w:rsidRPr="00B5475E">
        <w:rPr>
          <w:rFonts w:ascii="Aptos" w:hAnsi="Aptos"/>
          <w:sz w:val="22"/>
          <w:szCs w:val="22"/>
        </w:rPr>
        <w:t xml:space="preserve"> and S. Skovgaard Boeck, 205–23. Leeds: ARC Humanities Press.</w:t>
      </w:r>
    </w:p>
    <w:p w14:paraId="528DAECB" w14:textId="77777777" w:rsidR="00B5475E" w:rsidRPr="00B5475E" w:rsidRDefault="00B5475E" w:rsidP="00B5475E">
      <w:pPr>
        <w:spacing w:line="240" w:lineRule="auto"/>
        <w:ind w:left="720" w:hanging="720"/>
        <w:rPr>
          <w:rStyle w:val="eop"/>
          <w:rFonts w:ascii="Aptos" w:eastAsia="Times New Roman" w:hAnsi="Aptos" w:cs="Times New Roman"/>
          <w:sz w:val="22"/>
          <w:szCs w:val="22"/>
          <w:lang w:eastAsia="en-US"/>
        </w:rPr>
      </w:pPr>
      <w:proofErr w:type="spellStart"/>
      <w:r w:rsidRPr="00B5475E">
        <w:rPr>
          <w:rFonts w:ascii="Aptos" w:eastAsia="Times New Roman" w:hAnsi="Aptos" w:cs="Times New Roman"/>
          <w:sz w:val="22"/>
          <w:szCs w:val="22"/>
          <w:lang w:eastAsia="en-US"/>
        </w:rPr>
        <w:t>Gawlikowski</w:t>
      </w:r>
      <w:proofErr w:type="spellEnd"/>
      <w:r w:rsidRPr="00B5475E">
        <w:rPr>
          <w:rFonts w:ascii="Aptos" w:eastAsia="Times New Roman" w:hAnsi="Aptos" w:cs="Times New Roman"/>
          <w:sz w:val="22"/>
          <w:szCs w:val="22"/>
          <w:lang w:eastAsia="en-US"/>
        </w:rPr>
        <w:t xml:space="preserve">, M. (1996). </w:t>
      </w:r>
      <w:proofErr w:type="spellStart"/>
      <w:r w:rsidRPr="00B5475E">
        <w:rPr>
          <w:rFonts w:ascii="Aptos" w:eastAsia="Times New Roman" w:hAnsi="Aptos" w:cs="Times New Roman"/>
          <w:sz w:val="22"/>
          <w:szCs w:val="22"/>
          <w:lang w:eastAsia="en-US"/>
        </w:rPr>
        <w:t>Thapsacus</w:t>
      </w:r>
      <w:proofErr w:type="spellEnd"/>
      <w:r w:rsidRPr="00B5475E">
        <w:rPr>
          <w:rFonts w:ascii="Aptos" w:eastAsia="Times New Roman" w:hAnsi="Aptos" w:cs="Times New Roman"/>
          <w:sz w:val="22"/>
          <w:szCs w:val="22"/>
          <w:lang w:eastAsia="en-US"/>
        </w:rPr>
        <w:t xml:space="preserve"> and Zeugma the Crossing of the Euphrates in Antiquity. </w:t>
      </w:r>
      <w:r w:rsidRPr="00B5475E">
        <w:rPr>
          <w:rFonts w:ascii="Aptos" w:eastAsia="Times New Roman" w:hAnsi="Aptos" w:cs="Times New Roman"/>
          <w:i/>
          <w:iCs/>
          <w:sz w:val="22"/>
          <w:szCs w:val="22"/>
          <w:lang w:eastAsia="en-US"/>
        </w:rPr>
        <w:t>Iraq</w:t>
      </w:r>
      <w:r w:rsidRPr="00B5475E">
        <w:rPr>
          <w:rFonts w:ascii="Aptos" w:eastAsia="Times New Roman" w:hAnsi="Aptos" w:cs="Times New Roman"/>
          <w:sz w:val="22"/>
          <w:szCs w:val="22"/>
          <w:lang w:eastAsia="en-US"/>
        </w:rPr>
        <w:t xml:space="preserve">, </w:t>
      </w:r>
      <w:r w:rsidRPr="00B5475E">
        <w:rPr>
          <w:rFonts w:ascii="Aptos" w:eastAsia="Times New Roman" w:hAnsi="Aptos" w:cs="Times New Roman"/>
          <w:i/>
          <w:iCs/>
          <w:sz w:val="22"/>
          <w:szCs w:val="22"/>
          <w:lang w:eastAsia="en-US"/>
        </w:rPr>
        <w:t>58</w:t>
      </w:r>
      <w:r w:rsidRPr="00B5475E">
        <w:rPr>
          <w:rFonts w:ascii="Aptos" w:eastAsia="Times New Roman" w:hAnsi="Aptos" w:cs="Times New Roman"/>
          <w:sz w:val="22"/>
          <w:szCs w:val="22"/>
          <w:lang w:eastAsia="en-US"/>
        </w:rPr>
        <w:t xml:space="preserve">, 123–133. </w:t>
      </w:r>
      <w:hyperlink r:id="rId18" w:history="1">
        <w:r w:rsidRPr="00B5475E">
          <w:rPr>
            <w:rStyle w:val="Hyperlink"/>
            <w:rFonts w:ascii="Aptos" w:eastAsia="Times New Roman" w:hAnsi="Aptos" w:cs="Times New Roman"/>
            <w:sz w:val="22"/>
            <w:szCs w:val="22"/>
            <w:lang w:eastAsia="en-US"/>
          </w:rPr>
          <w:t>https://doi.org/10.2307/4200424</w:t>
        </w:r>
      </w:hyperlink>
    </w:p>
    <w:p w14:paraId="20777F39" w14:textId="77777777" w:rsidR="00B5475E" w:rsidRPr="00B5475E" w:rsidRDefault="00B5475E" w:rsidP="00B5475E">
      <w:pPr>
        <w:pStyle w:val="NormalWeb"/>
        <w:shd w:val="clear" w:color="auto" w:fill="FFFFFF"/>
        <w:spacing w:before="0" w:beforeAutospacing="0" w:after="240" w:afterAutospacing="0"/>
        <w:ind w:left="720" w:hanging="720"/>
        <w:rPr>
          <w:rStyle w:val="eop"/>
          <w:rFonts w:ascii="Aptos" w:eastAsiaTheme="minorEastAsia" w:hAnsi="Aptos"/>
          <w:sz w:val="22"/>
          <w:szCs w:val="22"/>
        </w:rPr>
      </w:pPr>
      <w:r w:rsidRPr="00B5475E">
        <w:rPr>
          <w:rFonts w:ascii="Aptos" w:hAnsi="Aptos"/>
          <w:color w:val="000000"/>
          <w:sz w:val="22"/>
          <w:szCs w:val="22"/>
        </w:rPr>
        <w:t xml:space="preserve">Herzog, Irmela. (2017). Reconstructing Pre-Industrial </w:t>
      </w:r>
      <w:proofErr w:type="gramStart"/>
      <w:r w:rsidRPr="00B5475E">
        <w:rPr>
          <w:rFonts w:ascii="Aptos" w:hAnsi="Aptos"/>
          <w:color w:val="000000"/>
          <w:sz w:val="22"/>
          <w:szCs w:val="22"/>
        </w:rPr>
        <w:t>Long Distance</w:t>
      </w:r>
      <w:proofErr w:type="gramEnd"/>
      <w:r w:rsidRPr="00B5475E">
        <w:rPr>
          <w:rFonts w:ascii="Aptos" w:hAnsi="Aptos"/>
          <w:color w:val="000000"/>
          <w:sz w:val="22"/>
          <w:szCs w:val="22"/>
        </w:rPr>
        <w:t xml:space="preserve"> Roads in a Hilly Region in Germany, Based on Historical and Archaeological Data. </w:t>
      </w:r>
      <w:r w:rsidRPr="00B5475E">
        <w:rPr>
          <w:rFonts w:ascii="Aptos" w:hAnsi="Aptos"/>
          <w:i/>
          <w:iCs/>
          <w:color w:val="000000"/>
          <w:sz w:val="22"/>
          <w:szCs w:val="22"/>
        </w:rPr>
        <w:t>Studies in Digital Heritage</w:t>
      </w:r>
      <w:r w:rsidRPr="00B5475E">
        <w:rPr>
          <w:rFonts w:ascii="Aptos" w:hAnsi="Aptos"/>
          <w:color w:val="000000"/>
          <w:sz w:val="22"/>
          <w:szCs w:val="22"/>
        </w:rPr>
        <w:t xml:space="preserve"> 1 (2): 642–60. </w:t>
      </w:r>
      <w:hyperlink r:id="rId19" w:history="1">
        <w:r w:rsidRPr="00B5475E">
          <w:rPr>
            <w:rStyle w:val="Hyperlink"/>
            <w:rFonts w:ascii="Aptos" w:eastAsiaTheme="majorEastAsia" w:hAnsi="Aptos"/>
            <w:color w:val="1155CC"/>
            <w:sz w:val="22"/>
            <w:szCs w:val="22"/>
          </w:rPr>
          <w:t>https://doi.org/10.14434/sdh.v1i2.23283</w:t>
        </w:r>
      </w:hyperlink>
      <w:r w:rsidRPr="00B5475E">
        <w:rPr>
          <w:rFonts w:ascii="Aptos" w:hAnsi="Aptos"/>
          <w:color w:val="000000"/>
          <w:sz w:val="22"/>
          <w:szCs w:val="22"/>
        </w:rPr>
        <w:t>. </w:t>
      </w:r>
    </w:p>
    <w:p w14:paraId="235864EE" w14:textId="77777777" w:rsidR="00B5475E" w:rsidRPr="00B5475E" w:rsidRDefault="00B5475E" w:rsidP="00B5475E">
      <w:pPr>
        <w:ind w:left="720" w:hanging="720"/>
        <w:rPr>
          <w:rFonts w:ascii="Aptos" w:eastAsiaTheme="majorEastAsia" w:hAnsi="Aptos"/>
          <w:color w:val="000000"/>
          <w:sz w:val="22"/>
          <w:szCs w:val="22"/>
          <w:shd w:val="clear" w:color="auto" w:fill="FFFFFF"/>
        </w:rPr>
      </w:pPr>
      <w:proofErr w:type="spellStart"/>
      <w:r w:rsidRPr="00B5475E">
        <w:rPr>
          <w:rFonts w:ascii="Aptos" w:hAnsi="Aptos"/>
          <w:sz w:val="22"/>
          <w:szCs w:val="22"/>
        </w:rPr>
        <w:t>Hacιgüzeller</w:t>
      </w:r>
      <w:proofErr w:type="spellEnd"/>
      <w:r w:rsidRPr="00B5475E">
        <w:rPr>
          <w:rFonts w:ascii="Aptos" w:hAnsi="Aptos"/>
          <w:sz w:val="22"/>
          <w:szCs w:val="22"/>
        </w:rPr>
        <w:t>, </w:t>
      </w:r>
      <w:proofErr w:type="spellStart"/>
      <w:r w:rsidRPr="00B5475E">
        <w:rPr>
          <w:rFonts w:ascii="Aptos" w:hAnsi="Aptos"/>
          <w:sz w:val="22"/>
          <w:szCs w:val="22"/>
        </w:rPr>
        <w:t>Piraye</w:t>
      </w:r>
      <w:proofErr w:type="spellEnd"/>
      <w:r w:rsidRPr="00B5475E">
        <w:rPr>
          <w:rFonts w:ascii="Aptos" w:hAnsi="Aptos"/>
          <w:sz w:val="22"/>
          <w:szCs w:val="22"/>
        </w:rPr>
        <w:t xml:space="preserve">. (2012). GIS, Critique, Representation and Beyond. </w:t>
      </w:r>
      <w:r w:rsidRPr="00B5475E">
        <w:rPr>
          <w:rFonts w:ascii="Aptos" w:hAnsi="Aptos"/>
          <w:i/>
          <w:iCs/>
          <w:sz w:val="22"/>
          <w:szCs w:val="22"/>
        </w:rPr>
        <w:t>Journal of Social Archaeology</w:t>
      </w:r>
      <w:r w:rsidRPr="00B5475E">
        <w:rPr>
          <w:rFonts w:ascii="Aptos" w:hAnsi="Aptos"/>
          <w:sz w:val="22"/>
          <w:szCs w:val="22"/>
        </w:rPr>
        <w:t xml:space="preserve"> 12 (2): 245–63. </w:t>
      </w:r>
      <w:hyperlink r:id="rId20" w:history="1">
        <w:r w:rsidRPr="00B5475E">
          <w:rPr>
            <w:rFonts w:ascii="Aptos" w:hAnsi="Aptos"/>
            <w:sz w:val="22"/>
            <w:szCs w:val="22"/>
          </w:rPr>
          <w:t>https://doi.org/10.1177/1469605312439139</w:t>
        </w:r>
      </w:hyperlink>
      <w:r w:rsidRPr="00B5475E">
        <w:rPr>
          <w:rFonts w:ascii="Aptos" w:hAnsi="Aptos"/>
          <w:sz w:val="22"/>
          <w:szCs w:val="22"/>
        </w:rPr>
        <w:t>.</w:t>
      </w:r>
      <w:r w:rsidRPr="00B5475E">
        <w:rPr>
          <w:rStyle w:val="eop"/>
          <w:rFonts w:ascii="Aptos" w:eastAsiaTheme="majorEastAsia" w:hAnsi="Aptos"/>
          <w:color w:val="000000"/>
          <w:sz w:val="22"/>
          <w:szCs w:val="22"/>
          <w:shd w:val="clear" w:color="auto" w:fill="FFFFFF"/>
        </w:rPr>
        <w:t> </w:t>
      </w:r>
    </w:p>
    <w:p w14:paraId="1124D348" w14:textId="77777777" w:rsidR="00B5475E" w:rsidRPr="00B5475E" w:rsidRDefault="00B5475E" w:rsidP="00B5475E">
      <w:pPr>
        <w:ind w:left="720" w:hanging="720"/>
        <w:rPr>
          <w:rFonts w:ascii="Aptos" w:hAnsi="Aptos"/>
          <w:sz w:val="22"/>
          <w:szCs w:val="22"/>
        </w:rPr>
      </w:pPr>
      <w:r w:rsidRPr="00B5475E">
        <w:rPr>
          <w:rFonts w:ascii="Aptos" w:hAnsi="Aptos"/>
          <w:sz w:val="22"/>
          <w:szCs w:val="22"/>
        </w:rPr>
        <w:t xml:space="preserve">Haupt, P. (1907). Xenophon’s Account of the Fall of Nineveh. </w:t>
      </w:r>
      <w:r w:rsidRPr="00B5475E">
        <w:rPr>
          <w:rFonts w:ascii="Aptos" w:hAnsi="Aptos"/>
          <w:i/>
          <w:iCs/>
          <w:sz w:val="22"/>
          <w:szCs w:val="22"/>
        </w:rPr>
        <w:t>Journal of the American Oriental Society</w:t>
      </w:r>
      <w:r w:rsidRPr="00B5475E">
        <w:rPr>
          <w:rFonts w:ascii="Aptos" w:hAnsi="Aptos"/>
          <w:sz w:val="22"/>
          <w:szCs w:val="22"/>
        </w:rPr>
        <w:t xml:space="preserve">, </w:t>
      </w:r>
      <w:r w:rsidRPr="00B5475E">
        <w:rPr>
          <w:rFonts w:ascii="Aptos" w:hAnsi="Aptos"/>
          <w:i/>
          <w:iCs/>
          <w:sz w:val="22"/>
          <w:szCs w:val="22"/>
        </w:rPr>
        <w:t>28</w:t>
      </w:r>
      <w:r w:rsidRPr="00B5475E">
        <w:rPr>
          <w:rFonts w:ascii="Aptos" w:hAnsi="Aptos"/>
          <w:sz w:val="22"/>
          <w:szCs w:val="22"/>
        </w:rPr>
        <w:t xml:space="preserve">, 99–107. </w:t>
      </w:r>
      <w:hyperlink r:id="rId21" w:history="1">
        <w:r w:rsidRPr="00B5475E">
          <w:rPr>
            <w:rStyle w:val="Hyperlink"/>
            <w:rFonts w:ascii="Aptos" w:hAnsi="Aptos"/>
            <w:sz w:val="22"/>
            <w:szCs w:val="22"/>
          </w:rPr>
          <w:t>https://doi.org/10.2307/592761</w:t>
        </w:r>
      </w:hyperlink>
      <w:r w:rsidRPr="00B5475E">
        <w:rPr>
          <w:rFonts w:ascii="Aptos" w:hAnsi="Aptos"/>
          <w:sz w:val="22"/>
          <w:szCs w:val="22"/>
        </w:rPr>
        <w:t xml:space="preserve">. </w:t>
      </w:r>
    </w:p>
    <w:p w14:paraId="4CCA3C4F" w14:textId="22102375" w:rsidR="00B5475E" w:rsidRPr="00B5475E" w:rsidRDefault="00B5475E" w:rsidP="00B5475E">
      <w:pPr>
        <w:pStyle w:val="NormalWeb"/>
        <w:shd w:val="clear" w:color="auto" w:fill="FFFFFF"/>
        <w:spacing w:before="0" w:beforeAutospacing="0" w:after="240" w:afterAutospacing="0"/>
        <w:ind w:left="720" w:hanging="720"/>
        <w:rPr>
          <w:rStyle w:val="eop"/>
          <w:rFonts w:ascii="Aptos" w:eastAsiaTheme="minorEastAsia" w:hAnsi="Aptos"/>
          <w:sz w:val="22"/>
          <w:szCs w:val="22"/>
        </w:rPr>
      </w:pPr>
      <w:proofErr w:type="spellStart"/>
      <w:r w:rsidRPr="00B5475E">
        <w:rPr>
          <w:rFonts w:ascii="Aptos" w:hAnsi="Aptos"/>
          <w:color w:val="000000"/>
          <w:sz w:val="22"/>
          <w:szCs w:val="22"/>
        </w:rPr>
        <w:t>Jasnow</w:t>
      </w:r>
      <w:proofErr w:type="spellEnd"/>
      <w:r w:rsidRPr="00B5475E">
        <w:rPr>
          <w:rFonts w:ascii="Aptos" w:hAnsi="Aptos"/>
          <w:color w:val="000000"/>
          <w:sz w:val="22"/>
          <w:szCs w:val="22"/>
        </w:rPr>
        <w:t xml:space="preserve">, Benjamin, Courtney Evans, and Jenny Strauss Clay. (2018). “Poetic and Geographical Organization in the Catalogue of Ships.” </w:t>
      </w:r>
      <w:r w:rsidRPr="00B5475E">
        <w:rPr>
          <w:rFonts w:ascii="Aptos" w:hAnsi="Aptos"/>
          <w:i/>
          <w:iCs/>
          <w:color w:val="000000"/>
          <w:sz w:val="22"/>
          <w:szCs w:val="22"/>
        </w:rPr>
        <w:t>TAPA</w:t>
      </w:r>
      <w:r w:rsidRPr="00B5475E">
        <w:rPr>
          <w:rFonts w:ascii="Aptos" w:hAnsi="Aptos"/>
          <w:color w:val="000000"/>
          <w:sz w:val="22"/>
          <w:szCs w:val="22"/>
        </w:rPr>
        <w:t xml:space="preserve"> 148 (1): 1–44. </w:t>
      </w:r>
    </w:p>
    <w:p w14:paraId="057883A9" w14:textId="77777777" w:rsidR="00B5475E" w:rsidRPr="00B5475E" w:rsidRDefault="00B5475E" w:rsidP="00B5475E">
      <w:pPr>
        <w:ind w:left="720" w:hanging="720"/>
        <w:rPr>
          <w:rStyle w:val="eop"/>
          <w:rFonts w:ascii="Aptos" w:hAnsi="Aptos"/>
          <w:color w:val="000000" w:themeColor="text1"/>
          <w:sz w:val="22"/>
          <w:szCs w:val="22"/>
          <w:shd w:val="clear" w:color="auto" w:fill="FFFFFF"/>
        </w:rPr>
      </w:pPr>
      <w:proofErr w:type="spellStart"/>
      <w:r w:rsidRPr="00B5475E">
        <w:rPr>
          <w:rStyle w:val="eop"/>
          <w:rFonts w:ascii="Aptos" w:eastAsiaTheme="majorEastAsia" w:hAnsi="Aptos"/>
          <w:color w:val="000000"/>
          <w:sz w:val="22"/>
          <w:szCs w:val="22"/>
          <w:shd w:val="clear" w:color="auto" w:fill="FFFFFF"/>
        </w:rPr>
        <w:t>Kinneir</w:t>
      </w:r>
      <w:proofErr w:type="spellEnd"/>
      <w:r w:rsidRPr="00B5475E">
        <w:rPr>
          <w:rStyle w:val="eop"/>
          <w:rFonts w:ascii="Aptos" w:eastAsiaTheme="majorEastAsia" w:hAnsi="Aptos"/>
          <w:color w:val="000000"/>
          <w:sz w:val="22"/>
          <w:szCs w:val="22"/>
          <w:shd w:val="clear" w:color="auto" w:fill="FFFFFF"/>
        </w:rPr>
        <w:t xml:space="preserve">, John Macdonald. (1818). </w:t>
      </w:r>
      <w:r w:rsidRPr="00B5475E">
        <w:rPr>
          <w:rFonts w:ascii="Aptos" w:hAnsi="Aptos"/>
          <w:i/>
          <w:iCs/>
          <w:color w:val="000000" w:themeColor="text1"/>
          <w:sz w:val="22"/>
          <w:szCs w:val="22"/>
          <w:shd w:val="clear" w:color="auto" w:fill="FFFFFF"/>
        </w:rPr>
        <w:t xml:space="preserve">A Journey through Asia Minor, Armenia, and </w:t>
      </w:r>
      <w:proofErr w:type="spellStart"/>
      <w:r w:rsidRPr="00B5475E">
        <w:rPr>
          <w:rFonts w:ascii="Aptos" w:hAnsi="Aptos"/>
          <w:i/>
          <w:iCs/>
          <w:color w:val="000000" w:themeColor="text1"/>
          <w:sz w:val="22"/>
          <w:szCs w:val="22"/>
          <w:shd w:val="clear" w:color="auto" w:fill="FFFFFF"/>
        </w:rPr>
        <w:t>Koordistan</w:t>
      </w:r>
      <w:proofErr w:type="spellEnd"/>
      <w:r w:rsidRPr="00B5475E">
        <w:rPr>
          <w:rFonts w:ascii="Aptos" w:hAnsi="Aptos"/>
          <w:i/>
          <w:iCs/>
          <w:color w:val="000000" w:themeColor="text1"/>
          <w:sz w:val="22"/>
          <w:szCs w:val="22"/>
          <w:shd w:val="clear" w:color="auto" w:fill="FFFFFF"/>
        </w:rPr>
        <w:t xml:space="preserve"> in the years 1813-1814. </w:t>
      </w:r>
      <w:r w:rsidRPr="00B5475E">
        <w:rPr>
          <w:rFonts w:ascii="Aptos" w:hAnsi="Aptos"/>
          <w:color w:val="000000" w:themeColor="text1"/>
          <w:sz w:val="22"/>
          <w:szCs w:val="22"/>
          <w:shd w:val="clear" w:color="auto" w:fill="FFFFFF"/>
        </w:rPr>
        <w:t>London.</w:t>
      </w:r>
    </w:p>
    <w:p w14:paraId="7B5F9F84" w14:textId="77777777" w:rsidR="00B5475E" w:rsidRPr="00B5475E" w:rsidRDefault="00B5475E" w:rsidP="00B5475E">
      <w:pPr>
        <w:ind w:left="720" w:hanging="720"/>
        <w:rPr>
          <w:rStyle w:val="eop"/>
          <w:rFonts w:ascii="Aptos" w:hAnsi="Aptos"/>
          <w:color w:val="000000" w:themeColor="text1"/>
          <w:sz w:val="22"/>
          <w:szCs w:val="22"/>
          <w:shd w:val="clear" w:color="auto" w:fill="FFFFFF"/>
        </w:rPr>
      </w:pPr>
      <w:r w:rsidRPr="00B5475E">
        <w:rPr>
          <w:rFonts w:ascii="Aptos" w:hAnsi="Aptos"/>
          <w:color w:val="000000" w:themeColor="text1"/>
          <w:sz w:val="22"/>
          <w:szCs w:val="22"/>
          <w:shd w:val="clear" w:color="auto" w:fill="FFFFFF"/>
        </w:rPr>
        <w:t>Layard, A. Henry., British Museum. Trustees. (1853). </w:t>
      </w:r>
      <w:r w:rsidRPr="00B5475E">
        <w:rPr>
          <w:rFonts w:ascii="Aptos" w:hAnsi="Aptos"/>
          <w:i/>
          <w:iCs/>
          <w:color w:val="000000" w:themeColor="text1"/>
          <w:sz w:val="22"/>
          <w:szCs w:val="22"/>
          <w:shd w:val="clear" w:color="auto" w:fill="FFFFFF"/>
        </w:rPr>
        <w:t>Discoveries among the ruins of Nineveh and Babylon: with travels in Armenia, Kurdistan, and the desert: being the result of a second expedition undertaken for the Trustees of the British museum.</w:t>
      </w:r>
      <w:r w:rsidRPr="00B5475E">
        <w:rPr>
          <w:rFonts w:ascii="Aptos" w:hAnsi="Aptos"/>
          <w:color w:val="000000" w:themeColor="text1"/>
          <w:sz w:val="22"/>
          <w:szCs w:val="22"/>
          <w:shd w:val="clear" w:color="auto" w:fill="FFFFFF"/>
        </w:rPr>
        <w:t> New York: Harper &amp; brothers.</w:t>
      </w:r>
    </w:p>
    <w:p w14:paraId="1E7782D7"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t>Lehmann-Haupt, Carl Friedrich. 1931. Bd. 2, </w:t>
      </w:r>
      <w:proofErr w:type="spellStart"/>
      <w:r w:rsidRPr="00B5475E">
        <w:rPr>
          <w:rFonts w:ascii="Aptos" w:eastAsiaTheme="majorEastAsia" w:hAnsi="Aptos"/>
          <w:sz w:val="22"/>
          <w:szCs w:val="22"/>
        </w:rPr>
        <w:t>Hälfte</w:t>
      </w:r>
      <w:proofErr w:type="spellEnd"/>
      <w:r w:rsidRPr="00B5475E">
        <w:rPr>
          <w:rFonts w:ascii="Aptos" w:eastAsiaTheme="majorEastAsia" w:hAnsi="Aptos"/>
          <w:sz w:val="22"/>
          <w:szCs w:val="22"/>
        </w:rPr>
        <w:t> 2 (1931) Kultur, </w:t>
      </w:r>
      <w:proofErr w:type="spellStart"/>
      <w:r w:rsidRPr="00B5475E">
        <w:rPr>
          <w:rFonts w:ascii="Aptos" w:eastAsiaTheme="majorEastAsia" w:hAnsi="Aptos"/>
          <w:sz w:val="22"/>
          <w:szCs w:val="22"/>
        </w:rPr>
        <w:t>Herkunft</w:t>
      </w:r>
      <w:proofErr w:type="spellEnd"/>
      <w:r w:rsidRPr="00B5475E">
        <w:rPr>
          <w:rFonts w:ascii="Aptos" w:eastAsiaTheme="majorEastAsia" w:hAnsi="Aptos"/>
          <w:sz w:val="22"/>
          <w:szCs w:val="22"/>
        </w:rPr>
        <w:t> Und </w:t>
      </w:r>
      <w:proofErr w:type="spellStart"/>
      <w:r w:rsidRPr="00B5475E">
        <w:rPr>
          <w:rFonts w:ascii="Aptos" w:eastAsiaTheme="majorEastAsia" w:hAnsi="Aptos"/>
          <w:sz w:val="22"/>
          <w:szCs w:val="22"/>
        </w:rPr>
        <w:t>Verbleib</w:t>
      </w:r>
      <w:proofErr w:type="spellEnd"/>
      <w:r w:rsidRPr="00B5475E">
        <w:rPr>
          <w:rFonts w:ascii="Aptos" w:eastAsiaTheme="majorEastAsia" w:hAnsi="Aptos"/>
          <w:sz w:val="22"/>
          <w:szCs w:val="22"/>
        </w:rPr>
        <w:t> Der Chalder - Der </w:t>
      </w:r>
      <w:proofErr w:type="spellStart"/>
      <w:r w:rsidRPr="00B5475E">
        <w:rPr>
          <w:rFonts w:ascii="Aptos" w:eastAsiaTheme="majorEastAsia" w:hAnsi="Aptos"/>
          <w:sz w:val="22"/>
          <w:szCs w:val="22"/>
        </w:rPr>
        <w:t>Rückzug</w:t>
      </w:r>
      <w:proofErr w:type="spellEnd"/>
      <w:r w:rsidRPr="00B5475E">
        <w:rPr>
          <w:rFonts w:ascii="Aptos" w:eastAsiaTheme="majorEastAsia" w:hAnsi="Aptos"/>
          <w:sz w:val="22"/>
          <w:szCs w:val="22"/>
        </w:rPr>
        <w:t> </w:t>
      </w:r>
      <w:proofErr w:type="gramStart"/>
      <w:r w:rsidRPr="00B5475E">
        <w:rPr>
          <w:rFonts w:ascii="Aptos" w:eastAsiaTheme="majorEastAsia" w:hAnsi="Aptos"/>
          <w:sz w:val="22"/>
          <w:szCs w:val="22"/>
        </w:rPr>
        <w:t>Der</w:t>
      </w:r>
      <w:proofErr w:type="gramEnd"/>
      <w:r w:rsidRPr="00B5475E">
        <w:rPr>
          <w:rFonts w:ascii="Aptos" w:eastAsiaTheme="majorEastAsia" w:hAnsi="Aptos"/>
          <w:sz w:val="22"/>
          <w:szCs w:val="22"/>
        </w:rPr>
        <w:t> </w:t>
      </w:r>
      <w:proofErr w:type="spellStart"/>
      <w:r w:rsidRPr="00B5475E">
        <w:rPr>
          <w:rFonts w:ascii="Aptos" w:eastAsiaTheme="majorEastAsia" w:hAnsi="Aptos"/>
          <w:sz w:val="22"/>
          <w:szCs w:val="22"/>
        </w:rPr>
        <w:t>Zehntausend</w:t>
      </w:r>
      <w:proofErr w:type="spellEnd"/>
      <w:r w:rsidRPr="00B5475E">
        <w:rPr>
          <w:rFonts w:ascii="Aptos" w:eastAsiaTheme="majorEastAsia" w:hAnsi="Aptos"/>
          <w:sz w:val="22"/>
          <w:szCs w:val="22"/>
        </w:rPr>
        <w:t> Griechen von Der Ebene </w:t>
      </w:r>
      <w:proofErr w:type="spellStart"/>
      <w:r w:rsidRPr="00B5475E">
        <w:rPr>
          <w:rFonts w:ascii="Aptos" w:eastAsiaTheme="majorEastAsia" w:hAnsi="Aptos"/>
          <w:sz w:val="22"/>
          <w:szCs w:val="22"/>
        </w:rPr>
        <w:t>Alaschgert</w:t>
      </w:r>
      <w:proofErr w:type="spellEnd"/>
      <w:r w:rsidRPr="00B5475E">
        <w:rPr>
          <w:rFonts w:ascii="Aptos" w:eastAsiaTheme="majorEastAsia" w:hAnsi="Aptos"/>
          <w:sz w:val="22"/>
          <w:szCs w:val="22"/>
        </w:rPr>
        <w:t> Zum </w:t>
      </w:r>
      <w:proofErr w:type="spellStart"/>
      <w:r w:rsidRPr="00B5475E">
        <w:rPr>
          <w:rFonts w:ascii="Aptos" w:eastAsiaTheme="majorEastAsia" w:hAnsi="Aptos"/>
          <w:sz w:val="22"/>
          <w:szCs w:val="22"/>
        </w:rPr>
        <w:t>Schwarzen</w:t>
      </w:r>
      <w:proofErr w:type="spellEnd"/>
      <w:r w:rsidRPr="00B5475E">
        <w:rPr>
          <w:rFonts w:ascii="Aptos" w:eastAsiaTheme="majorEastAsia" w:hAnsi="Aptos"/>
          <w:sz w:val="22"/>
          <w:szCs w:val="22"/>
        </w:rPr>
        <w:t> </w:t>
      </w:r>
      <w:proofErr w:type="gramStart"/>
      <w:r w:rsidRPr="00B5475E">
        <w:rPr>
          <w:rFonts w:ascii="Aptos" w:eastAsiaTheme="majorEastAsia" w:hAnsi="Aptos"/>
          <w:sz w:val="22"/>
          <w:szCs w:val="22"/>
        </w:rPr>
        <w:t>Meer</w:t>
      </w:r>
      <w:r w:rsidRPr="00B5475E">
        <w:rPr>
          <w:rFonts w:ascii="Arial" w:eastAsiaTheme="majorEastAsia" w:hAnsi="Arial" w:cs="Arial"/>
          <w:sz w:val="22"/>
          <w:szCs w:val="22"/>
        </w:rPr>
        <w:t> </w:t>
      </w:r>
      <w:r w:rsidRPr="00B5475E">
        <w:rPr>
          <w:rFonts w:ascii="Aptos" w:eastAsiaTheme="majorEastAsia" w:hAnsi="Aptos"/>
          <w:sz w:val="22"/>
          <w:szCs w:val="22"/>
        </w:rPr>
        <w:t>:</w:t>
      </w:r>
      <w:proofErr w:type="gramEnd"/>
      <w:r w:rsidRPr="00B5475E">
        <w:rPr>
          <w:rFonts w:ascii="Aptos" w:eastAsiaTheme="majorEastAsia" w:hAnsi="Aptos"/>
          <w:sz w:val="22"/>
          <w:szCs w:val="22"/>
        </w:rPr>
        <w:t> Mit 247 Abb. u. 2 </w:t>
      </w:r>
      <w:proofErr w:type="spellStart"/>
      <w:r w:rsidRPr="00B5475E">
        <w:rPr>
          <w:rFonts w:ascii="Aptos" w:eastAsiaTheme="majorEastAsia" w:hAnsi="Aptos"/>
          <w:sz w:val="22"/>
          <w:szCs w:val="22"/>
        </w:rPr>
        <w:t>Kartenskizzen</w:t>
      </w:r>
      <w:proofErr w:type="spellEnd"/>
      <w:r w:rsidRPr="00B5475E">
        <w:rPr>
          <w:rFonts w:ascii="Aptos" w:eastAsiaTheme="majorEastAsia" w:hAnsi="Aptos"/>
          <w:sz w:val="22"/>
          <w:szCs w:val="22"/>
        </w:rPr>
        <w:t xml:space="preserve">. </w:t>
      </w:r>
      <w:hyperlink r:id="rId22" w:history="1">
        <w:r w:rsidRPr="00B5475E">
          <w:rPr>
            <w:rFonts w:ascii="Aptos" w:eastAsiaTheme="majorEastAsia" w:hAnsi="Aptos"/>
            <w:sz w:val="22"/>
            <w:szCs w:val="22"/>
          </w:rPr>
          <w:t>http://menadoc.bibliothek.uni-halle.de/publicdomain/993371</w:t>
        </w:r>
      </w:hyperlink>
      <w:r w:rsidRPr="00B5475E">
        <w:rPr>
          <w:rFonts w:ascii="Aptos" w:eastAsiaTheme="majorEastAsia" w:hAnsi="Aptos"/>
          <w:sz w:val="22"/>
          <w:szCs w:val="22"/>
        </w:rPr>
        <w:t>.</w:t>
      </w:r>
      <w:r w:rsidRPr="00B5475E">
        <w:rPr>
          <w:rStyle w:val="eop"/>
          <w:rFonts w:ascii="Aptos" w:eastAsiaTheme="majorEastAsia" w:hAnsi="Aptos"/>
          <w:sz w:val="22"/>
          <w:szCs w:val="22"/>
        </w:rPr>
        <w:t> </w:t>
      </w:r>
    </w:p>
    <w:p w14:paraId="69E33D8E"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proofErr w:type="spellStart"/>
      <w:r w:rsidRPr="00B5475E">
        <w:rPr>
          <w:rFonts w:ascii="Aptos" w:eastAsiaTheme="majorEastAsia" w:hAnsi="Aptos"/>
          <w:sz w:val="22"/>
          <w:szCs w:val="22"/>
        </w:rPr>
        <w:t>Lendle</w:t>
      </w:r>
      <w:proofErr w:type="spellEnd"/>
      <w:r w:rsidRPr="00B5475E">
        <w:rPr>
          <w:rFonts w:ascii="Aptos" w:eastAsiaTheme="majorEastAsia" w:hAnsi="Aptos"/>
          <w:sz w:val="22"/>
          <w:szCs w:val="22"/>
        </w:rPr>
        <w:t>, Otto. (1995). </w:t>
      </w:r>
      <w:proofErr w:type="spellStart"/>
      <w:r w:rsidRPr="00B5475E">
        <w:rPr>
          <w:rFonts w:ascii="Aptos" w:eastAsiaTheme="majorEastAsia" w:hAnsi="Aptos"/>
          <w:i/>
          <w:iCs/>
          <w:sz w:val="22"/>
          <w:szCs w:val="22"/>
        </w:rPr>
        <w:t>Kommentar</w:t>
      </w:r>
      <w:proofErr w:type="spellEnd"/>
      <w:r w:rsidRPr="00B5475E">
        <w:rPr>
          <w:rFonts w:ascii="Aptos" w:eastAsiaTheme="majorEastAsia" w:hAnsi="Aptos"/>
          <w:i/>
          <w:iCs/>
          <w:sz w:val="22"/>
          <w:szCs w:val="22"/>
        </w:rPr>
        <w:t> </w:t>
      </w:r>
      <w:proofErr w:type="spellStart"/>
      <w:r w:rsidRPr="00B5475E">
        <w:rPr>
          <w:rFonts w:ascii="Aptos" w:eastAsiaTheme="majorEastAsia" w:hAnsi="Aptos"/>
          <w:i/>
          <w:iCs/>
          <w:sz w:val="22"/>
          <w:szCs w:val="22"/>
        </w:rPr>
        <w:t>zu</w:t>
      </w:r>
      <w:proofErr w:type="spellEnd"/>
      <w:r w:rsidRPr="00B5475E">
        <w:rPr>
          <w:rFonts w:ascii="Aptos" w:eastAsiaTheme="majorEastAsia" w:hAnsi="Aptos"/>
          <w:i/>
          <w:iCs/>
          <w:sz w:val="22"/>
          <w:szCs w:val="22"/>
        </w:rPr>
        <w:t> </w:t>
      </w:r>
      <w:proofErr w:type="spellStart"/>
      <w:r w:rsidRPr="00B5475E">
        <w:rPr>
          <w:rFonts w:ascii="Aptos" w:eastAsiaTheme="majorEastAsia" w:hAnsi="Aptos"/>
          <w:i/>
          <w:iCs/>
          <w:sz w:val="22"/>
          <w:szCs w:val="22"/>
        </w:rPr>
        <w:t>Xenophons</w:t>
      </w:r>
      <w:proofErr w:type="spellEnd"/>
      <w:r w:rsidRPr="00B5475E">
        <w:rPr>
          <w:rFonts w:ascii="Aptos" w:eastAsiaTheme="majorEastAsia" w:hAnsi="Aptos"/>
          <w:i/>
          <w:iCs/>
          <w:sz w:val="22"/>
          <w:szCs w:val="22"/>
        </w:rPr>
        <w:t> Anabasis: </w:t>
      </w:r>
      <w:proofErr w:type="spellStart"/>
      <w:r w:rsidRPr="00B5475E">
        <w:rPr>
          <w:rFonts w:ascii="Aptos" w:eastAsiaTheme="majorEastAsia" w:hAnsi="Aptos"/>
          <w:i/>
          <w:iCs/>
          <w:sz w:val="22"/>
          <w:szCs w:val="22"/>
        </w:rPr>
        <w:t>Bücher</w:t>
      </w:r>
      <w:proofErr w:type="spellEnd"/>
      <w:r w:rsidRPr="00B5475E">
        <w:rPr>
          <w:rFonts w:ascii="Aptos" w:eastAsiaTheme="majorEastAsia" w:hAnsi="Aptos"/>
          <w:i/>
          <w:iCs/>
          <w:sz w:val="22"/>
          <w:szCs w:val="22"/>
        </w:rPr>
        <w:t> 1-7.</w:t>
      </w:r>
      <w:r w:rsidRPr="00B5475E">
        <w:rPr>
          <w:rFonts w:ascii="Aptos" w:eastAsiaTheme="majorEastAsia" w:hAnsi="Aptos"/>
          <w:sz w:val="22"/>
          <w:szCs w:val="22"/>
        </w:rPr>
        <w:t xml:space="preserve"> Darmstadt: </w:t>
      </w:r>
      <w:proofErr w:type="spellStart"/>
      <w:r w:rsidRPr="00B5475E">
        <w:rPr>
          <w:rFonts w:ascii="Aptos" w:eastAsiaTheme="majorEastAsia" w:hAnsi="Aptos"/>
          <w:sz w:val="22"/>
          <w:szCs w:val="22"/>
        </w:rPr>
        <w:t>Wissenschaftliche</w:t>
      </w:r>
      <w:proofErr w:type="spellEnd"/>
      <w:r w:rsidRPr="00B5475E">
        <w:rPr>
          <w:rFonts w:ascii="Aptos" w:eastAsiaTheme="majorEastAsia" w:hAnsi="Aptos"/>
          <w:sz w:val="22"/>
          <w:szCs w:val="22"/>
        </w:rPr>
        <w:t> </w:t>
      </w:r>
      <w:proofErr w:type="spellStart"/>
      <w:r w:rsidRPr="00B5475E">
        <w:rPr>
          <w:rFonts w:ascii="Aptos" w:eastAsiaTheme="majorEastAsia" w:hAnsi="Aptos"/>
          <w:sz w:val="22"/>
          <w:szCs w:val="22"/>
        </w:rPr>
        <w:t>Buchgesellschaft</w:t>
      </w:r>
      <w:proofErr w:type="spellEnd"/>
      <w:r w:rsidRPr="00B5475E">
        <w:rPr>
          <w:rFonts w:ascii="Aptos" w:eastAsiaTheme="majorEastAsia" w:hAnsi="Aptos"/>
          <w:sz w:val="22"/>
          <w:szCs w:val="22"/>
        </w:rPr>
        <w:t>. </w:t>
      </w:r>
    </w:p>
    <w:p w14:paraId="4DBD6D6A"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t xml:space="preserve">Lynch, H. F. B. (1901). </w:t>
      </w:r>
      <w:r w:rsidRPr="00B5475E">
        <w:rPr>
          <w:rFonts w:ascii="Aptos" w:eastAsiaTheme="majorEastAsia" w:hAnsi="Aptos"/>
          <w:i/>
          <w:iCs/>
          <w:sz w:val="22"/>
          <w:szCs w:val="22"/>
        </w:rPr>
        <w:t>Armenia: Travels and Studies in the Shadow of Ararat.</w:t>
      </w:r>
      <w:r w:rsidRPr="00B5475E">
        <w:rPr>
          <w:rFonts w:ascii="Aptos" w:eastAsiaTheme="majorEastAsia" w:hAnsi="Aptos"/>
          <w:sz w:val="22"/>
          <w:szCs w:val="22"/>
        </w:rPr>
        <w:t> Vol. 2. 2 vols. London: I.B. Tauris. </w:t>
      </w:r>
    </w:p>
    <w:p w14:paraId="771B6CDF"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lastRenderedPageBreak/>
        <w:t xml:space="preserve">Manfredi, Valerio. (1986.) </w:t>
      </w:r>
      <w:r w:rsidRPr="00B5475E">
        <w:rPr>
          <w:rFonts w:ascii="Aptos" w:eastAsiaTheme="majorEastAsia" w:hAnsi="Aptos"/>
          <w:i/>
          <w:iCs/>
          <w:sz w:val="22"/>
          <w:szCs w:val="22"/>
        </w:rPr>
        <w:t xml:space="preserve">La </w:t>
      </w:r>
      <w:proofErr w:type="spellStart"/>
      <w:r w:rsidRPr="00B5475E">
        <w:rPr>
          <w:rFonts w:ascii="Aptos" w:eastAsiaTheme="majorEastAsia" w:hAnsi="Aptos"/>
          <w:i/>
          <w:iCs/>
          <w:sz w:val="22"/>
          <w:szCs w:val="22"/>
        </w:rPr>
        <w:t>strada</w:t>
      </w:r>
      <w:proofErr w:type="spellEnd"/>
      <w:r w:rsidRPr="00B5475E">
        <w:rPr>
          <w:rFonts w:ascii="Aptos" w:eastAsiaTheme="majorEastAsia" w:hAnsi="Aptos"/>
          <w:i/>
          <w:iCs/>
          <w:sz w:val="22"/>
          <w:szCs w:val="22"/>
        </w:rPr>
        <w:t xml:space="preserve"> </w:t>
      </w:r>
      <w:proofErr w:type="spellStart"/>
      <w:r w:rsidRPr="00B5475E">
        <w:rPr>
          <w:rFonts w:ascii="Aptos" w:eastAsiaTheme="majorEastAsia" w:hAnsi="Aptos"/>
          <w:i/>
          <w:iCs/>
          <w:sz w:val="22"/>
          <w:szCs w:val="22"/>
        </w:rPr>
        <w:t>dei</w:t>
      </w:r>
      <w:proofErr w:type="spellEnd"/>
      <w:r w:rsidRPr="00B5475E">
        <w:rPr>
          <w:rFonts w:ascii="Aptos" w:eastAsiaTheme="majorEastAsia" w:hAnsi="Aptos"/>
          <w:i/>
          <w:iCs/>
          <w:sz w:val="22"/>
          <w:szCs w:val="22"/>
        </w:rPr>
        <w:t xml:space="preserve"> </w:t>
      </w:r>
      <w:proofErr w:type="spellStart"/>
      <w:r w:rsidRPr="00B5475E">
        <w:rPr>
          <w:rFonts w:ascii="Aptos" w:eastAsiaTheme="majorEastAsia" w:hAnsi="Aptos"/>
          <w:i/>
          <w:iCs/>
          <w:sz w:val="22"/>
          <w:szCs w:val="22"/>
        </w:rPr>
        <w:t>Diecimila</w:t>
      </w:r>
      <w:proofErr w:type="spellEnd"/>
      <w:r w:rsidRPr="00B5475E">
        <w:rPr>
          <w:rFonts w:ascii="Aptos" w:eastAsiaTheme="majorEastAsia" w:hAnsi="Aptos"/>
          <w:i/>
          <w:iCs/>
          <w:sz w:val="22"/>
          <w:szCs w:val="22"/>
        </w:rPr>
        <w:t xml:space="preserve">: </w:t>
      </w:r>
      <w:proofErr w:type="spellStart"/>
      <w:r w:rsidRPr="00B5475E">
        <w:rPr>
          <w:rFonts w:ascii="Aptos" w:eastAsiaTheme="majorEastAsia" w:hAnsi="Aptos"/>
          <w:i/>
          <w:iCs/>
          <w:sz w:val="22"/>
          <w:szCs w:val="22"/>
        </w:rPr>
        <w:t>topografia</w:t>
      </w:r>
      <w:proofErr w:type="spellEnd"/>
      <w:r w:rsidRPr="00B5475E">
        <w:rPr>
          <w:rFonts w:ascii="Aptos" w:eastAsiaTheme="majorEastAsia" w:hAnsi="Aptos"/>
          <w:i/>
          <w:iCs/>
          <w:sz w:val="22"/>
          <w:szCs w:val="22"/>
        </w:rPr>
        <w:t xml:space="preserve"> e </w:t>
      </w:r>
      <w:proofErr w:type="spellStart"/>
      <w:r w:rsidRPr="00B5475E">
        <w:rPr>
          <w:rFonts w:ascii="Aptos" w:eastAsiaTheme="majorEastAsia" w:hAnsi="Aptos"/>
          <w:i/>
          <w:iCs/>
          <w:sz w:val="22"/>
          <w:szCs w:val="22"/>
        </w:rPr>
        <w:t>geografia</w:t>
      </w:r>
      <w:proofErr w:type="spellEnd"/>
      <w:r w:rsidRPr="00B5475E">
        <w:rPr>
          <w:rFonts w:ascii="Aptos" w:eastAsiaTheme="majorEastAsia" w:hAnsi="Aptos"/>
          <w:i/>
          <w:iCs/>
          <w:sz w:val="22"/>
          <w:szCs w:val="22"/>
        </w:rPr>
        <w:t xml:space="preserve"> </w:t>
      </w:r>
      <w:proofErr w:type="spellStart"/>
      <w:r w:rsidRPr="00B5475E">
        <w:rPr>
          <w:rFonts w:ascii="Aptos" w:eastAsiaTheme="majorEastAsia" w:hAnsi="Aptos"/>
          <w:i/>
          <w:iCs/>
          <w:sz w:val="22"/>
          <w:szCs w:val="22"/>
        </w:rPr>
        <w:t>dell’Oriente</w:t>
      </w:r>
      <w:proofErr w:type="spellEnd"/>
      <w:r w:rsidRPr="00B5475E">
        <w:rPr>
          <w:rFonts w:ascii="Aptos" w:eastAsiaTheme="majorEastAsia" w:hAnsi="Aptos"/>
          <w:i/>
          <w:iCs/>
          <w:sz w:val="22"/>
          <w:szCs w:val="22"/>
        </w:rPr>
        <w:t xml:space="preserve"> di Senofonte</w:t>
      </w:r>
      <w:r w:rsidRPr="00B5475E">
        <w:rPr>
          <w:rFonts w:ascii="Aptos" w:eastAsiaTheme="majorEastAsia" w:hAnsi="Aptos"/>
          <w:sz w:val="22"/>
          <w:szCs w:val="22"/>
        </w:rPr>
        <w:t xml:space="preserve">. 1a ed. </w:t>
      </w:r>
      <w:proofErr w:type="spellStart"/>
      <w:r w:rsidRPr="00B5475E">
        <w:rPr>
          <w:rFonts w:ascii="Aptos" w:eastAsiaTheme="majorEastAsia" w:hAnsi="Aptos"/>
          <w:sz w:val="22"/>
          <w:szCs w:val="22"/>
        </w:rPr>
        <w:t>Ricerche</w:t>
      </w:r>
      <w:proofErr w:type="spellEnd"/>
      <w:r w:rsidRPr="00B5475E">
        <w:rPr>
          <w:rFonts w:ascii="Aptos" w:eastAsiaTheme="majorEastAsia" w:hAnsi="Aptos"/>
          <w:sz w:val="22"/>
          <w:szCs w:val="22"/>
        </w:rPr>
        <w:t xml:space="preserve"> </w:t>
      </w:r>
      <w:proofErr w:type="spellStart"/>
      <w:r w:rsidRPr="00B5475E">
        <w:rPr>
          <w:rFonts w:ascii="Aptos" w:eastAsiaTheme="majorEastAsia" w:hAnsi="Aptos"/>
          <w:sz w:val="22"/>
          <w:szCs w:val="22"/>
        </w:rPr>
        <w:t>dell’Instituto</w:t>
      </w:r>
      <w:proofErr w:type="spellEnd"/>
      <w:r w:rsidRPr="00B5475E">
        <w:rPr>
          <w:rFonts w:ascii="Aptos" w:eastAsiaTheme="majorEastAsia" w:hAnsi="Aptos"/>
          <w:sz w:val="22"/>
          <w:szCs w:val="22"/>
        </w:rPr>
        <w:t xml:space="preserve"> de Storia Antica </w:t>
      </w:r>
      <w:proofErr w:type="spellStart"/>
      <w:r w:rsidRPr="00B5475E">
        <w:rPr>
          <w:rFonts w:ascii="Aptos" w:eastAsiaTheme="majorEastAsia" w:hAnsi="Aptos"/>
          <w:sz w:val="22"/>
          <w:szCs w:val="22"/>
        </w:rPr>
        <w:t>dell’Università</w:t>
      </w:r>
      <w:proofErr w:type="spellEnd"/>
      <w:r w:rsidRPr="00B5475E">
        <w:rPr>
          <w:rFonts w:ascii="Aptos" w:eastAsiaTheme="majorEastAsia" w:hAnsi="Aptos"/>
          <w:sz w:val="22"/>
          <w:szCs w:val="22"/>
        </w:rPr>
        <w:t xml:space="preserve"> Cattolica. Milano: Jaca Book. </w:t>
      </w:r>
    </w:p>
    <w:p w14:paraId="722CA065" w14:textId="77777777" w:rsidR="00B5475E" w:rsidRPr="00B5475E" w:rsidRDefault="00B5475E" w:rsidP="00B5475E">
      <w:pPr>
        <w:ind w:left="720" w:hanging="720"/>
        <w:rPr>
          <w:rFonts w:ascii="Aptos" w:eastAsiaTheme="majorEastAsia" w:hAnsi="Aptos"/>
          <w:sz w:val="22"/>
          <w:szCs w:val="22"/>
        </w:rPr>
      </w:pPr>
      <w:r w:rsidRPr="00B5475E">
        <w:rPr>
          <w:rFonts w:ascii="Aptos" w:hAnsi="Aptos"/>
          <w:sz w:val="22"/>
          <w:szCs w:val="22"/>
        </w:rPr>
        <w:t xml:space="preserve">Mason, Kenneth. (1920). Notes on the Canal System and Ancient Sites of Babylonia in the Time of Xenophon. </w:t>
      </w:r>
      <w:r w:rsidRPr="00B5475E">
        <w:rPr>
          <w:rFonts w:ascii="Aptos" w:hAnsi="Aptos"/>
          <w:i/>
          <w:iCs/>
          <w:sz w:val="22"/>
          <w:szCs w:val="22"/>
        </w:rPr>
        <w:t>The Geographical Journal</w:t>
      </w:r>
      <w:r w:rsidRPr="00B5475E">
        <w:rPr>
          <w:rFonts w:ascii="Aptos" w:hAnsi="Aptos"/>
          <w:sz w:val="22"/>
          <w:szCs w:val="22"/>
        </w:rPr>
        <w:t xml:space="preserve"> 56 (6): 468–81. https://doi.org/10.2307/1780469.</w:t>
      </w:r>
      <w:r w:rsidRPr="00B5475E">
        <w:rPr>
          <w:rFonts w:ascii="Aptos" w:eastAsiaTheme="majorEastAsia" w:hAnsi="Aptos"/>
          <w:sz w:val="22"/>
          <w:szCs w:val="22"/>
        </w:rPr>
        <w:t> </w:t>
      </w:r>
    </w:p>
    <w:p w14:paraId="3512266C" w14:textId="77777777" w:rsidR="00B5475E" w:rsidRPr="00B5475E" w:rsidRDefault="00B5475E" w:rsidP="00B5475E">
      <w:pPr>
        <w:ind w:left="720" w:hanging="720"/>
        <w:rPr>
          <w:rStyle w:val="eop"/>
          <w:rFonts w:ascii="Aptos" w:eastAsiaTheme="majorEastAsia" w:hAnsi="Aptos"/>
          <w:color w:val="000000"/>
          <w:sz w:val="22"/>
          <w:szCs w:val="22"/>
          <w:shd w:val="clear" w:color="auto" w:fill="FFFFFF"/>
        </w:rPr>
      </w:pPr>
      <w:r w:rsidRPr="00B5475E">
        <w:rPr>
          <w:rFonts w:ascii="Aptos" w:hAnsi="Aptos"/>
          <w:sz w:val="22"/>
          <w:szCs w:val="22"/>
        </w:rPr>
        <w:t xml:space="preserve">Mitford, Tim. (2000). </w:t>
      </w:r>
      <w:proofErr w:type="spellStart"/>
      <w:r w:rsidRPr="00B5475E">
        <w:rPr>
          <w:rFonts w:ascii="Aptos" w:hAnsi="Aptos"/>
          <w:sz w:val="22"/>
          <w:szCs w:val="22"/>
        </w:rPr>
        <w:t>Thalatta</w:t>
      </w:r>
      <w:proofErr w:type="spellEnd"/>
      <w:r w:rsidRPr="00B5475E">
        <w:rPr>
          <w:rFonts w:ascii="Aptos" w:hAnsi="Aptos"/>
          <w:sz w:val="22"/>
          <w:szCs w:val="22"/>
        </w:rPr>
        <w:t>, </w:t>
      </w:r>
      <w:proofErr w:type="spellStart"/>
      <w:r w:rsidRPr="00B5475E">
        <w:rPr>
          <w:rFonts w:ascii="Aptos" w:hAnsi="Aptos"/>
          <w:sz w:val="22"/>
          <w:szCs w:val="22"/>
        </w:rPr>
        <w:t>Thalatta</w:t>
      </w:r>
      <w:proofErr w:type="spellEnd"/>
      <w:r w:rsidRPr="00B5475E">
        <w:rPr>
          <w:rFonts w:ascii="Aptos" w:hAnsi="Aptos"/>
          <w:sz w:val="22"/>
          <w:szCs w:val="22"/>
        </w:rPr>
        <w:t xml:space="preserve">: Xenophon’s View of the Black Sea. </w:t>
      </w:r>
      <w:r w:rsidRPr="00B5475E">
        <w:rPr>
          <w:rFonts w:ascii="Aptos" w:hAnsi="Aptos"/>
          <w:i/>
          <w:iCs/>
          <w:sz w:val="22"/>
          <w:szCs w:val="22"/>
        </w:rPr>
        <w:t>Anatolian Studies</w:t>
      </w:r>
      <w:r w:rsidRPr="00B5475E">
        <w:rPr>
          <w:rFonts w:ascii="Aptos" w:hAnsi="Aptos"/>
          <w:sz w:val="22"/>
          <w:szCs w:val="22"/>
        </w:rPr>
        <w:t xml:space="preserve"> 50:127–31. </w:t>
      </w:r>
      <w:hyperlink r:id="rId23" w:history="1">
        <w:r w:rsidRPr="00B5475E">
          <w:rPr>
            <w:rFonts w:ascii="Aptos" w:hAnsi="Aptos"/>
            <w:sz w:val="22"/>
            <w:szCs w:val="22"/>
          </w:rPr>
          <w:t>https://doi.org/10.2307/3643017</w:t>
        </w:r>
      </w:hyperlink>
      <w:r w:rsidRPr="00B5475E">
        <w:rPr>
          <w:rFonts w:ascii="Aptos" w:hAnsi="Aptos"/>
          <w:sz w:val="22"/>
          <w:szCs w:val="22"/>
        </w:rPr>
        <w:t>.</w:t>
      </w:r>
      <w:r w:rsidRPr="00B5475E">
        <w:rPr>
          <w:rStyle w:val="eop"/>
          <w:rFonts w:ascii="Aptos" w:eastAsiaTheme="majorEastAsia" w:hAnsi="Aptos"/>
          <w:color w:val="000000"/>
          <w:sz w:val="22"/>
          <w:szCs w:val="22"/>
          <w:shd w:val="clear" w:color="auto" w:fill="FFFFFF"/>
        </w:rPr>
        <w:t> </w:t>
      </w:r>
    </w:p>
    <w:p w14:paraId="1458CE16" w14:textId="63BE3596" w:rsidR="00B5475E" w:rsidRPr="00B5475E" w:rsidRDefault="00B5475E" w:rsidP="00B5475E">
      <w:pPr>
        <w:pStyle w:val="NormalWeb"/>
        <w:shd w:val="clear" w:color="auto" w:fill="FFFFFF"/>
        <w:spacing w:before="0" w:beforeAutospacing="0" w:after="240" w:afterAutospacing="0"/>
        <w:ind w:left="720" w:hanging="720"/>
        <w:rPr>
          <w:rFonts w:ascii="Aptos" w:hAnsi="Aptos"/>
          <w:sz w:val="22"/>
          <w:szCs w:val="22"/>
        </w:rPr>
      </w:pPr>
      <w:r w:rsidRPr="00B5475E">
        <w:rPr>
          <w:rFonts w:ascii="Aptos" w:hAnsi="Aptos"/>
          <w:sz w:val="22"/>
          <w:szCs w:val="22"/>
        </w:rPr>
        <w:t xml:space="preserve">Palladino, Chiara. (2021). “Representing Places in Texts: A Spatial Investigation into </w:t>
      </w:r>
      <w:proofErr w:type="spellStart"/>
      <w:r w:rsidRPr="00B5475E">
        <w:rPr>
          <w:rFonts w:ascii="Aptos" w:hAnsi="Aptos"/>
          <w:sz w:val="22"/>
          <w:szCs w:val="22"/>
        </w:rPr>
        <w:t>Agathemerus</w:t>
      </w:r>
      <w:proofErr w:type="spellEnd"/>
      <w:r w:rsidRPr="00B5475E">
        <w:rPr>
          <w:rFonts w:ascii="Aptos" w:hAnsi="Aptos"/>
          <w:sz w:val="22"/>
          <w:szCs w:val="22"/>
        </w:rPr>
        <w:t xml:space="preserve">, Sketch of Geography.” IJHAC: International Journal of Humanities and Arts Computing 15.1–2 (October): 261–79. https://doi.org/10.3366/ijhac.2021.0261. </w:t>
      </w:r>
    </w:p>
    <w:p w14:paraId="2DE6D518" w14:textId="77777777" w:rsidR="00B5475E" w:rsidRPr="00B5475E" w:rsidRDefault="00B5475E" w:rsidP="00B5475E">
      <w:pPr>
        <w:pStyle w:val="NormalWeb"/>
        <w:shd w:val="clear" w:color="auto" w:fill="FFFFFF"/>
        <w:spacing w:before="0" w:beforeAutospacing="0" w:after="240" w:afterAutospacing="0"/>
        <w:ind w:left="720" w:hanging="720"/>
        <w:rPr>
          <w:rFonts w:ascii="Aptos" w:hAnsi="Aptos"/>
          <w:color w:val="000000"/>
          <w:sz w:val="22"/>
          <w:szCs w:val="22"/>
        </w:rPr>
      </w:pPr>
      <w:r w:rsidRPr="00B5475E">
        <w:rPr>
          <w:rFonts w:ascii="Aptos" w:hAnsi="Aptos"/>
          <w:sz w:val="22"/>
          <w:szCs w:val="22"/>
        </w:rPr>
        <w:t xml:space="preserve">———. 2023. “Not the Same Landscape. Rediscussing Digital Approaches to Premodern Spatial Knowledge Systems.” Ubiquity Press, December. https://doi.org/10.5334/ </w:t>
      </w:r>
      <w:proofErr w:type="spellStart"/>
      <w:r w:rsidRPr="00B5475E">
        <w:rPr>
          <w:rFonts w:ascii="Aptos" w:hAnsi="Aptos"/>
          <w:sz w:val="22"/>
          <w:szCs w:val="22"/>
        </w:rPr>
        <w:t>bcv.h</w:t>
      </w:r>
      <w:proofErr w:type="spellEnd"/>
      <w:r w:rsidRPr="00B5475E">
        <w:rPr>
          <w:rFonts w:ascii="Aptos" w:hAnsi="Aptos"/>
          <w:sz w:val="22"/>
          <w:szCs w:val="22"/>
        </w:rPr>
        <w:t>.</w:t>
      </w:r>
    </w:p>
    <w:p w14:paraId="0B89CEEA" w14:textId="77777777" w:rsidR="00B5475E" w:rsidRPr="00B5475E" w:rsidRDefault="00B5475E" w:rsidP="00B5475E">
      <w:pPr>
        <w:pStyle w:val="NormalWeb"/>
        <w:shd w:val="clear" w:color="auto" w:fill="FFFFFF"/>
        <w:spacing w:before="0" w:beforeAutospacing="0" w:after="240" w:afterAutospacing="0"/>
        <w:ind w:left="720" w:hanging="720"/>
        <w:rPr>
          <w:rFonts w:ascii="Aptos" w:hAnsi="Aptos"/>
          <w:color w:val="1155CC"/>
          <w:sz w:val="22"/>
          <w:szCs w:val="22"/>
        </w:rPr>
      </w:pPr>
      <w:r w:rsidRPr="00B5475E">
        <w:rPr>
          <w:rFonts w:ascii="Aptos" w:hAnsi="Aptos"/>
          <w:color w:val="000000"/>
          <w:sz w:val="22"/>
          <w:szCs w:val="22"/>
        </w:rPr>
        <w:t xml:space="preserve">Palladino, Chiara, and Cian Colgan. (2025). “From the Pillars of Heracles to Ecbatana: Digital Representation of Ancient Travel Narratives.” In </w:t>
      </w:r>
      <w:r w:rsidRPr="00B5475E">
        <w:rPr>
          <w:rFonts w:ascii="Aptos" w:hAnsi="Aptos"/>
          <w:i/>
          <w:iCs/>
          <w:color w:val="000000"/>
          <w:sz w:val="22"/>
          <w:szCs w:val="22"/>
        </w:rPr>
        <w:t>Evolving Perspectives on Digital Classics</w:t>
      </w:r>
      <w:r w:rsidRPr="00B5475E">
        <w:rPr>
          <w:rFonts w:ascii="Aptos" w:hAnsi="Aptos"/>
          <w:color w:val="000000"/>
          <w:sz w:val="22"/>
          <w:szCs w:val="22"/>
        </w:rPr>
        <w:t>, edited by Clelia R. LaMonica and Anna Foka. Abingdon: Routledge.</w:t>
      </w:r>
      <w:hyperlink r:id="rId24" w:history="1">
        <w:r w:rsidRPr="00B5475E">
          <w:rPr>
            <w:rStyle w:val="Hyperlink"/>
            <w:rFonts w:ascii="Aptos" w:eastAsiaTheme="majorEastAsia" w:hAnsi="Aptos"/>
            <w:color w:val="000000"/>
            <w:sz w:val="22"/>
            <w:szCs w:val="22"/>
          </w:rPr>
          <w:t xml:space="preserve"> </w:t>
        </w:r>
        <w:r w:rsidRPr="00B5475E">
          <w:rPr>
            <w:rStyle w:val="Hyperlink"/>
            <w:rFonts w:ascii="Aptos" w:eastAsiaTheme="majorEastAsia" w:hAnsi="Aptos"/>
            <w:color w:val="1155CC"/>
            <w:sz w:val="22"/>
            <w:szCs w:val="22"/>
            <w:shd w:val="clear" w:color="auto" w:fill="FFFFFF"/>
          </w:rPr>
          <w:t>https://doi.org/10.4324/9781003584155</w:t>
        </w:r>
      </w:hyperlink>
      <w:r w:rsidRPr="00B5475E">
        <w:rPr>
          <w:rFonts w:ascii="Aptos" w:hAnsi="Aptos"/>
          <w:color w:val="1155CC"/>
          <w:sz w:val="22"/>
          <w:szCs w:val="22"/>
        </w:rPr>
        <w:t>.</w:t>
      </w:r>
    </w:p>
    <w:p w14:paraId="40D3AEA4" w14:textId="77777777" w:rsidR="00B5475E" w:rsidRPr="00B5475E" w:rsidRDefault="00B5475E" w:rsidP="00B5475E">
      <w:pPr>
        <w:ind w:left="720" w:hanging="720"/>
        <w:rPr>
          <w:rStyle w:val="eop"/>
          <w:rFonts w:ascii="Aptos" w:hAnsi="Aptos"/>
          <w:sz w:val="22"/>
          <w:szCs w:val="22"/>
        </w:rPr>
      </w:pPr>
      <w:r w:rsidRPr="00B5475E">
        <w:rPr>
          <w:rFonts w:ascii="Aptos" w:hAnsi="Aptos"/>
          <w:sz w:val="22"/>
          <w:szCs w:val="22"/>
        </w:rPr>
        <w:t xml:space="preserve">Palladino, C., </w:t>
      </w:r>
      <w:proofErr w:type="spellStart"/>
      <w:r w:rsidRPr="00B5475E">
        <w:rPr>
          <w:rFonts w:ascii="Aptos" w:hAnsi="Aptos"/>
          <w:sz w:val="22"/>
          <w:szCs w:val="22"/>
        </w:rPr>
        <w:t>Fantoli</w:t>
      </w:r>
      <w:proofErr w:type="spellEnd"/>
      <w:r w:rsidRPr="00B5475E">
        <w:rPr>
          <w:rFonts w:ascii="Aptos" w:hAnsi="Aptos"/>
          <w:sz w:val="22"/>
          <w:szCs w:val="22"/>
        </w:rPr>
        <w:t xml:space="preserve">, M., de Graaf, E., Berti, M., Romanello, M., Yousef, T., </w:t>
      </w:r>
      <w:proofErr w:type="spellStart"/>
      <w:r w:rsidRPr="00B5475E">
        <w:rPr>
          <w:rFonts w:ascii="Aptos" w:hAnsi="Aptos"/>
          <w:sz w:val="22"/>
          <w:szCs w:val="22"/>
        </w:rPr>
        <w:t>Beersmans</w:t>
      </w:r>
      <w:proofErr w:type="spellEnd"/>
      <w:r w:rsidRPr="00B5475E">
        <w:rPr>
          <w:rFonts w:ascii="Aptos" w:hAnsi="Aptos"/>
          <w:sz w:val="22"/>
          <w:szCs w:val="22"/>
        </w:rPr>
        <w:t xml:space="preserve">, M., </w:t>
      </w:r>
      <w:proofErr w:type="spellStart"/>
      <w:r w:rsidRPr="00B5475E">
        <w:rPr>
          <w:rFonts w:ascii="Aptos" w:hAnsi="Aptos"/>
          <w:sz w:val="22"/>
          <w:szCs w:val="22"/>
        </w:rPr>
        <w:t>Gheldof</w:t>
      </w:r>
      <w:proofErr w:type="spellEnd"/>
      <w:r w:rsidRPr="00B5475E">
        <w:rPr>
          <w:rFonts w:ascii="Aptos" w:hAnsi="Aptos"/>
          <w:sz w:val="22"/>
          <w:szCs w:val="22"/>
        </w:rPr>
        <w:t xml:space="preserve">, T., </w:t>
      </w:r>
      <w:proofErr w:type="spellStart"/>
      <w:r w:rsidRPr="00B5475E">
        <w:rPr>
          <w:rFonts w:ascii="Aptos" w:hAnsi="Aptos"/>
          <w:sz w:val="22"/>
          <w:szCs w:val="22"/>
        </w:rPr>
        <w:t>Soffiantini</w:t>
      </w:r>
      <w:proofErr w:type="spellEnd"/>
      <w:r w:rsidRPr="00B5475E">
        <w:rPr>
          <w:rFonts w:ascii="Aptos" w:hAnsi="Aptos"/>
          <w:sz w:val="22"/>
          <w:szCs w:val="22"/>
        </w:rPr>
        <w:t xml:space="preserve">, L., &amp; Litta </w:t>
      </w:r>
      <w:proofErr w:type="spellStart"/>
      <w:r w:rsidRPr="00B5475E">
        <w:rPr>
          <w:rFonts w:ascii="Aptos" w:hAnsi="Aptos"/>
          <w:sz w:val="22"/>
          <w:szCs w:val="22"/>
        </w:rPr>
        <w:t>Modignani</w:t>
      </w:r>
      <w:proofErr w:type="spellEnd"/>
      <w:r w:rsidRPr="00B5475E">
        <w:rPr>
          <w:rFonts w:ascii="Aptos" w:hAnsi="Aptos"/>
          <w:sz w:val="22"/>
          <w:szCs w:val="22"/>
        </w:rPr>
        <w:t xml:space="preserve"> Picozzi, E. (2024, May 28). </w:t>
      </w:r>
      <w:r w:rsidRPr="00B5475E">
        <w:rPr>
          <w:rFonts w:ascii="Aptos" w:hAnsi="Aptos"/>
          <w:i/>
          <w:iCs/>
          <w:sz w:val="22"/>
          <w:szCs w:val="22"/>
        </w:rPr>
        <w:t xml:space="preserve">Experience and Challenges with Named Entities - Workshop at </w:t>
      </w:r>
      <w:proofErr w:type="spellStart"/>
      <w:r w:rsidRPr="00B5475E">
        <w:rPr>
          <w:rFonts w:ascii="Aptos" w:hAnsi="Aptos"/>
          <w:i/>
          <w:iCs/>
          <w:sz w:val="22"/>
          <w:szCs w:val="22"/>
        </w:rPr>
        <w:t>DHBenelux</w:t>
      </w:r>
      <w:proofErr w:type="spellEnd"/>
      <w:r w:rsidRPr="00B5475E">
        <w:rPr>
          <w:rFonts w:ascii="Aptos" w:hAnsi="Aptos"/>
          <w:i/>
          <w:iCs/>
          <w:sz w:val="22"/>
          <w:szCs w:val="22"/>
        </w:rPr>
        <w:t xml:space="preserve"> 2024</w:t>
      </w:r>
      <w:r w:rsidRPr="00B5475E">
        <w:rPr>
          <w:rFonts w:ascii="Aptos" w:hAnsi="Aptos"/>
          <w:sz w:val="22"/>
          <w:szCs w:val="22"/>
        </w:rPr>
        <w:t xml:space="preserve"> [Conference presentation]. Do all roads lead to {Rome: LOC}? Experiences and challenges with named entities in ancient and medieval corpora, KU Leuven. </w:t>
      </w:r>
      <w:proofErr w:type="spellStart"/>
      <w:r w:rsidRPr="00B5475E">
        <w:rPr>
          <w:rFonts w:ascii="Aptos" w:hAnsi="Aptos"/>
          <w:sz w:val="22"/>
          <w:szCs w:val="22"/>
        </w:rPr>
        <w:t>Zenodo</w:t>
      </w:r>
      <w:proofErr w:type="spellEnd"/>
      <w:r w:rsidRPr="00B5475E">
        <w:rPr>
          <w:rFonts w:ascii="Aptos" w:hAnsi="Aptos"/>
          <w:sz w:val="22"/>
          <w:szCs w:val="22"/>
        </w:rPr>
        <w:t xml:space="preserve">. </w:t>
      </w:r>
      <w:hyperlink r:id="rId25" w:history="1">
        <w:r w:rsidRPr="00B5475E">
          <w:rPr>
            <w:rStyle w:val="Hyperlink"/>
            <w:rFonts w:ascii="Aptos" w:hAnsi="Aptos"/>
            <w:sz w:val="22"/>
            <w:szCs w:val="22"/>
          </w:rPr>
          <w:t>https://doi.org/10.5281/zenodo.11366870</w:t>
        </w:r>
      </w:hyperlink>
    </w:p>
    <w:p w14:paraId="13DF95EF"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proofErr w:type="spellStart"/>
      <w:r w:rsidRPr="00B5475E">
        <w:rPr>
          <w:rFonts w:ascii="Aptos" w:eastAsiaTheme="majorEastAsia" w:hAnsi="Aptos"/>
          <w:sz w:val="22"/>
          <w:szCs w:val="22"/>
        </w:rPr>
        <w:t>Paradeisopoulos</w:t>
      </w:r>
      <w:proofErr w:type="spellEnd"/>
      <w:r w:rsidRPr="00B5475E">
        <w:rPr>
          <w:rFonts w:ascii="Aptos" w:eastAsiaTheme="majorEastAsia" w:hAnsi="Aptos"/>
          <w:sz w:val="22"/>
          <w:szCs w:val="22"/>
        </w:rPr>
        <w:t>, </w:t>
      </w:r>
      <w:proofErr w:type="spellStart"/>
      <w:r w:rsidRPr="00B5475E">
        <w:rPr>
          <w:rFonts w:ascii="Aptos" w:eastAsiaTheme="majorEastAsia" w:hAnsi="Aptos"/>
          <w:sz w:val="22"/>
          <w:szCs w:val="22"/>
        </w:rPr>
        <w:t>Iordanis</w:t>
      </w:r>
      <w:proofErr w:type="spellEnd"/>
      <w:r w:rsidRPr="00B5475E">
        <w:rPr>
          <w:rFonts w:ascii="Aptos" w:eastAsiaTheme="majorEastAsia" w:hAnsi="Aptos"/>
          <w:sz w:val="22"/>
          <w:szCs w:val="22"/>
        </w:rPr>
        <w:t xml:space="preserve"> K. (2013). A Chronology Model for Xenophon’s Anabasis. </w:t>
      </w:r>
      <w:r w:rsidRPr="00B5475E">
        <w:rPr>
          <w:rFonts w:ascii="Aptos" w:eastAsiaTheme="majorEastAsia" w:hAnsi="Aptos"/>
          <w:i/>
          <w:iCs/>
          <w:sz w:val="22"/>
          <w:szCs w:val="22"/>
        </w:rPr>
        <w:t>Greek, Roman, and Byzantine Studies</w:t>
      </w:r>
      <w:r w:rsidRPr="00B5475E">
        <w:rPr>
          <w:rFonts w:ascii="Aptos" w:eastAsiaTheme="majorEastAsia" w:hAnsi="Aptos"/>
          <w:sz w:val="22"/>
          <w:szCs w:val="22"/>
        </w:rPr>
        <w:t xml:space="preserve"> 53 (4): 645–86. </w:t>
      </w:r>
    </w:p>
    <w:p w14:paraId="0387A8D3"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t xml:space="preserve">———. (2014). Route and Parasangs in Xenophon’s Anabasis. </w:t>
      </w:r>
      <w:r w:rsidRPr="00B5475E">
        <w:rPr>
          <w:rFonts w:ascii="Aptos" w:eastAsiaTheme="majorEastAsia" w:hAnsi="Aptos"/>
          <w:i/>
          <w:iCs/>
          <w:sz w:val="22"/>
          <w:szCs w:val="22"/>
        </w:rPr>
        <w:t>Greek, Roman, and Byzantine Studies</w:t>
      </w:r>
      <w:r w:rsidRPr="00B5475E">
        <w:rPr>
          <w:rFonts w:ascii="Aptos" w:eastAsiaTheme="majorEastAsia" w:hAnsi="Aptos"/>
          <w:sz w:val="22"/>
          <w:szCs w:val="22"/>
        </w:rPr>
        <w:t xml:space="preserve"> 54 (2): 220–54. </w:t>
      </w:r>
    </w:p>
    <w:p w14:paraId="06646692" w14:textId="70305741" w:rsidR="00B5475E" w:rsidRPr="00B5475E" w:rsidRDefault="00B5475E" w:rsidP="00B5475E">
      <w:pPr>
        <w:spacing w:after="240"/>
        <w:ind w:left="720" w:hanging="720"/>
        <w:rPr>
          <w:rStyle w:val="eop"/>
          <w:rFonts w:ascii="Aptos" w:hAnsi="Aptos"/>
          <w:color w:val="000000" w:themeColor="text1"/>
          <w:sz w:val="22"/>
          <w:szCs w:val="22"/>
          <w:shd w:val="clear" w:color="auto" w:fill="FFFFFF"/>
        </w:rPr>
      </w:pPr>
      <w:r w:rsidRPr="00B5475E">
        <w:rPr>
          <w:rFonts w:ascii="Aptos" w:eastAsiaTheme="majorEastAsia" w:hAnsi="Aptos"/>
          <w:sz w:val="22"/>
          <w:szCs w:val="22"/>
        </w:rPr>
        <w:t>———</w:t>
      </w:r>
      <w:r w:rsidRPr="00B5475E">
        <w:rPr>
          <w:rFonts w:ascii="Aptos" w:hAnsi="Aptos"/>
          <w:sz w:val="22"/>
          <w:szCs w:val="22"/>
        </w:rPr>
        <w:t>. (2023</w:t>
      </w:r>
      <w:r w:rsidRPr="00B5475E">
        <w:rPr>
          <w:rFonts w:ascii="Aptos" w:hAnsi="Aptos"/>
          <w:color w:val="000000" w:themeColor="text1"/>
          <w:sz w:val="22"/>
          <w:szCs w:val="22"/>
        </w:rPr>
        <w:t xml:space="preserve">). </w:t>
      </w:r>
      <w:r w:rsidRPr="00B5475E">
        <w:rPr>
          <w:rStyle w:val="normaltextrun"/>
          <w:rFonts w:ascii="Aptos" w:hAnsi="Aptos" w:cs="Segoe UI"/>
          <w:color w:val="000000" w:themeColor="text1"/>
          <w:sz w:val="22"/>
          <w:szCs w:val="22"/>
        </w:rPr>
        <w:t xml:space="preserve">Xenophon’s Riddle Solved? January. </w:t>
      </w:r>
      <w:hyperlink r:id="rId26" w:history="1">
        <w:r w:rsidRPr="00B5475E">
          <w:rPr>
            <w:rStyle w:val="Hyperlink"/>
            <w:rFonts w:ascii="Aptos" w:hAnsi="Aptos" w:cs="Segoe UI"/>
            <w:sz w:val="22"/>
            <w:szCs w:val="22"/>
          </w:rPr>
          <w:t>https://www.academia.edu/115957341/Xenophons_riddle_solved</w:t>
        </w:r>
      </w:hyperlink>
      <w:r w:rsidRPr="00B5475E">
        <w:rPr>
          <w:rStyle w:val="normaltextrun"/>
          <w:rFonts w:ascii="Aptos" w:hAnsi="Aptos" w:cs="Segoe UI"/>
          <w:color w:val="000000" w:themeColor="text1"/>
          <w:sz w:val="22"/>
          <w:szCs w:val="22"/>
        </w:rPr>
        <w:t xml:space="preserve">. </w:t>
      </w:r>
      <w:r w:rsidRPr="00B5475E">
        <w:rPr>
          <w:rStyle w:val="eop"/>
          <w:rFonts w:ascii="Aptos" w:hAnsi="Aptos"/>
          <w:color w:val="000000" w:themeColor="text1"/>
          <w:sz w:val="22"/>
          <w:szCs w:val="22"/>
          <w:shd w:val="clear" w:color="auto" w:fill="FFFFFF"/>
        </w:rPr>
        <w:t> </w:t>
      </w:r>
    </w:p>
    <w:p w14:paraId="54BFA031" w14:textId="258E84BD" w:rsidR="00B5475E" w:rsidRPr="00B5475E" w:rsidRDefault="00B5475E" w:rsidP="00B5475E">
      <w:pPr>
        <w:spacing w:after="240"/>
        <w:ind w:left="720" w:hanging="720"/>
        <w:rPr>
          <w:rStyle w:val="eop"/>
          <w:rFonts w:ascii="Aptos" w:hAnsi="Aptos"/>
          <w:color w:val="000000"/>
          <w:sz w:val="22"/>
          <w:szCs w:val="22"/>
          <w:shd w:val="clear" w:color="auto" w:fill="FFFFFF"/>
        </w:rPr>
      </w:pPr>
      <w:proofErr w:type="spellStart"/>
      <w:r w:rsidRPr="00B5475E">
        <w:rPr>
          <w:rFonts w:ascii="Aptos" w:hAnsi="Aptos"/>
          <w:sz w:val="22"/>
          <w:szCs w:val="22"/>
        </w:rPr>
        <w:t>Petrulevich</w:t>
      </w:r>
      <w:proofErr w:type="spellEnd"/>
      <w:r w:rsidRPr="00B5475E">
        <w:rPr>
          <w:rFonts w:ascii="Aptos" w:hAnsi="Aptos"/>
          <w:sz w:val="22"/>
          <w:szCs w:val="22"/>
        </w:rPr>
        <w:t>, Alexandra, and Simon Skovgaard Boeck, eds. (2023). Digital Spatial Infrastructures and Worldviews in Pre-Modern Societies. Collection Development, Cultural Heritage, and Digital Humanities. Leeds: Arc Humanities Press.</w:t>
      </w:r>
    </w:p>
    <w:p w14:paraId="567157A2" w14:textId="77777777" w:rsidR="00B5475E" w:rsidRPr="00B5475E" w:rsidRDefault="00B5475E" w:rsidP="00B5475E">
      <w:pPr>
        <w:spacing w:after="240"/>
        <w:ind w:left="720" w:hanging="720"/>
        <w:rPr>
          <w:rFonts w:ascii="Aptos" w:eastAsiaTheme="majorEastAsia" w:hAnsi="Aptos"/>
          <w:sz w:val="22"/>
          <w:szCs w:val="22"/>
        </w:rPr>
      </w:pPr>
      <w:r w:rsidRPr="00B5475E">
        <w:rPr>
          <w:rFonts w:ascii="Aptos" w:eastAsiaTheme="majorEastAsia" w:hAnsi="Aptos"/>
          <w:sz w:val="22"/>
          <w:szCs w:val="22"/>
        </w:rPr>
        <w:t xml:space="preserve">Reade, Julian Edgeworth. (2015). Xenophon’s Route through Babylonia and Assyria. </w:t>
      </w:r>
      <w:r w:rsidRPr="00B5475E">
        <w:rPr>
          <w:rFonts w:ascii="Aptos" w:eastAsiaTheme="majorEastAsia" w:hAnsi="Aptos"/>
          <w:i/>
          <w:iCs/>
          <w:sz w:val="22"/>
          <w:szCs w:val="22"/>
        </w:rPr>
        <w:t>Iraq</w:t>
      </w:r>
      <w:r w:rsidRPr="00B5475E">
        <w:rPr>
          <w:rFonts w:ascii="Aptos" w:eastAsiaTheme="majorEastAsia" w:hAnsi="Aptos"/>
          <w:sz w:val="22"/>
          <w:szCs w:val="22"/>
        </w:rPr>
        <w:t xml:space="preserve"> 77 (December):173–202. </w:t>
      </w:r>
      <w:hyperlink r:id="rId27" w:history="1">
        <w:r w:rsidRPr="00B5475E">
          <w:rPr>
            <w:rStyle w:val="Hyperlink"/>
            <w:rFonts w:ascii="Aptos" w:hAnsi="Aptos"/>
            <w:sz w:val="22"/>
            <w:szCs w:val="22"/>
          </w:rPr>
          <w:t>https://do.org/10.1017/irq.2015.15</w:t>
        </w:r>
      </w:hyperlink>
      <w:r w:rsidRPr="00B5475E">
        <w:rPr>
          <w:rFonts w:ascii="Aptos" w:eastAsiaTheme="majorEastAsia" w:hAnsi="Aptos"/>
          <w:sz w:val="22"/>
          <w:szCs w:val="22"/>
        </w:rPr>
        <w:t>.</w:t>
      </w:r>
      <w:r w:rsidRPr="00B5475E">
        <w:rPr>
          <w:rStyle w:val="eop"/>
          <w:rFonts w:ascii="Aptos" w:eastAsiaTheme="majorEastAsia" w:hAnsi="Aptos"/>
          <w:sz w:val="22"/>
          <w:szCs w:val="22"/>
        </w:rPr>
        <w:t> </w:t>
      </w:r>
    </w:p>
    <w:p w14:paraId="553BC7E7" w14:textId="77777777" w:rsidR="00B5475E" w:rsidRPr="00B5475E" w:rsidRDefault="00B5475E" w:rsidP="00B5475E">
      <w:pPr>
        <w:pStyle w:val="paragraph"/>
        <w:spacing w:before="0" w:beforeAutospacing="0" w:after="240" w:afterAutospacing="0"/>
        <w:ind w:left="720" w:hanging="720"/>
        <w:textAlignment w:val="baseline"/>
        <w:rPr>
          <w:rFonts w:ascii="Aptos" w:eastAsiaTheme="majorEastAsia" w:hAnsi="Aptos"/>
          <w:sz w:val="22"/>
          <w:szCs w:val="22"/>
        </w:rPr>
      </w:pPr>
      <w:r w:rsidRPr="00B5475E">
        <w:rPr>
          <w:rFonts w:ascii="Aptos" w:eastAsiaTheme="majorEastAsia" w:hAnsi="Aptos"/>
          <w:sz w:val="22"/>
          <w:szCs w:val="22"/>
        </w:rPr>
        <w:t xml:space="preserve">Rennell, James. (1816). </w:t>
      </w:r>
      <w:r w:rsidRPr="00B5475E">
        <w:rPr>
          <w:rFonts w:ascii="Aptos" w:eastAsiaTheme="majorEastAsia" w:hAnsi="Aptos"/>
          <w:i/>
          <w:iCs/>
          <w:sz w:val="22"/>
          <w:szCs w:val="22"/>
        </w:rPr>
        <w:t xml:space="preserve">Illustrations, Chiefly Geographical, of the History of the Expedition of Cyrus, From Sardis to Babylonia and the Retreat of the 10,000 Greeks. With an </w:t>
      </w:r>
      <w:r w:rsidRPr="00B5475E">
        <w:rPr>
          <w:rFonts w:ascii="Aptos" w:eastAsiaTheme="majorEastAsia" w:hAnsi="Aptos"/>
          <w:i/>
          <w:iCs/>
          <w:sz w:val="22"/>
          <w:szCs w:val="22"/>
        </w:rPr>
        <w:lastRenderedPageBreak/>
        <w:t>Appendix, Containing an Enquiry </w:t>
      </w:r>
      <w:proofErr w:type="gramStart"/>
      <w:r w:rsidRPr="00B5475E">
        <w:rPr>
          <w:rFonts w:ascii="Aptos" w:eastAsiaTheme="majorEastAsia" w:hAnsi="Aptos"/>
          <w:i/>
          <w:iCs/>
          <w:sz w:val="22"/>
          <w:szCs w:val="22"/>
        </w:rPr>
        <w:t>Into</w:t>
      </w:r>
      <w:proofErr w:type="gramEnd"/>
      <w:r w:rsidRPr="00B5475E">
        <w:rPr>
          <w:rFonts w:ascii="Aptos" w:eastAsiaTheme="majorEastAsia" w:hAnsi="Aptos"/>
          <w:i/>
          <w:iCs/>
          <w:sz w:val="22"/>
          <w:szCs w:val="22"/>
        </w:rPr>
        <w:t> the Best Method of Improving the Geography of the Anabasis</w:t>
      </w:r>
      <w:r w:rsidRPr="00B5475E">
        <w:rPr>
          <w:rFonts w:ascii="Aptos" w:eastAsiaTheme="majorEastAsia" w:hAnsi="Aptos"/>
          <w:sz w:val="22"/>
          <w:szCs w:val="22"/>
        </w:rPr>
        <w:t>. Bulmer. </w:t>
      </w:r>
    </w:p>
    <w:p w14:paraId="7170D1E4" w14:textId="77777777" w:rsidR="00B5475E" w:rsidRPr="00B5475E" w:rsidRDefault="00B5475E" w:rsidP="00B5475E">
      <w:pPr>
        <w:rPr>
          <w:rFonts w:ascii="Aptos" w:eastAsiaTheme="majorEastAsia" w:hAnsi="Aptos"/>
          <w:sz w:val="22"/>
          <w:szCs w:val="22"/>
        </w:rPr>
      </w:pPr>
      <w:r w:rsidRPr="00B5475E">
        <w:rPr>
          <w:rFonts w:ascii="Aptos" w:hAnsi="Aptos"/>
          <w:sz w:val="22"/>
          <w:szCs w:val="22"/>
        </w:rPr>
        <w:t xml:space="preserve">Rood, Tim. (2010). Xenophon’s Parasangs. </w:t>
      </w:r>
      <w:r w:rsidRPr="00B5475E">
        <w:rPr>
          <w:rFonts w:ascii="Aptos" w:hAnsi="Aptos"/>
          <w:i/>
          <w:iCs/>
          <w:sz w:val="22"/>
          <w:szCs w:val="22"/>
        </w:rPr>
        <w:t>The Journal of Hellenic Studies</w:t>
      </w:r>
      <w:r w:rsidRPr="00B5475E">
        <w:rPr>
          <w:rFonts w:ascii="Aptos" w:hAnsi="Aptos"/>
          <w:sz w:val="22"/>
          <w:szCs w:val="22"/>
        </w:rPr>
        <w:t xml:space="preserve"> 130:51–66.</w:t>
      </w:r>
      <w:r w:rsidRPr="00B5475E">
        <w:rPr>
          <w:rFonts w:ascii="Aptos" w:eastAsiaTheme="majorEastAsia" w:hAnsi="Aptos"/>
          <w:sz w:val="22"/>
          <w:szCs w:val="22"/>
        </w:rPr>
        <w:t> </w:t>
      </w:r>
    </w:p>
    <w:p w14:paraId="10310407" w14:textId="77777777" w:rsidR="00B5475E" w:rsidRPr="00B5475E" w:rsidRDefault="00B5475E" w:rsidP="00B5475E">
      <w:pPr>
        <w:pStyle w:val="NormalWeb"/>
        <w:shd w:val="clear" w:color="auto" w:fill="FFFFFF"/>
        <w:spacing w:before="0" w:beforeAutospacing="0" w:after="240" w:afterAutospacing="0"/>
        <w:ind w:left="720" w:hanging="720"/>
        <w:rPr>
          <w:rFonts w:ascii="Aptos" w:hAnsi="Aptos"/>
          <w:color w:val="000000" w:themeColor="text1"/>
          <w:sz w:val="22"/>
          <w:szCs w:val="22"/>
          <w:shd w:val="clear" w:color="auto" w:fill="FFFFFF"/>
        </w:rPr>
      </w:pPr>
      <w:r w:rsidRPr="00B5475E">
        <w:rPr>
          <w:rFonts w:ascii="Aptos" w:hAnsi="Aptos"/>
          <w:color w:val="000000" w:themeColor="text1"/>
          <w:sz w:val="22"/>
          <w:szCs w:val="22"/>
          <w:shd w:val="clear" w:color="auto" w:fill="FFFFFF"/>
        </w:rPr>
        <w:t xml:space="preserve">Salaris, Davide. (2025). “‘Royal’ road, ‘royal’ needs: a GIS-based approach to Achaemenid court logistics between royal capitals of Susa and Persepolis.” </w:t>
      </w:r>
      <w:r w:rsidRPr="00B5475E">
        <w:rPr>
          <w:rFonts w:ascii="Aptos" w:hAnsi="Aptos"/>
          <w:i/>
          <w:iCs/>
          <w:color w:val="000000" w:themeColor="text1"/>
          <w:sz w:val="22"/>
          <w:szCs w:val="22"/>
          <w:shd w:val="clear" w:color="auto" w:fill="FFFFFF"/>
        </w:rPr>
        <w:t>Antiquity</w:t>
      </w:r>
      <w:r w:rsidRPr="00B5475E">
        <w:rPr>
          <w:rFonts w:ascii="Aptos" w:hAnsi="Aptos"/>
          <w:color w:val="000000" w:themeColor="text1"/>
          <w:sz w:val="22"/>
          <w:szCs w:val="22"/>
          <w:shd w:val="clear" w:color="auto" w:fill="FFFFFF"/>
        </w:rPr>
        <w:t xml:space="preserve">, 1–8. doi:10.15184/aqy.2025.10227. </w:t>
      </w:r>
    </w:p>
    <w:p w14:paraId="43743F1C" w14:textId="77777777" w:rsidR="00B5475E" w:rsidRPr="00B5475E" w:rsidRDefault="00B5475E" w:rsidP="00B5475E">
      <w:pPr>
        <w:pStyle w:val="NormalWeb"/>
        <w:shd w:val="clear" w:color="auto" w:fill="FFFFFF"/>
        <w:spacing w:before="0" w:beforeAutospacing="0" w:after="240" w:afterAutospacing="0"/>
        <w:ind w:left="720" w:hanging="720"/>
        <w:rPr>
          <w:rFonts w:ascii="Aptos" w:hAnsi="Aptos"/>
          <w:sz w:val="22"/>
          <w:szCs w:val="22"/>
        </w:rPr>
      </w:pPr>
      <w:r w:rsidRPr="00B5475E">
        <w:rPr>
          <w:rFonts w:ascii="Aptos" w:hAnsi="Aptos"/>
          <w:sz w:val="22"/>
          <w:szCs w:val="22"/>
        </w:rPr>
        <w:t>Seifried, Rebecca M., and Chelsea AM Gardner. (2019). “Reconstructing Historical Journeys with Least-Cost Analysis: Colonel William Leake in the Mani Peninsula, Greece [Pre-Print].” Journal of Archaeological Science: Reports 24: 391–411.</w:t>
      </w:r>
    </w:p>
    <w:p w14:paraId="5DA5E259" w14:textId="77777777" w:rsidR="00B5475E" w:rsidRPr="00B5475E" w:rsidRDefault="00B5475E" w:rsidP="00B5475E">
      <w:pPr>
        <w:pStyle w:val="NormalWeb"/>
        <w:shd w:val="clear" w:color="auto" w:fill="FFFFFF"/>
        <w:spacing w:before="0" w:beforeAutospacing="0" w:after="240" w:afterAutospacing="0"/>
        <w:ind w:left="720" w:hanging="720"/>
        <w:rPr>
          <w:rStyle w:val="eop"/>
          <w:rFonts w:ascii="Aptos" w:eastAsiaTheme="minorEastAsia" w:hAnsi="Aptos"/>
          <w:color w:val="000000" w:themeColor="text1"/>
          <w:sz w:val="22"/>
          <w:szCs w:val="22"/>
        </w:rPr>
      </w:pPr>
      <w:r w:rsidRPr="00B5475E">
        <w:rPr>
          <w:rFonts w:ascii="Aptos" w:hAnsi="Aptos"/>
          <w:sz w:val="22"/>
          <w:szCs w:val="22"/>
        </w:rPr>
        <w:t>Smith, William. (1860). A New Classical Dictionary of Greek and Roman Biography, Mythology and Geography. New York: Harper &amp; Brothers Publishers. http://archive.org/details/ newclassicaldict00anthiala.</w:t>
      </w:r>
    </w:p>
    <w:p w14:paraId="3FE94D9E" w14:textId="77777777" w:rsidR="00B5475E" w:rsidRPr="00B5475E" w:rsidRDefault="00B5475E" w:rsidP="00B5475E">
      <w:pPr>
        <w:ind w:left="720" w:hanging="720"/>
        <w:rPr>
          <w:rStyle w:val="eop"/>
          <w:rFonts w:ascii="Aptos" w:eastAsiaTheme="majorEastAsia" w:hAnsi="Aptos"/>
          <w:color w:val="000000"/>
          <w:sz w:val="22"/>
          <w:szCs w:val="22"/>
          <w:shd w:val="clear" w:color="auto" w:fill="FFFFFF"/>
        </w:rPr>
      </w:pPr>
      <w:r w:rsidRPr="00B5475E">
        <w:rPr>
          <w:rStyle w:val="eop"/>
          <w:rFonts w:ascii="Aptos" w:eastAsiaTheme="majorEastAsia" w:hAnsi="Aptos"/>
          <w:color w:val="000000"/>
          <w:sz w:val="22"/>
          <w:szCs w:val="22"/>
          <w:shd w:val="clear" w:color="auto" w:fill="FFFFFF"/>
        </w:rPr>
        <w:t xml:space="preserve">Emir, Osman, </w:t>
      </w:r>
      <w:r w:rsidRPr="00B5475E">
        <w:rPr>
          <w:rFonts w:ascii="Aptos" w:hAnsi="Aptos" w:cs="Arial"/>
          <w:color w:val="141413"/>
          <w:sz w:val="22"/>
          <w:szCs w:val="22"/>
          <w:shd w:val="clear" w:color="auto" w:fill="FFFFFF"/>
        </w:rPr>
        <w:t>İsmail Köse, Yasin Topaloğlu</w:t>
      </w:r>
      <w:r w:rsidRPr="00B5475E">
        <w:rPr>
          <w:rStyle w:val="eop"/>
          <w:rFonts w:ascii="Aptos" w:eastAsiaTheme="majorEastAsia" w:hAnsi="Aptos"/>
          <w:color w:val="000000"/>
          <w:sz w:val="22"/>
          <w:szCs w:val="22"/>
          <w:shd w:val="clear" w:color="auto" w:fill="FFFFFF"/>
        </w:rPr>
        <w:t xml:space="preserve">. (2024). An Evaluation of the Return Route of the Ten Thousand and </w:t>
      </w:r>
      <w:proofErr w:type="spellStart"/>
      <w:r w:rsidRPr="00B5475E">
        <w:rPr>
          <w:rStyle w:val="eop"/>
          <w:rFonts w:ascii="Aptos" w:eastAsiaTheme="majorEastAsia" w:hAnsi="Aptos"/>
          <w:color w:val="000000"/>
          <w:sz w:val="22"/>
          <w:szCs w:val="22"/>
          <w:shd w:val="clear" w:color="auto" w:fill="FFFFFF"/>
        </w:rPr>
        <w:t>Theches</w:t>
      </w:r>
      <w:proofErr w:type="spellEnd"/>
      <w:r w:rsidRPr="00B5475E">
        <w:rPr>
          <w:rStyle w:val="eop"/>
          <w:rFonts w:ascii="Aptos" w:eastAsiaTheme="majorEastAsia" w:hAnsi="Aptos"/>
          <w:color w:val="000000"/>
          <w:sz w:val="22"/>
          <w:szCs w:val="22"/>
          <w:shd w:val="clear" w:color="auto" w:fill="FFFFFF"/>
        </w:rPr>
        <w:t xml:space="preserve"> Hill: </w:t>
      </w:r>
      <w:proofErr w:type="spellStart"/>
      <w:r w:rsidRPr="00B5475E">
        <w:rPr>
          <w:rStyle w:val="eop"/>
          <w:rFonts w:ascii="Aptos" w:eastAsiaTheme="majorEastAsia" w:hAnsi="Aptos"/>
          <w:color w:val="000000"/>
          <w:sz w:val="22"/>
          <w:szCs w:val="22"/>
          <w:shd w:val="clear" w:color="auto" w:fill="FFFFFF"/>
        </w:rPr>
        <w:t>Arakli</w:t>
      </w:r>
      <w:proofErr w:type="spellEnd"/>
      <w:r w:rsidRPr="00B5475E">
        <w:rPr>
          <w:rStyle w:val="eop"/>
          <w:rFonts w:ascii="Aptos" w:eastAsiaTheme="majorEastAsia" w:hAnsi="Aptos"/>
          <w:color w:val="000000"/>
          <w:sz w:val="22"/>
          <w:szCs w:val="22"/>
          <w:shd w:val="clear" w:color="auto" w:fill="FFFFFF"/>
        </w:rPr>
        <w:t xml:space="preserve">/ </w:t>
      </w:r>
      <w:proofErr w:type="spellStart"/>
      <w:r w:rsidRPr="00B5475E">
        <w:rPr>
          <w:rStyle w:val="eop"/>
          <w:rFonts w:ascii="Aptos" w:eastAsiaTheme="majorEastAsia" w:hAnsi="Aptos"/>
          <w:color w:val="000000"/>
          <w:sz w:val="22"/>
          <w:szCs w:val="22"/>
          <w:shd w:val="clear" w:color="auto" w:fill="FFFFFF"/>
        </w:rPr>
        <w:t>Sürmene</w:t>
      </w:r>
      <w:proofErr w:type="spellEnd"/>
      <w:r w:rsidRPr="00B5475E">
        <w:rPr>
          <w:rStyle w:val="eop"/>
          <w:rFonts w:ascii="Aptos" w:eastAsiaTheme="majorEastAsia" w:hAnsi="Aptos"/>
          <w:color w:val="000000"/>
          <w:sz w:val="22"/>
          <w:szCs w:val="22"/>
          <w:shd w:val="clear" w:color="auto" w:fill="FFFFFF"/>
        </w:rPr>
        <w:t xml:space="preserve">– Bayburt Road. </w:t>
      </w:r>
      <w:proofErr w:type="spellStart"/>
      <w:r w:rsidRPr="00B5475E">
        <w:rPr>
          <w:rStyle w:val="eop"/>
          <w:rFonts w:ascii="Aptos" w:eastAsiaTheme="majorEastAsia" w:hAnsi="Aptos"/>
          <w:i/>
          <w:iCs/>
          <w:color w:val="000000"/>
          <w:sz w:val="22"/>
          <w:szCs w:val="22"/>
          <w:shd w:val="clear" w:color="auto" w:fill="FFFFFF"/>
        </w:rPr>
        <w:t>Turcology</w:t>
      </w:r>
      <w:proofErr w:type="spellEnd"/>
      <w:r w:rsidRPr="00B5475E">
        <w:rPr>
          <w:rStyle w:val="eop"/>
          <w:rFonts w:ascii="Aptos" w:eastAsiaTheme="majorEastAsia" w:hAnsi="Aptos"/>
          <w:i/>
          <w:iCs/>
          <w:color w:val="000000"/>
          <w:sz w:val="22"/>
          <w:szCs w:val="22"/>
          <w:shd w:val="clear" w:color="auto" w:fill="FFFFFF"/>
        </w:rPr>
        <w:t xml:space="preserve"> Research.</w:t>
      </w:r>
      <w:r w:rsidRPr="00B5475E">
        <w:rPr>
          <w:rStyle w:val="eop"/>
          <w:rFonts w:ascii="Aptos" w:eastAsiaTheme="majorEastAsia" w:hAnsi="Aptos"/>
          <w:color w:val="000000"/>
          <w:sz w:val="22"/>
          <w:szCs w:val="22"/>
          <w:shd w:val="clear" w:color="auto" w:fill="FFFFFF"/>
        </w:rPr>
        <w:t xml:space="preserve"> </w:t>
      </w:r>
      <w:hyperlink r:id="rId28" w:history="1">
        <w:r w:rsidRPr="00B5475E">
          <w:rPr>
            <w:rStyle w:val="Hyperlink"/>
            <w:rFonts w:ascii="Aptos" w:hAnsi="Aptos"/>
            <w:sz w:val="22"/>
            <w:szCs w:val="22"/>
            <w:shd w:val="clear" w:color="auto" w:fill="FFFFFF"/>
          </w:rPr>
          <w:t>https://doi.org/10.5152/JTRI.2024.23373</w:t>
        </w:r>
      </w:hyperlink>
    </w:p>
    <w:p w14:paraId="745385B4" w14:textId="77777777" w:rsidR="00B5475E" w:rsidRPr="00B5475E" w:rsidRDefault="00B5475E" w:rsidP="00B5475E">
      <w:pPr>
        <w:ind w:left="720" w:hanging="720"/>
        <w:rPr>
          <w:rStyle w:val="eop"/>
          <w:rFonts w:ascii="Aptos" w:eastAsiaTheme="majorEastAsia" w:hAnsi="Aptos"/>
          <w:color w:val="000000"/>
          <w:sz w:val="22"/>
          <w:szCs w:val="22"/>
          <w:shd w:val="clear" w:color="auto" w:fill="FFFFFF"/>
        </w:rPr>
      </w:pPr>
      <w:r w:rsidRPr="00B5475E">
        <w:rPr>
          <w:rFonts w:ascii="Aptos" w:hAnsi="Aptos"/>
          <w:sz w:val="22"/>
          <w:szCs w:val="22"/>
        </w:rPr>
        <w:t xml:space="preserve">Tuplin, Christopher J., and Shane Brennan. (2022). From the Tigris to the Sea: The Problematic Geography of Anabasis Book 4. In </w:t>
      </w:r>
      <w:r w:rsidRPr="00B5475E">
        <w:rPr>
          <w:rFonts w:ascii="Aptos" w:hAnsi="Aptos"/>
          <w:i/>
          <w:iCs/>
          <w:sz w:val="22"/>
          <w:szCs w:val="22"/>
        </w:rPr>
        <w:t>Xenophon’s Anabasis and Its Reception</w:t>
      </w:r>
      <w:r w:rsidRPr="00B5475E">
        <w:rPr>
          <w:rFonts w:ascii="Aptos" w:hAnsi="Aptos"/>
          <w:sz w:val="22"/>
          <w:szCs w:val="22"/>
        </w:rPr>
        <w:t>, edited by Tim Rood and Melina </w:t>
      </w:r>
      <w:proofErr w:type="spellStart"/>
      <w:r w:rsidRPr="00B5475E">
        <w:rPr>
          <w:rFonts w:ascii="Aptos" w:hAnsi="Aptos"/>
          <w:sz w:val="22"/>
          <w:szCs w:val="22"/>
        </w:rPr>
        <w:t>Tamiolaki</w:t>
      </w:r>
      <w:proofErr w:type="spellEnd"/>
      <w:r w:rsidRPr="00B5475E">
        <w:rPr>
          <w:rFonts w:ascii="Aptos" w:hAnsi="Aptos"/>
          <w:sz w:val="22"/>
          <w:szCs w:val="22"/>
        </w:rPr>
        <w:t xml:space="preserve">, 105–30. De Gruyter. </w:t>
      </w:r>
      <w:hyperlink r:id="rId29" w:history="1">
        <w:r w:rsidRPr="00B5475E">
          <w:rPr>
            <w:rFonts w:ascii="Aptos" w:hAnsi="Aptos"/>
            <w:sz w:val="22"/>
            <w:szCs w:val="22"/>
          </w:rPr>
          <w:t>https://doi.org/10.1515/9783110793437-006</w:t>
        </w:r>
      </w:hyperlink>
      <w:r w:rsidRPr="00B5475E">
        <w:rPr>
          <w:rFonts w:ascii="Aptos" w:hAnsi="Aptos"/>
          <w:sz w:val="22"/>
          <w:szCs w:val="22"/>
        </w:rPr>
        <w:t>.</w:t>
      </w:r>
      <w:r w:rsidRPr="00B5475E">
        <w:rPr>
          <w:rStyle w:val="eop"/>
          <w:rFonts w:ascii="Aptos" w:eastAsiaTheme="majorEastAsia" w:hAnsi="Aptos"/>
          <w:color w:val="000000"/>
          <w:sz w:val="22"/>
          <w:szCs w:val="22"/>
          <w:shd w:val="clear" w:color="auto" w:fill="FFFFFF"/>
        </w:rPr>
        <w:t> </w:t>
      </w:r>
    </w:p>
    <w:p w14:paraId="433D4C64" w14:textId="77777777" w:rsidR="00B5475E" w:rsidRPr="00B5475E" w:rsidRDefault="00B5475E" w:rsidP="00B5475E">
      <w:pPr>
        <w:ind w:left="720" w:hanging="720"/>
        <w:rPr>
          <w:rFonts w:ascii="Aptos" w:hAnsi="Aptos"/>
          <w:sz w:val="22"/>
          <w:szCs w:val="22"/>
        </w:rPr>
      </w:pPr>
      <w:r w:rsidRPr="00B5475E">
        <w:rPr>
          <w:rFonts w:ascii="Aptos" w:hAnsi="Aptos"/>
          <w:sz w:val="22"/>
          <w:szCs w:val="22"/>
        </w:rPr>
        <w:t xml:space="preserve">Warf, Barney, and Santa Arias. (2008). The Spatial Turn: Interdisciplinary Perspectives. Routledge. </w:t>
      </w:r>
    </w:p>
    <w:p w14:paraId="21A877DD" w14:textId="77777777" w:rsidR="00B5475E" w:rsidRPr="00B5475E" w:rsidRDefault="00B5475E" w:rsidP="00B5475E">
      <w:pPr>
        <w:ind w:left="720" w:hanging="720"/>
        <w:rPr>
          <w:rFonts w:ascii="Aptos" w:hAnsi="Aptos"/>
          <w:sz w:val="22"/>
          <w:szCs w:val="22"/>
        </w:rPr>
      </w:pPr>
      <w:r w:rsidRPr="00B5475E">
        <w:rPr>
          <w:rFonts w:ascii="Aptos" w:hAnsi="Aptos"/>
          <w:sz w:val="22"/>
          <w:szCs w:val="22"/>
        </w:rPr>
        <w:t xml:space="preserve">Williams, Frank. (1996.) Xenophon’s Dana and the Passage of Cyrus’ Army over the Taurus Mountains. </w:t>
      </w:r>
      <w:r w:rsidRPr="00B5475E">
        <w:rPr>
          <w:rFonts w:ascii="Aptos" w:hAnsi="Aptos"/>
          <w:i/>
          <w:iCs/>
          <w:sz w:val="22"/>
          <w:szCs w:val="22"/>
        </w:rPr>
        <w:t xml:space="preserve">Historia: </w:t>
      </w:r>
      <w:proofErr w:type="spellStart"/>
      <w:r w:rsidRPr="00B5475E">
        <w:rPr>
          <w:rFonts w:ascii="Aptos" w:hAnsi="Aptos"/>
          <w:i/>
          <w:iCs/>
          <w:sz w:val="22"/>
          <w:szCs w:val="22"/>
        </w:rPr>
        <w:t>Zeitschrift</w:t>
      </w:r>
      <w:proofErr w:type="spellEnd"/>
      <w:r w:rsidRPr="00B5475E">
        <w:rPr>
          <w:rFonts w:ascii="Aptos" w:hAnsi="Aptos"/>
          <w:i/>
          <w:iCs/>
          <w:sz w:val="22"/>
          <w:szCs w:val="22"/>
        </w:rPr>
        <w:t xml:space="preserve"> Für Alte </w:t>
      </w:r>
      <w:proofErr w:type="spellStart"/>
      <w:r w:rsidRPr="00B5475E">
        <w:rPr>
          <w:rFonts w:ascii="Aptos" w:hAnsi="Aptos"/>
          <w:i/>
          <w:iCs/>
          <w:sz w:val="22"/>
          <w:szCs w:val="22"/>
        </w:rPr>
        <w:t>Geschichte</w:t>
      </w:r>
      <w:proofErr w:type="spellEnd"/>
      <w:r w:rsidRPr="00B5475E">
        <w:rPr>
          <w:rFonts w:ascii="Aptos" w:hAnsi="Aptos"/>
          <w:sz w:val="22"/>
          <w:szCs w:val="22"/>
        </w:rPr>
        <w:t xml:space="preserve">, </w:t>
      </w:r>
      <w:r w:rsidRPr="00B5475E">
        <w:rPr>
          <w:rFonts w:ascii="Aptos" w:hAnsi="Aptos"/>
          <w:i/>
          <w:iCs/>
          <w:sz w:val="22"/>
          <w:szCs w:val="22"/>
        </w:rPr>
        <w:t>45</w:t>
      </w:r>
      <w:r w:rsidRPr="00B5475E">
        <w:rPr>
          <w:rFonts w:ascii="Aptos" w:hAnsi="Aptos"/>
          <w:sz w:val="22"/>
          <w:szCs w:val="22"/>
        </w:rPr>
        <w:t xml:space="preserve">(3), 284–314. </w:t>
      </w:r>
    </w:p>
    <w:p w14:paraId="570B2377" w14:textId="77777777" w:rsidR="00B5475E" w:rsidRPr="00B5475E" w:rsidRDefault="00B5475E" w:rsidP="00B5475E">
      <w:pPr>
        <w:ind w:left="720" w:hanging="720"/>
        <w:rPr>
          <w:rFonts w:ascii="Aptos" w:eastAsiaTheme="majorEastAsia" w:hAnsi="Aptos"/>
          <w:color w:val="000000"/>
          <w:sz w:val="22"/>
          <w:szCs w:val="22"/>
          <w:shd w:val="clear" w:color="auto" w:fill="FFFFFF"/>
        </w:rPr>
      </w:pPr>
      <w:r w:rsidRPr="00B5475E">
        <w:rPr>
          <w:rFonts w:ascii="Aptos" w:hAnsi="Aptos"/>
          <w:sz w:val="22"/>
          <w:szCs w:val="22"/>
        </w:rPr>
        <w:t>Wilson, Matthew W. (2017). New Lines: Critical GIS and the Trouble of the Map. University of Minnesota Press.</w:t>
      </w:r>
    </w:p>
    <w:p w14:paraId="615C5F53" w14:textId="77777777" w:rsidR="00B5475E" w:rsidRPr="00B5475E" w:rsidRDefault="00B5475E" w:rsidP="00B5475E">
      <w:pPr>
        <w:rPr>
          <w:rFonts w:ascii="Aptos" w:hAnsi="Aptos"/>
          <w:sz w:val="22"/>
          <w:szCs w:val="22"/>
        </w:rPr>
      </w:pPr>
      <w:proofErr w:type="spellStart"/>
      <w:r w:rsidRPr="00B5475E">
        <w:rPr>
          <w:rFonts w:ascii="Aptos" w:hAnsi="Aptos"/>
          <w:sz w:val="22"/>
          <w:szCs w:val="22"/>
        </w:rPr>
        <w:t>Zimansky</w:t>
      </w:r>
      <w:proofErr w:type="spellEnd"/>
      <w:r w:rsidRPr="00B5475E">
        <w:rPr>
          <w:rFonts w:ascii="Aptos" w:hAnsi="Aptos"/>
          <w:sz w:val="22"/>
          <w:szCs w:val="22"/>
        </w:rPr>
        <w:t xml:space="preserve">, Paul. (1995). Xenophon and the Urartian Legacy. </w:t>
      </w:r>
      <w:r w:rsidRPr="00B5475E">
        <w:rPr>
          <w:rFonts w:ascii="Aptos" w:hAnsi="Aptos"/>
          <w:i/>
          <w:iCs/>
          <w:sz w:val="22"/>
          <w:szCs w:val="22"/>
        </w:rPr>
        <w:t>Pallas,</w:t>
      </w:r>
      <w:r w:rsidRPr="00B5475E">
        <w:rPr>
          <w:rFonts w:ascii="Aptos" w:hAnsi="Aptos"/>
          <w:sz w:val="22"/>
          <w:szCs w:val="22"/>
        </w:rPr>
        <w:t xml:space="preserve"> no. 43, 255–68.</w:t>
      </w:r>
      <w:r w:rsidRPr="00B5475E">
        <w:rPr>
          <w:rFonts w:ascii="Aptos" w:eastAsiaTheme="majorEastAsia" w:hAnsi="Aptos"/>
          <w:sz w:val="22"/>
          <w:szCs w:val="22"/>
        </w:rPr>
        <w:t> </w:t>
      </w:r>
    </w:p>
    <w:p w14:paraId="7A69C83F" w14:textId="77777777" w:rsidR="00B5475E" w:rsidRPr="00B5475E" w:rsidRDefault="00B5475E">
      <w:pPr>
        <w:rPr>
          <w:rFonts w:ascii="Aptos" w:hAnsi="Aptos"/>
          <w:sz w:val="22"/>
          <w:szCs w:val="22"/>
        </w:rPr>
      </w:pPr>
    </w:p>
    <w:sectPr w:rsidR="00B5475E" w:rsidRPr="00B5475E" w:rsidSect="00B5475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8F99EA" w14:textId="77777777" w:rsidR="00362D97" w:rsidRDefault="00362D97" w:rsidP="001A6473">
      <w:pPr>
        <w:spacing w:after="0" w:line="240" w:lineRule="auto"/>
      </w:pPr>
      <w:r>
        <w:separator/>
      </w:r>
    </w:p>
  </w:endnote>
  <w:endnote w:type="continuationSeparator" w:id="0">
    <w:p w14:paraId="0596E26B" w14:textId="77777777" w:rsidR="00362D97" w:rsidRDefault="00362D97" w:rsidP="001A64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DDD3F" w14:textId="77777777" w:rsidR="00362D97" w:rsidRDefault="00362D97" w:rsidP="001A6473">
      <w:pPr>
        <w:spacing w:after="0" w:line="240" w:lineRule="auto"/>
      </w:pPr>
      <w:r>
        <w:separator/>
      </w:r>
    </w:p>
  </w:footnote>
  <w:footnote w:type="continuationSeparator" w:id="0">
    <w:p w14:paraId="5FD3799B" w14:textId="77777777" w:rsidR="00362D97" w:rsidRDefault="00362D97" w:rsidP="001A6473">
      <w:pPr>
        <w:spacing w:after="0" w:line="240" w:lineRule="auto"/>
      </w:pPr>
      <w:r>
        <w:continuationSeparator/>
      </w:r>
    </w:p>
  </w:footnote>
  <w:footnote w:id="1">
    <w:p w14:paraId="598F60B1" w14:textId="2B26E42A" w:rsidR="001A6473" w:rsidRDefault="001A6473">
      <w:pPr>
        <w:pStyle w:val="FootnoteText"/>
      </w:pPr>
      <w:r>
        <w:rPr>
          <w:rStyle w:val="FootnoteReference"/>
        </w:rPr>
        <w:footnoteRef/>
      </w:r>
      <w:r>
        <w:t xml:space="preserve"> Department of Classics and Ancient History, Furman University; </w:t>
      </w:r>
      <w:hyperlink r:id="rId1" w:history="1">
        <w:r w:rsidRPr="001A6473">
          <w:rPr>
            <w:rStyle w:val="Hyperlink"/>
          </w:rPr>
          <w:t>0009-0001-7242-3729</w:t>
        </w:r>
      </w:hyperlink>
      <w:r>
        <w:t xml:space="preserve">. </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1"/>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475E"/>
    <w:rsid w:val="00022F57"/>
    <w:rsid w:val="000F387B"/>
    <w:rsid w:val="00115D55"/>
    <w:rsid w:val="001A6473"/>
    <w:rsid w:val="00362D97"/>
    <w:rsid w:val="00441219"/>
    <w:rsid w:val="004C2531"/>
    <w:rsid w:val="00694FCC"/>
    <w:rsid w:val="007F180E"/>
    <w:rsid w:val="00926728"/>
    <w:rsid w:val="00B5475E"/>
    <w:rsid w:val="00E63C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3BDAB9E"/>
  <w15:chartTrackingRefBased/>
  <w15:docId w15:val="{0F3C9725-9332-DE45-872F-2543BAE1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475E"/>
    <w:pPr>
      <w:spacing w:line="279" w:lineRule="auto"/>
    </w:pPr>
    <w:rPr>
      <w:rFonts w:eastAsiaTheme="minorEastAsia"/>
      <w:kern w:val="0"/>
      <w:lang w:eastAsia="ja-JP"/>
      <w14:ligatures w14:val="none"/>
    </w:rPr>
  </w:style>
  <w:style w:type="paragraph" w:styleId="Heading1">
    <w:name w:val="heading 1"/>
    <w:basedOn w:val="Normal"/>
    <w:next w:val="Normal"/>
    <w:link w:val="Heading1Char"/>
    <w:uiPriority w:val="9"/>
    <w:qFormat/>
    <w:rsid w:val="00B5475E"/>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lang w:eastAsia="en-US"/>
      <w14:ligatures w14:val="standardContextual"/>
    </w:rPr>
  </w:style>
  <w:style w:type="paragraph" w:styleId="Heading2">
    <w:name w:val="heading 2"/>
    <w:basedOn w:val="Normal"/>
    <w:next w:val="Normal"/>
    <w:link w:val="Heading2Char"/>
    <w:uiPriority w:val="9"/>
    <w:semiHidden/>
    <w:unhideWhenUsed/>
    <w:qFormat/>
    <w:rsid w:val="00B5475E"/>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lang w:eastAsia="en-US"/>
      <w14:ligatures w14:val="standardContextual"/>
    </w:rPr>
  </w:style>
  <w:style w:type="paragraph" w:styleId="Heading3">
    <w:name w:val="heading 3"/>
    <w:basedOn w:val="Normal"/>
    <w:next w:val="Normal"/>
    <w:link w:val="Heading3Char"/>
    <w:uiPriority w:val="9"/>
    <w:semiHidden/>
    <w:unhideWhenUsed/>
    <w:qFormat/>
    <w:rsid w:val="00B5475E"/>
    <w:pPr>
      <w:keepNext/>
      <w:keepLines/>
      <w:spacing w:before="160" w:after="80" w:line="278" w:lineRule="auto"/>
      <w:outlineLvl w:val="2"/>
    </w:pPr>
    <w:rPr>
      <w:rFonts w:eastAsiaTheme="majorEastAsia" w:cstheme="majorBidi"/>
      <w:color w:val="0F4761" w:themeColor="accent1" w:themeShade="BF"/>
      <w:kern w:val="2"/>
      <w:sz w:val="28"/>
      <w:szCs w:val="28"/>
      <w:lang w:eastAsia="en-US"/>
      <w14:ligatures w14:val="standardContextual"/>
    </w:rPr>
  </w:style>
  <w:style w:type="paragraph" w:styleId="Heading4">
    <w:name w:val="heading 4"/>
    <w:basedOn w:val="Normal"/>
    <w:next w:val="Normal"/>
    <w:link w:val="Heading4Char"/>
    <w:uiPriority w:val="9"/>
    <w:semiHidden/>
    <w:unhideWhenUsed/>
    <w:qFormat/>
    <w:rsid w:val="00B5475E"/>
    <w:pPr>
      <w:keepNext/>
      <w:keepLines/>
      <w:spacing w:before="80" w:after="40" w:line="278" w:lineRule="auto"/>
      <w:outlineLvl w:val="3"/>
    </w:pPr>
    <w:rPr>
      <w:rFonts w:eastAsiaTheme="majorEastAsia" w:cstheme="majorBidi"/>
      <w:i/>
      <w:iCs/>
      <w:color w:val="0F4761" w:themeColor="accent1" w:themeShade="BF"/>
      <w:kern w:val="2"/>
      <w:lang w:eastAsia="en-US"/>
      <w14:ligatures w14:val="standardContextual"/>
    </w:rPr>
  </w:style>
  <w:style w:type="paragraph" w:styleId="Heading5">
    <w:name w:val="heading 5"/>
    <w:basedOn w:val="Normal"/>
    <w:next w:val="Normal"/>
    <w:link w:val="Heading5Char"/>
    <w:uiPriority w:val="9"/>
    <w:semiHidden/>
    <w:unhideWhenUsed/>
    <w:qFormat/>
    <w:rsid w:val="00B5475E"/>
    <w:pPr>
      <w:keepNext/>
      <w:keepLines/>
      <w:spacing w:before="80" w:after="40" w:line="278" w:lineRule="auto"/>
      <w:outlineLvl w:val="4"/>
    </w:pPr>
    <w:rPr>
      <w:rFonts w:eastAsiaTheme="majorEastAsia" w:cstheme="majorBidi"/>
      <w:color w:val="0F4761" w:themeColor="accent1" w:themeShade="BF"/>
      <w:kern w:val="2"/>
      <w:lang w:eastAsia="en-US"/>
      <w14:ligatures w14:val="standardContextual"/>
    </w:rPr>
  </w:style>
  <w:style w:type="paragraph" w:styleId="Heading6">
    <w:name w:val="heading 6"/>
    <w:basedOn w:val="Normal"/>
    <w:next w:val="Normal"/>
    <w:link w:val="Heading6Char"/>
    <w:uiPriority w:val="9"/>
    <w:semiHidden/>
    <w:unhideWhenUsed/>
    <w:qFormat/>
    <w:rsid w:val="00B5475E"/>
    <w:pPr>
      <w:keepNext/>
      <w:keepLines/>
      <w:spacing w:before="40" w:after="0" w:line="278" w:lineRule="auto"/>
      <w:outlineLvl w:val="5"/>
    </w:pPr>
    <w:rPr>
      <w:rFonts w:eastAsiaTheme="majorEastAsia" w:cstheme="majorBidi"/>
      <w:i/>
      <w:iCs/>
      <w:color w:val="595959" w:themeColor="text1" w:themeTint="A6"/>
      <w:kern w:val="2"/>
      <w:lang w:eastAsia="en-US"/>
      <w14:ligatures w14:val="standardContextual"/>
    </w:rPr>
  </w:style>
  <w:style w:type="paragraph" w:styleId="Heading7">
    <w:name w:val="heading 7"/>
    <w:basedOn w:val="Normal"/>
    <w:next w:val="Normal"/>
    <w:link w:val="Heading7Char"/>
    <w:uiPriority w:val="9"/>
    <w:semiHidden/>
    <w:unhideWhenUsed/>
    <w:qFormat/>
    <w:rsid w:val="00B5475E"/>
    <w:pPr>
      <w:keepNext/>
      <w:keepLines/>
      <w:spacing w:before="40" w:after="0" w:line="278" w:lineRule="auto"/>
      <w:outlineLvl w:val="6"/>
    </w:pPr>
    <w:rPr>
      <w:rFonts w:eastAsiaTheme="majorEastAsia" w:cstheme="majorBidi"/>
      <w:color w:val="595959" w:themeColor="text1" w:themeTint="A6"/>
      <w:kern w:val="2"/>
      <w:lang w:eastAsia="en-US"/>
      <w14:ligatures w14:val="standardContextual"/>
    </w:rPr>
  </w:style>
  <w:style w:type="paragraph" w:styleId="Heading8">
    <w:name w:val="heading 8"/>
    <w:basedOn w:val="Normal"/>
    <w:next w:val="Normal"/>
    <w:link w:val="Heading8Char"/>
    <w:uiPriority w:val="9"/>
    <w:semiHidden/>
    <w:unhideWhenUsed/>
    <w:qFormat/>
    <w:rsid w:val="00B5475E"/>
    <w:pPr>
      <w:keepNext/>
      <w:keepLines/>
      <w:spacing w:after="0" w:line="278" w:lineRule="auto"/>
      <w:outlineLvl w:val="7"/>
    </w:pPr>
    <w:rPr>
      <w:rFonts w:eastAsiaTheme="majorEastAsia" w:cstheme="majorBidi"/>
      <w:i/>
      <w:iCs/>
      <w:color w:val="272727" w:themeColor="text1" w:themeTint="D8"/>
      <w:kern w:val="2"/>
      <w:lang w:eastAsia="en-US"/>
      <w14:ligatures w14:val="standardContextual"/>
    </w:rPr>
  </w:style>
  <w:style w:type="paragraph" w:styleId="Heading9">
    <w:name w:val="heading 9"/>
    <w:basedOn w:val="Normal"/>
    <w:next w:val="Normal"/>
    <w:link w:val="Heading9Char"/>
    <w:uiPriority w:val="9"/>
    <w:semiHidden/>
    <w:unhideWhenUsed/>
    <w:qFormat/>
    <w:rsid w:val="00B5475E"/>
    <w:pPr>
      <w:keepNext/>
      <w:keepLines/>
      <w:spacing w:after="0" w:line="278" w:lineRule="auto"/>
      <w:outlineLvl w:val="8"/>
    </w:pPr>
    <w:rPr>
      <w:rFonts w:eastAsiaTheme="majorEastAsia" w:cstheme="majorBidi"/>
      <w:color w:val="272727" w:themeColor="text1" w:themeTint="D8"/>
      <w:kern w:val="2"/>
      <w:lang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475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54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54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54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54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54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54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54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5475E"/>
    <w:rPr>
      <w:rFonts w:eastAsiaTheme="majorEastAsia" w:cstheme="majorBidi"/>
      <w:color w:val="272727" w:themeColor="text1" w:themeTint="D8"/>
    </w:rPr>
  </w:style>
  <w:style w:type="paragraph" w:styleId="Title">
    <w:name w:val="Title"/>
    <w:basedOn w:val="Normal"/>
    <w:next w:val="Normal"/>
    <w:link w:val="TitleChar"/>
    <w:uiPriority w:val="10"/>
    <w:qFormat/>
    <w:rsid w:val="00B5475E"/>
    <w:pPr>
      <w:spacing w:after="80" w:line="240" w:lineRule="auto"/>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itleChar">
    <w:name w:val="Title Char"/>
    <w:basedOn w:val="DefaultParagraphFont"/>
    <w:link w:val="Title"/>
    <w:uiPriority w:val="10"/>
    <w:rsid w:val="00B54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5475E"/>
    <w:pPr>
      <w:numPr>
        <w:ilvl w:val="1"/>
      </w:numPr>
      <w:spacing w:line="278" w:lineRule="auto"/>
    </w:pPr>
    <w:rPr>
      <w:rFonts w:eastAsiaTheme="majorEastAsia" w:cstheme="majorBidi"/>
      <w:color w:val="595959" w:themeColor="text1" w:themeTint="A6"/>
      <w:spacing w:val="15"/>
      <w:kern w:val="2"/>
      <w:sz w:val="28"/>
      <w:szCs w:val="28"/>
      <w:lang w:eastAsia="en-US"/>
      <w14:ligatures w14:val="standardContextual"/>
    </w:rPr>
  </w:style>
  <w:style w:type="character" w:customStyle="1" w:styleId="SubtitleChar">
    <w:name w:val="Subtitle Char"/>
    <w:basedOn w:val="DefaultParagraphFont"/>
    <w:link w:val="Subtitle"/>
    <w:uiPriority w:val="11"/>
    <w:rsid w:val="00B54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5475E"/>
    <w:pPr>
      <w:spacing w:before="160" w:line="278" w:lineRule="auto"/>
      <w:jc w:val="center"/>
    </w:pPr>
    <w:rPr>
      <w:rFonts w:eastAsiaTheme="minorHAnsi"/>
      <w:i/>
      <w:iCs/>
      <w:color w:val="404040" w:themeColor="text1" w:themeTint="BF"/>
      <w:kern w:val="2"/>
      <w:lang w:eastAsia="en-US"/>
      <w14:ligatures w14:val="standardContextual"/>
    </w:rPr>
  </w:style>
  <w:style w:type="character" w:customStyle="1" w:styleId="QuoteChar">
    <w:name w:val="Quote Char"/>
    <w:basedOn w:val="DefaultParagraphFont"/>
    <w:link w:val="Quote"/>
    <w:uiPriority w:val="29"/>
    <w:rsid w:val="00B5475E"/>
    <w:rPr>
      <w:i/>
      <w:iCs/>
      <w:color w:val="404040" w:themeColor="text1" w:themeTint="BF"/>
    </w:rPr>
  </w:style>
  <w:style w:type="paragraph" w:styleId="ListParagraph">
    <w:name w:val="List Paragraph"/>
    <w:basedOn w:val="Normal"/>
    <w:uiPriority w:val="34"/>
    <w:qFormat/>
    <w:rsid w:val="00B5475E"/>
    <w:pPr>
      <w:spacing w:line="278" w:lineRule="auto"/>
      <w:ind w:left="720"/>
      <w:contextualSpacing/>
    </w:pPr>
    <w:rPr>
      <w:rFonts w:eastAsiaTheme="minorHAnsi"/>
      <w:kern w:val="2"/>
      <w:lang w:eastAsia="en-US"/>
      <w14:ligatures w14:val="standardContextual"/>
    </w:rPr>
  </w:style>
  <w:style w:type="character" w:styleId="IntenseEmphasis">
    <w:name w:val="Intense Emphasis"/>
    <w:basedOn w:val="DefaultParagraphFont"/>
    <w:uiPriority w:val="21"/>
    <w:qFormat/>
    <w:rsid w:val="00B5475E"/>
    <w:rPr>
      <w:i/>
      <w:iCs/>
      <w:color w:val="0F4761" w:themeColor="accent1" w:themeShade="BF"/>
    </w:rPr>
  </w:style>
  <w:style w:type="paragraph" w:styleId="IntenseQuote">
    <w:name w:val="Intense Quote"/>
    <w:basedOn w:val="Normal"/>
    <w:next w:val="Normal"/>
    <w:link w:val="IntenseQuoteChar"/>
    <w:uiPriority w:val="30"/>
    <w:qFormat/>
    <w:rsid w:val="00B5475E"/>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eastAsiaTheme="minorHAnsi"/>
      <w:i/>
      <w:iCs/>
      <w:color w:val="0F4761" w:themeColor="accent1" w:themeShade="BF"/>
      <w:kern w:val="2"/>
      <w:lang w:eastAsia="en-US"/>
      <w14:ligatures w14:val="standardContextual"/>
    </w:rPr>
  </w:style>
  <w:style w:type="character" w:customStyle="1" w:styleId="IntenseQuoteChar">
    <w:name w:val="Intense Quote Char"/>
    <w:basedOn w:val="DefaultParagraphFont"/>
    <w:link w:val="IntenseQuote"/>
    <w:uiPriority w:val="30"/>
    <w:rsid w:val="00B5475E"/>
    <w:rPr>
      <w:i/>
      <w:iCs/>
      <w:color w:val="0F4761" w:themeColor="accent1" w:themeShade="BF"/>
    </w:rPr>
  </w:style>
  <w:style w:type="character" w:styleId="IntenseReference">
    <w:name w:val="Intense Reference"/>
    <w:basedOn w:val="DefaultParagraphFont"/>
    <w:uiPriority w:val="32"/>
    <w:qFormat/>
    <w:rsid w:val="00B5475E"/>
    <w:rPr>
      <w:b/>
      <w:bCs/>
      <w:smallCaps/>
      <w:color w:val="0F4761" w:themeColor="accent1" w:themeShade="BF"/>
      <w:spacing w:val="5"/>
    </w:rPr>
  </w:style>
  <w:style w:type="character" w:styleId="Hyperlink">
    <w:name w:val="Hyperlink"/>
    <w:basedOn w:val="DefaultParagraphFont"/>
    <w:uiPriority w:val="99"/>
    <w:unhideWhenUsed/>
    <w:rsid w:val="00B5475E"/>
    <w:rPr>
      <w:color w:val="467886" w:themeColor="hyperlink"/>
      <w:u w:val="single"/>
    </w:rPr>
  </w:style>
  <w:style w:type="paragraph" w:styleId="Caption">
    <w:name w:val="caption"/>
    <w:basedOn w:val="Normal"/>
    <w:next w:val="Normal"/>
    <w:uiPriority w:val="35"/>
    <w:unhideWhenUsed/>
    <w:qFormat/>
    <w:rsid w:val="00B5475E"/>
    <w:pPr>
      <w:spacing w:after="200" w:line="240" w:lineRule="auto"/>
    </w:pPr>
    <w:rPr>
      <w:i/>
      <w:iCs/>
      <w:color w:val="0E2841" w:themeColor="text2"/>
      <w:sz w:val="18"/>
      <w:szCs w:val="18"/>
    </w:rPr>
  </w:style>
  <w:style w:type="paragraph" w:styleId="NormalWeb">
    <w:name w:val="Normal (Web)"/>
    <w:basedOn w:val="Normal"/>
    <w:uiPriority w:val="99"/>
    <w:unhideWhenUsed/>
    <w:rsid w:val="00B5475E"/>
    <w:pPr>
      <w:spacing w:before="100" w:beforeAutospacing="1" w:after="100" w:afterAutospacing="1" w:line="240" w:lineRule="auto"/>
    </w:pPr>
    <w:rPr>
      <w:rFonts w:ascii="Times New Roman" w:eastAsia="Times New Roman" w:hAnsi="Times New Roman" w:cs="Times New Roman"/>
      <w:lang w:eastAsia="en-US"/>
    </w:rPr>
  </w:style>
  <w:style w:type="character" w:customStyle="1" w:styleId="eop">
    <w:name w:val="eop"/>
    <w:basedOn w:val="DefaultParagraphFont"/>
    <w:rsid w:val="00B5475E"/>
  </w:style>
  <w:style w:type="paragraph" w:customStyle="1" w:styleId="paragraph">
    <w:name w:val="paragraph"/>
    <w:basedOn w:val="Normal"/>
    <w:rsid w:val="00B5475E"/>
    <w:pPr>
      <w:spacing w:before="100" w:beforeAutospacing="1" w:after="100" w:afterAutospacing="1" w:line="240" w:lineRule="auto"/>
    </w:pPr>
    <w:rPr>
      <w:rFonts w:ascii="Times New Roman" w:eastAsia="Times New Roman" w:hAnsi="Times New Roman" w:cs="Times New Roman"/>
      <w:lang w:eastAsia="en-US"/>
    </w:rPr>
  </w:style>
  <w:style w:type="character" w:customStyle="1" w:styleId="normaltextrun">
    <w:name w:val="normaltextrun"/>
    <w:basedOn w:val="DefaultParagraphFont"/>
    <w:rsid w:val="00B5475E"/>
  </w:style>
  <w:style w:type="character" w:styleId="UnresolvedMention">
    <w:name w:val="Unresolved Mention"/>
    <w:basedOn w:val="DefaultParagraphFont"/>
    <w:uiPriority w:val="99"/>
    <w:semiHidden/>
    <w:unhideWhenUsed/>
    <w:rsid w:val="00B5475E"/>
    <w:rPr>
      <w:color w:val="605E5C"/>
      <w:shd w:val="clear" w:color="auto" w:fill="E1DFDD"/>
    </w:rPr>
  </w:style>
  <w:style w:type="paragraph" w:styleId="FootnoteText">
    <w:name w:val="footnote text"/>
    <w:basedOn w:val="Normal"/>
    <w:link w:val="FootnoteTextChar"/>
    <w:uiPriority w:val="99"/>
    <w:semiHidden/>
    <w:unhideWhenUsed/>
    <w:rsid w:val="001A647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A6473"/>
    <w:rPr>
      <w:rFonts w:eastAsiaTheme="minorEastAsia"/>
      <w:kern w:val="0"/>
      <w:sz w:val="20"/>
      <w:szCs w:val="20"/>
      <w:lang w:eastAsia="ja-JP"/>
      <w14:ligatures w14:val="none"/>
    </w:rPr>
  </w:style>
  <w:style w:type="character" w:styleId="FootnoteReference">
    <w:name w:val="footnote reference"/>
    <w:basedOn w:val="DefaultParagraphFont"/>
    <w:uiPriority w:val="99"/>
    <w:semiHidden/>
    <w:unhideWhenUsed/>
    <w:rsid w:val="001A647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i.org/10.1017/CHOL9780521224963.009" TargetMode="External"/><Relationship Id="rId18" Type="http://schemas.openxmlformats.org/officeDocument/2006/relationships/hyperlink" Target="https://doi.org/10.2307/4200424" TargetMode="External"/><Relationship Id="rId26" Type="http://schemas.openxmlformats.org/officeDocument/2006/relationships/hyperlink" Target="https://www.academia.edu/115957341/Xenophons_riddle_solved" TargetMode="External"/><Relationship Id="rId3" Type="http://schemas.openxmlformats.org/officeDocument/2006/relationships/webSettings" Target="webSettings.xml"/><Relationship Id="rId21" Type="http://schemas.openxmlformats.org/officeDocument/2006/relationships/hyperlink" Target="https://doi.org/10.2307/592761" TargetMode="External"/><Relationship Id="rId7" Type="http://schemas.openxmlformats.org/officeDocument/2006/relationships/hyperlink" Target="https://pleiades.stoa.org/" TargetMode="External"/><Relationship Id="rId12" Type="http://schemas.openxmlformats.org/officeDocument/2006/relationships/image" Target="media/image3.jpeg"/><Relationship Id="rId17" Type="http://schemas.openxmlformats.org/officeDocument/2006/relationships/hyperlink" Target="https://doi.org/10.2307/628085" TargetMode="External"/><Relationship Id="rId25" Type="http://schemas.openxmlformats.org/officeDocument/2006/relationships/hyperlink" Target="https://doi.org/10.5281/zenodo.11366870" TargetMode="External"/><Relationship Id="rId2" Type="http://schemas.openxmlformats.org/officeDocument/2006/relationships/settings" Target="settings.xml"/><Relationship Id="rId16" Type="http://schemas.openxmlformats.org/officeDocument/2006/relationships/hyperlink" Target="https://doi.org/10.2307/3643026" TargetMode="External"/><Relationship Id="rId20" Type="http://schemas.openxmlformats.org/officeDocument/2006/relationships/hyperlink" Target="https://doi.org/10.1177/1469605312439139" TargetMode="External"/><Relationship Id="rId29" Type="http://schemas.openxmlformats.org/officeDocument/2006/relationships/hyperlink" Target="https://doi.org/10.1515/9783110793437-006" TargetMode="External"/><Relationship Id="rId1" Type="http://schemas.openxmlformats.org/officeDocument/2006/relationships/styles" Target="styles.xml"/><Relationship Id="rId6" Type="http://schemas.openxmlformats.org/officeDocument/2006/relationships/hyperlink" Target="https://recogito.pelagios.org/" TargetMode="External"/><Relationship Id="rId11" Type="http://schemas.openxmlformats.org/officeDocument/2006/relationships/hyperlink" Target="https://arcg.is/18rDDf3" TargetMode="External"/><Relationship Id="rId24" Type="http://schemas.openxmlformats.org/officeDocument/2006/relationships/hyperlink" Target="https://doi.org/10.4324/9781003584155" TargetMode="External"/><Relationship Id="rId5" Type="http://schemas.openxmlformats.org/officeDocument/2006/relationships/endnotes" Target="endnotes.xml"/><Relationship Id="rId15" Type="http://schemas.openxmlformats.org/officeDocument/2006/relationships/hyperlink" Target="http://archive.org/details/diakonoff-kashkai-1981-urartian-geo" TargetMode="External"/><Relationship Id="rId23" Type="http://schemas.openxmlformats.org/officeDocument/2006/relationships/hyperlink" Target="https://doi.org/10.2307/3643017" TargetMode="External"/><Relationship Id="rId28" Type="http://schemas.openxmlformats.org/officeDocument/2006/relationships/hyperlink" Target="https://doi.org/10.5152/JTRI.2024.23373" TargetMode="External"/><Relationship Id="rId10" Type="http://schemas.openxmlformats.org/officeDocument/2006/relationships/image" Target="media/image2.png"/><Relationship Id="rId19" Type="http://schemas.openxmlformats.org/officeDocument/2006/relationships/hyperlink" Target="https://doi.org/10.14434/sdh.v1i2.23283" TargetMode="External"/><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hyperlink" Target="https://arcg.is/18rDDf3" TargetMode="External"/><Relationship Id="rId14" Type="http://schemas.openxmlformats.org/officeDocument/2006/relationships/hyperlink" Target="https://doi.org/10.1017/S0066154623000054" TargetMode="External"/><Relationship Id="rId22" Type="http://schemas.openxmlformats.org/officeDocument/2006/relationships/hyperlink" Target="http://menadoc.bibliothek.uni-halle.de/publicdomain/993371" TargetMode="External"/><Relationship Id="rId27" Type="http://schemas.openxmlformats.org/officeDocument/2006/relationships/hyperlink" Target="https://do.org/10.1017/irq.2015.15" TargetMode="Externa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orcid.org/0009-0001-7242-37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9</Pages>
  <Words>3615</Words>
  <Characters>20611</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Cian Colgan2-Student</dc:creator>
  <cp:keywords/>
  <dc:description/>
  <cp:lastModifiedBy>Cian Colgan2-Student</cp:lastModifiedBy>
  <cp:revision>4</cp:revision>
  <dcterms:created xsi:type="dcterms:W3CDTF">2026-04-20T07:17:00Z</dcterms:created>
  <dcterms:modified xsi:type="dcterms:W3CDTF">2026-04-20T07:21:00Z</dcterms:modified>
</cp:coreProperties>
</file>