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jc w:val="center"/>
      </w:pPr>
      <w:r>
        <w:rPr>
          <w:rFonts w:ascii="Arial" w:cs="Arial" w:eastAsia="Arial" w:hAnsi="Arial"/>
          <w:b/>
          <w:bCs/>
          <w:sz w:val="32"/>
          <w:szCs w:val="32"/>
        </w:rPr>
        <w:t xml:space="preserve">The Information Conflict Triad: Toward a Unified Governance Framework</w:t>
      </w:r>
    </w:p>
    <w:p>
      <w:pPr>
        <w:jc w:val="center"/>
      </w:pPr>
      <w:r>
        <w:rPr>
          <w:rFonts w:ascii="Arial" w:cs="Arial" w:eastAsia="Arial" w:hAnsi="Arial"/>
          <w:b/>
          <w:bCs/>
          <w:sz w:val="32"/>
          <w:szCs w:val="32"/>
        </w:rPr>
        <w:t xml:space="preserve">Integrating AI Weaponization, Fake News Countermeasures,</w:t>
      </w:r>
    </w:p>
    <w:p>
      <w:pPr>
        <w:jc w:val="center"/>
      </w:pPr>
      <w:r>
        <w:rPr>
          <w:rFonts w:ascii="Arial" w:cs="Arial" w:eastAsia="Arial" w:hAnsi="Arial"/>
          <w:b/>
          <w:bCs/>
          <w:sz w:val="32"/>
          <w:szCs w:val="32"/>
        </w:rPr>
        <w:t xml:space="preserve">and Cyber Legal Standards</w:t>
      </w:r>
    </w:p>
    <w:p>
      <w:r>
        <w:t xml:space="preserve"/>
      </w:r>
    </w:p>
    <w:p>
      <w:pPr>
        <w:jc w:val="center"/>
      </w:pPr>
      <w:r>
        <w:rPr>
          <w:b/>
          <w:bCs/>
          <w:sz w:val="26"/>
          <w:szCs w:val="26"/>
        </w:rPr>
        <w:t xml:space="preserve">Zaza Tsotniashvili</w:t>
      </w:r>
    </w:p>
    <w:p>
      <w:pPr>
        <w:jc w:val="center"/>
      </w:pPr>
      <w:r>
        <w:rPr>
          <w:sz w:val="22"/>
          <w:szCs w:val="22"/>
        </w:rPr>
        <w:t xml:space="preserve">Professor and Director of Media Programs</w:t>
      </w:r>
    </w:p>
    <w:p>
      <w:pPr>
        <w:jc w:val="center"/>
      </w:pPr>
      <w:r>
        <w:rPr>
          <w:sz w:val="22"/>
          <w:szCs w:val="22"/>
        </w:rPr>
        <w:t xml:space="preserve">Caucasus International University, Tbilisi, Georgia</w:t>
      </w:r>
    </w:p>
    <w:p>
      <w:pPr>
        <w:jc w:val="center"/>
      </w:pPr>
      <w:r>
        <w:rPr>
          <w:sz w:val="22"/>
          <w:szCs w:val="22"/>
        </w:rPr>
        <w:t xml:space="preserve">ORCID: 0000-0001-7735-266X</w:t>
      </w:r>
    </w:p>
    <w:p>
      <w:pPr>
        <w:jc w:val="center"/>
      </w:pPr>
      <w:r>
        <w:rPr>
          <w:sz w:val="22"/>
          <w:szCs w:val="22"/>
        </w:rPr>
        <w:t xml:space="preserve">zaza.tsotniashvili@ciu.edu.ge</w:t>
      </w:r>
    </w:p>
    <w:p>
      <w:r>
        <w:t xml:space="preserve"/>
      </w:r>
    </w:p>
    <w:p>
      <w:pPr>
        <w:pBdr>
          <w:bottom w:val="single" w:color="2E75B6" w:sz="6" w:space="1"/>
        </w:pBdr>
      </w:pPr>
      <w:r>
        <w:t xml:space="preserve"/>
      </w:r>
    </w:p>
    <w:p>
      <w:r>
        <w:t xml:space="preserve"/>
      </w:r>
    </w:p>
    <w:p>
      <w:pPr>
        <w:spacing w:after="100"/>
      </w:pPr>
      <w:r>
        <w:rPr>
          <w:rFonts w:ascii="Arial" w:cs="Arial" w:eastAsia="Arial" w:hAnsi="Arial"/>
          <w:b/>
          <w:bCs/>
          <w:sz w:val="26"/>
          <w:szCs w:val="26"/>
        </w:rPr>
        <w:t xml:space="preserve">Abstract</w:t>
      </w:r>
    </w:p>
    <w:p>
      <w:pPr>
        <w:spacing w:after="160"/>
        <w:ind w:left="720" w:right="720"/>
        <w:jc w:val="both"/>
      </w:pPr>
      <w:r>
        <w:rPr>
          <w:i/>
          <w:iCs/>
        </w:rPr>
        <w:t xml:space="preserve">The intersection of artificial intelligence (AI), disinformation ecosystems, and international cyber law has emerged as one of the defining governance challenges of the twenty-first century. While existing scholarship tends to examine these dimensions in isolation—either focusing on AI as an instrument of information warfare, or on its potential as a counter-disinformation tool, or on the legal frameworks governing cyber conflict—there remains a critical absence of integrated analytical models that capture the dynamic interplay among all three. This article addresses that gap by proposing the Information Conflict Governance Model (ICGM), a triadic framework that synthesises three interconnected dimensions: (1) the operational deployment of AI in active information warfare, examined through the empirical lens of the Ukraine conflict; (2) the AI-enabled counter-disinformation architecture, including detection systems, algorithmic inoculation, and platform governance; and (3) the normative layer of legal and ethical standards that must constrain both offensive and defensive AI operations in cyber conflict. Drawing on the author's prior empirical and theoretical work, as well as contemporary literature in media studies, international law, and AI ethics, the article argues that effective information conflict governance requires coherent cross-layer coordination rather than siloed policy responses. The ICGM is presented as a heuristic instrument for scholars, policymakers, and platform regulators seeking conceptual clarity in an environment of accelerating technological and geopolitical change.</w:t>
      </w:r>
    </w:p>
    <w:p>
      <w:r>
        <w:t xml:space="preserve"/>
      </w:r>
    </w:p>
    <w:p>
      <w:pPr>
        <w:spacing w:after="200"/>
        <w:ind w:left="720" w:right="720"/>
      </w:pPr>
      <w:r>
        <w:rPr>
          <w:b/>
          <w:bCs/>
        </w:rPr>
        <w:t xml:space="preserve">Keywords: </w:t>
      </w:r>
      <w:r>
        <w:rPr>
          <w:i/>
          <w:iCs/>
        </w:rPr>
        <w:t xml:space="preserve">artificial intelligence; information warfare; disinformation; fake news; cyber law; algorithmic governance; information conflict; dual-use technology</w:t>
      </w:r>
    </w:p>
    <w:p>
      <w:pPr>
        <w:pBdr>
          <w:bottom w:val="single" w:color="2E75B6" w:sz="6" w:space="1"/>
        </w:pBdr>
      </w:pPr>
      <w:r>
        <w:t xml:space="preserve"/>
      </w:r>
    </w:p>
    <w:p>
      <w:r>
        <w:t xml:space="preserve"/>
      </w:r>
    </w:p>
    <w:p>
      <w:pPr>
        <w:pStyle w:val="Heading1"/>
      </w:pPr>
      <w:r>
        <w:rPr>
          <w:b/>
          <w:bCs/>
        </w:rPr>
        <w:t xml:space="preserve">1. Introduction</w:t>
      </w:r>
    </w:p>
    <w:p>
      <w:pPr>
        <w:spacing w:after="160"/>
        <w:jc w:val="both"/>
      </w:pPr>
      <w:r>
        <w:t xml:space="preserve">The information environment of the twenty-first century has undergone a structural transformation that no single analytical lens can adequately capture. Artificial intelligence now operates simultaneously as a weapon, a shield, and an unanswered legal question in the context of international information conflict. The war in Ukraine, which began its most acute phase in February 2022, has made this multidimensionality impossible to ignore: AI-generated synthetic media circulated on social platforms within hours of ground operations; automated amplification networks shaped international public opinion; and deepfake technology was used to fabricate statements by heads of state (Rid, 2020; Singer &amp; Brooking, 2018). At the same time, AI-powered detection tools, fact-checking platforms, and counter-narrative systems were deployed by journalists, civil society organisations, and governments in response. Meanwhile, the legal community struggled to determine whether any of these operations constituted violations of existing international law—and if so, what the appropriate mechanisms of accountability might be.</w:t>
      </w:r>
    </w:p>
    <w:p>
      <w:pPr>
        <w:spacing w:after="160"/>
        <w:jc w:val="both"/>
      </w:pPr>
      <w:r>
        <w:t xml:space="preserve">This fractured landscape—where offensive AI operations outpace regulatory response, and where countermeasures develop independently of legal norms—reflects a deeper structural problem: the absence of integrated frameworks that treat AI weaponization, counter-disinformation, and cyber legal governance as interdependent layers of a single systemic challenge. Each dimension has generated a rich body of scholarship. Tsotniashvili (2024) has examined AI's operational role in the Ukraine information battlefield in detail, documenting the mechanisms by which algorithmic tools shaped the conflict's narrative architecture. Tsotniashvili (2025) has analysed the counterpart dynamic, mapping how AI-powered detection and intervention systems can be leveraged to combat fake news in contemporary media environments. And Tsotniashvili (2023) has addressed the normative dimension, proposing legal and ethical standards to govern cyber conflict and establish meaningful rules of engagement for information operations. Taken together, these three bodies of work identify a coherent triadic structure within the information conflict landscape. What remains to be done is to integrate them.</w:t>
      </w:r>
    </w:p>
    <w:p>
      <w:pPr>
        <w:spacing w:after="160"/>
        <w:jc w:val="both"/>
      </w:pPr>
      <w:r>
        <w:t xml:space="preserve">This article undertakes that integration. It proposes the Information Conflict Governance Model (ICGM)—a three-layer analytical framework that maps the relationships among AI weaponization (Operational Layer), AI-enabled countermeasures (Counter-Information Layer), and the legal-ethical governance architecture (Normative Layer). The article proceeds as follows. Section 2 reviews the theoretical background and relevant literature across each dimension. Section 3 elaborates the three dimensions in turn, drawing on empirical and conceptual prior work. Section 4 presents the integrated ICGM, specifying the interactions among layers. Section 5 discusses policy implications. Section 6 addresses limitations and directions for future research. Section 7 concludes.</w:t>
      </w:r>
    </w:p>
    <w:p>
      <w:pPr>
        <w:pStyle w:val="Heading1"/>
      </w:pPr>
      <w:r>
        <w:rPr>
          <w:b/>
          <w:bCs/>
        </w:rPr>
        <w:t xml:space="preserve">2. Theoretical Background and Related Work</w:t>
      </w:r>
    </w:p>
    <w:p>
      <w:pPr>
        <w:spacing w:after="160"/>
        <w:jc w:val="both"/>
      </w:pPr>
      <w:r>
        <w:t xml:space="preserve">The theoretical lineage of the present article draws from three distinct but increasingly convergent fields: information warfare studies, AI ethics and governance, and international cyber law.</w:t>
      </w:r>
    </w:p>
    <w:p>
      <w:pPr>
        <w:pStyle w:val="Heading2"/>
      </w:pPr>
      <w:r>
        <w:rPr>
          <w:b/>
          <w:bCs/>
        </w:rPr>
        <w:t xml:space="preserve">2.1 AI in Information Warfare</w:t>
      </w:r>
    </w:p>
    <w:p>
      <w:pPr>
        <w:spacing w:after="160"/>
        <w:jc w:val="both"/>
      </w:pPr>
      <w:r>
        <w:t xml:space="preserve">The scholarly literature on information warfare has a long pedigree, but the integration of AI into this field has accelerated dramatically since 2016. Early conceptual work by Thomas (2004) on Russia's reflexive control theory anticipated many features of contemporary AI-assisted influence operations—particularly the idea of shaping an adversary's decision-making environment through carefully curated informational stimuli. Rid (2020) provided comprehensive historical grounding, demonstrating that disinformation and active measures are not novel phenomena but have been radically amplified by digital and AI-enabled tools. The concept of the "information battlefield" has since evolved to encompass algorithmic amplification networks, synthetic media generation, and coordinated inauthentic behaviour, all of which reduce the cost and increase the scale of influence operations (Brundage et al., 2018; Helmus &amp; Klein, 2018).</w:t>
      </w:r>
    </w:p>
    <w:p>
      <w:pPr>
        <w:spacing w:after="160"/>
        <w:jc w:val="both"/>
      </w:pPr>
      <w:r>
        <w:t xml:space="preserve">Chesney and Citron (2019) introduced the concept of the "infocalypse" to describe the convergence of deepfake technology with pre-existing epistemic vulnerabilities in public discourse—a synthesis that creates conditions for what they term "reality apathy": the progressive erosion of audiences' capacity to distinguish authentic from fabricated content. Singer and Brooking (2018) extended this analysis to the domain of social media, demonstrating how platforms designed for civilian communication have been systematically repurposed as weapons of political warfare. Within this literature, the Ukraine conflict has emerged as the most extensively documented contemporary case of AI-assisted information warfare (Benkler, Faris, &amp; Roberts, 2018; Zegart, 2022).</w:t>
      </w:r>
    </w:p>
    <w:p>
      <w:pPr>
        <w:pStyle w:val="Heading2"/>
      </w:pPr>
      <w:r>
        <w:rPr>
          <w:b/>
          <w:bCs/>
        </w:rPr>
        <w:t xml:space="preserve">2.2 AI as Counter-Disinformation Instrument</w:t>
      </w:r>
    </w:p>
    <w:p>
      <w:pPr>
        <w:spacing w:after="160"/>
        <w:jc w:val="both"/>
      </w:pPr>
      <w:r>
        <w:t xml:space="preserve">A parallel and largely separate body of literature examines AI not as a source of disinformation but as a potential remedy. Wardle and Derakhshan's (2017) foundational typology of information disorder—distinguishing among misinformation, disinformation, and malinformation—provided the conceptual vocabulary upon which most subsequent detection-oriented research has been built. Roozenbeek and van der Linden (2019) introduced the inoculation paradigm: the notion that exposure to weakened or "prebunked" disinformation narratives can confer cognitive resistance, a mechanism that AI systems can deploy at scale.</w:t>
      </w:r>
    </w:p>
    <w:p>
      <w:pPr>
        <w:spacing w:after="160"/>
        <w:jc w:val="both"/>
      </w:pPr>
      <w:r>
        <w:t xml:space="preserve">The development of natural language processing (NLP), computer vision, and network analysis tools has enabled increasingly sophisticated automated detection of synthetic content, coordinated inauthentic behaviour, and narrative manipulation (Floridi et al., 2018). However, this literature has also documented a persistent "arms race" dynamic: as detection capabilities improve, generation capabilities evolve in response, with adversarial AI systems trained to produce content that defeats current detection benchmarks. This dynamic introduces a fundamental tension that any governance model must address: the same AI capabilities that enable disinformation defence can be repurposed for disinformation offence.</w:t>
      </w:r>
    </w:p>
    <w:p>
      <w:pPr>
        <w:pStyle w:val="Heading2"/>
      </w:pPr>
      <w:r>
        <w:rPr>
          <w:b/>
          <w:bCs/>
        </w:rPr>
        <w:t xml:space="preserve">2.3 Legal and Ethical Frameworks for Cyber Conflict</w:t>
      </w:r>
    </w:p>
    <w:p>
      <w:pPr>
        <w:spacing w:after="160"/>
        <w:jc w:val="both"/>
      </w:pPr>
      <w:r>
        <w:t xml:space="preserve">The legal regulation of information operations and cyber conflict has lagged considerably behind both technical capability and scholarly documentation of its harms. The Tallinn Manual 2.0 (Schmitt, 2017) remains the most authoritative non-binding articulation of how existing international humanitarian law applies to cyber operations—but it was drafted before the current generation of AI-enabled information weapons was fully visible to legal scholars. The manual's threshold for what constitutes an "armed attack" in cyberspace does not clearly encompass influence operations that cause no direct physical harm, even when those operations alter the course of elections, destabilise democratic institutions, or cause measurable psychological harm to populations.</w:t>
      </w:r>
    </w:p>
    <w:p>
      <w:pPr>
        <w:spacing w:after="160"/>
        <w:jc w:val="both"/>
      </w:pPr>
      <w:r>
        <w:t xml:space="preserve">The European Union's Artificial Intelligence Act (European Commission, 2021) represents the most ambitious contemporary attempt to impose ex ante regulatory constraints on AI systems, including those deployed in media and information environments. However, it does not address offensive military or intelligence applications of AI. NATO's Strategic Communications Centre of Excellence has developed practitioner-oriented frameworks for resilience against information warfare, but these are not legally binding. The result is a normative landscape characterised by fragmentation, jurisdictional ambiguity, and a fundamental mismatch between the speed of technological development and the pace of legal institutionalisation (Roff, 2019).</w:t>
      </w:r>
    </w:p>
    <w:p>
      <w:pPr>
        <w:pStyle w:val="Heading1"/>
      </w:pPr>
      <w:r>
        <w:rPr>
          <w:b/>
          <w:bCs/>
        </w:rPr>
        <w:t xml:space="preserve">3. The Triadic Structure of AI in Information Conflict</w:t>
      </w:r>
    </w:p>
    <w:p>
      <w:pPr>
        <w:spacing w:after="160"/>
        <w:jc w:val="both"/>
      </w:pPr>
      <w:r>
        <w:t xml:space="preserve">The analysis in this section argues that contemporary AI-enabled information conflict is structured along three analytically distinct but operationally interdependent dimensions. Each dimension has been examined in prior work by the present author; this section synthesises and extends those analyses toward a unified model.</w:t>
      </w:r>
    </w:p>
    <w:p>
      <w:pPr>
        <w:pStyle w:val="Heading2"/>
      </w:pPr>
      <w:r>
        <w:rPr>
          <w:b/>
          <w:bCs/>
        </w:rPr>
        <w:t xml:space="preserve">3.1 Dimension I — The Operational Layer: AI as Instrument of Information Warfare</w:t>
      </w:r>
    </w:p>
    <w:p>
      <w:pPr>
        <w:spacing w:after="160"/>
        <w:jc w:val="both"/>
      </w:pPr>
      <w:r>
        <w:t xml:space="preserve">The most immediately visible dimension of AI in information conflict concerns its deployment as an offensive operational instrument. Tsotniashvili (2024) provided a systematic empirical analysis of AI's role in the Ukraine information battlefield, identifying four principal mechanisms through which AI-enabled tools shaped the conflict's information environment: (a) synthetic media production and distribution, including deepfake video and audio fabrications; (b) large-scale automated amplification of selected narratives via bot networks and algorithmic exploitation; (c) AI-assisted targeting of information operations to psychologically vulnerable audience segments; and (d) the use of generative AI to produce large volumes of superficially plausible disinformation content across multiple languages simultaneously.</w:t>
      </w:r>
    </w:p>
    <w:p>
      <w:pPr>
        <w:spacing w:after="160"/>
        <w:jc w:val="both"/>
      </w:pPr>
      <w:r>
        <w:t xml:space="preserve">What distinguishes these AI-enabled operations from earlier generations of information warfare is not merely scale—though scale is significant—but the degree to which AI systems can generate, personalise, and distribute disinformation with minimal human intervention, reducing both cost and attribution risk for state and non-state actors (Brundage et al., 2018). The Ukraine case documented by Tsotniashvili (2024) reveals that both state and non-state actors exploited these capabilities, creating an information battlefield characterised by persistent ambiguity about source, intent, and authenticity. This ambiguity is itself a strategic resource: it erodes confidence in all information, including accurate information, and creates conditions for what Rid (2020) terms the "firehose of falsehood"—an approach that seeks not to persuade but to overwhelm and disorient.</w:t>
      </w:r>
    </w:p>
    <w:p>
      <w:pPr>
        <w:spacing w:after="160"/>
        <w:jc w:val="both"/>
      </w:pPr>
      <w:r>
        <w:t xml:space="preserve">From a governance perspective, the Operational Layer poses three specific challenges. First, the speed of AI-enabled information operations outpaces existing monitoring and response mechanisms, whether governmental or platform-based. Second, attribution—the identification of the actor responsible for an information operation—is substantially more difficult when operations are mediated by AI systems that can be operated remotely, anonymously, and through third-party infrastructure. Third, the dual-use character of the relevant technologies means that restricting access to generative AI or large-scale content distribution capabilities would impose significant costs on legitimate civilian, journalistic, and commercial uses.</w:t>
      </w:r>
    </w:p>
    <w:p>
      <w:pPr>
        <w:pStyle w:val="Heading2"/>
      </w:pPr>
      <w:r>
        <w:rPr>
          <w:b/>
          <w:bCs/>
        </w:rPr>
        <w:t xml:space="preserve">3.2 Dimension II — The Counter-Information Layer: AI-Powered Fake News Countermeasures</w:t>
      </w:r>
    </w:p>
    <w:p>
      <w:pPr>
        <w:spacing w:after="160"/>
        <w:jc w:val="both"/>
      </w:pPr>
      <w:r>
        <w:t xml:space="preserve">The second dimension of the triadic framework concerns AI's role not as a weapon but as a defensive and corrective instrument. Tsotniashvili (2025) examined the mechanisms through which AI-powered systems can be leveraged to detect, flag, and mitigate fake news at scale—a necessary counterpart to the analysis of AI-enabled information warfare. The study identified three principal categories of AI-based counter-disinformation intervention: (a) content-level detection, using NLP and computer vision models to identify synthetic, manipulated, or false content; (b) network-level analysis, using graph-based algorithms to identify coordinated inauthentic behaviour and amplification networks; and (c) audience-level inoculation, deploying AI-curated prebunking content to build cognitive resilience among targeted population segments.</w:t>
      </w:r>
    </w:p>
    <w:p>
      <w:pPr>
        <w:spacing w:after="160"/>
        <w:jc w:val="both"/>
      </w:pPr>
      <w:r>
        <w:t xml:space="preserve">Each of these intervention types carries its own technical and governance challenges. Content-level detection is subject to the adversarial dynamic noted above: as detection models improve, generation models are fine-tuned to defeat them, creating a persistent cat-and-mouse cycle (Chesney &amp; Citron, 2019). Network-level analysis raises significant privacy concerns, as effective detection of coordinated inauthentic behaviour requires access to data—metadata, communication patterns, network relationships—that platforms have historically been reluctant to share with researchers or regulators. Audience-level inoculation, while promising in controlled experimental settings (Roozenbeek &amp; van der Linden, 2019), faces scalability and reach challenges when deployed against sophisticated state-sponsored influence operations.</w:t>
      </w:r>
    </w:p>
    <w:p>
      <w:pPr>
        <w:spacing w:after="160"/>
        <w:jc w:val="both"/>
      </w:pPr>
      <w:r>
        <w:t xml:space="preserve">A further complication examined by Tsotniashvili (2025) concerns the risk of algorithmic overcorrection. AI systems trained to detect disinformation may generate false positives—incorrectly flagging legitimate journalism, political speech, or minority-language content—with disproportionate impacts on marginalised communities and non-dominant information ecosystems. This risk is particularly acute in conflict contexts, where accurate reporting of atrocities or human rights violations may formally resemble the kind of emotionally charged, rapidly shared content that disinformation detection systems are trained to flag. The counter-information dimension therefore cannot be conceived purely as a technical problem; it is irreducibly a governance problem, requiring normative frameworks that specify the conditions under which AI-powered content intervention is legitimate, proportionate, and accountable.</w:t>
      </w:r>
    </w:p>
    <w:p>
      <w:pPr>
        <w:pStyle w:val="Heading2"/>
      </w:pPr>
      <w:r>
        <w:rPr>
          <w:b/>
          <w:bCs/>
        </w:rPr>
        <w:t xml:space="preserve">3.3 Dimension III — The Normative Layer: Legal and Ethical Standards for Cyber Conflict</w:t>
      </w:r>
    </w:p>
    <w:p>
      <w:pPr>
        <w:spacing w:after="160"/>
        <w:jc w:val="both"/>
      </w:pPr>
      <w:r>
        <w:t xml:space="preserve">The third dimension of the triadic framework concerns the normative infrastructure—legal rules, ethical principles, and institutional accountability mechanisms—within which both offensive and defensive AI information operations must be situated. Tsotniashvili (2023) addressed this dimension directly, examining the legal and ethical standards applicable to cyber conflict and proposing a rules-of-engagement framework for information operations. That analysis identified a fundamental normative deficit: the existing architecture of international law, developed in the pre-digital era and only partially adapted to cyber operations through instruments such as the Tallinn Manual 2.0 (Schmitt, 2017), does not provide clear, actionable standards for the full range of AI-enabled information operations now documented in practice.</w:t>
      </w:r>
    </w:p>
    <w:p>
      <w:pPr>
        <w:spacing w:after="160"/>
        <w:jc w:val="both"/>
      </w:pPr>
      <w:r>
        <w:t xml:space="preserve">The core legal question—whether AI-enabled influence operations constitute a violation of sovereignty, an act of interference in internal affairs, or an act of aggression under international law—remains contested. The difficulty lies in part in the threshold problem: most information operations, even severe ones, do not produce the kind of direct physical harm that triggers the recognised legal categories of armed attack or use of force. The 2016 interference in the U.S. presidential election, the Brexit disinformation campaigns, and the AI-enabled information operations in the Ukraine conflict have all demonstrated that influence operations can produce profound effects on democratic processes and social cohesion without crossing the traditional legal threshold for unlawful action.</w:t>
      </w:r>
    </w:p>
    <w:p>
      <w:pPr>
        <w:spacing w:after="160"/>
        <w:jc w:val="both"/>
      </w:pPr>
      <w:r>
        <w:t xml:space="preserve">Tsotniashvili (2023) argued that this gap requires not merely an extension of existing legal categories but a qualitatively new normative framework grounded in the principles of sovereignty, non-interference, and epistemic integrity—the right of populations to form political judgments on the basis of unmanipulated information. This proposal aligns with the broader movement in AI ethics toward value-based frameworks that extend beyond immediate harm prevention to encompass systemic risks to democratic institutions and epistemic autonomy (Floridi et al., 2018; Roff, 2019). The EU AI Act's risk-tiered approach represents one institutional attempt to operationalise such a framework, though its applicability to military and intelligence AI operations remains an open question.</w:t>
      </w:r>
    </w:p>
    <w:p>
      <w:pPr>
        <w:pStyle w:val="Heading1"/>
      </w:pPr>
      <w:r>
        <w:rPr>
          <w:b/>
          <w:bCs/>
        </w:rPr>
        <w:t xml:space="preserve">4. The Information Conflict Governance Model (ICGM)</w:t>
      </w:r>
    </w:p>
    <w:p>
      <w:pPr>
        <w:spacing w:after="160"/>
        <w:jc w:val="both"/>
      </w:pPr>
      <w:r>
        <w:t xml:space="preserve">Having elaborated each of the three dimensions in isolation, this section proposes their integration into a unified analytical framework: the Information Conflict Governance Model (ICGM). The ICGM is not merely a descriptive typology but a governance instrument designed to reveal the structural interdependencies among the three layers and to identify the coordination failures that result from treating them separately.</w:t>
      </w:r>
    </w:p>
    <w:p>
      <w:pPr>
        <w:pStyle w:val="Heading2"/>
      </w:pPr>
      <w:r>
        <w:rPr>
          <w:b/>
          <w:bCs/>
        </w:rPr>
        <w:t xml:space="preserve">4.1 Model Architecture</w:t>
      </w:r>
    </w:p>
    <w:p>
      <w:pPr>
        <w:spacing w:after="160"/>
        <w:jc w:val="both"/>
      </w:pPr>
      <w:r>
        <w:t xml:space="preserve">The ICGM is structured as a three-layer stack in which each layer both depends upon and constrains the others. The Operational Layer occupies the foundational position: it describes the empirical reality of AI-enabled information operations as they are actually conducted by state and non-state actors in active information conflict. The Counter-Information Layer is superimposed upon the Operational Layer and constitutes the responsive architecture: the technical and institutional mechanisms through which disinformation is detected, attributed, and mitigated. The Normative Layer is superimposed upon both, providing the regulatory and ethical constraints within which both offensive operations and defensive responses must be conducted.</w:t>
      </w:r>
    </w:p>
    <w:p>
      <w:pPr>
        <w:spacing w:after="160"/>
        <w:jc w:val="both"/>
      </w:pPr>
      <w:r>
        <w:t xml:space="preserve">The critical insight of the ICGM is that these layers are not independent. Current governance frameworks typically address each layer through distinct institutional mandates—national security agencies handle offensive operations; platform trust-and-safety teams handle disinformation detection; international lawyers and diplomats handle normative frameworks—with minimal cross-layer coordination. This institutional siloing produces three systematic governance failures.</w:t>
      </w:r>
    </w:p>
    <w:p>
      <w:pPr>
        <w:spacing w:after="160"/>
        <w:jc w:val="both"/>
      </w:pPr>
      <w:r>
        <w:t xml:space="preserve">First, normative frameworks developed without reference to operational realities will fail to address the specific mechanisms through which AI-enabled information operations cause harm, producing rules that are technically inapplicable or practically unenforceable. The Tallinn Manual's difficulty in accommodating influence operations is a case in point: it was drafted by lawyers, informed primarily by technical experts in offensive cyber operations, without systematic input from media scholars or disinformation researchers who could have clarified the harm mechanisms of information-based operations (Schmitt, 2017).</w:t>
      </w:r>
    </w:p>
    <w:p>
      <w:pPr>
        <w:spacing w:after="160"/>
        <w:jc w:val="both"/>
      </w:pPr>
      <w:r>
        <w:t xml:space="preserve">Second, counter-disinformation architectures developed without reference to the normative layer risk producing interventions that are themselves legally or ethically problematic. AI-powered content moderation, network surveillance, and audience targeting by counter-disinformation systems can infringe on fundamental rights—freedom of expression, privacy, non-discrimination—if deployed without adequate legal basis and accountability mechanisms. The absence of a normative layer reference in the design of counter-information systems is a structural vulnerability in current platform governance.</w:t>
      </w:r>
    </w:p>
    <w:p>
      <w:pPr>
        <w:spacing w:after="160"/>
        <w:jc w:val="both"/>
      </w:pPr>
      <w:r>
        <w:t xml:space="preserve">Third, and perhaps most critically, operational actors who plan and conduct AI-enabled information operations in the absence of a coherent normative framework face no effective constraint on the scale, targeting, or content of their operations. The Ukraine conflict has demonstrated that in the absence of agreed international norms, even democratic states and their allies have been willing to deploy AI-enabled information operations that push against—and sometimes cross—the ethical boundaries they would nominally endorse in peacetime (Tsotniashvili, 2024).</w:t>
      </w:r>
    </w:p>
    <w:p>
      <w:pPr>
        <w:pStyle w:val="Heading2"/>
      </w:pPr>
      <w:r>
        <w:rPr>
          <w:b/>
          <w:bCs/>
        </w:rPr>
        <w:t xml:space="preserve">4.2 Cross-Layer Dynamics</w:t>
      </w:r>
    </w:p>
    <w:p>
      <w:pPr>
        <w:spacing w:after="160"/>
        <w:jc w:val="both"/>
      </w:pPr>
      <w:r>
        <w:t xml:space="preserve">The ICGM identifies three principal cross-layer dynamics that governance frameworks must explicitly manage.</w:t>
      </w:r>
    </w:p>
    <w:p>
      <w:pPr>
        <w:spacing w:after="160"/>
        <w:jc w:val="both"/>
      </w:pPr>
      <w:r>
        <w:t xml:space="preserve">The first is the arms race dynamic between the Operational and Counter-Information Layers. As documented above, offensive AI capabilities and defensive detection capabilities develop in a co-evolutionary relationship, with each advance on one side driving compensating innovation on the other (Chesney &amp; Citron, 2019; Tsotniashvili, 2025). This dynamic has important implications for the Normative Layer: governance frameworks that attempt to regulate AI capabilities at a fixed technical threshold will be systematically outpaced by the evolution of the technology. Effective normative frameworks must therefore be capability-agnostic, regulating the purposes, targeting, and effects of information operations rather than the specific technical means employed.</w:t>
      </w:r>
    </w:p>
    <w:p>
      <w:pPr>
        <w:spacing w:after="160"/>
        <w:jc w:val="both"/>
      </w:pPr>
      <w:r>
        <w:t xml:space="preserve">The second dynamic is the legitimacy transfer between the Normative and Counter-Information Layers. Counter-disinformation interventions that are conducted within a clear legal and ethical framework—with explicit legal basis, proportionality requirements, and accountability mechanisms—carry a legitimacy premium that enhances their social and political effectiveness. Conversely, counter-disinformation operations that lack normative grounding are vulnerable to being reframed by adversaries as censorship, thereby undermining the informational credibility that is a prerequisite for effective counter-narrative operations (Wardle &amp; Derakhshan, 2017).</w:t>
      </w:r>
    </w:p>
    <w:p>
      <w:pPr>
        <w:spacing w:after="160"/>
        <w:jc w:val="both"/>
      </w:pPr>
      <w:r>
        <w:t xml:space="preserve">The third dynamic is the deterrence relationship between the Normative Layer and the Operational Layer. Credible and enforceable normative constraints on AI-enabled information operations create costs for potential perpetrators that reduce the overall incidence of such operations—or, more precisely, shift operations toward modalities that avoid triggering normative sanctions. This deterrence function is currently largely absent from the information conflict domain, given the weakness of existing international legal frameworks. Tsotniashvili (2023) has argued that developing a credible deterrence architecture for information operations requires both the elaboration of clear legal norms and the development of attribution capabilities capable of supporting accountability claims.</w:t>
      </w:r>
    </w:p>
    <w:p>
      <w:pPr>
        <w:pStyle w:val="Heading2"/>
      </w:pPr>
      <w:r>
        <w:rPr>
          <w:b/>
          <w:bCs/>
        </w:rPr>
        <w:t xml:space="preserve">4.3 Governance Implications of the ICGM</w:t>
      </w:r>
    </w:p>
    <w:p>
      <w:pPr>
        <w:spacing w:after="160"/>
        <w:jc w:val="both"/>
      </w:pPr>
      <w:r>
        <w:t xml:space="preserve">The ICGM yields a set of specific governance implications that distinguish it from existing single-layer frameworks. Most fundamentally, it implies that effective information conflict governance requires an integrated institutional architecture—one in which the entities responsible for Operational, Counter-Information, and Normative functions are in structured dialogue with one another, sharing information, coordinating strategies, and aligning standards.</w:t>
      </w:r>
    </w:p>
    <w:p>
      <w:pPr>
        <w:spacing w:after="160"/>
        <w:jc w:val="both"/>
      </w:pPr>
      <w:r>
        <w:t xml:space="preserve">At the national level, this implies the development of cross-departmental coordination mechanisms that bring together national security agencies, media regulators, platform policy teams, and legal advisors within a shared strategic framework. At the international level, it implies the development of multilateral instruments—treaties, codes of conduct, or agreed interpretive frameworks—that address AI-enabled information operations as a distinct and coherent regulatory object, rather than attempting to squeeze them into existing legal categories designed for kinetic warfare or traditional cyber operations.</w:t>
      </w:r>
    </w:p>
    <w:p>
      <w:pPr>
        <w:spacing w:after="160"/>
        <w:jc w:val="both"/>
      </w:pPr>
      <w:r>
        <w:t xml:space="preserve">The ICGM also has implications for research methodology. The three-layer structure suggests that the most productive research agenda in this field will be characterised by systematic interdisciplinarity—bringing together the empirical methods of media and communication studies (Operational and Counter-Information Layers) with the normative analysis of legal and ethical scholarship (Normative Layer). Such interdisciplinary synthesis is precisely what is demanded by the complexity of the information conflict landscape, and precisely what current institutional structures tend to impede.</w:t>
      </w:r>
    </w:p>
    <w:p>
      <w:pPr>
        <w:pStyle w:val="Heading1"/>
      </w:pPr>
      <w:r>
        <w:rPr>
          <w:b/>
          <w:bCs/>
        </w:rPr>
        <w:t xml:space="preserve">5. Discussion: Policy Implications and Practical Applications</w:t>
      </w:r>
    </w:p>
    <w:p>
      <w:pPr>
        <w:spacing w:after="160"/>
        <w:jc w:val="both"/>
      </w:pPr>
      <w:r>
        <w:t xml:space="preserve">The ICGM has direct implications for three categories of actors: state policymakers and regulators, platform governance teams, and international institutions.</w:t>
      </w:r>
    </w:p>
    <w:p>
      <w:pPr>
        <w:spacing w:after="160"/>
        <w:jc w:val="both"/>
      </w:pPr>
      <w:r>
        <w:t xml:space="preserve">For state policymakers, the principal implication is the need for strategic coherence across the three layers. Current national strategies for information resilience typically address counter-disinformation (Counter-Information Layer) and legal frameworks (Normative Layer) as separate policy domains, with national security operations (Operational Layer) kept deliberately separate from both. The ICGM suggests that this institutional separation is itself a strategic vulnerability: it prevents the kind of cross-layer learning and coordination that effective information conflict governance requires. NATO's emphasis on strategic communication, for instance, would benefit from more systematic engagement with the normative frameworks proposed by legal scholars such as those elaborated in Tsotniashvili (2023).</w:t>
      </w:r>
    </w:p>
    <w:p>
      <w:pPr>
        <w:spacing w:after="160"/>
        <w:jc w:val="both"/>
      </w:pPr>
      <w:r>
        <w:t xml:space="preserve">For platform governance teams, the ICGM highlights the importance of building normative constraints into the technical architecture of counter-disinformation systems from the outset, rather than as an afterthought. Trust-and-safety operations that are designed purely around technical optimisation—minimising false positive rates, maximising detection recall—without reference to freedom of expression standards, non-discrimination requirements, or due process guarantees will systematically produce interventions that are legally and ethically problematic (Tsotniashvili, 2025; Floridi et al., 2018). The EU AI Act's risk-classification framework provides one regulatory instrument that could support this integration, if its scope is extended to encompass the full range of content moderation AI systems.</w:t>
      </w:r>
    </w:p>
    <w:p>
      <w:pPr>
        <w:spacing w:after="160"/>
        <w:jc w:val="both"/>
      </w:pPr>
      <w:r>
        <w:t xml:space="preserve">For international institutions, the ICGM points toward the development of a dedicated multilateral instrument specifically addressing AI-enabled information operations. Existing frameworks—the UN Group of Governmental Experts (GGE) process, the Budapest Convention on Cybercrime, the Tallinn Manual process—were not designed to address the specific characteristics of AI-enabled influence operations and require substantial supplementation. The ICGM suggests that any such instrument should address all three layers in a coordinated fashion: defining prohibited offensive operations (Normative Layer), establishing standards for legitimate counter-disinformation interventions (Counter-Information Layer), and creating attribution, accountability, and enforcement mechanisms that apply across both (cross-layer governance).</w:t>
      </w:r>
    </w:p>
    <w:p>
      <w:pPr>
        <w:pStyle w:val="Heading1"/>
      </w:pPr>
      <w:r>
        <w:rPr>
          <w:b/>
          <w:bCs/>
        </w:rPr>
        <w:t xml:space="preserve">6. Limitations and Future Research Directions</w:t>
      </w:r>
    </w:p>
    <w:p>
      <w:pPr>
        <w:spacing w:after="160"/>
        <w:jc w:val="both"/>
      </w:pPr>
      <w:r>
        <w:t xml:space="preserve">The ICGM, as presented in this article, is a conceptual and heuristic framework rather than an empirically tested model. Its principal limitation is that the interdependencies it posits among the three layers—the arms race dynamic, the legitimacy transfer dynamic, and the deterrence dynamic—are theoretically motivated but not yet systematically tested against empirical data. Future research should seek to operationalise these dynamics as measurable variables and to test hypotheses derived from the model against cross-national comparative data on information conflict incidents, counter-disinformation interventions, and normative framework developments.</w:t>
      </w:r>
    </w:p>
    <w:p>
      <w:pPr>
        <w:spacing w:after="160"/>
        <w:jc w:val="both"/>
      </w:pPr>
      <w:r>
        <w:t xml:space="preserve">A second limitation concerns scope. The article draws primarily on evidence from the European information conflict context—particularly the Ukraine conflict—and from the regulatory landscape of the European Union. The applicability of the ICGM to non-European contexts, including the information conflict environments of the Indo-Pacific, the Middle East, and sub-Saharan Africa, requires separate investigation. Information conflict dynamics in these regions may exhibit structural characteristics—different platform ecologies, different legal traditions, different state capacity levels—that require modification of the model's assumptions.</w:t>
      </w:r>
    </w:p>
    <w:p>
      <w:pPr>
        <w:spacing w:after="160"/>
        <w:jc w:val="both"/>
      </w:pPr>
      <w:r>
        <w:t xml:space="preserve">Third, the model does not explicitly address the role of private actors—technology companies, commercial disinformation-for-hire operations, civil society organisations—in the information conflict landscape. Future elaborations of the ICGM should develop a more fine-grained actor typology that specifies how different categories of private actors relate to each of the three layers and to the cross-layer governance mechanisms the model proposes.</w:t>
      </w:r>
    </w:p>
    <w:p>
      <w:pPr>
        <w:pStyle w:val="Heading1"/>
      </w:pPr>
      <w:r>
        <w:rPr>
          <w:b/>
          <w:bCs/>
        </w:rPr>
        <w:t xml:space="preserve">7. Conclusion</w:t>
      </w:r>
    </w:p>
    <w:p>
      <w:pPr>
        <w:spacing w:after="160"/>
        <w:jc w:val="both"/>
      </w:pPr>
      <w:r>
        <w:t xml:space="preserve">This article has argued that the most significant governance challenge posed by AI-enabled information conflict is not the sophistication of any individual technology or the scale of any particular operation—formidable as both of these are—but the structural fragmentation of the analytical and institutional frameworks through which governments, platforms, and international institutions currently respond to the challenge. AI weaponization, counter-disinformation, and cyber legal governance are treated as separate policy domains by separate institutional actors, when in reality they are interdependent layers of a single complex system.</w:t>
      </w:r>
    </w:p>
    <w:p>
      <w:pPr>
        <w:spacing w:after="160"/>
        <w:jc w:val="both"/>
      </w:pPr>
      <w:r>
        <w:t xml:space="preserve">The Information Conflict Governance Model (ICGM) proposed in this article represents an attempt to provide the conceptual infrastructure for a more integrated response. By mapping the operational dynamics of AI-enabled information warfare, the architecture of AI-powered countermeasures, and the normative frameworks of international cyber law onto a unified triadic structure, and by identifying the cross-layer dynamics that connect these dimensions, the ICGM offers a heuristic instrument for both scholars and practitioners seeking to navigate the complexity of the contemporary information conflict landscape.</w:t>
      </w:r>
    </w:p>
    <w:p>
      <w:pPr>
        <w:spacing w:after="160"/>
        <w:jc w:val="both"/>
      </w:pPr>
      <w:r>
        <w:t xml:space="preserve">The prior empirical and theoretical work on which this article builds—documenting AI's role in the Ukraine information battlefield (Tsotniashvili, 2024), analysing AI-powered fake news countermeasures (Tsotniashvili, 2025), and proposing legal and ethical frameworks for cyber conflict (Tsotniashvili, 2023)—has established the evidential foundation for each of the model's three layers. The contribution of this article is to demonstrate that these layers are not independent research domains but components of a structured whole, and that understanding and governing each requires understanding and governing all three together.</w:t>
      </w:r>
    </w:p>
    <w:p>
      <w:pPr>
        <w:spacing w:after="160"/>
        <w:jc w:val="both"/>
      </w:pPr>
      <w:r>
        <w:t xml:space="preserve">As AI capabilities continue to evolve, the governance challenge they pose to information environments, democratic institutions, and international order will only intensify. The ICGM does not resolve these challenges; it provides a framework for thinking about them more systematically. In a field where the pace of technological change routinely outstrips the capacity of governance institutions to respond, systematic conceptual frameworks of this kind may be among the most valuable contributions scholarship can make.</w:t>
      </w:r>
    </w:p>
    <w:p>
      <w:r>
        <w:t xml:space="preserve"/>
      </w:r>
    </w:p>
    <w:p>
      <w:pPr>
        <w:pBdr>
          <w:bottom w:val="single" w:color="2E75B6" w:sz="6" w:space="1"/>
        </w:pBdr>
      </w:pPr>
      <w:r>
        <w:t xml:space="preserve"/>
      </w:r>
    </w:p>
    <w:p>
      <w:r>
        <w:t xml:space="preserve"/>
      </w:r>
    </w:p>
    <w:p>
      <w:pPr>
        <w:spacing w:after="160"/>
        <w:jc w:val="both"/>
      </w:pPr>
      <w:r>
        <w:rPr>
          <w:b/>
          <w:bCs/>
        </w:rPr>
        <w:t xml:space="preserve">Author Contributions: </w:t>
      </w:r>
      <w:r>
        <w:t xml:space="preserve">The author conceived and designed the study, conducted the theoretical analysis, developed the ICGM framework, and drafted and revised the manuscript. The author has read and agreed to the published version of the manuscript.</w:t>
      </w:r>
    </w:p>
    <w:p>
      <w:pPr>
        <w:spacing w:after="160"/>
        <w:jc w:val="both"/>
      </w:pPr>
      <w:r>
        <w:rPr>
          <w:b/>
          <w:bCs/>
        </w:rPr>
        <w:t xml:space="preserve">Funding: </w:t>
      </w:r>
      <w:r>
        <w:t xml:space="preserve">This research received no external funding.</w:t>
      </w:r>
    </w:p>
    <w:p>
      <w:pPr>
        <w:spacing w:after="160"/>
        <w:jc w:val="both"/>
      </w:pPr>
      <w:r>
        <w:rPr>
          <w:b/>
          <w:bCs/>
        </w:rPr>
        <w:t xml:space="preserve">Acknowledgments: </w:t>
      </w:r>
      <w:r>
        <w:t xml:space="preserve">The author acknowledges the use of Claude (Anthropic), an AI language model, as a writing and structural editing assistant during the preparation of this manuscript. AI assistance was employed in the organisation of arguments, language refinement, and drafting support. The intellectual framework, scholarly judgements, theoretical contributions, and all substantive conclusions presented in this article are solely the work of the author, who takes full responsibility for the content.</w:t>
      </w:r>
    </w:p>
    <w:p>
      <w:pPr>
        <w:spacing w:after="240"/>
        <w:jc w:val="both"/>
      </w:pPr>
      <w:r>
        <w:rPr>
          <w:b/>
          <w:bCs/>
        </w:rPr>
        <w:t xml:space="preserve">Conflicts of Interest: </w:t>
      </w:r>
      <w:r>
        <w:t xml:space="preserve">The author declares no conflicts of interest.</w:t>
      </w:r>
    </w:p>
    <w:p>
      <w:r>
        <w:t xml:space="preserve"/>
      </w:r>
    </w:p>
    <w:p>
      <w:pPr>
        <w:pStyle w:val="Heading1"/>
      </w:pPr>
      <w:r>
        <w:rPr>
          <w:b/>
          <w:bCs/>
        </w:rPr>
        <w:t xml:space="preserve">References</w:t>
      </w:r>
    </w:p>
    <w:p>
      <w:pPr>
        <w:spacing w:after="160"/>
        <w:ind w:left="720" w:hanging="720"/>
        <w:jc w:val="both"/>
      </w:pPr>
      <w:r>
        <w:t xml:space="preserve">Benkler, Y., Faris, R., &amp; Roberts, H. (2018). Network propaganda: Manipulation, disinformation, and radicalization in American politics. Oxford University Press.</w:t>
      </w:r>
    </w:p>
    <w:p>
      <w:pPr>
        <w:spacing w:after="160"/>
        <w:ind w:left="720" w:hanging="720"/>
        <w:jc w:val="both"/>
      </w:pPr>
      <w:r>
        <w:t xml:space="preserve">Brundage, M., Avin, S., Clark, J., Toner, H., Eckersley, P., Garfinkel, B., Dafoe, A., Scharre, P., Zeitzoff, T., Filar, B., Anderson, H., Roff, H., Allen, G. C., Steinhardt, J., Flynn, C., héigeartaigh, S. S., Beard, S., Belfield, H., Farquhar, S., … Amodei, D. (2018). The malicious use of artificial intelligence: Forecasting, prevention, and mitigation. arXiv preprint arXiv:1802.07228.</w:t>
      </w:r>
    </w:p>
    <w:p>
      <w:pPr>
        <w:spacing w:after="160"/>
        <w:ind w:left="720" w:hanging="720"/>
        <w:jc w:val="both"/>
      </w:pPr>
      <w:r>
        <w:t xml:space="preserve">Chesney, R., &amp; Citron, D. K. (2019). Deep fakes: A looming challenge for privacy, democracy, and national security. California Law Review, 107(6), 1753–1820.</w:t>
      </w:r>
    </w:p>
    <w:p>
      <w:pPr>
        <w:spacing w:after="160"/>
        <w:ind w:left="720" w:hanging="720"/>
        <w:jc w:val="both"/>
      </w:pPr>
      <w:r>
        <w:t xml:space="preserve">European Commission. (2021). Proposal for a regulation of the European Parliament and of the Council laying down harmonised rules on artificial intelligence (Artificial Intelligence Act) and amending certain union legislative acts. COM(2021) 206 final.</w:t>
      </w:r>
    </w:p>
    <w:p>
      <w:pPr>
        <w:spacing w:after="160"/>
        <w:ind w:left="720" w:hanging="720"/>
        <w:jc w:val="both"/>
      </w:pPr>
      <w:r>
        <w:t xml:space="preserve">Floridi, L., Cowls, J., Beltrametti, M., Chatila, R., Chazerand, P., Dignum, V., Luetge, C., Madelin, R., Pagallo, U., Rossi, F., Schafer, B., Valcke, P., &amp; Vayena, E. (2018). AI4People—An ethical framework for a good AI society: Opportunities, risks, principles, and recommendations. Minds and Machines, 28(4), 689–707.</w:t>
      </w:r>
    </w:p>
    <w:p>
      <w:pPr>
        <w:spacing w:after="160"/>
        <w:ind w:left="720" w:hanging="720"/>
        <w:jc w:val="both"/>
      </w:pPr>
      <w:r>
        <w:t xml:space="preserve">Helmus, T. C., Bodine-Baron, E., Radin, A., Magnuson, M., Mendelsohn, J., Marcellino, W., Bega, A., &amp; Winkelman, Z. (2018). Russian social media influence: Understanding Russian propaganda in Eastern Europe (Report No. RR-2237-OSD). RAND Corporation.</w:t>
      </w:r>
    </w:p>
    <w:p>
      <w:pPr>
        <w:spacing w:after="160"/>
        <w:ind w:left="720" w:hanging="720"/>
        <w:jc w:val="both"/>
      </w:pPr>
      <w:r>
        <w:t xml:space="preserve">Pamment, J., Nothhaft, H., Agardh-Twetman, H., &amp; Fjällhed, A. (2018). Countering information influence activities: The state of the field. Swedish Civil Contingencies Agency (MSB).</w:t>
      </w:r>
    </w:p>
    <w:p>
      <w:pPr>
        <w:spacing w:after="160"/>
        <w:ind w:left="720" w:hanging="720"/>
        <w:jc w:val="both"/>
      </w:pPr>
      <w:r>
        <w:t xml:space="preserve">Rid, T. (2020). Active measures: The secret history of disinformation and political warfare. Farrar, Straus and Giroux.</w:t>
      </w:r>
    </w:p>
    <w:p>
      <w:pPr>
        <w:spacing w:after="160"/>
        <w:ind w:left="720" w:hanging="720"/>
        <w:jc w:val="both"/>
      </w:pPr>
      <w:r>
        <w:t xml:space="preserve">Roff, H. M. (2019). Artificial intelligence: Power to the people. Ethics &amp; International Affairs, 33(2), 127–140.</w:t>
      </w:r>
    </w:p>
    <w:p>
      <w:pPr>
        <w:spacing w:after="160"/>
        <w:ind w:left="720" w:hanging="720"/>
        <w:jc w:val="both"/>
      </w:pPr>
      <w:r>
        <w:t xml:space="preserve">Roozenbeek, J., &amp; van der Linden, S. (2019). The fake news game: Actively inoculating against the risk of misinformation. Journal of Risk Research, 22(5), 570–580.</w:t>
      </w:r>
    </w:p>
    <w:p>
      <w:pPr>
        <w:spacing w:after="160"/>
        <w:ind w:left="720" w:hanging="720"/>
        <w:jc w:val="both"/>
      </w:pPr>
      <w:r>
        <w:t xml:space="preserve">Schmitt, M. N. (Ed.). (2017). Tallinn Manual 2.0 on the international law applicable to cyber operations (2nd ed.). Cambridge University Press.</w:t>
      </w:r>
    </w:p>
    <w:p>
      <w:pPr>
        <w:spacing w:after="160"/>
        <w:ind w:left="720" w:hanging="720"/>
        <w:jc w:val="both"/>
      </w:pPr>
      <w:r>
        <w:t xml:space="preserve">Singer, P. W., &amp; Brooking, E. T. (2018). LikeWar: The weaponization of social media. Eamon Dolan/Houghton Mifflin Harcourt.</w:t>
      </w:r>
    </w:p>
    <w:p>
      <w:pPr>
        <w:spacing w:after="160"/>
        <w:ind w:left="720" w:hanging="720"/>
        <w:jc w:val="both"/>
      </w:pPr>
      <w:r>
        <w:t xml:space="preserve">Thomas, T. L. (2004). Russia's reflexive control theory and the military. Journal of Slavic Military Studies, 17(2), 237–256.</w:t>
      </w:r>
    </w:p>
    <w:p>
      <w:pPr>
        <w:spacing w:after="160"/>
        <w:ind w:left="720" w:hanging="720"/>
        <w:jc w:val="both"/>
      </w:pPr>
      <w:r>
        <w:t xml:space="preserve">Tsotniashvili, Z. (2023). Defining the rules of engagement: Legal and ethical standards in cyber conflict. Journal of Digital Sociohumanities, 1(2), 119–132.</w:t>
      </w:r>
    </w:p>
    <w:p>
      <w:pPr>
        <w:spacing w:after="160"/>
        <w:ind w:left="720" w:hanging="720"/>
        <w:jc w:val="both"/>
      </w:pPr>
      <w:r>
        <w:t xml:space="preserve">Tsotniashvili, Z. (2024). Silicon tactics: Unravelling the role of artificial intelligence in the information battlefield of the Ukraine conflict. Asian Journal of Research, 9(1–3), 54–65.</w:t>
      </w:r>
    </w:p>
    <w:p>
      <w:pPr>
        <w:spacing w:after="160"/>
        <w:ind w:left="720" w:hanging="720"/>
        <w:jc w:val="both"/>
      </w:pPr>
      <w:r>
        <w:t xml:space="preserve">Tsotniashvili, Z. (2025). Leveraging artificial intelligence to combat fake news. Studies in Media and Communication, 13(4), 233–244.</w:t>
      </w:r>
    </w:p>
    <w:p>
      <w:pPr>
        <w:spacing w:after="160"/>
        <w:ind w:left="720" w:hanging="720"/>
        <w:jc w:val="both"/>
      </w:pPr>
      <w:r>
        <w:t xml:space="preserve">Wardle, C., &amp; Derakhshan, H. (2017). Information disorder: Toward an interdisciplinary framework for research and policy making. Council of Europe Report DGI(2017)09.</w:t>
      </w:r>
    </w:p>
    <w:p>
      <w:pPr>
        <w:spacing w:after="160"/>
        <w:ind w:left="720" w:hanging="720"/>
        <w:jc w:val="both"/>
      </w:pPr>
      <w:r>
        <w:t xml:space="preserve">Zegart, A. (2022). Spies, lies, and algorithms: The history and future of American intelligence. Princeton University Press.</w:t>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cs="Times New Roman" w:eastAsia="Times New Roman" w:hAnsi="Times New Roman"/>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180" w:before="360"/>
      <w:outlineLvl w:val="0"/>
    </w:pPr>
    <w:rPr>
      <w:rFonts w:ascii="Arial" w:cs="Arial" w:eastAsia="Arial" w:hAnsi="Arial"/>
      <w:b/>
      <w:bCs/>
      <w:sz w:val="28"/>
      <w:szCs w:val="28"/>
    </w:rPr>
  </w:style>
  <w:style w:type="paragraph" w:styleId="Heading2">
    <w:name w:val="Heading 2"/>
    <w:basedOn w:val="Normal"/>
    <w:next w:val="Normal"/>
    <w:qFormat/>
    <w:pPr>
      <w:spacing w:after="140" w:before="280"/>
      <w:outlineLvl w:val="1"/>
    </w:pPr>
    <w:rPr>
      <w:rFonts w:ascii="Arial" w:cs="Arial" w:eastAsia="Arial" w:hAnsi="Arial"/>
      <w:b/>
      <w:bCs/>
      <w:sz w:val="26"/>
      <w:szCs w:val="26"/>
    </w:rPr>
  </w:style>
  <w:style w:type="paragraph" w:styleId="Heading3">
    <w:name w:val="Heading 3"/>
    <w:basedOn w:val="Normal"/>
    <w:next w:val="Normal"/>
    <w:qFormat/>
    <w:pPr>
      <w:spacing w:after="100" w:before="200"/>
      <w:outlineLvl w:val="2"/>
    </w:pPr>
    <w:rPr>
      <w:rFonts w:ascii="Arial" w:cs="Arial" w:eastAsia="Arial" w:hAnsi="Arial"/>
      <w:b/>
      <w:bCs/>
      <w:i/>
      <w:iCs/>
      <w:sz w:val="24"/>
      <w:szCs w:val="24"/>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2026-04-19T17:55:29.738Z</dcterms:created>
  <dcterms:modified xsi:type="dcterms:W3CDTF">2026-04-19T17:55:29.738Z</dcterms:modified>
</cp:coreProperties>
</file>

<file path=docProps/custom.xml><?xml version="1.0" encoding="utf-8"?>
<Properties xmlns="http://schemas.openxmlformats.org/officeDocument/2006/custom-properties" xmlns:vt="http://schemas.openxmlformats.org/officeDocument/2006/docPropsVTypes"/>
</file>