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E746547">
      <w:pPr>
        <w:pStyle w:val="2"/>
        <w:spacing w:before="80" w:line="279" w:lineRule="auto"/>
        <w:ind w:firstLine="562" w:firstLineChars="200"/>
        <w:rPr>
          <w:rFonts w:ascii="Times New Roman" w:hAnsi="Times New Roman" w:eastAsia="宋体" w:cs="Times New Roman"/>
          <w:b/>
          <w:bCs/>
          <w:color w:val="auto"/>
          <w:sz w:val="28"/>
          <w:szCs w:val="28"/>
          <w:vertAlign w:val="baseline"/>
        </w:rPr>
      </w:pPr>
      <w:r>
        <w:rPr>
          <w:rFonts w:hint="eastAsia" w:ascii="Times New Roman" w:hAnsi="Times New Roman" w:eastAsia="宋体" w:cs="Times New Roman"/>
          <w:b/>
          <w:bCs/>
          <w:color w:val="auto"/>
          <w:sz w:val="28"/>
          <w:szCs w:val="28"/>
          <w:vertAlign w:val="baseline"/>
        </w:rPr>
        <w:t>Appendices：</w:t>
      </w:r>
    </w:p>
    <w:p w14:paraId="796191E1">
      <w:pPr>
        <w:pStyle w:val="2"/>
        <w:spacing w:before="80" w:line="279" w:lineRule="auto"/>
        <w:ind w:firstLine="562" w:firstLineChars="200"/>
        <w:rPr>
          <w:rFonts w:ascii="Times New Roman" w:hAnsi="Times New Roman" w:eastAsia="宋体" w:cs="Times New Roman"/>
          <w:b/>
          <w:bCs/>
          <w:color w:val="auto"/>
          <w:sz w:val="28"/>
          <w:szCs w:val="28"/>
          <w:vertAlign w:val="baseline"/>
        </w:rPr>
      </w:pPr>
      <w:r>
        <w:rPr>
          <w:rFonts w:ascii="Times New Roman" w:hAnsi="Times New Roman" w:eastAsia="宋体" w:cs="Times New Roman"/>
          <w:b/>
          <w:bCs/>
          <w:color w:val="auto"/>
          <w:sz w:val="28"/>
          <w:szCs w:val="28"/>
          <w:vertAlign w:val="baseline"/>
        </w:rPr>
        <w:t xml:space="preserve">Appendix A: </w:t>
      </w:r>
      <w:r>
        <w:rPr>
          <w:rFonts w:hint="eastAsia" w:ascii="Times New Roman" w:hAnsi="Times New Roman" w:eastAsia="宋体" w:cs="Times New Roman"/>
          <w:b/>
          <w:bCs/>
          <w:color w:val="auto"/>
          <w:sz w:val="28"/>
          <w:szCs w:val="28"/>
          <w:vertAlign w:val="baseline"/>
        </w:rPr>
        <w:t>Methodological Protocols and Operationalization Details</w:t>
      </w:r>
    </w:p>
    <w:p w14:paraId="7524ACCE">
      <w:pPr>
        <w:spacing w:line="279" w:lineRule="auto"/>
        <w:ind w:firstLine="442" w:firstLineChars="200"/>
        <w:jc w:val="both"/>
        <w:rPr>
          <w:rFonts w:ascii="Times New Roman" w:hAnsi="Times New Roman" w:eastAsia="宋体" w:cs="Times New Roman"/>
          <w:b/>
          <w:bCs/>
          <w:vertAlign w:val="baseline"/>
        </w:rPr>
      </w:pPr>
      <w:r>
        <w:rPr>
          <w:rFonts w:ascii="Times New Roman" w:hAnsi="Times New Roman" w:eastAsia="宋体" w:cs="Times New Roman"/>
          <w:b/>
          <w:bCs/>
          <w:vertAlign w:val="baseline"/>
        </w:rPr>
        <w:t xml:space="preserve">A.1 </w:t>
      </w:r>
      <w:r>
        <w:rPr>
          <w:rFonts w:hint="eastAsia" w:ascii="Times New Roman" w:hAnsi="Times New Roman" w:eastAsia="宋体" w:cs="Times New Roman"/>
          <w:b/>
          <w:bCs/>
          <w:vertAlign w:val="baseline"/>
        </w:rPr>
        <w:t>Operational Definition Table of Core Concepts</w:t>
      </w:r>
    </w:p>
    <w:p w14:paraId="2F266B50">
      <w:pPr>
        <w:spacing w:line="279" w:lineRule="auto"/>
        <w:ind w:firstLine="440" w:firstLineChars="200"/>
        <w:jc w:val="both"/>
        <w:rPr>
          <w:rFonts w:ascii="Times New Roman" w:hAnsi="Times New Roman" w:eastAsia="宋体" w:cs="Times New Roman"/>
          <w:vertAlign w:val="baseline"/>
        </w:rPr>
      </w:pPr>
      <w:r>
        <w:rPr>
          <w:rFonts w:hint="eastAsia" w:ascii="Times New Roman" w:hAnsi="Times New Roman" w:eastAsia="宋体" w:cs="Times New Roman"/>
          <w:vertAlign w:val="baseline"/>
        </w:rPr>
        <w:t>To ensure the accuracy and reproducibility of the study, operational definitions and explicit measurement methods for the three core critical concepts in this research are provided below.</w:t>
      </w:r>
    </w:p>
    <w:p w14:paraId="6E3BE5BC">
      <w:pPr>
        <w:spacing w:line="279" w:lineRule="auto"/>
        <w:ind w:firstLine="440" w:firstLineChars="200"/>
        <w:jc w:val="center"/>
        <w:rPr>
          <w:rFonts w:ascii="Times New Roman" w:hAnsi="Times New Roman" w:eastAsia="宋体" w:cs="Times New Roman"/>
          <w:vertAlign w:val="baseline"/>
        </w:rPr>
      </w:pPr>
      <w:r>
        <w:rPr>
          <w:rFonts w:hint="eastAsia" w:ascii="Times New Roman" w:hAnsi="Times New Roman" w:eastAsia="宋体" w:cs="Times New Roman"/>
          <w:vertAlign w:val="baseline"/>
        </w:rPr>
        <w:t>Table A.1-1 Core Critical Concepts and Measurement Formulas in This Study</w:t>
      </w:r>
    </w:p>
    <w:tbl>
      <w:tblPr>
        <w:tblStyle w:val="4"/>
        <w:tblW w:w="9309" w:type="dxa"/>
        <w:jc w:val="center"/>
        <w:tblBorders>
          <w:top w:val="single" w:color="auto" w:sz="8" w:space="0"/>
          <w:left w:val="none" w:color="auto" w:sz="0" w:space="0"/>
          <w:bottom w:val="single" w:color="auto" w:sz="8"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197"/>
        <w:gridCol w:w="1333"/>
        <w:gridCol w:w="2698"/>
        <w:gridCol w:w="4081"/>
      </w:tblGrid>
      <w:tr w14:paraId="69576EF2">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0" w:hRule="atLeast"/>
          <w:jc w:val="center"/>
        </w:trPr>
        <w:tc>
          <w:tcPr>
            <w:tcW w:w="1197" w:type="dxa"/>
            <w:tcBorders>
              <w:bottom w:val="single" w:color="auto" w:sz="4" w:space="0"/>
            </w:tcBorders>
            <w:vAlign w:val="center"/>
          </w:tcPr>
          <w:p w14:paraId="6FEF983A">
            <w:pPr>
              <w:widowControl/>
              <w:spacing w:after="0" w:line="240" w:lineRule="auto"/>
              <w:jc w:val="center"/>
              <w:rPr>
                <w:rFonts w:ascii="Times New Roman" w:hAnsi="Times New Roman" w:eastAsia="宋体" w:cs="Times New Roman"/>
                <w:b/>
                <w:bCs/>
                <w:color w:val="000000"/>
                <w:kern w:val="0"/>
                <w:sz w:val="18"/>
                <w:szCs w:val="18"/>
                <w:vertAlign w:val="baseline"/>
                <w14:ligatures w14:val="none"/>
              </w:rPr>
            </w:pPr>
            <w:r>
              <w:rPr>
                <w:rFonts w:hint="eastAsia" w:ascii="Times New Roman" w:hAnsi="Times New Roman" w:eastAsia="宋体" w:cs="Times New Roman"/>
                <w:b/>
                <w:bCs/>
                <w:color w:val="000000"/>
                <w:kern w:val="0"/>
                <w:sz w:val="18"/>
                <w:szCs w:val="18"/>
                <w:vertAlign w:val="baseline"/>
                <w14:ligatures w14:val="none"/>
              </w:rPr>
              <w:t>Core Concept</w:t>
            </w:r>
          </w:p>
        </w:tc>
        <w:tc>
          <w:tcPr>
            <w:tcW w:w="1333" w:type="dxa"/>
            <w:tcBorders>
              <w:bottom w:val="single" w:color="auto" w:sz="4" w:space="0"/>
            </w:tcBorders>
            <w:vAlign w:val="center"/>
          </w:tcPr>
          <w:p w14:paraId="55AFE3CD">
            <w:pPr>
              <w:widowControl/>
              <w:spacing w:after="0" w:line="240" w:lineRule="auto"/>
              <w:jc w:val="center"/>
              <w:rPr>
                <w:rFonts w:ascii="Times New Roman" w:hAnsi="Times New Roman" w:eastAsia="宋体" w:cs="Times New Roman"/>
                <w:b/>
                <w:bCs/>
                <w:color w:val="000000"/>
                <w:kern w:val="0"/>
                <w:sz w:val="18"/>
                <w:szCs w:val="18"/>
                <w:vertAlign w:val="baseline"/>
                <w14:ligatures w14:val="none"/>
              </w:rPr>
            </w:pPr>
            <w:r>
              <w:rPr>
                <w:rFonts w:hint="eastAsia" w:ascii="Times New Roman" w:hAnsi="Times New Roman" w:eastAsia="宋体" w:cs="Times New Roman"/>
                <w:b/>
                <w:bCs/>
                <w:color w:val="000000"/>
                <w:kern w:val="0"/>
                <w:sz w:val="18"/>
                <w:szCs w:val="18"/>
                <w:vertAlign w:val="baseline"/>
                <w14:ligatures w14:val="none"/>
              </w:rPr>
              <w:t>Theoretical Origin</w:t>
            </w:r>
          </w:p>
        </w:tc>
        <w:tc>
          <w:tcPr>
            <w:tcW w:w="2698" w:type="dxa"/>
            <w:tcBorders>
              <w:bottom w:val="single" w:color="auto" w:sz="4" w:space="0"/>
            </w:tcBorders>
            <w:vAlign w:val="center"/>
          </w:tcPr>
          <w:p w14:paraId="57C31DB1">
            <w:pPr>
              <w:widowControl/>
              <w:spacing w:after="0" w:line="240" w:lineRule="auto"/>
              <w:jc w:val="center"/>
              <w:rPr>
                <w:rFonts w:ascii="Times New Roman" w:hAnsi="Times New Roman" w:eastAsia="宋体" w:cs="Times New Roman"/>
                <w:b/>
                <w:bCs/>
                <w:color w:val="000000"/>
                <w:kern w:val="0"/>
                <w:sz w:val="18"/>
                <w:szCs w:val="18"/>
                <w:vertAlign w:val="baseline"/>
                <w14:ligatures w14:val="none"/>
              </w:rPr>
            </w:pPr>
            <w:r>
              <w:rPr>
                <w:rFonts w:hint="eastAsia" w:ascii="Times New Roman" w:hAnsi="Times New Roman" w:eastAsia="宋体" w:cs="Times New Roman"/>
                <w:b/>
                <w:bCs/>
                <w:color w:val="000000"/>
                <w:kern w:val="0"/>
                <w:sz w:val="18"/>
                <w:szCs w:val="18"/>
                <w:vertAlign w:val="baseline"/>
                <w14:ligatures w14:val="none"/>
              </w:rPr>
              <w:t>Operational Definition in This Study</w:t>
            </w:r>
          </w:p>
        </w:tc>
        <w:tc>
          <w:tcPr>
            <w:tcW w:w="4081" w:type="dxa"/>
            <w:tcBorders>
              <w:bottom w:val="single" w:color="auto" w:sz="4" w:space="0"/>
            </w:tcBorders>
            <w:vAlign w:val="center"/>
          </w:tcPr>
          <w:p w14:paraId="7356F08E">
            <w:pPr>
              <w:widowControl/>
              <w:spacing w:after="0" w:line="240" w:lineRule="auto"/>
              <w:jc w:val="center"/>
              <w:rPr>
                <w:rFonts w:ascii="Times New Roman" w:hAnsi="Times New Roman" w:eastAsia="宋体" w:cs="Times New Roman"/>
                <w:b/>
                <w:bCs/>
                <w:color w:val="000000"/>
                <w:kern w:val="0"/>
                <w:sz w:val="18"/>
                <w:szCs w:val="18"/>
                <w:vertAlign w:val="baseline"/>
                <w14:ligatures w14:val="none"/>
              </w:rPr>
            </w:pPr>
            <w:r>
              <w:rPr>
                <w:rFonts w:hint="eastAsia" w:ascii="Times New Roman" w:hAnsi="Times New Roman" w:eastAsia="宋体" w:cs="Times New Roman"/>
                <w:b/>
                <w:bCs/>
                <w:color w:val="000000"/>
                <w:kern w:val="0"/>
                <w:sz w:val="18"/>
                <w:szCs w:val="18"/>
                <w:vertAlign w:val="baseline"/>
                <w14:ligatures w14:val="none"/>
              </w:rPr>
              <w:t>Measurement Method</w:t>
            </w:r>
          </w:p>
        </w:tc>
      </w:tr>
      <w:tr w14:paraId="7C18336B">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jc w:val="center"/>
        </w:trPr>
        <w:tc>
          <w:tcPr>
            <w:tcW w:w="1197" w:type="dxa"/>
            <w:vMerge w:val="restart"/>
            <w:tcBorders>
              <w:top w:val="single" w:color="auto" w:sz="4" w:space="0"/>
              <w:tl2br w:val="nil"/>
              <w:tr2bl w:val="nil"/>
            </w:tcBorders>
            <w:vAlign w:val="center"/>
          </w:tcPr>
          <w:p w14:paraId="5A482164">
            <w:pPr>
              <w:widowControl/>
              <w:spacing w:after="0" w:line="240" w:lineRule="auto"/>
              <w:jc w:val="both"/>
              <w:rPr>
                <w:rFonts w:ascii="Times New Roman" w:hAnsi="Times New Roman" w:eastAsia="宋体" w:cs="Times New Roman"/>
                <w:b/>
                <w:bCs/>
                <w:color w:val="000000"/>
                <w:kern w:val="0"/>
                <w:sz w:val="18"/>
                <w:szCs w:val="18"/>
                <w:vertAlign w:val="baseline"/>
                <w14:ligatures w14:val="none"/>
              </w:rPr>
            </w:pPr>
            <w:r>
              <w:rPr>
                <w:rFonts w:hint="eastAsia" w:ascii="Times New Roman" w:hAnsi="Times New Roman" w:eastAsia="宋体" w:cs="Times New Roman"/>
                <w:b/>
                <w:bCs/>
                <w:color w:val="000000"/>
                <w:kern w:val="0"/>
                <w:sz w:val="18"/>
                <w:szCs w:val="18"/>
                <w:vertAlign w:val="baseline"/>
                <w14:ligatures w14:val="none"/>
              </w:rPr>
              <w:t>Algorithmic Colonization</w:t>
            </w:r>
          </w:p>
        </w:tc>
        <w:tc>
          <w:tcPr>
            <w:tcW w:w="1333" w:type="dxa"/>
            <w:vMerge w:val="restart"/>
            <w:tcBorders>
              <w:top w:val="single" w:color="auto" w:sz="4" w:space="0"/>
              <w:tl2br w:val="nil"/>
              <w:tr2bl w:val="nil"/>
            </w:tcBorders>
            <w:vAlign w:val="center"/>
          </w:tcPr>
          <w:p w14:paraId="1C35CD40">
            <w:pPr>
              <w:widowControl/>
              <w:spacing w:after="0" w:line="240" w:lineRule="auto"/>
              <w:jc w:val="both"/>
              <w:rPr>
                <w:rFonts w:ascii="Times New Roman" w:hAnsi="Times New Roman" w:eastAsia="宋体" w:cs="Times New Roman"/>
                <w:color w:val="000000"/>
                <w:kern w:val="0"/>
                <w:sz w:val="18"/>
                <w:szCs w:val="18"/>
                <w:vertAlign w:val="baseline"/>
                <w14:ligatures w14:val="none"/>
              </w:rPr>
            </w:pPr>
            <w:r>
              <w:rPr>
                <w:rFonts w:hint="eastAsia" w:ascii="Times New Roman" w:hAnsi="Times New Roman" w:eastAsia="宋体" w:cs="Times New Roman"/>
                <w:color w:val="000000"/>
                <w:kern w:val="0"/>
                <w:sz w:val="18"/>
                <w:szCs w:val="18"/>
                <w:highlight w:val="none"/>
                <w:vertAlign w:val="baseline"/>
                <w14:ligatures w14:val="none"/>
              </w:rPr>
              <w:t>Data colonialism by Couldry &amp; Mejias (2019)</w:t>
            </w:r>
          </w:p>
        </w:tc>
        <w:tc>
          <w:tcPr>
            <w:tcW w:w="2698" w:type="dxa"/>
            <w:vMerge w:val="restart"/>
            <w:tcBorders>
              <w:top w:val="single" w:color="auto" w:sz="4" w:space="0"/>
              <w:tl2br w:val="nil"/>
              <w:tr2bl w:val="nil"/>
            </w:tcBorders>
            <w:vAlign w:val="center"/>
          </w:tcPr>
          <w:p w14:paraId="570FD482">
            <w:pPr>
              <w:widowControl/>
              <w:spacing w:after="0" w:line="240" w:lineRule="auto"/>
              <w:jc w:val="both"/>
              <w:rPr>
                <w:rFonts w:ascii="Times New Roman" w:hAnsi="Times New Roman" w:eastAsia="宋体" w:cs="Times New Roman"/>
                <w:color w:val="000000"/>
                <w:kern w:val="0"/>
                <w:sz w:val="18"/>
                <w:szCs w:val="18"/>
                <w:vertAlign w:val="baseline"/>
                <w14:ligatures w14:val="none"/>
              </w:rPr>
            </w:pPr>
            <w:r>
              <w:rPr>
                <w:rFonts w:hint="eastAsia" w:ascii="Times New Roman" w:hAnsi="Times New Roman" w:eastAsia="宋体" w:cs="Times New Roman"/>
                <w:color w:val="000000"/>
                <w:kern w:val="0"/>
                <w:sz w:val="18"/>
                <w:szCs w:val="18"/>
                <w:vertAlign w:val="baseline"/>
                <w14:ligatures w14:val="none"/>
              </w:rPr>
              <w:t>Refers to the process of unequal data extraction, value ranking, and circulation control over global academic knowledge through the algorithmic infrastructure of commercial academic databases, thereby systematically reproducing and consolidating geo-epistemic hierarchies.</w:t>
            </w:r>
          </w:p>
        </w:tc>
        <w:tc>
          <w:tcPr>
            <w:tcW w:w="4081" w:type="dxa"/>
            <w:tcBorders>
              <w:top w:val="single" w:color="auto" w:sz="4" w:space="0"/>
              <w:tl2br w:val="nil"/>
              <w:tr2bl w:val="nil"/>
            </w:tcBorders>
            <w:vAlign w:val="center"/>
          </w:tcPr>
          <w:p w14:paraId="15586B47">
            <w:pPr>
              <w:widowControl/>
              <w:spacing w:after="0" w:line="240" w:lineRule="auto"/>
              <w:rPr>
                <w:rFonts w:ascii="Times New Roman" w:hAnsi="Times New Roman" w:eastAsia="宋体" w:cs="Times New Roman"/>
                <w:color w:val="000000"/>
                <w:kern w:val="0"/>
                <w:sz w:val="18"/>
                <w:szCs w:val="18"/>
                <w:vertAlign w:val="baseline"/>
                <w14:ligatures w14:val="none"/>
              </w:rPr>
            </w:pPr>
            <w:r>
              <w:rPr>
                <w:rFonts w:hint="eastAsia" w:ascii="Times New Roman" w:hAnsi="Times New Roman" w:eastAsia="宋体" w:cs="Times New Roman"/>
                <w:color w:val="000000"/>
                <w:kern w:val="0"/>
                <w:sz w:val="18"/>
                <w:szCs w:val="18"/>
                <w:vertAlign w:val="baseline"/>
                <w14:ligatures w14:val="none"/>
              </w:rPr>
              <w:t xml:space="preserve">1. </w:t>
            </w:r>
            <w:r>
              <w:rPr>
                <w:rFonts w:hint="eastAsia" w:ascii="Times New Roman" w:hAnsi="Times New Roman" w:eastAsia="宋体" w:cs="Times New Roman"/>
                <w:b/>
                <w:bCs/>
                <w:color w:val="000000"/>
                <w:kern w:val="0"/>
                <w:sz w:val="18"/>
                <w:szCs w:val="18"/>
                <w:vertAlign w:val="baseline"/>
                <w14:ligatures w14:val="none"/>
              </w:rPr>
              <w:t>Extraction inequality</w:t>
            </w:r>
            <w:r>
              <w:rPr>
                <w:rFonts w:hint="eastAsia" w:ascii="Times New Roman" w:hAnsi="Times New Roman" w:eastAsia="宋体" w:cs="Times New Roman"/>
                <w:color w:val="000000"/>
                <w:kern w:val="0"/>
                <w:sz w:val="18"/>
                <w:szCs w:val="18"/>
                <w:vertAlign w:val="baseline"/>
                <w14:ligatures w14:val="none"/>
              </w:rPr>
              <w:t>: Measure the mismatch between the geographical distribution of sample literature and the distribution of World Heritage Sites (see Table 1).</w:t>
            </w:r>
          </w:p>
        </w:tc>
      </w:tr>
      <w:tr w14:paraId="3058F071">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1197" w:type="dxa"/>
            <w:vMerge w:val="continue"/>
            <w:tcBorders>
              <w:tl2br w:val="nil"/>
              <w:tr2bl w:val="nil"/>
            </w:tcBorders>
            <w:vAlign w:val="center"/>
          </w:tcPr>
          <w:p w14:paraId="47798BA7">
            <w:pPr>
              <w:widowControl/>
              <w:spacing w:after="0" w:line="240" w:lineRule="auto"/>
              <w:jc w:val="both"/>
              <w:rPr>
                <w:rFonts w:ascii="Times New Roman" w:hAnsi="Times New Roman" w:eastAsia="宋体" w:cs="Times New Roman"/>
                <w:b/>
                <w:bCs/>
                <w:color w:val="000000"/>
                <w:kern w:val="0"/>
                <w:sz w:val="18"/>
                <w:szCs w:val="18"/>
                <w:vertAlign w:val="baseline"/>
                <w14:ligatures w14:val="none"/>
              </w:rPr>
            </w:pPr>
          </w:p>
        </w:tc>
        <w:tc>
          <w:tcPr>
            <w:tcW w:w="1333" w:type="dxa"/>
            <w:vMerge w:val="continue"/>
            <w:tcBorders>
              <w:tl2br w:val="nil"/>
              <w:tr2bl w:val="nil"/>
            </w:tcBorders>
            <w:vAlign w:val="center"/>
          </w:tcPr>
          <w:p w14:paraId="1CEF6235">
            <w:pPr>
              <w:widowControl/>
              <w:spacing w:after="0" w:line="240" w:lineRule="auto"/>
              <w:jc w:val="both"/>
              <w:rPr>
                <w:rFonts w:ascii="Times New Roman" w:hAnsi="Times New Roman" w:eastAsia="宋体" w:cs="Times New Roman"/>
                <w:color w:val="000000"/>
                <w:kern w:val="0"/>
                <w:sz w:val="18"/>
                <w:szCs w:val="18"/>
                <w:vertAlign w:val="baseline"/>
                <w14:ligatures w14:val="none"/>
              </w:rPr>
            </w:pPr>
          </w:p>
        </w:tc>
        <w:tc>
          <w:tcPr>
            <w:tcW w:w="2698" w:type="dxa"/>
            <w:vMerge w:val="continue"/>
            <w:tcBorders>
              <w:tl2br w:val="nil"/>
              <w:tr2bl w:val="nil"/>
            </w:tcBorders>
            <w:vAlign w:val="center"/>
          </w:tcPr>
          <w:p w14:paraId="26974B3F">
            <w:pPr>
              <w:widowControl/>
              <w:spacing w:after="0" w:line="240" w:lineRule="auto"/>
              <w:jc w:val="both"/>
              <w:rPr>
                <w:rFonts w:ascii="Times New Roman" w:hAnsi="Times New Roman" w:eastAsia="宋体" w:cs="Times New Roman"/>
                <w:color w:val="000000"/>
                <w:kern w:val="0"/>
                <w:sz w:val="18"/>
                <w:szCs w:val="18"/>
                <w:vertAlign w:val="baseline"/>
                <w14:ligatures w14:val="none"/>
              </w:rPr>
            </w:pPr>
          </w:p>
        </w:tc>
        <w:tc>
          <w:tcPr>
            <w:tcW w:w="4081" w:type="dxa"/>
            <w:tcBorders>
              <w:tl2br w:val="nil"/>
              <w:tr2bl w:val="nil"/>
            </w:tcBorders>
            <w:vAlign w:val="center"/>
          </w:tcPr>
          <w:p w14:paraId="152E6803">
            <w:pPr>
              <w:widowControl/>
              <w:spacing w:after="0" w:line="240" w:lineRule="auto"/>
              <w:rPr>
                <w:rFonts w:ascii="Times New Roman" w:hAnsi="Times New Roman" w:eastAsia="宋体" w:cs="Times New Roman"/>
                <w:color w:val="000000"/>
                <w:kern w:val="0"/>
                <w:sz w:val="18"/>
                <w:szCs w:val="18"/>
                <w:vertAlign w:val="baseline"/>
                <w14:ligatures w14:val="none"/>
              </w:rPr>
            </w:pPr>
            <w:r>
              <w:rPr>
                <w:rFonts w:hint="eastAsia" w:ascii="Times New Roman" w:hAnsi="Times New Roman" w:eastAsia="宋体" w:cs="Times New Roman"/>
                <w:color w:val="000000"/>
                <w:kern w:val="0"/>
                <w:sz w:val="18"/>
                <w:szCs w:val="18"/>
                <w:vertAlign w:val="baseline"/>
                <w14:ligatures w14:val="none"/>
              </w:rPr>
              <w:t xml:space="preserve">2. </w:t>
            </w:r>
            <w:r>
              <w:rPr>
                <w:rFonts w:hint="eastAsia" w:ascii="Times New Roman" w:hAnsi="Times New Roman" w:eastAsia="宋体" w:cs="Times New Roman"/>
                <w:b/>
                <w:bCs/>
                <w:color w:val="000000"/>
                <w:kern w:val="0"/>
                <w:sz w:val="18"/>
                <w:szCs w:val="18"/>
                <w:vertAlign w:val="baseline"/>
                <w14:ligatures w14:val="none"/>
              </w:rPr>
              <w:t>Ranking bias</w:t>
            </w:r>
            <w:r>
              <w:rPr>
                <w:rFonts w:hint="eastAsia" w:ascii="Times New Roman" w:hAnsi="Times New Roman" w:eastAsia="宋体" w:cs="Times New Roman"/>
                <w:color w:val="000000"/>
                <w:kern w:val="0"/>
                <w:sz w:val="18"/>
                <w:szCs w:val="18"/>
                <w:vertAlign w:val="baseline"/>
                <w14:ligatures w14:val="none"/>
              </w:rPr>
              <w:t xml:space="preserve">: Verify by comparing centrality distributions between the </w:t>
            </w:r>
            <w:r>
              <w:rPr>
                <w:rFonts w:hint="default" w:ascii="Times New Roman" w:hAnsi="Times New Roman" w:eastAsia="宋体" w:cs="Times New Roman"/>
                <w:color w:val="000000"/>
                <w:kern w:val="0"/>
                <w:sz w:val="18"/>
                <w:szCs w:val="18"/>
                <w:vertAlign w:val="baseline"/>
                <w:lang w:val="en-US" w:eastAsia="zh-CN"/>
                <w14:ligatures w14:val="none"/>
              </w:rPr>
              <w:t>“</w:t>
            </w:r>
            <w:r>
              <w:rPr>
                <w:rFonts w:hint="eastAsia" w:ascii="Times New Roman" w:hAnsi="Times New Roman" w:eastAsia="宋体" w:cs="Times New Roman"/>
                <w:color w:val="000000"/>
                <w:kern w:val="0"/>
                <w:sz w:val="18"/>
                <w:szCs w:val="18"/>
                <w:vertAlign w:val="baseline"/>
                <w14:ligatures w14:val="none"/>
              </w:rPr>
              <w:t>real network</w:t>
            </w:r>
            <w:r>
              <w:rPr>
                <w:rFonts w:hint="default" w:ascii="Times New Roman" w:hAnsi="Times New Roman" w:eastAsia="宋体" w:cs="Times New Roman"/>
                <w:color w:val="000000"/>
                <w:kern w:val="0"/>
                <w:sz w:val="18"/>
                <w:szCs w:val="18"/>
                <w:vertAlign w:val="baseline"/>
                <w:lang w:val="en-US" w:eastAsia="zh-CN"/>
                <w14:ligatures w14:val="none"/>
              </w:rPr>
              <w:t>”</w:t>
            </w:r>
            <w:r>
              <w:rPr>
                <w:rFonts w:hint="eastAsia" w:ascii="Times New Roman" w:hAnsi="Times New Roman" w:eastAsia="宋体" w:cs="Times New Roman"/>
                <w:color w:val="000000"/>
                <w:kern w:val="0"/>
                <w:sz w:val="18"/>
                <w:szCs w:val="18"/>
                <w:vertAlign w:val="baseline"/>
                <w14:ligatures w14:val="none"/>
              </w:rPr>
              <w:t xml:space="preserve"> and </w:t>
            </w:r>
            <w:r>
              <w:rPr>
                <w:rFonts w:hint="default" w:ascii="Times New Roman" w:hAnsi="Times New Roman" w:eastAsia="宋体" w:cs="Times New Roman"/>
                <w:color w:val="000000"/>
                <w:kern w:val="0"/>
                <w:sz w:val="18"/>
                <w:szCs w:val="18"/>
                <w:vertAlign w:val="baseline"/>
                <w:lang w:val="en-US" w:eastAsia="zh-CN"/>
                <w14:ligatures w14:val="none"/>
              </w:rPr>
              <w:t>“</w:t>
            </w:r>
            <w:r>
              <w:rPr>
                <w:rFonts w:hint="eastAsia" w:ascii="Times New Roman" w:hAnsi="Times New Roman" w:eastAsia="宋体" w:cs="Times New Roman"/>
                <w:color w:val="000000"/>
                <w:kern w:val="0"/>
                <w:sz w:val="18"/>
                <w:szCs w:val="18"/>
                <w:vertAlign w:val="baseline"/>
                <w14:ligatures w14:val="none"/>
              </w:rPr>
              <w:t>counterfactual network</w:t>
            </w:r>
            <w:r>
              <w:rPr>
                <w:rFonts w:hint="default" w:ascii="Times New Roman" w:hAnsi="Times New Roman" w:eastAsia="宋体" w:cs="Times New Roman"/>
                <w:color w:val="000000"/>
                <w:kern w:val="0"/>
                <w:sz w:val="18"/>
                <w:szCs w:val="18"/>
                <w:vertAlign w:val="baseline"/>
                <w:lang w:val="en-US" w:eastAsia="zh-CN"/>
                <w14:ligatures w14:val="none"/>
              </w:rPr>
              <w:t>”</w:t>
            </w:r>
            <w:r>
              <w:rPr>
                <w:rFonts w:hint="eastAsia" w:ascii="Times New Roman" w:hAnsi="Times New Roman" w:eastAsia="宋体" w:cs="Times New Roman"/>
                <w:color w:val="000000"/>
                <w:kern w:val="0"/>
                <w:sz w:val="18"/>
                <w:szCs w:val="18"/>
                <w:vertAlign w:val="baseline"/>
                <w14:ligatures w14:val="none"/>
              </w:rPr>
              <w:t xml:space="preserve"> (see Figure 2) and algorithmic ethnographic records.</w:t>
            </w:r>
          </w:p>
        </w:tc>
      </w:tr>
      <w:tr w14:paraId="786DD5E7">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22" w:hRule="atLeast"/>
          <w:jc w:val="center"/>
        </w:trPr>
        <w:tc>
          <w:tcPr>
            <w:tcW w:w="1197" w:type="dxa"/>
            <w:tcBorders>
              <w:tl2br w:val="nil"/>
              <w:tr2bl w:val="nil"/>
            </w:tcBorders>
            <w:vAlign w:val="center"/>
          </w:tcPr>
          <w:p w14:paraId="5F0CDF1D">
            <w:pPr>
              <w:widowControl/>
              <w:spacing w:after="0" w:line="240" w:lineRule="auto"/>
              <w:jc w:val="both"/>
              <w:rPr>
                <w:rFonts w:ascii="Times New Roman" w:hAnsi="Times New Roman" w:eastAsia="宋体" w:cs="Times New Roman"/>
                <w:b/>
                <w:bCs/>
                <w:color w:val="000000"/>
                <w:kern w:val="0"/>
                <w:sz w:val="18"/>
                <w:szCs w:val="18"/>
                <w:vertAlign w:val="baseline"/>
                <w14:ligatures w14:val="none"/>
              </w:rPr>
            </w:pPr>
            <w:r>
              <w:rPr>
                <w:rFonts w:hint="eastAsia" w:ascii="Times New Roman" w:hAnsi="Times New Roman" w:eastAsia="宋体" w:cs="Times New Roman"/>
                <w:b/>
                <w:bCs/>
                <w:color w:val="000000"/>
                <w:kern w:val="0"/>
                <w:sz w:val="18"/>
                <w:szCs w:val="18"/>
                <w:vertAlign w:val="baseline"/>
                <w14:ligatures w14:val="none"/>
              </w:rPr>
              <w:t>Epistemic Segregation</w:t>
            </w:r>
          </w:p>
        </w:tc>
        <w:tc>
          <w:tcPr>
            <w:tcW w:w="1333" w:type="dxa"/>
            <w:tcBorders>
              <w:tl2br w:val="nil"/>
              <w:tr2bl w:val="nil"/>
            </w:tcBorders>
            <w:vAlign w:val="center"/>
          </w:tcPr>
          <w:p w14:paraId="0BD840FE">
            <w:pPr>
              <w:widowControl/>
              <w:spacing w:after="0" w:line="240" w:lineRule="auto"/>
              <w:jc w:val="both"/>
              <w:rPr>
                <w:rFonts w:ascii="Times New Roman" w:hAnsi="Times New Roman" w:eastAsia="宋体" w:cs="Times New Roman"/>
                <w:color w:val="000000"/>
                <w:kern w:val="0"/>
                <w:sz w:val="18"/>
                <w:szCs w:val="18"/>
                <w:vertAlign w:val="baseline"/>
                <w14:ligatures w14:val="none"/>
              </w:rPr>
            </w:pPr>
            <w:r>
              <w:rPr>
                <w:rFonts w:hint="eastAsia" w:ascii="Times New Roman" w:hAnsi="Times New Roman" w:eastAsia="宋体" w:cs="Times New Roman"/>
                <w:color w:val="000000"/>
                <w:kern w:val="0"/>
                <w:sz w:val="18"/>
                <w:szCs w:val="18"/>
                <w:vertAlign w:val="baseline"/>
                <w14:ligatures w14:val="none"/>
              </w:rPr>
              <w:t xml:space="preserve">Extended from the concept of </w:t>
            </w:r>
            <w:r>
              <w:rPr>
                <w:rFonts w:hint="default" w:ascii="Times New Roman" w:hAnsi="Times New Roman" w:eastAsia="宋体" w:cs="Times New Roman"/>
                <w:color w:val="000000"/>
                <w:kern w:val="0"/>
                <w:sz w:val="18"/>
                <w:szCs w:val="18"/>
                <w:vertAlign w:val="baseline"/>
                <w:lang w:val="en-US" w:eastAsia="zh-CN"/>
                <w14:ligatures w14:val="none"/>
              </w:rPr>
              <w:t>“</w:t>
            </w:r>
            <w:r>
              <w:rPr>
                <w:rFonts w:hint="eastAsia" w:ascii="Times New Roman" w:hAnsi="Times New Roman" w:eastAsia="宋体" w:cs="Times New Roman"/>
                <w:color w:val="000000"/>
                <w:kern w:val="0"/>
                <w:sz w:val="18"/>
                <w:szCs w:val="18"/>
                <w:vertAlign w:val="baseline"/>
                <w14:ligatures w14:val="none"/>
              </w:rPr>
              <w:t>social segregation</w:t>
            </w:r>
            <w:r>
              <w:rPr>
                <w:rFonts w:hint="default" w:ascii="Times New Roman" w:hAnsi="Times New Roman" w:eastAsia="宋体" w:cs="Times New Roman"/>
                <w:color w:val="000000"/>
                <w:kern w:val="0"/>
                <w:sz w:val="18"/>
                <w:szCs w:val="18"/>
                <w:vertAlign w:val="baseline"/>
                <w:lang w:val="en-US" w:eastAsia="zh-CN"/>
                <w14:ligatures w14:val="none"/>
              </w:rPr>
              <w:t>”</w:t>
            </w:r>
            <w:r>
              <w:rPr>
                <w:rFonts w:hint="eastAsia" w:ascii="Times New Roman" w:hAnsi="Times New Roman" w:eastAsia="宋体" w:cs="Times New Roman"/>
                <w:color w:val="000000"/>
                <w:kern w:val="0"/>
                <w:sz w:val="18"/>
                <w:szCs w:val="18"/>
                <w:vertAlign w:val="baseline"/>
                <w14:ligatures w14:val="none"/>
              </w:rPr>
              <w:t xml:space="preserve"> in sociology</w:t>
            </w:r>
          </w:p>
        </w:tc>
        <w:tc>
          <w:tcPr>
            <w:tcW w:w="2698" w:type="dxa"/>
            <w:tcBorders>
              <w:tl2br w:val="nil"/>
              <w:tr2bl w:val="nil"/>
            </w:tcBorders>
            <w:vAlign w:val="center"/>
          </w:tcPr>
          <w:p w14:paraId="02420181">
            <w:pPr>
              <w:widowControl/>
              <w:spacing w:after="0" w:line="240" w:lineRule="auto"/>
              <w:jc w:val="both"/>
              <w:rPr>
                <w:rFonts w:ascii="Times New Roman" w:hAnsi="Times New Roman" w:eastAsia="宋体" w:cs="Times New Roman"/>
                <w:color w:val="000000"/>
                <w:kern w:val="0"/>
                <w:sz w:val="18"/>
                <w:szCs w:val="18"/>
                <w:vertAlign w:val="baseline"/>
                <w14:ligatures w14:val="none"/>
              </w:rPr>
            </w:pPr>
            <w:r>
              <w:rPr>
                <w:rFonts w:hint="eastAsia" w:ascii="Times New Roman" w:hAnsi="Times New Roman" w:eastAsia="宋体" w:cs="Times New Roman"/>
                <w:color w:val="000000"/>
                <w:kern w:val="0"/>
                <w:sz w:val="18"/>
                <w:szCs w:val="18"/>
                <w:vertAlign w:val="baseline"/>
                <w14:ligatures w14:val="none"/>
              </w:rPr>
              <w:t>Refers to the clustered structure formed by knowledge producers from different geographical or cultural regions in academic citation networks, characterized by dense internal connections and sparse external links, reflecting institutional or algorithmic barriers to knowledge flow.</w:t>
            </w:r>
          </w:p>
        </w:tc>
        <w:tc>
          <w:tcPr>
            <w:tcW w:w="4081" w:type="dxa"/>
            <w:tcBorders>
              <w:tl2br w:val="nil"/>
              <w:tr2bl w:val="nil"/>
            </w:tcBorders>
            <w:vAlign w:val="center"/>
          </w:tcPr>
          <w:p w14:paraId="72968BCE">
            <w:pPr>
              <w:widowControl/>
              <w:spacing w:after="0" w:line="240" w:lineRule="auto"/>
              <w:rPr>
                <w:rFonts w:hint="eastAsia" w:ascii="Times New Roman" w:hAnsi="Times New Roman" w:eastAsia="宋体" w:cs="Times New Roman"/>
                <w:color w:val="000000"/>
                <w:kern w:val="0"/>
                <w:sz w:val="18"/>
                <w:szCs w:val="18"/>
                <w:vertAlign w:val="baseline"/>
                <w14:ligatures w14:val="none"/>
              </w:rPr>
            </w:pPr>
            <w:r>
              <w:rPr>
                <w:rFonts w:hint="eastAsia" w:ascii="Times New Roman" w:hAnsi="Times New Roman" w:eastAsia="宋体" w:cs="Times New Roman"/>
                <w:color w:val="000000"/>
                <w:kern w:val="0"/>
                <w:sz w:val="18"/>
                <w:szCs w:val="18"/>
                <w:vertAlign w:val="baseline"/>
                <w14:ligatures w14:val="none"/>
              </w:rPr>
              <w:t xml:space="preserve">Quantitatively measured by the </w:t>
            </w:r>
            <w:r>
              <w:rPr>
                <w:rFonts w:hint="eastAsia" w:ascii="Times New Roman" w:hAnsi="Times New Roman" w:eastAsia="宋体" w:cs="Times New Roman"/>
                <w:b/>
                <w:bCs/>
                <w:color w:val="000000"/>
                <w:kern w:val="0"/>
                <w:sz w:val="18"/>
                <w:szCs w:val="18"/>
                <w:vertAlign w:val="baseline"/>
                <w14:ligatures w14:val="none"/>
              </w:rPr>
              <w:t>Epistemic Segregation Index (ESI)</w:t>
            </w:r>
            <w:r>
              <w:rPr>
                <w:rFonts w:hint="eastAsia" w:ascii="Times New Roman" w:hAnsi="Times New Roman" w:eastAsia="宋体" w:cs="Times New Roman"/>
                <w:color w:val="000000"/>
                <w:kern w:val="0"/>
                <w:sz w:val="18"/>
                <w:szCs w:val="18"/>
                <w:vertAlign w:val="baseline"/>
                <w14:ligatures w14:val="none"/>
              </w:rPr>
              <w:t>. ESI is calculated based on citation networks with the formula:</w:t>
            </w:r>
          </w:p>
          <w:p w14:paraId="7580C20E">
            <w:pPr>
              <w:widowControl/>
              <w:spacing w:after="0" w:line="240" w:lineRule="auto"/>
              <w:rPr>
                <w:rFonts w:hint="eastAsia" w:ascii="Times New Roman" w:hAnsi="Times New Roman" w:eastAsia="宋体" w:cs="Times New Roman"/>
                <w:color w:val="000000"/>
                <w:kern w:val="0"/>
                <w:sz w:val="18"/>
                <w:szCs w:val="18"/>
                <w:vertAlign w:val="baseline"/>
                <w14:ligatures w14:val="none"/>
              </w:rPr>
            </w:pPr>
            <w:r>
              <w:rPr>
                <w:rFonts w:hint="eastAsia" w:ascii="Times New Roman" w:hAnsi="Times New Roman" w:eastAsia="宋体" w:cs="Times New Roman"/>
                <w:color w:val="000000"/>
                <w:kern w:val="0"/>
                <w:sz w:val="18"/>
                <w:szCs w:val="18"/>
                <w:vertAlign w:val="baseline"/>
                <w14:ligatures w14:val="none"/>
              </w:rPr>
              <w:t>ESI = 1 − (E_actual / E_possible),</w:t>
            </w:r>
          </w:p>
          <w:p w14:paraId="3940724D">
            <w:pPr>
              <w:widowControl/>
              <w:spacing w:after="0" w:line="240" w:lineRule="auto"/>
              <w:rPr>
                <w:rFonts w:ascii="Times New Roman" w:hAnsi="Times New Roman" w:eastAsia="宋体" w:cs="Times New Roman"/>
                <w:color w:val="000000"/>
                <w:kern w:val="0"/>
                <w:sz w:val="18"/>
                <w:szCs w:val="18"/>
                <w:vertAlign w:val="baseline"/>
                <w14:ligatures w14:val="none"/>
              </w:rPr>
            </w:pPr>
            <w:r>
              <w:rPr>
                <w:rFonts w:hint="eastAsia" w:ascii="Times New Roman" w:hAnsi="Times New Roman" w:eastAsia="宋体" w:cs="Times New Roman"/>
                <w:color w:val="000000"/>
                <w:kern w:val="0"/>
                <w:sz w:val="18"/>
                <w:szCs w:val="18"/>
                <w:vertAlign w:val="baseline"/>
                <w14:ligatures w14:val="none"/>
              </w:rPr>
              <w:t>where E_actual is the actual number of cross-regional citation links, and E_possible is the maximum possible number of cross-regional citation links. An ESI value approaching 1 indicates complete segregation.</w:t>
            </w:r>
          </w:p>
        </w:tc>
      </w:tr>
      <w:tr w14:paraId="32DB0F06">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50" w:hRule="atLeast"/>
          <w:jc w:val="center"/>
        </w:trPr>
        <w:tc>
          <w:tcPr>
            <w:tcW w:w="1197" w:type="dxa"/>
            <w:vMerge w:val="restart"/>
            <w:tcBorders>
              <w:tl2br w:val="nil"/>
              <w:tr2bl w:val="nil"/>
            </w:tcBorders>
            <w:vAlign w:val="center"/>
          </w:tcPr>
          <w:p w14:paraId="28B3FF46">
            <w:pPr>
              <w:widowControl/>
              <w:spacing w:after="0" w:line="240" w:lineRule="auto"/>
              <w:jc w:val="both"/>
              <w:rPr>
                <w:rFonts w:ascii="Times New Roman" w:hAnsi="Times New Roman" w:eastAsia="宋体" w:cs="Times New Roman"/>
                <w:b/>
                <w:bCs/>
                <w:color w:val="000000"/>
                <w:kern w:val="0"/>
                <w:sz w:val="18"/>
                <w:szCs w:val="18"/>
                <w:vertAlign w:val="baseline"/>
                <w14:ligatures w14:val="none"/>
              </w:rPr>
            </w:pPr>
            <w:r>
              <w:rPr>
                <w:rFonts w:hint="eastAsia" w:ascii="Times New Roman" w:hAnsi="Times New Roman" w:eastAsia="宋体" w:cs="Times New Roman"/>
                <w:b/>
                <w:bCs/>
                <w:color w:val="000000"/>
                <w:kern w:val="0"/>
                <w:sz w:val="18"/>
                <w:szCs w:val="18"/>
                <w:vertAlign w:val="baseline"/>
                <w14:ligatures w14:val="none"/>
              </w:rPr>
              <w:t>Data Natives</w:t>
            </w:r>
          </w:p>
        </w:tc>
        <w:tc>
          <w:tcPr>
            <w:tcW w:w="1333" w:type="dxa"/>
            <w:vMerge w:val="restart"/>
            <w:tcBorders>
              <w:tl2br w:val="nil"/>
              <w:tr2bl w:val="nil"/>
            </w:tcBorders>
            <w:vAlign w:val="center"/>
          </w:tcPr>
          <w:p w14:paraId="1C54D9C1">
            <w:pPr>
              <w:widowControl/>
              <w:spacing w:after="0" w:line="240" w:lineRule="auto"/>
              <w:jc w:val="both"/>
              <w:rPr>
                <w:rFonts w:ascii="Times New Roman" w:hAnsi="Times New Roman" w:eastAsia="宋体" w:cs="Times New Roman"/>
                <w:color w:val="000000"/>
                <w:kern w:val="0"/>
                <w:sz w:val="18"/>
                <w:szCs w:val="18"/>
                <w:vertAlign w:val="baseline"/>
                <w14:ligatures w14:val="none"/>
              </w:rPr>
            </w:pPr>
            <w:r>
              <w:rPr>
                <w:rFonts w:hint="eastAsia" w:ascii="Times New Roman" w:hAnsi="Times New Roman" w:eastAsia="宋体" w:cs="Times New Roman"/>
                <w:color w:val="000000"/>
                <w:kern w:val="0"/>
                <w:sz w:val="18"/>
                <w:szCs w:val="18"/>
                <w:vertAlign w:val="baseline"/>
                <w14:ligatures w14:val="none"/>
              </w:rPr>
              <w:t xml:space="preserve">Analogous to </w:t>
            </w:r>
            <w:r>
              <w:rPr>
                <w:rFonts w:hint="default" w:ascii="Times New Roman" w:hAnsi="Times New Roman" w:eastAsia="宋体" w:cs="Times New Roman"/>
                <w:color w:val="000000"/>
                <w:kern w:val="0"/>
                <w:sz w:val="18"/>
                <w:szCs w:val="18"/>
                <w:vertAlign w:val="baseline"/>
                <w:lang w:val="en-US" w:eastAsia="zh-CN"/>
                <w14:ligatures w14:val="none"/>
              </w:rPr>
              <w:t>“</w:t>
            </w:r>
            <w:r>
              <w:rPr>
                <w:rFonts w:hint="eastAsia" w:ascii="Times New Roman" w:hAnsi="Times New Roman" w:eastAsia="宋体" w:cs="Times New Roman"/>
                <w:color w:val="000000"/>
                <w:kern w:val="0"/>
                <w:sz w:val="18"/>
                <w:szCs w:val="18"/>
                <w:vertAlign w:val="baseline"/>
                <w14:ligatures w14:val="none"/>
              </w:rPr>
              <w:t>digital natives</w:t>
            </w:r>
            <w:r>
              <w:rPr>
                <w:rFonts w:hint="default" w:ascii="Times New Roman" w:hAnsi="Times New Roman" w:eastAsia="宋体" w:cs="Times New Roman"/>
                <w:color w:val="000000"/>
                <w:kern w:val="0"/>
                <w:sz w:val="18"/>
                <w:szCs w:val="18"/>
                <w:vertAlign w:val="baseline"/>
                <w:lang w:val="en-US" w:eastAsia="zh-CN"/>
                <w14:ligatures w14:val="none"/>
              </w:rPr>
              <w:t>”</w:t>
            </w:r>
            <w:r>
              <w:rPr>
                <w:rFonts w:hint="eastAsia" w:ascii="Times New Roman" w:hAnsi="Times New Roman" w:eastAsia="宋体" w:cs="Times New Roman"/>
                <w:color w:val="000000"/>
                <w:kern w:val="0"/>
                <w:sz w:val="18"/>
                <w:szCs w:val="18"/>
                <w:vertAlign w:val="baseline"/>
                <w14:ligatures w14:val="none"/>
              </w:rPr>
              <w:t xml:space="preserve"> within the framework of data colonialism</w:t>
            </w:r>
          </w:p>
        </w:tc>
        <w:tc>
          <w:tcPr>
            <w:tcW w:w="2698" w:type="dxa"/>
            <w:vMerge w:val="restart"/>
            <w:tcBorders>
              <w:tl2br w:val="nil"/>
              <w:tr2bl w:val="nil"/>
            </w:tcBorders>
            <w:vAlign w:val="center"/>
          </w:tcPr>
          <w:p w14:paraId="7E3272DD">
            <w:pPr>
              <w:widowControl/>
              <w:spacing w:after="0" w:line="240" w:lineRule="auto"/>
              <w:jc w:val="both"/>
              <w:rPr>
                <w:rFonts w:ascii="Times New Roman" w:hAnsi="Times New Roman" w:eastAsia="宋体" w:cs="Times New Roman"/>
                <w:color w:val="000000"/>
                <w:kern w:val="0"/>
                <w:sz w:val="18"/>
                <w:szCs w:val="18"/>
                <w:vertAlign w:val="baseline"/>
                <w14:ligatures w14:val="none"/>
              </w:rPr>
            </w:pPr>
            <w:r>
              <w:rPr>
                <w:rFonts w:hint="eastAsia" w:ascii="Times New Roman" w:hAnsi="Times New Roman" w:eastAsia="宋体" w:cs="Times New Roman"/>
                <w:color w:val="000000"/>
                <w:kern w:val="0"/>
                <w:sz w:val="18"/>
                <w:szCs w:val="18"/>
                <w:vertAlign w:val="baseline"/>
                <w14:ligatures w14:val="none"/>
              </w:rPr>
              <w:t>Refers to communities or scholar groups whose life experiences, cultural heritage, and knowledge systems are systematically extracted as data resources by external academic platforms, yet who lack visibility and discursive power as knowledge producers on the same platforms.</w:t>
            </w:r>
          </w:p>
        </w:tc>
        <w:tc>
          <w:tcPr>
            <w:tcW w:w="4081" w:type="dxa"/>
            <w:tcBorders>
              <w:tl2br w:val="nil"/>
              <w:tr2bl w:val="nil"/>
            </w:tcBorders>
            <w:vAlign w:val="center"/>
          </w:tcPr>
          <w:p w14:paraId="706D7980">
            <w:pPr>
              <w:widowControl/>
              <w:spacing w:after="0" w:line="240" w:lineRule="auto"/>
              <w:rPr>
                <w:rFonts w:ascii="Times New Roman" w:hAnsi="Times New Roman" w:eastAsia="宋体" w:cs="Times New Roman"/>
                <w:color w:val="000000"/>
                <w:kern w:val="0"/>
                <w:sz w:val="18"/>
                <w:szCs w:val="18"/>
                <w:vertAlign w:val="baseline"/>
                <w14:ligatures w14:val="none"/>
              </w:rPr>
            </w:pPr>
            <w:r>
              <w:rPr>
                <w:rFonts w:ascii="Times New Roman" w:hAnsi="Times New Roman" w:eastAsia="宋体" w:cs="Times New Roman"/>
                <w:color w:val="000000"/>
                <w:kern w:val="0"/>
                <w:sz w:val="18"/>
                <w:szCs w:val="18"/>
                <w:vertAlign w:val="baseline"/>
                <w14:ligatures w14:val="none"/>
              </w:rPr>
              <w:t xml:space="preserve">1. </w:t>
            </w:r>
            <w:r>
              <w:rPr>
                <w:rFonts w:hint="eastAsia" w:ascii="Times New Roman" w:hAnsi="Times New Roman" w:eastAsia="宋体" w:cs="Times New Roman"/>
                <w:b/>
                <w:bCs/>
                <w:color w:val="000000"/>
                <w:kern w:val="0"/>
                <w:sz w:val="18"/>
                <w:szCs w:val="18"/>
                <w:vertAlign w:val="baseline"/>
                <w14:ligatures w14:val="none"/>
              </w:rPr>
              <w:t xml:space="preserve">Identification criteria: </w:t>
            </w:r>
            <w:r>
              <w:rPr>
                <w:rFonts w:hint="eastAsia" w:ascii="Times New Roman" w:hAnsi="Times New Roman" w:eastAsia="宋体" w:cs="Times New Roman"/>
                <w:b w:val="0"/>
                <w:bCs w:val="0"/>
                <w:color w:val="000000"/>
                <w:kern w:val="0"/>
                <w:sz w:val="18"/>
                <w:szCs w:val="18"/>
                <w:vertAlign w:val="baseline"/>
                <w14:ligatures w14:val="none"/>
              </w:rPr>
              <w:t>All of the following must be satisfied: (a) scholars affiliated with institutions in middle- and low-income countries; (b) main publication language is non-English; (c) research focuses on local/indigenous knowledge.</w:t>
            </w:r>
          </w:p>
        </w:tc>
      </w:tr>
      <w:tr w14:paraId="512CE7D6">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0" w:hRule="atLeast"/>
          <w:jc w:val="center"/>
        </w:trPr>
        <w:tc>
          <w:tcPr>
            <w:tcW w:w="1197" w:type="dxa"/>
            <w:vMerge w:val="continue"/>
            <w:tcBorders>
              <w:tl2br w:val="nil"/>
              <w:tr2bl w:val="nil"/>
            </w:tcBorders>
            <w:vAlign w:val="center"/>
          </w:tcPr>
          <w:p w14:paraId="18DC25D6">
            <w:pPr>
              <w:widowControl/>
              <w:spacing w:after="0" w:line="240" w:lineRule="auto"/>
              <w:rPr>
                <w:rFonts w:ascii="Times New Roman" w:hAnsi="Times New Roman" w:eastAsia="宋体" w:cs="Times New Roman"/>
                <w:b/>
                <w:bCs/>
                <w:color w:val="000000"/>
                <w:kern w:val="0"/>
                <w:sz w:val="18"/>
                <w:szCs w:val="18"/>
                <w:vertAlign w:val="baseline"/>
                <w14:ligatures w14:val="none"/>
              </w:rPr>
            </w:pPr>
          </w:p>
        </w:tc>
        <w:tc>
          <w:tcPr>
            <w:tcW w:w="1333" w:type="dxa"/>
            <w:vMerge w:val="continue"/>
            <w:tcBorders>
              <w:tl2br w:val="nil"/>
              <w:tr2bl w:val="nil"/>
            </w:tcBorders>
            <w:vAlign w:val="center"/>
          </w:tcPr>
          <w:p w14:paraId="50A42F40">
            <w:pPr>
              <w:widowControl/>
              <w:spacing w:after="0" w:line="240" w:lineRule="auto"/>
              <w:rPr>
                <w:rFonts w:ascii="Times New Roman" w:hAnsi="Times New Roman" w:eastAsia="宋体" w:cs="Times New Roman"/>
                <w:color w:val="000000"/>
                <w:kern w:val="0"/>
                <w:sz w:val="18"/>
                <w:szCs w:val="18"/>
                <w:vertAlign w:val="baseline"/>
                <w14:ligatures w14:val="none"/>
              </w:rPr>
            </w:pPr>
          </w:p>
        </w:tc>
        <w:tc>
          <w:tcPr>
            <w:tcW w:w="2698" w:type="dxa"/>
            <w:vMerge w:val="continue"/>
            <w:tcBorders>
              <w:tl2br w:val="nil"/>
              <w:tr2bl w:val="nil"/>
            </w:tcBorders>
            <w:vAlign w:val="center"/>
          </w:tcPr>
          <w:p w14:paraId="45B5800B">
            <w:pPr>
              <w:widowControl/>
              <w:spacing w:after="0" w:line="240" w:lineRule="auto"/>
              <w:rPr>
                <w:rFonts w:ascii="Times New Roman" w:hAnsi="Times New Roman" w:eastAsia="宋体" w:cs="Times New Roman"/>
                <w:color w:val="000000"/>
                <w:kern w:val="0"/>
                <w:sz w:val="18"/>
                <w:szCs w:val="18"/>
                <w:vertAlign w:val="baseline"/>
                <w14:ligatures w14:val="none"/>
              </w:rPr>
            </w:pPr>
          </w:p>
        </w:tc>
        <w:tc>
          <w:tcPr>
            <w:tcW w:w="4081" w:type="dxa"/>
            <w:tcBorders>
              <w:tl2br w:val="nil"/>
              <w:tr2bl w:val="nil"/>
            </w:tcBorders>
            <w:vAlign w:val="center"/>
          </w:tcPr>
          <w:p w14:paraId="5EFDFF02">
            <w:pPr>
              <w:widowControl/>
              <w:spacing w:after="0" w:line="240" w:lineRule="auto"/>
              <w:rPr>
                <w:rFonts w:ascii="Times New Roman" w:hAnsi="Times New Roman" w:eastAsia="宋体" w:cs="Times New Roman"/>
                <w:color w:val="000000"/>
                <w:kern w:val="0"/>
                <w:sz w:val="18"/>
                <w:szCs w:val="18"/>
                <w:vertAlign w:val="baseline"/>
                <w14:ligatures w14:val="none"/>
              </w:rPr>
            </w:pPr>
            <w:r>
              <w:rPr>
                <w:rFonts w:ascii="Times New Roman" w:hAnsi="Times New Roman" w:eastAsia="宋体" w:cs="Times New Roman"/>
                <w:color w:val="000000"/>
                <w:kern w:val="0"/>
                <w:sz w:val="18"/>
                <w:szCs w:val="18"/>
                <w:vertAlign w:val="baseline"/>
                <w14:ligatures w14:val="none"/>
              </w:rPr>
              <w:t xml:space="preserve">2. </w:t>
            </w:r>
            <w:r>
              <w:rPr>
                <w:rFonts w:hint="eastAsia" w:ascii="Times New Roman" w:hAnsi="Times New Roman" w:eastAsia="宋体" w:cs="Times New Roman"/>
                <w:b/>
                <w:bCs/>
                <w:color w:val="000000"/>
                <w:kern w:val="0"/>
                <w:sz w:val="18"/>
                <w:szCs w:val="18"/>
                <w:vertAlign w:val="baseline"/>
                <w14:ligatures w14:val="none"/>
              </w:rPr>
              <w:t>Measurement:</w:t>
            </w:r>
            <w:r>
              <w:rPr>
                <w:rFonts w:hint="eastAsia" w:ascii="Times New Roman" w:hAnsi="Times New Roman" w:eastAsia="宋体" w:cs="Times New Roman"/>
                <w:b w:val="0"/>
                <w:bCs w:val="0"/>
                <w:color w:val="000000"/>
                <w:kern w:val="0"/>
                <w:sz w:val="18"/>
                <w:szCs w:val="18"/>
                <w:vertAlign w:val="baseline"/>
                <w14:ligatures w14:val="none"/>
              </w:rPr>
              <w:t xml:space="preserve"> Calculate the proportion of eligible scholars in the total sample and highly cited literature, and analyze the ranking of their publications in algorithmic recommendations (see heatmap in Appendix C.2).</w:t>
            </w:r>
          </w:p>
        </w:tc>
      </w:tr>
    </w:tbl>
    <w:p w14:paraId="42C6DD1A">
      <w:pPr>
        <w:rPr>
          <w:rFonts w:ascii="Times New Roman" w:hAnsi="Times New Roman" w:eastAsia="宋体" w:cs="Times New Roman"/>
          <w:vertAlign w:val="baseline"/>
        </w:rPr>
      </w:pPr>
    </w:p>
    <w:p w14:paraId="23C08CA0">
      <w:pPr>
        <w:spacing w:after="0" w:line="279" w:lineRule="auto"/>
        <w:ind w:firstLine="442" w:firstLineChars="200"/>
        <w:jc w:val="both"/>
        <w:rPr>
          <w:rFonts w:ascii="Times New Roman" w:hAnsi="Times New Roman" w:eastAsia="宋体" w:cs="Times New Roman"/>
          <w:b/>
          <w:bCs/>
          <w:vertAlign w:val="baseline"/>
        </w:rPr>
      </w:pPr>
      <w:r>
        <w:rPr>
          <w:rFonts w:ascii="Times New Roman" w:hAnsi="Times New Roman" w:eastAsia="宋体" w:cs="Times New Roman"/>
          <w:b/>
          <w:bCs/>
          <w:vertAlign w:val="baseline"/>
        </w:rPr>
        <w:t xml:space="preserve">A.2 </w:t>
      </w:r>
      <w:r>
        <w:rPr>
          <w:rFonts w:hint="eastAsia" w:ascii="Times New Roman" w:hAnsi="Times New Roman" w:eastAsia="宋体" w:cs="Times New Roman"/>
          <w:b/>
          <w:bCs/>
          <w:vertAlign w:val="baseline"/>
        </w:rPr>
        <w:t>Calculation Formulas for Critical Bibliometric Indices</w:t>
      </w:r>
    </w:p>
    <w:p w14:paraId="621CF88C">
      <w:pPr>
        <w:spacing w:after="0" w:line="279" w:lineRule="auto"/>
        <w:ind w:firstLine="440" w:firstLineChars="200"/>
        <w:jc w:val="both"/>
        <w:rPr>
          <w:rFonts w:ascii="Times New Roman" w:hAnsi="Times New Roman" w:eastAsia="宋体" w:cs="Times New Roman"/>
          <w:vertAlign w:val="baseline"/>
        </w:rPr>
      </w:pPr>
      <w:r>
        <w:rPr>
          <w:rFonts w:hint="eastAsia" w:ascii="Times New Roman" w:hAnsi="Times New Roman" w:eastAsia="宋体" w:cs="Times New Roman"/>
          <w:vertAlign w:val="baseline"/>
        </w:rPr>
        <w:t>This study modifies traditional bibliometric indicators to quantify algorithmic bias. The calculation formulas for the two core indices are provided below.</w:t>
      </w:r>
    </w:p>
    <w:p w14:paraId="4254ACD4">
      <w:pPr>
        <w:numPr>
          <w:ilvl w:val="0"/>
          <w:numId w:val="0"/>
        </w:numPr>
        <w:spacing w:after="0" w:line="279" w:lineRule="auto"/>
        <w:ind w:firstLine="442" w:firstLineChars="200"/>
        <w:jc w:val="both"/>
        <w:rPr>
          <w:rFonts w:ascii="Times New Roman" w:hAnsi="Times New Roman" w:eastAsia="宋体" w:cs="Times New Roman"/>
          <w:b/>
          <w:bCs/>
          <w:vertAlign w:val="baseline"/>
        </w:rPr>
      </w:pPr>
      <w:r>
        <w:rPr>
          <w:rFonts w:ascii="Times New Roman" w:hAnsi="Times New Roman" w:eastAsia="宋体" w:cs="Times New Roman"/>
          <w:b/>
          <w:bCs/>
          <w:kern w:val="2"/>
          <w:sz w:val="22"/>
          <w:szCs w:val="24"/>
          <w:vertAlign w:val="baseline"/>
          <w:lang w:val="en-US" w:eastAsia="zh-CN" w:bidi="ar-SA"/>
          <w14:ligatures w14:val="standardContextual"/>
        </w:rPr>
        <w:t>1.</w:t>
      </w:r>
      <w:r>
        <w:rPr>
          <w:rFonts w:hint="eastAsia" w:ascii="Times New Roman" w:hAnsi="Times New Roman" w:eastAsia="宋体" w:cs="Times New Roman"/>
          <w:b/>
          <w:bCs/>
          <w:vertAlign w:val="baseline"/>
        </w:rPr>
        <w:t>Algorithmic Centrality Index</w:t>
      </w:r>
    </w:p>
    <w:p w14:paraId="0C78055A">
      <w:pPr>
        <w:spacing w:after="0" w:line="279" w:lineRule="auto"/>
        <w:ind w:firstLine="440" w:firstLineChars="200"/>
        <w:jc w:val="both"/>
        <w:rPr>
          <w:rFonts w:ascii="Times New Roman" w:hAnsi="Times New Roman" w:eastAsia="宋体" w:cs="Times New Roman"/>
          <w:vertAlign w:val="baseline"/>
        </w:rPr>
      </w:pPr>
      <w:r>
        <w:rPr>
          <w:rFonts w:hint="eastAsia" w:ascii="Times New Roman" w:hAnsi="Times New Roman" w:eastAsia="宋体" w:cs="Times New Roman"/>
          <w:vertAlign w:val="baseline"/>
        </w:rPr>
        <w:t>The Algorithmic Centrality Index is used to quantify the weight gained or lost by nodes in traditional influence algorithms due to non-academic factors (e.g., institutional geographical location).</w:t>
      </w:r>
    </w:p>
    <w:p w14:paraId="73721626">
      <w:pPr>
        <w:spacing w:after="0" w:line="279" w:lineRule="auto"/>
        <w:ind w:left="440" w:leftChars="200"/>
        <w:jc w:val="both"/>
        <w:rPr>
          <w:rFonts w:ascii="Times New Roman" w:hAnsi="Times New Roman" w:eastAsia="宋体" w:cs="Times New Roman"/>
          <w:vertAlign w:val="baseline"/>
        </w:rPr>
      </w:pPr>
      <w:r>
        <w:rPr>
          <w:rFonts w:hint="eastAsia" w:ascii="Times New Roman" w:hAnsi="Times New Roman" w:eastAsia="宋体" w:cs="Times New Roman"/>
          <w:b/>
          <w:bCs/>
          <w:vertAlign w:val="baseline"/>
        </w:rPr>
        <w:t xml:space="preserve">（1）Basic algorithm: </w:t>
      </w:r>
      <w:r>
        <w:rPr>
          <w:rFonts w:hint="eastAsia" w:ascii="Times New Roman" w:hAnsi="Times New Roman" w:eastAsia="宋体" w:cs="Times New Roman"/>
          <w:b w:val="0"/>
          <w:bCs w:val="0"/>
          <w:vertAlign w:val="baseline"/>
        </w:rPr>
        <w:t>Weighted PageRank algorithm.</w:t>
      </w:r>
    </w:p>
    <w:p w14:paraId="3109A1AE">
      <w:pPr>
        <w:spacing w:after="0" w:line="279" w:lineRule="auto"/>
        <w:ind w:left="440" w:leftChars="200"/>
        <w:jc w:val="both"/>
        <w:rPr>
          <w:rFonts w:ascii="Times New Roman" w:hAnsi="Times New Roman" w:eastAsia="宋体" w:cs="Times New Roman"/>
          <w:vertAlign w:val="baseline"/>
        </w:rPr>
      </w:pPr>
      <w:r>
        <w:rPr>
          <w:rFonts w:hint="eastAsia" w:ascii="Times New Roman" w:hAnsi="Times New Roman" w:eastAsia="宋体" w:cs="Times New Roman"/>
          <w:b/>
          <w:bCs/>
          <w:vertAlign w:val="baseline"/>
        </w:rPr>
        <w:t>（2）Modified formula</w:t>
      </w:r>
      <w:r>
        <w:rPr>
          <w:rFonts w:ascii="Times New Roman" w:hAnsi="Times New Roman" w:eastAsia="宋体" w:cs="Times New Roman"/>
          <w:vertAlign w:val="baseline"/>
        </w:rPr>
        <w:t>：</w:t>
      </w:r>
    </w:p>
    <w:p w14:paraId="7AC8A271">
      <w:pPr>
        <w:spacing w:after="0" w:line="279" w:lineRule="auto"/>
        <w:jc w:val="right"/>
        <w:rPr>
          <w:rFonts w:ascii="Times New Roman" w:hAnsi="Times New Roman" w:eastAsia="宋体" w:cs="Times New Roman"/>
          <w:vertAlign w:val="baseline"/>
        </w:rPr>
      </w:pPr>
      <w:r>
        <w:rPr>
          <w:rFonts w:ascii="Times New Roman" w:hAnsi="Times New Roman" w:eastAsia="宋体" w:cs="Times New Roman"/>
          <w:i/>
          <w:iCs/>
          <w:vertAlign w:val="baseline"/>
        </w:rPr>
        <w:t>ACI(v) = (1 - d) * W_geo(v) + d * Σ (ACI(u) * w(u,v) / Σ w(u,z))</w:t>
      </w:r>
      <w:r>
        <w:rPr>
          <w:rFonts w:hint="eastAsia" w:ascii="Times New Roman" w:hAnsi="Times New Roman" w:eastAsia="宋体" w:cs="Times New Roman"/>
          <w:vertAlign w:val="baseline"/>
        </w:rPr>
        <w:t xml:space="preserve">      （1）</w:t>
      </w:r>
    </w:p>
    <w:p w14:paraId="136672B6">
      <w:pPr>
        <w:spacing w:after="0" w:line="279" w:lineRule="auto"/>
        <w:ind w:firstLine="440" w:firstLineChars="200"/>
        <w:jc w:val="both"/>
        <w:rPr>
          <w:rFonts w:ascii="Times New Roman" w:hAnsi="Times New Roman" w:eastAsia="宋体" w:cs="Times New Roman"/>
          <w:vertAlign w:val="baseline"/>
        </w:rPr>
      </w:pPr>
      <w:r>
        <w:rPr>
          <w:rFonts w:hint="eastAsia" w:ascii="Times New Roman" w:hAnsi="Times New Roman" w:eastAsia="宋体" w:cs="Times New Roman"/>
          <w:vertAlign w:val="baseline"/>
        </w:rPr>
        <w:t xml:space="preserve">where </w:t>
      </w:r>
      <w:r>
        <w:rPr>
          <w:rFonts w:hint="eastAsia" w:ascii="Times New Roman" w:hAnsi="Times New Roman" w:eastAsia="宋体" w:cs="Times New Roman"/>
          <w:i/>
          <w:iCs/>
          <w:vertAlign w:val="baseline"/>
        </w:rPr>
        <w:t>ACI(v)</w:t>
      </w:r>
      <w:r>
        <w:rPr>
          <w:rFonts w:hint="eastAsia" w:ascii="Times New Roman" w:hAnsi="Times New Roman" w:eastAsia="宋体" w:cs="Times New Roman"/>
          <w:vertAlign w:val="baseline"/>
        </w:rPr>
        <w:t xml:space="preserve"> denotes the Algorithmic Centrality Index of node </w:t>
      </w:r>
      <w:r>
        <w:rPr>
          <w:rFonts w:hint="eastAsia" w:ascii="Times New Roman" w:hAnsi="Times New Roman" w:eastAsia="宋体" w:cs="Times New Roman"/>
          <w:i/>
          <w:iCs/>
          <w:vertAlign w:val="baseline"/>
        </w:rPr>
        <w:t>v</w:t>
      </w:r>
      <w:r>
        <w:rPr>
          <w:rFonts w:hint="eastAsia" w:ascii="Times New Roman" w:hAnsi="Times New Roman" w:eastAsia="宋体" w:cs="Times New Roman"/>
          <w:vertAlign w:val="baseline"/>
        </w:rPr>
        <w:t xml:space="preserve">; </w:t>
      </w:r>
      <w:r>
        <w:rPr>
          <w:rFonts w:hint="eastAsia" w:ascii="Times New Roman" w:hAnsi="Times New Roman" w:eastAsia="宋体" w:cs="Times New Roman"/>
          <w:i/>
          <w:iCs/>
          <w:vertAlign w:val="baseline"/>
        </w:rPr>
        <w:t>d</w:t>
      </w:r>
      <w:r>
        <w:rPr>
          <w:rFonts w:hint="eastAsia" w:ascii="Times New Roman" w:hAnsi="Times New Roman" w:eastAsia="宋体" w:cs="Times New Roman"/>
          <w:vertAlign w:val="baseline"/>
        </w:rPr>
        <w:t xml:space="preserve"> is the damping coefficient, usually set to 0.85; </w:t>
      </w:r>
      <w:r>
        <w:rPr>
          <w:rFonts w:hint="eastAsia" w:ascii="Times New Roman" w:hAnsi="Times New Roman" w:eastAsia="宋体" w:cs="Times New Roman"/>
          <w:i/>
          <w:iCs/>
          <w:vertAlign w:val="baseline"/>
        </w:rPr>
        <w:t>W_geo(v)</w:t>
      </w:r>
      <w:r>
        <w:rPr>
          <w:rFonts w:hint="eastAsia" w:ascii="Times New Roman" w:hAnsi="Times New Roman" w:eastAsia="宋体" w:cs="Times New Roman"/>
          <w:vertAlign w:val="baseline"/>
        </w:rPr>
        <w:t xml:space="preserve"> is the geographic weighting factor based on the country/region of the first author</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 xml:space="preserve">s institution of node v. In this study, the factor is defined as: </w:t>
      </w:r>
      <w:r>
        <w:rPr>
          <w:rFonts w:hint="eastAsia" w:ascii="Times New Roman" w:hAnsi="Times New Roman" w:eastAsia="宋体" w:cs="Times New Roman"/>
          <w:i/>
          <w:iCs/>
          <w:vertAlign w:val="baseline"/>
        </w:rPr>
        <w:t>W_geo = 1 / log(GNI_per_capita + 1)</w:t>
      </w:r>
      <w:r>
        <w:rPr>
          <w:rFonts w:hint="eastAsia" w:ascii="Times New Roman" w:hAnsi="Times New Roman" w:eastAsia="宋体" w:cs="Times New Roman"/>
          <w:vertAlign w:val="baseline"/>
        </w:rPr>
        <w:t>. This aims to reduce the inherent initial weight advantage of institutions in high-income countries as a compensatory adjustment. A partial correspondence table of weighting factor values is shown in Table A.2-1, with all values listed in Table A.2-2 Geographic Weighting Factor (</w:t>
      </w:r>
      <w:r>
        <w:rPr>
          <w:rFonts w:hint="eastAsia" w:ascii="Times New Roman" w:hAnsi="Times New Roman" w:eastAsia="宋体" w:cs="Times New Roman"/>
          <w:i/>
          <w:iCs/>
          <w:vertAlign w:val="baseline"/>
        </w:rPr>
        <w:t>W_geo</w:t>
      </w:r>
      <w:r>
        <w:rPr>
          <w:rFonts w:hint="eastAsia" w:ascii="Times New Roman" w:hAnsi="Times New Roman" w:eastAsia="宋体" w:cs="Times New Roman"/>
          <w:vertAlign w:val="baseline"/>
        </w:rPr>
        <w:t xml:space="preserve">) Table Based on Per Capita GNI (2024). </w:t>
      </w:r>
      <w:r>
        <w:rPr>
          <w:rFonts w:hint="eastAsia" w:ascii="Times New Roman" w:hAnsi="Times New Roman" w:eastAsia="宋体" w:cs="Times New Roman"/>
          <w:i/>
          <w:iCs/>
          <w:vertAlign w:val="baseline"/>
        </w:rPr>
        <w:t>w(u,v)</w:t>
      </w:r>
      <w:r>
        <w:rPr>
          <w:rFonts w:hint="eastAsia" w:ascii="Times New Roman" w:hAnsi="Times New Roman" w:eastAsia="宋体" w:cs="Times New Roman"/>
          <w:vertAlign w:val="baseline"/>
        </w:rPr>
        <w:t xml:space="preserve"> denotes the weight of the citation from node u to node v. In the baseline model, </w:t>
      </w:r>
      <w:r>
        <w:rPr>
          <w:rFonts w:hint="eastAsia" w:ascii="Times New Roman" w:hAnsi="Times New Roman" w:eastAsia="宋体" w:cs="Times New Roman"/>
          <w:i/>
          <w:iCs/>
          <w:vertAlign w:val="baseline"/>
        </w:rPr>
        <w:t>w(u,v)</w:t>
      </w:r>
      <w:r>
        <w:rPr>
          <w:rFonts w:hint="eastAsia" w:ascii="Times New Roman" w:hAnsi="Times New Roman" w:eastAsia="宋体" w:cs="Times New Roman"/>
          <w:vertAlign w:val="baseline"/>
        </w:rPr>
        <w:t xml:space="preserve"> </w:t>
      </w:r>
      <w:r>
        <w:rPr>
          <w:rFonts w:hint="eastAsia" w:ascii="Times New Roman" w:hAnsi="Times New Roman" w:eastAsia="宋体" w:cs="Times New Roman"/>
          <w:i/>
          <w:iCs/>
          <w:vertAlign w:val="baseline"/>
        </w:rPr>
        <w:t>= 1</w:t>
      </w:r>
      <w:r>
        <w:rPr>
          <w:rFonts w:hint="eastAsia" w:ascii="Times New Roman" w:hAnsi="Times New Roman" w:eastAsia="宋体" w:cs="Times New Roman"/>
          <w:vertAlign w:val="baseline"/>
        </w:rPr>
        <w:t>, and can be adjusted in the counterfactual model (e.g., removing journal impact factor boosts).</w:t>
      </w:r>
    </w:p>
    <w:p w14:paraId="705BF085">
      <w:pPr>
        <w:spacing w:after="0" w:line="279" w:lineRule="auto"/>
        <w:ind w:firstLine="361" w:firstLineChars="200"/>
        <w:jc w:val="center"/>
        <w:rPr>
          <w:rFonts w:ascii="Times New Roman" w:hAnsi="Times New Roman" w:eastAsia="宋体" w:cs="Times New Roman"/>
          <w:vertAlign w:val="baseline"/>
        </w:rPr>
      </w:pPr>
      <w:r>
        <w:rPr>
          <w:rFonts w:hint="eastAsia" w:ascii="Times New Roman" w:hAnsi="Times New Roman" w:eastAsia="宋体" w:cs="Times New Roman"/>
          <w:b/>
          <w:bCs/>
          <w:sz w:val="18"/>
          <w:szCs w:val="18"/>
          <w:vertAlign w:val="baseline"/>
        </w:rPr>
        <w:t>Table A.2-1 Partial Values of Geographic Weighting Factor (W_geo) Based on Per Capita GNI (2024)</w:t>
      </w:r>
    </w:p>
    <w:tbl>
      <w:tblPr>
        <w:tblStyle w:val="4"/>
        <w:tblpPr w:leftFromText="180" w:rightFromText="180" w:vertAnchor="text" w:horzAnchor="page" w:tblpX="2066" w:tblpY="529"/>
        <w:tblOverlap w:val="never"/>
        <w:tblW w:w="7990" w:type="dxa"/>
        <w:tblInd w:w="0" w:type="dxa"/>
        <w:tblLayout w:type="fixed"/>
        <w:tblCellMar>
          <w:top w:w="0" w:type="dxa"/>
          <w:left w:w="108" w:type="dxa"/>
          <w:bottom w:w="0" w:type="dxa"/>
          <w:right w:w="108" w:type="dxa"/>
        </w:tblCellMar>
      </w:tblPr>
      <w:tblGrid>
        <w:gridCol w:w="1130"/>
        <w:gridCol w:w="940"/>
        <w:gridCol w:w="1330"/>
        <w:gridCol w:w="1570"/>
        <w:gridCol w:w="1060"/>
        <w:gridCol w:w="1960"/>
      </w:tblGrid>
      <w:tr w14:paraId="3DEEED6F">
        <w:tblPrEx>
          <w:tblCellMar>
            <w:top w:w="0" w:type="dxa"/>
            <w:left w:w="108" w:type="dxa"/>
            <w:bottom w:w="0" w:type="dxa"/>
            <w:right w:w="108" w:type="dxa"/>
          </w:tblCellMar>
        </w:tblPrEx>
        <w:trPr>
          <w:trHeight w:val="270" w:hRule="atLeast"/>
        </w:trPr>
        <w:tc>
          <w:tcPr>
            <w:tcW w:w="1130" w:type="dxa"/>
            <w:tcBorders>
              <w:top w:val="nil"/>
              <w:left w:val="nil"/>
              <w:bottom w:val="nil"/>
              <w:right w:val="nil"/>
            </w:tcBorders>
            <w:shd w:val="clear" w:color="auto" w:fill="auto"/>
            <w:noWrap/>
            <w:vAlign w:val="center"/>
          </w:tcPr>
          <w:p w14:paraId="159FCD26">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 xml:space="preserve">UNESCO </w:t>
            </w:r>
            <w:r>
              <w:rPr>
                <w:rFonts w:hint="eastAsia" w:ascii="Times New Roman" w:hAnsi="Times New Roman" w:eastAsia="宋体" w:cs="Times New Roman"/>
                <w:color w:val="000000"/>
                <w:kern w:val="0"/>
                <w:sz w:val="18"/>
                <w:szCs w:val="18"/>
                <w:vertAlign w:val="baseline"/>
                <w:lang w:bidi="ar"/>
              </w:rPr>
              <w:t>Region</w:t>
            </w:r>
          </w:p>
        </w:tc>
        <w:tc>
          <w:tcPr>
            <w:tcW w:w="940" w:type="dxa"/>
            <w:tcBorders>
              <w:top w:val="nil"/>
              <w:left w:val="nil"/>
              <w:bottom w:val="nil"/>
              <w:right w:val="nil"/>
            </w:tcBorders>
            <w:shd w:val="clear" w:color="auto" w:fill="auto"/>
            <w:noWrap/>
            <w:vAlign w:val="center"/>
          </w:tcPr>
          <w:p w14:paraId="441959DD">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sz w:val="18"/>
                <w:szCs w:val="18"/>
                <w:vertAlign w:val="baseline"/>
              </w:rPr>
              <w:t>World Bank Income Group</w:t>
            </w:r>
          </w:p>
        </w:tc>
        <w:tc>
          <w:tcPr>
            <w:tcW w:w="1330" w:type="dxa"/>
            <w:tcBorders>
              <w:top w:val="nil"/>
              <w:left w:val="nil"/>
              <w:bottom w:val="nil"/>
              <w:right w:val="nil"/>
            </w:tcBorders>
            <w:shd w:val="clear" w:color="auto" w:fill="auto"/>
            <w:noWrap/>
            <w:vAlign w:val="center"/>
          </w:tcPr>
          <w:p w14:paraId="7CF71967">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sz w:val="18"/>
                <w:szCs w:val="18"/>
                <w:vertAlign w:val="baseline"/>
              </w:rPr>
              <w:t>Representative Countries</w:t>
            </w:r>
          </w:p>
        </w:tc>
        <w:tc>
          <w:tcPr>
            <w:tcW w:w="1570" w:type="dxa"/>
            <w:tcBorders>
              <w:top w:val="nil"/>
              <w:left w:val="nil"/>
              <w:bottom w:val="nil"/>
              <w:right w:val="nil"/>
            </w:tcBorders>
            <w:shd w:val="clear" w:color="auto" w:fill="auto"/>
            <w:noWrap/>
            <w:vAlign w:val="center"/>
          </w:tcPr>
          <w:p w14:paraId="3901322C">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GNI per capita, PPP (current international $)</w:t>
            </w:r>
          </w:p>
        </w:tc>
        <w:tc>
          <w:tcPr>
            <w:tcW w:w="1060" w:type="dxa"/>
            <w:tcBorders>
              <w:top w:val="nil"/>
              <w:left w:val="nil"/>
              <w:bottom w:val="nil"/>
              <w:right w:val="nil"/>
            </w:tcBorders>
            <w:shd w:val="clear" w:color="auto" w:fill="auto"/>
            <w:noWrap/>
            <w:vAlign w:val="center"/>
          </w:tcPr>
          <w:p w14:paraId="3A7AB413">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W_geo (ln)</w:t>
            </w:r>
          </w:p>
        </w:tc>
        <w:tc>
          <w:tcPr>
            <w:tcW w:w="1960" w:type="dxa"/>
            <w:tcBorders>
              <w:top w:val="nil"/>
              <w:left w:val="nil"/>
              <w:bottom w:val="nil"/>
              <w:right w:val="nil"/>
            </w:tcBorders>
            <w:shd w:val="clear" w:color="auto" w:fill="auto"/>
            <w:noWrap/>
            <w:vAlign w:val="center"/>
          </w:tcPr>
          <w:p w14:paraId="30A3E1C8">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sz w:val="18"/>
                <w:szCs w:val="18"/>
                <w:vertAlign w:val="baseline"/>
              </w:rPr>
              <w:t>Notes</w:t>
            </w:r>
          </w:p>
        </w:tc>
      </w:tr>
      <w:tr w14:paraId="7989A9BE">
        <w:tblPrEx>
          <w:tblCellMar>
            <w:top w:w="0" w:type="dxa"/>
            <w:left w:w="108" w:type="dxa"/>
            <w:bottom w:w="0" w:type="dxa"/>
            <w:right w:w="108" w:type="dxa"/>
          </w:tblCellMar>
        </w:tblPrEx>
        <w:trPr>
          <w:trHeight w:val="270" w:hRule="atLeast"/>
        </w:trPr>
        <w:tc>
          <w:tcPr>
            <w:tcW w:w="1130" w:type="dxa"/>
            <w:tcBorders>
              <w:top w:val="nil"/>
              <w:left w:val="nil"/>
              <w:bottom w:val="nil"/>
              <w:right w:val="nil"/>
            </w:tcBorders>
            <w:shd w:val="clear" w:color="auto" w:fill="auto"/>
            <w:noWrap/>
            <w:vAlign w:val="center"/>
          </w:tcPr>
          <w:p w14:paraId="5B51A4F9">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Europe and North America</w:t>
            </w:r>
          </w:p>
        </w:tc>
        <w:tc>
          <w:tcPr>
            <w:tcW w:w="940" w:type="dxa"/>
            <w:tcBorders>
              <w:top w:val="nil"/>
              <w:left w:val="nil"/>
              <w:bottom w:val="nil"/>
              <w:right w:val="nil"/>
            </w:tcBorders>
            <w:shd w:val="clear" w:color="auto" w:fill="auto"/>
            <w:noWrap/>
            <w:vAlign w:val="center"/>
          </w:tcPr>
          <w:p w14:paraId="3D48F29E">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High income</w:t>
            </w:r>
          </w:p>
        </w:tc>
        <w:tc>
          <w:tcPr>
            <w:tcW w:w="1330" w:type="dxa"/>
            <w:tcBorders>
              <w:top w:val="nil"/>
              <w:left w:val="nil"/>
              <w:bottom w:val="nil"/>
              <w:right w:val="nil"/>
            </w:tcBorders>
            <w:shd w:val="clear" w:color="auto" w:fill="auto"/>
            <w:noWrap/>
            <w:vAlign w:val="center"/>
          </w:tcPr>
          <w:p w14:paraId="095DAB96">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United States, United Kingdom, Germany</w:t>
            </w:r>
          </w:p>
        </w:tc>
        <w:tc>
          <w:tcPr>
            <w:tcW w:w="1570" w:type="dxa"/>
            <w:tcBorders>
              <w:top w:val="nil"/>
              <w:left w:val="nil"/>
              <w:bottom w:val="nil"/>
              <w:right w:val="nil"/>
            </w:tcBorders>
            <w:shd w:val="clear" w:color="auto" w:fill="auto"/>
            <w:noWrap/>
            <w:vAlign w:val="center"/>
          </w:tcPr>
          <w:p w14:paraId="0CF2CE21">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58620</w:t>
            </w:r>
          </w:p>
        </w:tc>
        <w:tc>
          <w:tcPr>
            <w:tcW w:w="1060" w:type="dxa"/>
            <w:tcBorders>
              <w:top w:val="nil"/>
              <w:left w:val="nil"/>
              <w:bottom w:val="nil"/>
              <w:right w:val="nil"/>
            </w:tcBorders>
            <w:shd w:val="clear" w:color="auto" w:fill="auto"/>
            <w:noWrap/>
            <w:vAlign w:val="center"/>
          </w:tcPr>
          <w:p w14:paraId="2BC0B5F3">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0.1287</w:t>
            </w:r>
          </w:p>
        </w:tc>
        <w:tc>
          <w:tcPr>
            <w:tcW w:w="1960" w:type="dxa"/>
            <w:tcBorders>
              <w:top w:val="nil"/>
              <w:left w:val="nil"/>
              <w:bottom w:val="nil"/>
              <w:right w:val="nil"/>
            </w:tcBorders>
            <w:shd w:val="clear" w:color="auto" w:fill="auto"/>
            <w:noWrap/>
            <w:vAlign w:val="center"/>
          </w:tcPr>
          <w:p w14:paraId="73E77DF3">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Lowest weight, suppresses high-income core regions corresponding to over-represented papers</w:t>
            </w:r>
          </w:p>
        </w:tc>
      </w:tr>
      <w:tr w14:paraId="0D2EB715">
        <w:tblPrEx>
          <w:tblCellMar>
            <w:top w:w="0" w:type="dxa"/>
            <w:left w:w="108" w:type="dxa"/>
            <w:bottom w:w="0" w:type="dxa"/>
            <w:right w:w="108" w:type="dxa"/>
          </w:tblCellMar>
        </w:tblPrEx>
        <w:trPr>
          <w:trHeight w:val="270" w:hRule="atLeast"/>
        </w:trPr>
        <w:tc>
          <w:tcPr>
            <w:tcW w:w="1130" w:type="dxa"/>
            <w:tcBorders>
              <w:top w:val="nil"/>
              <w:left w:val="nil"/>
              <w:bottom w:val="nil"/>
              <w:right w:val="nil"/>
            </w:tcBorders>
            <w:shd w:val="clear" w:color="auto" w:fill="auto"/>
            <w:noWrap/>
            <w:vAlign w:val="center"/>
          </w:tcPr>
          <w:p w14:paraId="4B9A2499">
            <w:pPr>
              <w:spacing w:after="0" w:line="240" w:lineRule="auto"/>
              <w:jc w:val="center"/>
              <w:rPr>
                <w:rFonts w:ascii="Times New Roman" w:hAnsi="Times New Roman" w:eastAsia="宋体" w:cs="Times New Roman"/>
                <w:color w:val="000000"/>
                <w:sz w:val="18"/>
                <w:szCs w:val="18"/>
                <w:vertAlign w:val="baseline"/>
              </w:rPr>
            </w:pPr>
          </w:p>
        </w:tc>
        <w:tc>
          <w:tcPr>
            <w:tcW w:w="940" w:type="dxa"/>
            <w:tcBorders>
              <w:top w:val="nil"/>
              <w:left w:val="nil"/>
              <w:bottom w:val="nil"/>
              <w:right w:val="nil"/>
            </w:tcBorders>
            <w:shd w:val="clear" w:color="auto" w:fill="auto"/>
            <w:noWrap/>
            <w:vAlign w:val="center"/>
          </w:tcPr>
          <w:p w14:paraId="156683FC">
            <w:pPr>
              <w:widowControl/>
              <w:spacing w:after="0" w:line="240" w:lineRule="auto"/>
              <w:jc w:val="center"/>
              <w:textAlignment w:val="center"/>
              <w:rPr>
                <w:rFonts w:hint="eastAsia" w:ascii="Times New Roman" w:hAnsi="Times New Roman" w:eastAsia="宋体" w:cs="Times New Roman"/>
                <w:color w:val="000000"/>
                <w:kern w:val="0"/>
                <w:sz w:val="18"/>
                <w:szCs w:val="18"/>
                <w:vertAlign w:val="baseline"/>
                <w:lang w:bidi="ar"/>
              </w:rPr>
            </w:pPr>
            <w:r>
              <w:rPr>
                <w:rFonts w:hint="eastAsia" w:ascii="Times New Roman" w:hAnsi="Times New Roman" w:eastAsia="宋体" w:cs="Times New Roman"/>
                <w:color w:val="000000"/>
                <w:kern w:val="0"/>
                <w:sz w:val="18"/>
                <w:szCs w:val="18"/>
                <w:vertAlign w:val="baseline"/>
                <w:lang w:bidi="ar"/>
              </w:rPr>
              <w:t>Upper-middle income</w:t>
            </w:r>
          </w:p>
        </w:tc>
        <w:tc>
          <w:tcPr>
            <w:tcW w:w="1330" w:type="dxa"/>
            <w:tcBorders>
              <w:top w:val="nil"/>
              <w:left w:val="nil"/>
              <w:bottom w:val="nil"/>
              <w:right w:val="nil"/>
            </w:tcBorders>
            <w:shd w:val="clear" w:color="auto" w:fill="auto"/>
            <w:noWrap/>
            <w:vAlign w:val="center"/>
          </w:tcPr>
          <w:p w14:paraId="0EC2AA99">
            <w:pPr>
              <w:widowControl/>
              <w:spacing w:after="0" w:line="240" w:lineRule="auto"/>
              <w:jc w:val="center"/>
              <w:textAlignment w:val="center"/>
              <w:rPr>
                <w:rFonts w:hint="eastAsia" w:ascii="Times New Roman" w:hAnsi="Times New Roman" w:eastAsia="宋体" w:cs="Times New Roman"/>
                <w:color w:val="000000"/>
                <w:kern w:val="0"/>
                <w:sz w:val="18"/>
                <w:szCs w:val="18"/>
                <w:vertAlign w:val="baseline"/>
                <w:lang w:bidi="ar"/>
              </w:rPr>
            </w:pPr>
            <w:r>
              <w:rPr>
                <w:rFonts w:hint="eastAsia" w:ascii="Times New Roman" w:hAnsi="Times New Roman" w:eastAsia="宋体" w:cs="Times New Roman"/>
                <w:color w:val="000000"/>
                <w:kern w:val="0"/>
                <w:sz w:val="18"/>
                <w:szCs w:val="18"/>
                <w:vertAlign w:val="baseline"/>
                <w:lang w:bidi="ar"/>
              </w:rPr>
              <w:t>Poland, Hungary</w:t>
            </w:r>
          </w:p>
        </w:tc>
        <w:tc>
          <w:tcPr>
            <w:tcW w:w="1570" w:type="dxa"/>
            <w:tcBorders>
              <w:top w:val="nil"/>
              <w:left w:val="nil"/>
              <w:bottom w:val="nil"/>
              <w:right w:val="nil"/>
            </w:tcBorders>
            <w:shd w:val="clear" w:color="auto" w:fill="auto"/>
            <w:noWrap/>
            <w:vAlign w:val="center"/>
          </w:tcPr>
          <w:p w14:paraId="7B45915B">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18960</w:t>
            </w:r>
          </w:p>
        </w:tc>
        <w:tc>
          <w:tcPr>
            <w:tcW w:w="1060" w:type="dxa"/>
            <w:tcBorders>
              <w:top w:val="nil"/>
              <w:left w:val="nil"/>
              <w:bottom w:val="nil"/>
              <w:right w:val="nil"/>
            </w:tcBorders>
            <w:shd w:val="clear" w:color="auto" w:fill="auto"/>
            <w:noWrap/>
            <w:vAlign w:val="center"/>
          </w:tcPr>
          <w:p w14:paraId="2AC76E00">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0.2015</w:t>
            </w:r>
          </w:p>
        </w:tc>
        <w:tc>
          <w:tcPr>
            <w:tcW w:w="1960" w:type="dxa"/>
            <w:tcBorders>
              <w:top w:val="nil"/>
              <w:left w:val="nil"/>
              <w:bottom w:val="nil"/>
              <w:right w:val="nil"/>
            </w:tcBorders>
            <w:shd w:val="clear" w:color="auto" w:fill="auto"/>
            <w:noWrap/>
            <w:vAlign w:val="center"/>
          </w:tcPr>
          <w:p w14:paraId="110D86B7">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Second-lowest weight, middle-income European countries with no additional compensation</w:t>
            </w:r>
          </w:p>
        </w:tc>
      </w:tr>
      <w:tr w14:paraId="6A4D8FA3">
        <w:tblPrEx>
          <w:tblCellMar>
            <w:top w:w="0" w:type="dxa"/>
            <w:left w:w="108" w:type="dxa"/>
            <w:bottom w:w="0" w:type="dxa"/>
            <w:right w:w="108" w:type="dxa"/>
          </w:tblCellMar>
        </w:tblPrEx>
        <w:trPr>
          <w:trHeight w:val="270" w:hRule="atLeast"/>
        </w:trPr>
        <w:tc>
          <w:tcPr>
            <w:tcW w:w="1130" w:type="dxa"/>
            <w:tcBorders>
              <w:top w:val="nil"/>
              <w:left w:val="nil"/>
              <w:bottom w:val="nil"/>
              <w:right w:val="nil"/>
            </w:tcBorders>
            <w:shd w:val="clear" w:color="auto" w:fill="auto"/>
            <w:noWrap/>
            <w:vAlign w:val="center"/>
          </w:tcPr>
          <w:p w14:paraId="5A4BFF8B">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Asia and the Pacific</w:t>
            </w:r>
          </w:p>
        </w:tc>
        <w:tc>
          <w:tcPr>
            <w:tcW w:w="940" w:type="dxa"/>
            <w:tcBorders>
              <w:top w:val="nil"/>
              <w:left w:val="nil"/>
              <w:bottom w:val="nil"/>
              <w:right w:val="nil"/>
            </w:tcBorders>
            <w:shd w:val="clear" w:color="auto" w:fill="auto"/>
            <w:noWrap/>
            <w:vAlign w:val="center"/>
          </w:tcPr>
          <w:p w14:paraId="53E245EA">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High income</w:t>
            </w:r>
          </w:p>
        </w:tc>
        <w:tc>
          <w:tcPr>
            <w:tcW w:w="1330" w:type="dxa"/>
            <w:tcBorders>
              <w:top w:val="nil"/>
              <w:left w:val="nil"/>
              <w:bottom w:val="nil"/>
              <w:right w:val="nil"/>
            </w:tcBorders>
            <w:shd w:val="clear" w:color="auto" w:fill="auto"/>
            <w:noWrap/>
            <w:vAlign w:val="center"/>
          </w:tcPr>
          <w:p w14:paraId="0D858124">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sz w:val="18"/>
                <w:szCs w:val="18"/>
                <w:vertAlign w:val="baseline"/>
              </w:rPr>
              <w:t>Japan, Australia, Singapore</w:t>
            </w:r>
          </w:p>
        </w:tc>
        <w:tc>
          <w:tcPr>
            <w:tcW w:w="1570" w:type="dxa"/>
            <w:tcBorders>
              <w:top w:val="nil"/>
              <w:left w:val="nil"/>
              <w:bottom w:val="nil"/>
              <w:right w:val="nil"/>
            </w:tcBorders>
            <w:shd w:val="clear" w:color="auto" w:fill="auto"/>
            <w:noWrap/>
            <w:vAlign w:val="center"/>
          </w:tcPr>
          <w:p w14:paraId="39AD94E0">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49280</w:t>
            </w:r>
          </w:p>
        </w:tc>
        <w:tc>
          <w:tcPr>
            <w:tcW w:w="1060" w:type="dxa"/>
            <w:tcBorders>
              <w:top w:val="nil"/>
              <w:left w:val="nil"/>
              <w:bottom w:val="nil"/>
              <w:right w:val="nil"/>
            </w:tcBorders>
            <w:shd w:val="clear" w:color="auto" w:fill="auto"/>
            <w:noWrap/>
            <w:vAlign w:val="center"/>
          </w:tcPr>
          <w:p w14:paraId="509AC395">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0.1402</w:t>
            </w:r>
          </w:p>
        </w:tc>
        <w:tc>
          <w:tcPr>
            <w:tcW w:w="1960" w:type="dxa"/>
            <w:tcBorders>
              <w:top w:val="nil"/>
              <w:left w:val="nil"/>
              <w:bottom w:val="nil"/>
              <w:right w:val="nil"/>
            </w:tcBorders>
            <w:shd w:val="clear" w:color="auto" w:fill="auto"/>
            <w:noWrap/>
            <w:vAlign w:val="center"/>
          </w:tcPr>
          <w:p w14:paraId="54E6743E">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Low weight, high-income Asia-Pacific core countries with suppressed initial advantages</w:t>
            </w:r>
          </w:p>
        </w:tc>
      </w:tr>
      <w:tr w14:paraId="252FF167">
        <w:tblPrEx>
          <w:tblCellMar>
            <w:top w:w="0" w:type="dxa"/>
            <w:left w:w="108" w:type="dxa"/>
            <w:bottom w:w="0" w:type="dxa"/>
            <w:right w:w="108" w:type="dxa"/>
          </w:tblCellMar>
        </w:tblPrEx>
        <w:trPr>
          <w:trHeight w:val="270" w:hRule="atLeast"/>
        </w:trPr>
        <w:tc>
          <w:tcPr>
            <w:tcW w:w="1130" w:type="dxa"/>
            <w:tcBorders>
              <w:top w:val="nil"/>
              <w:left w:val="nil"/>
              <w:bottom w:val="nil"/>
              <w:right w:val="nil"/>
            </w:tcBorders>
            <w:shd w:val="clear" w:color="auto" w:fill="auto"/>
            <w:noWrap/>
            <w:vAlign w:val="center"/>
          </w:tcPr>
          <w:p w14:paraId="68956612">
            <w:pPr>
              <w:spacing w:after="0" w:line="240" w:lineRule="auto"/>
              <w:jc w:val="center"/>
              <w:rPr>
                <w:rFonts w:ascii="Times New Roman" w:hAnsi="Times New Roman" w:eastAsia="宋体" w:cs="Times New Roman"/>
                <w:color w:val="000000"/>
                <w:sz w:val="18"/>
                <w:szCs w:val="18"/>
                <w:vertAlign w:val="baseline"/>
              </w:rPr>
            </w:pPr>
          </w:p>
        </w:tc>
        <w:tc>
          <w:tcPr>
            <w:tcW w:w="940" w:type="dxa"/>
            <w:tcBorders>
              <w:top w:val="nil"/>
              <w:left w:val="nil"/>
              <w:bottom w:val="nil"/>
              <w:right w:val="nil"/>
            </w:tcBorders>
            <w:shd w:val="clear" w:color="auto" w:fill="auto"/>
            <w:noWrap/>
            <w:vAlign w:val="center"/>
          </w:tcPr>
          <w:p w14:paraId="4AE9013E">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Upper-middle income</w:t>
            </w:r>
          </w:p>
        </w:tc>
        <w:tc>
          <w:tcPr>
            <w:tcW w:w="1330" w:type="dxa"/>
            <w:tcBorders>
              <w:top w:val="nil"/>
              <w:left w:val="nil"/>
              <w:bottom w:val="nil"/>
              <w:right w:val="nil"/>
            </w:tcBorders>
            <w:shd w:val="clear" w:color="auto" w:fill="auto"/>
            <w:noWrap/>
            <w:vAlign w:val="center"/>
          </w:tcPr>
          <w:p w14:paraId="64EAC518">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China, South Korea</w:t>
            </w:r>
          </w:p>
        </w:tc>
        <w:tc>
          <w:tcPr>
            <w:tcW w:w="1570" w:type="dxa"/>
            <w:tcBorders>
              <w:top w:val="nil"/>
              <w:left w:val="nil"/>
              <w:bottom w:val="nil"/>
              <w:right w:val="nil"/>
            </w:tcBorders>
            <w:shd w:val="clear" w:color="auto" w:fill="auto"/>
            <w:noWrap/>
            <w:vAlign w:val="center"/>
          </w:tcPr>
          <w:p w14:paraId="23A1EC09">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12890</w:t>
            </w:r>
          </w:p>
        </w:tc>
        <w:tc>
          <w:tcPr>
            <w:tcW w:w="1060" w:type="dxa"/>
            <w:tcBorders>
              <w:top w:val="nil"/>
              <w:left w:val="nil"/>
              <w:bottom w:val="nil"/>
              <w:right w:val="nil"/>
            </w:tcBorders>
            <w:shd w:val="clear" w:color="auto" w:fill="auto"/>
            <w:noWrap/>
            <w:vAlign w:val="center"/>
          </w:tcPr>
          <w:p w14:paraId="45BC9156">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0.2358</w:t>
            </w:r>
          </w:p>
        </w:tc>
        <w:tc>
          <w:tcPr>
            <w:tcW w:w="1960" w:type="dxa"/>
            <w:tcBorders>
              <w:top w:val="nil"/>
              <w:left w:val="nil"/>
              <w:bottom w:val="nil"/>
              <w:right w:val="nil"/>
            </w:tcBorders>
            <w:shd w:val="clear" w:color="auto" w:fill="auto"/>
            <w:noWrap/>
            <w:vAlign w:val="center"/>
          </w:tcPr>
          <w:p w14:paraId="7A028620">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Medium weight, main contributors to Asia-Pacific literature with moderate balancing</w:t>
            </w:r>
          </w:p>
        </w:tc>
      </w:tr>
      <w:tr w14:paraId="236CB140">
        <w:tblPrEx>
          <w:tblCellMar>
            <w:top w:w="0" w:type="dxa"/>
            <w:left w:w="108" w:type="dxa"/>
            <w:bottom w:w="0" w:type="dxa"/>
            <w:right w:w="108" w:type="dxa"/>
          </w:tblCellMar>
        </w:tblPrEx>
        <w:trPr>
          <w:trHeight w:val="270" w:hRule="atLeast"/>
        </w:trPr>
        <w:tc>
          <w:tcPr>
            <w:tcW w:w="1130" w:type="dxa"/>
            <w:tcBorders>
              <w:top w:val="nil"/>
              <w:left w:val="nil"/>
              <w:bottom w:val="nil"/>
              <w:right w:val="nil"/>
            </w:tcBorders>
            <w:shd w:val="clear" w:color="auto" w:fill="auto"/>
            <w:noWrap/>
            <w:vAlign w:val="center"/>
          </w:tcPr>
          <w:p w14:paraId="1FDB137E">
            <w:pPr>
              <w:spacing w:after="0" w:line="240" w:lineRule="auto"/>
              <w:jc w:val="center"/>
              <w:rPr>
                <w:rFonts w:ascii="Times New Roman" w:hAnsi="Times New Roman" w:eastAsia="宋体" w:cs="Times New Roman"/>
                <w:color w:val="000000"/>
                <w:sz w:val="18"/>
                <w:szCs w:val="18"/>
                <w:vertAlign w:val="baseline"/>
              </w:rPr>
            </w:pPr>
          </w:p>
        </w:tc>
        <w:tc>
          <w:tcPr>
            <w:tcW w:w="940" w:type="dxa"/>
            <w:tcBorders>
              <w:top w:val="nil"/>
              <w:left w:val="nil"/>
              <w:bottom w:val="nil"/>
              <w:right w:val="nil"/>
            </w:tcBorders>
            <w:shd w:val="clear" w:color="auto" w:fill="auto"/>
            <w:noWrap/>
            <w:vAlign w:val="center"/>
          </w:tcPr>
          <w:p w14:paraId="36F87970">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sz w:val="18"/>
                <w:szCs w:val="18"/>
                <w:vertAlign w:val="baseline"/>
              </w:rPr>
              <w:t>Lower-middle income</w:t>
            </w:r>
          </w:p>
        </w:tc>
        <w:tc>
          <w:tcPr>
            <w:tcW w:w="1330" w:type="dxa"/>
            <w:tcBorders>
              <w:top w:val="nil"/>
              <w:left w:val="nil"/>
              <w:bottom w:val="nil"/>
              <w:right w:val="nil"/>
            </w:tcBorders>
            <w:shd w:val="clear" w:color="auto" w:fill="auto"/>
            <w:noWrap/>
            <w:vAlign w:val="center"/>
          </w:tcPr>
          <w:p w14:paraId="074A8AF0">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sz w:val="18"/>
                <w:szCs w:val="18"/>
                <w:vertAlign w:val="baseline"/>
              </w:rPr>
              <w:t>India, Vietnam</w:t>
            </w:r>
          </w:p>
        </w:tc>
        <w:tc>
          <w:tcPr>
            <w:tcW w:w="1570" w:type="dxa"/>
            <w:tcBorders>
              <w:top w:val="nil"/>
              <w:left w:val="nil"/>
              <w:bottom w:val="nil"/>
              <w:right w:val="nil"/>
            </w:tcBorders>
            <w:shd w:val="clear" w:color="auto" w:fill="auto"/>
            <w:noWrap/>
            <w:vAlign w:val="center"/>
          </w:tcPr>
          <w:p w14:paraId="779E0E0B">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2360</w:t>
            </w:r>
          </w:p>
        </w:tc>
        <w:tc>
          <w:tcPr>
            <w:tcW w:w="1060" w:type="dxa"/>
            <w:tcBorders>
              <w:top w:val="nil"/>
              <w:left w:val="nil"/>
              <w:bottom w:val="nil"/>
              <w:right w:val="nil"/>
            </w:tcBorders>
            <w:shd w:val="clear" w:color="auto" w:fill="auto"/>
            <w:noWrap/>
            <w:vAlign w:val="center"/>
          </w:tcPr>
          <w:p w14:paraId="28BED510">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0.5126</w:t>
            </w:r>
          </w:p>
        </w:tc>
        <w:tc>
          <w:tcPr>
            <w:tcW w:w="1960" w:type="dxa"/>
            <w:tcBorders>
              <w:top w:val="nil"/>
              <w:left w:val="nil"/>
              <w:bottom w:val="nil"/>
              <w:right w:val="nil"/>
            </w:tcBorders>
            <w:shd w:val="clear" w:color="auto" w:fill="auto"/>
            <w:noWrap/>
            <w:vAlign w:val="center"/>
          </w:tcPr>
          <w:p w14:paraId="6CE8B083">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Medium-high weight, compensates low-income Asia-Pacific countries and enhances their algorithmic centrality</w:t>
            </w:r>
          </w:p>
        </w:tc>
      </w:tr>
      <w:tr w14:paraId="6C50A086">
        <w:tblPrEx>
          <w:tblCellMar>
            <w:top w:w="0" w:type="dxa"/>
            <w:left w:w="108" w:type="dxa"/>
            <w:bottom w:w="0" w:type="dxa"/>
            <w:right w:w="108" w:type="dxa"/>
          </w:tblCellMar>
        </w:tblPrEx>
        <w:trPr>
          <w:trHeight w:val="270" w:hRule="atLeast"/>
        </w:trPr>
        <w:tc>
          <w:tcPr>
            <w:tcW w:w="1130" w:type="dxa"/>
            <w:tcBorders>
              <w:top w:val="nil"/>
              <w:left w:val="nil"/>
              <w:bottom w:val="nil"/>
              <w:right w:val="nil"/>
            </w:tcBorders>
            <w:shd w:val="clear" w:color="auto" w:fill="auto"/>
            <w:noWrap/>
            <w:vAlign w:val="center"/>
          </w:tcPr>
          <w:p w14:paraId="33B45C95">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Latin America and the Caribbean</w:t>
            </w:r>
          </w:p>
        </w:tc>
        <w:tc>
          <w:tcPr>
            <w:tcW w:w="940" w:type="dxa"/>
            <w:tcBorders>
              <w:top w:val="nil"/>
              <w:left w:val="nil"/>
              <w:bottom w:val="nil"/>
              <w:right w:val="nil"/>
            </w:tcBorders>
            <w:shd w:val="clear" w:color="auto" w:fill="auto"/>
            <w:noWrap/>
            <w:vAlign w:val="center"/>
          </w:tcPr>
          <w:p w14:paraId="44EABD87">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High income</w:t>
            </w:r>
          </w:p>
        </w:tc>
        <w:tc>
          <w:tcPr>
            <w:tcW w:w="1330" w:type="dxa"/>
            <w:tcBorders>
              <w:top w:val="nil"/>
              <w:left w:val="nil"/>
              <w:bottom w:val="nil"/>
              <w:right w:val="nil"/>
            </w:tcBorders>
            <w:shd w:val="clear" w:color="auto" w:fill="auto"/>
            <w:noWrap/>
            <w:vAlign w:val="center"/>
          </w:tcPr>
          <w:p w14:paraId="353D3AD4">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Chile, Uruguay</w:t>
            </w:r>
          </w:p>
        </w:tc>
        <w:tc>
          <w:tcPr>
            <w:tcW w:w="1570" w:type="dxa"/>
            <w:tcBorders>
              <w:top w:val="nil"/>
              <w:left w:val="nil"/>
              <w:bottom w:val="nil"/>
              <w:right w:val="nil"/>
            </w:tcBorders>
            <w:shd w:val="clear" w:color="auto" w:fill="auto"/>
            <w:noWrap/>
            <w:vAlign w:val="center"/>
          </w:tcPr>
          <w:p w14:paraId="62E84640">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22890</w:t>
            </w:r>
          </w:p>
        </w:tc>
        <w:tc>
          <w:tcPr>
            <w:tcW w:w="1060" w:type="dxa"/>
            <w:tcBorders>
              <w:top w:val="nil"/>
              <w:left w:val="nil"/>
              <w:bottom w:val="nil"/>
              <w:right w:val="nil"/>
            </w:tcBorders>
            <w:shd w:val="clear" w:color="auto" w:fill="auto"/>
            <w:noWrap/>
            <w:vAlign w:val="center"/>
          </w:tcPr>
          <w:p w14:paraId="5542CF97">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0.1796</w:t>
            </w:r>
          </w:p>
        </w:tc>
        <w:tc>
          <w:tcPr>
            <w:tcW w:w="1960" w:type="dxa"/>
            <w:tcBorders>
              <w:top w:val="nil"/>
              <w:left w:val="nil"/>
              <w:bottom w:val="nil"/>
              <w:right w:val="nil"/>
            </w:tcBorders>
            <w:shd w:val="clear" w:color="auto" w:fill="auto"/>
            <w:noWrap/>
            <w:vAlign w:val="center"/>
          </w:tcPr>
          <w:p w14:paraId="74DF0215">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Low weight, high-income Latin American countries with no additional compensation</w:t>
            </w:r>
          </w:p>
        </w:tc>
      </w:tr>
      <w:tr w14:paraId="76E70E22">
        <w:tblPrEx>
          <w:tblCellMar>
            <w:top w:w="0" w:type="dxa"/>
            <w:left w:w="108" w:type="dxa"/>
            <w:bottom w:w="0" w:type="dxa"/>
            <w:right w:w="108" w:type="dxa"/>
          </w:tblCellMar>
        </w:tblPrEx>
        <w:trPr>
          <w:trHeight w:val="270" w:hRule="atLeast"/>
        </w:trPr>
        <w:tc>
          <w:tcPr>
            <w:tcW w:w="1130" w:type="dxa"/>
            <w:tcBorders>
              <w:top w:val="nil"/>
              <w:left w:val="nil"/>
              <w:bottom w:val="nil"/>
              <w:right w:val="nil"/>
            </w:tcBorders>
            <w:shd w:val="clear" w:color="auto" w:fill="auto"/>
            <w:noWrap/>
            <w:vAlign w:val="center"/>
          </w:tcPr>
          <w:p w14:paraId="184B7546">
            <w:pPr>
              <w:spacing w:after="0" w:line="240" w:lineRule="auto"/>
              <w:jc w:val="center"/>
              <w:rPr>
                <w:rFonts w:ascii="Times New Roman" w:hAnsi="Times New Roman" w:eastAsia="宋体" w:cs="Times New Roman"/>
                <w:color w:val="000000"/>
                <w:sz w:val="18"/>
                <w:szCs w:val="18"/>
                <w:vertAlign w:val="baseline"/>
              </w:rPr>
            </w:pPr>
          </w:p>
        </w:tc>
        <w:tc>
          <w:tcPr>
            <w:tcW w:w="940" w:type="dxa"/>
            <w:tcBorders>
              <w:top w:val="nil"/>
              <w:left w:val="nil"/>
              <w:bottom w:val="nil"/>
              <w:right w:val="nil"/>
            </w:tcBorders>
            <w:shd w:val="clear" w:color="auto" w:fill="auto"/>
            <w:noWrap/>
            <w:vAlign w:val="center"/>
          </w:tcPr>
          <w:p w14:paraId="275CBFF6">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sz w:val="18"/>
                <w:szCs w:val="18"/>
                <w:vertAlign w:val="baseline"/>
              </w:rPr>
              <w:t>Lower-middle income</w:t>
            </w:r>
          </w:p>
        </w:tc>
        <w:tc>
          <w:tcPr>
            <w:tcW w:w="1330" w:type="dxa"/>
            <w:tcBorders>
              <w:top w:val="nil"/>
              <w:left w:val="nil"/>
              <w:bottom w:val="nil"/>
              <w:right w:val="nil"/>
            </w:tcBorders>
            <w:shd w:val="clear" w:color="auto" w:fill="auto"/>
            <w:noWrap/>
            <w:vAlign w:val="center"/>
          </w:tcPr>
          <w:p w14:paraId="0793D604">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Brazil, Mexico</w:t>
            </w:r>
          </w:p>
        </w:tc>
        <w:tc>
          <w:tcPr>
            <w:tcW w:w="1570" w:type="dxa"/>
            <w:tcBorders>
              <w:top w:val="nil"/>
              <w:left w:val="nil"/>
              <w:bottom w:val="nil"/>
              <w:right w:val="nil"/>
            </w:tcBorders>
            <w:shd w:val="clear" w:color="auto" w:fill="auto"/>
            <w:noWrap/>
            <w:vAlign w:val="center"/>
          </w:tcPr>
          <w:p w14:paraId="570806DB">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9260</w:t>
            </w:r>
          </w:p>
        </w:tc>
        <w:tc>
          <w:tcPr>
            <w:tcW w:w="1060" w:type="dxa"/>
            <w:tcBorders>
              <w:top w:val="nil"/>
              <w:left w:val="nil"/>
              <w:bottom w:val="nil"/>
              <w:right w:val="nil"/>
            </w:tcBorders>
            <w:shd w:val="clear" w:color="auto" w:fill="auto"/>
            <w:noWrap/>
            <w:vAlign w:val="center"/>
          </w:tcPr>
          <w:p w14:paraId="34E9DCEB">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0.2785</w:t>
            </w:r>
          </w:p>
        </w:tc>
        <w:tc>
          <w:tcPr>
            <w:tcW w:w="1960" w:type="dxa"/>
            <w:tcBorders>
              <w:top w:val="nil"/>
              <w:left w:val="nil"/>
              <w:bottom w:val="nil"/>
              <w:right w:val="nil"/>
            </w:tcBorders>
            <w:shd w:val="clear" w:color="auto" w:fill="auto"/>
            <w:noWrap/>
            <w:vAlign w:val="center"/>
          </w:tcPr>
          <w:p w14:paraId="4D4E6B23">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Medium-high weight, core producing countries in Latin America with moderate compensation</w:t>
            </w:r>
          </w:p>
        </w:tc>
      </w:tr>
      <w:tr w14:paraId="3CB3B80E">
        <w:tblPrEx>
          <w:tblCellMar>
            <w:top w:w="0" w:type="dxa"/>
            <w:left w:w="108" w:type="dxa"/>
            <w:bottom w:w="0" w:type="dxa"/>
            <w:right w:w="108" w:type="dxa"/>
          </w:tblCellMar>
        </w:tblPrEx>
        <w:trPr>
          <w:trHeight w:val="270" w:hRule="atLeast"/>
        </w:trPr>
        <w:tc>
          <w:tcPr>
            <w:tcW w:w="1130" w:type="dxa"/>
            <w:tcBorders>
              <w:top w:val="nil"/>
              <w:left w:val="nil"/>
              <w:bottom w:val="nil"/>
              <w:right w:val="nil"/>
            </w:tcBorders>
            <w:shd w:val="clear" w:color="auto" w:fill="auto"/>
            <w:noWrap/>
            <w:vAlign w:val="center"/>
          </w:tcPr>
          <w:p w14:paraId="115DFC6A">
            <w:pPr>
              <w:spacing w:after="0" w:line="240" w:lineRule="auto"/>
              <w:jc w:val="center"/>
              <w:rPr>
                <w:rFonts w:ascii="Times New Roman" w:hAnsi="Times New Roman" w:eastAsia="宋体" w:cs="Times New Roman"/>
                <w:color w:val="000000"/>
                <w:sz w:val="18"/>
                <w:szCs w:val="18"/>
                <w:vertAlign w:val="baseline"/>
              </w:rPr>
            </w:pPr>
          </w:p>
        </w:tc>
        <w:tc>
          <w:tcPr>
            <w:tcW w:w="940" w:type="dxa"/>
            <w:tcBorders>
              <w:top w:val="nil"/>
              <w:left w:val="nil"/>
              <w:bottom w:val="nil"/>
              <w:right w:val="nil"/>
            </w:tcBorders>
            <w:shd w:val="clear" w:color="auto" w:fill="auto"/>
            <w:noWrap/>
            <w:vAlign w:val="center"/>
          </w:tcPr>
          <w:p w14:paraId="26CF75EF">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Low income</w:t>
            </w:r>
          </w:p>
        </w:tc>
        <w:tc>
          <w:tcPr>
            <w:tcW w:w="1330" w:type="dxa"/>
            <w:tcBorders>
              <w:top w:val="nil"/>
              <w:left w:val="nil"/>
              <w:bottom w:val="nil"/>
              <w:right w:val="nil"/>
            </w:tcBorders>
            <w:shd w:val="clear" w:color="auto" w:fill="auto"/>
            <w:noWrap/>
            <w:vAlign w:val="center"/>
          </w:tcPr>
          <w:p w14:paraId="6FA2D444">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Haiti, Nicaragua</w:t>
            </w:r>
          </w:p>
        </w:tc>
        <w:tc>
          <w:tcPr>
            <w:tcW w:w="1570" w:type="dxa"/>
            <w:tcBorders>
              <w:top w:val="nil"/>
              <w:left w:val="nil"/>
              <w:bottom w:val="nil"/>
              <w:right w:val="nil"/>
            </w:tcBorders>
            <w:shd w:val="clear" w:color="auto" w:fill="auto"/>
            <w:noWrap/>
            <w:vAlign w:val="center"/>
          </w:tcPr>
          <w:p w14:paraId="4103AB06">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860</w:t>
            </w:r>
          </w:p>
        </w:tc>
        <w:tc>
          <w:tcPr>
            <w:tcW w:w="1060" w:type="dxa"/>
            <w:tcBorders>
              <w:top w:val="nil"/>
              <w:left w:val="nil"/>
              <w:bottom w:val="nil"/>
              <w:right w:val="nil"/>
            </w:tcBorders>
            <w:shd w:val="clear" w:color="auto" w:fill="auto"/>
            <w:noWrap/>
            <w:vAlign w:val="center"/>
          </w:tcPr>
          <w:p w14:paraId="1482779D">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0.6892</w:t>
            </w:r>
          </w:p>
        </w:tc>
        <w:tc>
          <w:tcPr>
            <w:tcW w:w="1960" w:type="dxa"/>
            <w:tcBorders>
              <w:top w:val="nil"/>
              <w:left w:val="nil"/>
              <w:bottom w:val="nil"/>
              <w:right w:val="nil"/>
            </w:tcBorders>
            <w:shd w:val="clear" w:color="auto" w:fill="auto"/>
            <w:noWrap/>
            <w:vAlign w:val="center"/>
          </w:tcPr>
          <w:p w14:paraId="0B83901D">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High weight, compensates low-income Latin American countries and alleviates under-representation</w:t>
            </w:r>
          </w:p>
        </w:tc>
      </w:tr>
      <w:tr w14:paraId="630CEE80">
        <w:tblPrEx>
          <w:tblCellMar>
            <w:top w:w="0" w:type="dxa"/>
            <w:left w:w="108" w:type="dxa"/>
            <w:bottom w:w="0" w:type="dxa"/>
            <w:right w:w="108" w:type="dxa"/>
          </w:tblCellMar>
        </w:tblPrEx>
        <w:trPr>
          <w:trHeight w:val="270" w:hRule="atLeast"/>
        </w:trPr>
        <w:tc>
          <w:tcPr>
            <w:tcW w:w="1130" w:type="dxa"/>
            <w:tcBorders>
              <w:top w:val="nil"/>
              <w:left w:val="nil"/>
              <w:bottom w:val="nil"/>
              <w:right w:val="nil"/>
            </w:tcBorders>
            <w:shd w:val="clear" w:color="auto" w:fill="auto"/>
            <w:noWrap/>
            <w:vAlign w:val="center"/>
          </w:tcPr>
          <w:p w14:paraId="2E8CDF8E">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Africa</w:t>
            </w:r>
          </w:p>
        </w:tc>
        <w:tc>
          <w:tcPr>
            <w:tcW w:w="940" w:type="dxa"/>
            <w:tcBorders>
              <w:top w:val="nil"/>
              <w:left w:val="nil"/>
              <w:bottom w:val="nil"/>
              <w:right w:val="nil"/>
            </w:tcBorders>
            <w:shd w:val="clear" w:color="auto" w:fill="auto"/>
            <w:noWrap/>
            <w:vAlign w:val="center"/>
          </w:tcPr>
          <w:p w14:paraId="72A5FCCE">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Upper-middle income</w:t>
            </w:r>
          </w:p>
        </w:tc>
        <w:tc>
          <w:tcPr>
            <w:tcW w:w="1330" w:type="dxa"/>
            <w:tcBorders>
              <w:top w:val="nil"/>
              <w:left w:val="nil"/>
              <w:bottom w:val="nil"/>
              <w:right w:val="nil"/>
            </w:tcBorders>
            <w:shd w:val="clear" w:color="auto" w:fill="auto"/>
            <w:noWrap/>
            <w:vAlign w:val="center"/>
          </w:tcPr>
          <w:p w14:paraId="0A1CAB3B">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South Africa, Mauritius</w:t>
            </w:r>
          </w:p>
        </w:tc>
        <w:tc>
          <w:tcPr>
            <w:tcW w:w="1570" w:type="dxa"/>
            <w:tcBorders>
              <w:top w:val="nil"/>
              <w:left w:val="nil"/>
              <w:bottom w:val="nil"/>
              <w:right w:val="nil"/>
            </w:tcBorders>
            <w:shd w:val="clear" w:color="auto" w:fill="auto"/>
            <w:noWrap/>
            <w:vAlign w:val="center"/>
          </w:tcPr>
          <w:p w14:paraId="198FFE25">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7890</w:t>
            </w:r>
          </w:p>
        </w:tc>
        <w:tc>
          <w:tcPr>
            <w:tcW w:w="1060" w:type="dxa"/>
            <w:tcBorders>
              <w:top w:val="nil"/>
              <w:left w:val="nil"/>
              <w:bottom w:val="nil"/>
              <w:right w:val="nil"/>
            </w:tcBorders>
            <w:shd w:val="clear" w:color="auto" w:fill="auto"/>
            <w:noWrap/>
            <w:vAlign w:val="center"/>
          </w:tcPr>
          <w:p w14:paraId="734790E5">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0.3015</w:t>
            </w:r>
          </w:p>
        </w:tc>
        <w:tc>
          <w:tcPr>
            <w:tcW w:w="1960" w:type="dxa"/>
            <w:tcBorders>
              <w:top w:val="nil"/>
              <w:left w:val="nil"/>
              <w:bottom w:val="nil"/>
              <w:right w:val="nil"/>
            </w:tcBorders>
            <w:shd w:val="clear" w:color="auto" w:fill="auto"/>
            <w:noWrap/>
            <w:vAlign w:val="center"/>
          </w:tcPr>
          <w:p w14:paraId="27BAE131">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Medium-high weight, a small number of upper-middle income African countries with moderate compensation</w:t>
            </w:r>
          </w:p>
        </w:tc>
      </w:tr>
      <w:tr w14:paraId="32C5AFF2">
        <w:tblPrEx>
          <w:tblCellMar>
            <w:top w:w="0" w:type="dxa"/>
            <w:left w:w="108" w:type="dxa"/>
            <w:bottom w:w="0" w:type="dxa"/>
            <w:right w:w="108" w:type="dxa"/>
          </w:tblCellMar>
        </w:tblPrEx>
        <w:trPr>
          <w:trHeight w:val="270" w:hRule="atLeast"/>
        </w:trPr>
        <w:tc>
          <w:tcPr>
            <w:tcW w:w="1130" w:type="dxa"/>
            <w:tcBorders>
              <w:top w:val="nil"/>
              <w:left w:val="nil"/>
              <w:bottom w:val="nil"/>
              <w:right w:val="nil"/>
            </w:tcBorders>
            <w:shd w:val="clear" w:color="auto" w:fill="auto"/>
            <w:noWrap/>
            <w:vAlign w:val="center"/>
          </w:tcPr>
          <w:p w14:paraId="75FE9C54">
            <w:pPr>
              <w:spacing w:after="0" w:line="240" w:lineRule="auto"/>
              <w:jc w:val="center"/>
              <w:rPr>
                <w:rFonts w:ascii="Times New Roman" w:hAnsi="Times New Roman" w:eastAsia="宋体" w:cs="Times New Roman"/>
                <w:color w:val="000000"/>
                <w:sz w:val="18"/>
                <w:szCs w:val="18"/>
                <w:vertAlign w:val="baseline"/>
              </w:rPr>
            </w:pPr>
          </w:p>
        </w:tc>
        <w:tc>
          <w:tcPr>
            <w:tcW w:w="940" w:type="dxa"/>
            <w:tcBorders>
              <w:top w:val="nil"/>
              <w:left w:val="nil"/>
              <w:bottom w:val="nil"/>
              <w:right w:val="nil"/>
            </w:tcBorders>
            <w:shd w:val="clear" w:color="auto" w:fill="auto"/>
            <w:noWrap/>
            <w:vAlign w:val="center"/>
          </w:tcPr>
          <w:p w14:paraId="40A5ECFD">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Lower-middle income</w:t>
            </w:r>
          </w:p>
        </w:tc>
        <w:tc>
          <w:tcPr>
            <w:tcW w:w="1330" w:type="dxa"/>
            <w:tcBorders>
              <w:top w:val="nil"/>
              <w:left w:val="nil"/>
              <w:bottom w:val="nil"/>
              <w:right w:val="nil"/>
            </w:tcBorders>
            <w:shd w:val="clear" w:color="auto" w:fill="auto"/>
            <w:noWrap/>
            <w:vAlign w:val="center"/>
          </w:tcPr>
          <w:p w14:paraId="0F6D4E47">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Kenya, Nigeria</w:t>
            </w:r>
          </w:p>
        </w:tc>
        <w:tc>
          <w:tcPr>
            <w:tcW w:w="1570" w:type="dxa"/>
            <w:tcBorders>
              <w:top w:val="nil"/>
              <w:left w:val="nil"/>
              <w:bottom w:val="nil"/>
              <w:right w:val="nil"/>
            </w:tcBorders>
            <w:shd w:val="clear" w:color="auto" w:fill="auto"/>
            <w:noWrap/>
            <w:vAlign w:val="center"/>
          </w:tcPr>
          <w:p w14:paraId="20A49D0B">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1560</w:t>
            </w:r>
          </w:p>
        </w:tc>
        <w:tc>
          <w:tcPr>
            <w:tcW w:w="1060" w:type="dxa"/>
            <w:tcBorders>
              <w:top w:val="nil"/>
              <w:left w:val="nil"/>
              <w:bottom w:val="nil"/>
              <w:right w:val="nil"/>
            </w:tcBorders>
            <w:shd w:val="clear" w:color="auto" w:fill="auto"/>
            <w:noWrap/>
            <w:vAlign w:val="center"/>
          </w:tcPr>
          <w:p w14:paraId="66626C2E">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0.5987</w:t>
            </w:r>
          </w:p>
        </w:tc>
        <w:tc>
          <w:tcPr>
            <w:tcW w:w="1960" w:type="dxa"/>
            <w:tcBorders>
              <w:top w:val="nil"/>
              <w:left w:val="nil"/>
              <w:bottom w:val="nil"/>
              <w:right w:val="nil"/>
            </w:tcBorders>
            <w:shd w:val="clear" w:color="auto" w:fill="auto"/>
            <w:noWrap/>
            <w:vAlign w:val="center"/>
          </w:tcPr>
          <w:p w14:paraId="5422685D">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High weight, core producing countries in Africa with key compensation</w:t>
            </w:r>
          </w:p>
        </w:tc>
      </w:tr>
      <w:tr w14:paraId="70182412">
        <w:tblPrEx>
          <w:tblCellMar>
            <w:top w:w="0" w:type="dxa"/>
            <w:left w:w="108" w:type="dxa"/>
            <w:bottom w:w="0" w:type="dxa"/>
            <w:right w:w="108" w:type="dxa"/>
          </w:tblCellMar>
        </w:tblPrEx>
        <w:trPr>
          <w:trHeight w:val="270" w:hRule="atLeast"/>
        </w:trPr>
        <w:tc>
          <w:tcPr>
            <w:tcW w:w="1130" w:type="dxa"/>
            <w:tcBorders>
              <w:top w:val="nil"/>
              <w:left w:val="nil"/>
              <w:bottom w:val="nil"/>
              <w:right w:val="nil"/>
            </w:tcBorders>
            <w:shd w:val="clear" w:color="auto" w:fill="auto"/>
            <w:noWrap/>
            <w:vAlign w:val="center"/>
          </w:tcPr>
          <w:p w14:paraId="292C4250">
            <w:pPr>
              <w:spacing w:after="0" w:line="240" w:lineRule="auto"/>
              <w:jc w:val="center"/>
              <w:rPr>
                <w:rFonts w:ascii="Times New Roman" w:hAnsi="Times New Roman" w:eastAsia="宋体" w:cs="Times New Roman"/>
                <w:color w:val="000000"/>
                <w:sz w:val="18"/>
                <w:szCs w:val="18"/>
                <w:vertAlign w:val="baseline"/>
              </w:rPr>
            </w:pPr>
          </w:p>
        </w:tc>
        <w:tc>
          <w:tcPr>
            <w:tcW w:w="940" w:type="dxa"/>
            <w:tcBorders>
              <w:top w:val="nil"/>
              <w:left w:val="nil"/>
              <w:bottom w:val="nil"/>
              <w:right w:val="nil"/>
            </w:tcBorders>
            <w:shd w:val="clear" w:color="auto" w:fill="auto"/>
            <w:noWrap/>
            <w:vAlign w:val="center"/>
          </w:tcPr>
          <w:p w14:paraId="11BBFE39">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Low income</w:t>
            </w:r>
          </w:p>
        </w:tc>
        <w:tc>
          <w:tcPr>
            <w:tcW w:w="1330" w:type="dxa"/>
            <w:tcBorders>
              <w:top w:val="nil"/>
              <w:left w:val="nil"/>
              <w:bottom w:val="nil"/>
              <w:right w:val="nil"/>
            </w:tcBorders>
            <w:shd w:val="clear" w:color="auto" w:fill="auto"/>
            <w:noWrap/>
            <w:vAlign w:val="center"/>
          </w:tcPr>
          <w:p w14:paraId="4C526E4B">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Ethiopia, Somalia</w:t>
            </w:r>
          </w:p>
        </w:tc>
        <w:tc>
          <w:tcPr>
            <w:tcW w:w="1570" w:type="dxa"/>
            <w:tcBorders>
              <w:top w:val="nil"/>
              <w:left w:val="nil"/>
              <w:bottom w:val="nil"/>
              <w:right w:val="nil"/>
            </w:tcBorders>
            <w:shd w:val="clear" w:color="auto" w:fill="auto"/>
            <w:noWrap/>
            <w:vAlign w:val="center"/>
          </w:tcPr>
          <w:p w14:paraId="7276D608">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520</w:t>
            </w:r>
          </w:p>
        </w:tc>
        <w:tc>
          <w:tcPr>
            <w:tcW w:w="1060" w:type="dxa"/>
            <w:tcBorders>
              <w:top w:val="nil"/>
              <w:left w:val="nil"/>
              <w:bottom w:val="nil"/>
              <w:right w:val="nil"/>
            </w:tcBorders>
            <w:shd w:val="clear" w:color="auto" w:fill="auto"/>
            <w:noWrap/>
            <w:vAlign w:val="center"/>
          </w:tcPr>
          <w:p w14:paraId="4F91257F">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0.8569</w:t>
            </w:r>
          </w:p>
        </w:tc>
        <w:tc>
          <w:tcPr>
            <w:tcW w:w="1960" w:type="dxa"/>
            <w:tcBorders>
              <w:top w:val="nil"/>
              <w:left w:val="nil"/>
              <w:bottom w:val="nil"/>
              <w:right w:val="nil"/>
            </w:tcBorders>
            <w:shd w:val="clear" w:color="auto" w:fill="auto"/>
            <w:noWrap/>
            <w:vAlign w:val="center"/>
          </w:tcPr>
          <w:p w14:paraId="58FC5FF4">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Highest weight, deep compensation for extremely low-income African countries against algorithmic under-representation</w:t>
            </w:r>
          </w:p>
        </w:tc>
      </w:tr>
      <w:tr w14:paraId="01CE4C80">
        <w:tblPrEx>
          <w:tblCellMar>
            <w:top w:w="0" w:type="dxa"/>
            <w:left w:w="108" w:type="dxa"/>
            <w:bottom w:w="0" w:type="dxa"/>
            <w:right w:w="108" w:type="dxa"/>
          </w:tblCellMar>
        </w:tblPrEx>
        <w:trPr>
          <w:trHeight w:val="270" w:hRule="atLeast"/>
        </w:trPr>
        <w:tc>
          <w:tcPr>
            <w:tcW w:w="1130" w:type="dxa"/>
            <w:tcBorders>
              <w:top w:val="nil"/>
              <w:left w:val="nil"/>
              <w:bottom w:val="nil"/>
              <w:right w:val="nil"/>
            </w:tcBorders>
            <w:shd w:val="clear" w:color="auto" w:fill="auto"/>
            <w:noWrap/>
            <w:vAlign w:val="center"/>
          </w:tcPr>
          <w:p w14:paraId="398CE45B">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Arab States</w:t>
            </w:r>
          </w:p>
        </w:tc>
        <w:tc>
          <w:tcPr>
            <w:tcW w:w="940" w:type="dxa"/>
            <w:tcBorders>
              <w:top w:val="nil"/>
              <w:left w:val="nil"/>
              <w:bottom w:val="nil"/>
              <w:right w:val="nil"/>
            </w:tcBorders>
            <w:shd w:val="clear" w:color="auto" w:fill="auto"/>
            <w:noWrap/>
            <w:vAlign w:val="center"/>
          </w:tcPr>
          <w:p w14:paraId="009BFD2F">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Upper-middle income</w:t>
            </w:r>
          </w:p>
        </w:tc>
        <w:tc>
          <w:tcPr>
            <w:tcW w:w="1330" w:type="dxa"/>
            <w:tcBorders>
              <w:top w:val="nil"/>
              <w:left w:val="nil"/>
              <w:bottom w:val="nil"/>
              <w:right w:val="nil"/>
            </w:tcBorders>
            <w:shd w:val="clear" w:color="auto" w:fill="auto"/>
            <w:noWrap/>
            <w:vAlign w:val="center"/>
          </w:tcPr>
          <w:p w14:paraId="0FE7757C">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Saudi Arabia, United Arab Emirates</w:t>
            </w:r>
          </w:p>
        </w:tc>
        <w:tc>
          <w:tcPr>
            <w:tcW w:w="1570" w:type="dxa"/>
            <w:tcBorders>
              <w:top w:val="nil"/>
              <w:left w:val="nil"/>
              <w:bottom w:val="nil"/>
              <w:right w:val="nil"/>
            </w:tcBorders>
            <w:shd w:val="clear" w:color="auto" w:fill="auto"/>
            <w:noWrap/>
            <w:vAlign w:val="center"/>
          </w:tcPr>
          <w:p w14:paraId="72B76688">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38650</w:t>
            </w:r>
          </w:p>
        </w:tc>
        <w:tc>
          <w:tcPr>
            <w:tcW w:w="1060" w:type="dxa"/>
            <w:tcBorders>
              <w:top w:val="nil"/>
              <w:left w:val="nil"/>
              <w:bottom w:val="nil"/>
              <w:right w:val="nil"/>
            </w:tcBorders>
            <w:shd w:val="clear" w:color="auto" w:fill="auto"/>
            <w:noWrap/>
            <w:vAlign w:val="center"/>
          </w:tcPr>
          <w:p w14:paraId="6ABAA14F">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0.1568</w:t>
            </w:r>
          </w:p>
        </w:tc>
        <w:tc>
          <w:tcPr>
            <w:tcW w:w="1960" w:type="dxa"/>
            <w:tcBorders>
              <w:top w:val="nil"/>
              <w:left w:val="nil"/>
              <w:bottom w:val="nil"/>
              <w:right w:val="nil"/>
            </w:tcBorders>
            <w:shd w:val="clear" w:color="auto" w:fill="auto"/>
            <w:noWrap/>
            <w:vAlign w:val="center"/>
          </w:tcPr>
          <w:p w14:paraId="7577914A">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Low weight, high-income oil-producing Arab countries with no additional compensation</w:t>
            </w:r>
          </w:p>
        </w:tc>
      </w:tr>
      <w:tr w14:paraId="6E780A90">
        <w:tblPrEx>
          <w:tblCellMar>
            <w:top w:w="0" w:type="dxa"/>
            <w:left w:w="108" w:type="dxa"/>
            <w:bottom w:w="0" w:type="dxa"/>
            <w:right w:w="108" w:type="dxa"/>
          </w:tblCellMar>
        </w:tblPrEx>
        <w:trPr>
          <w:trHeight w:val="270" w:hRule="atLeast"/>
        </w:trPr>
        <w:tc>
          <w:tcPr>
            <w:tcW w:w="1130" w:type="dxa"/>
            <w:tcBorders>
              <w:top w:val="nil"/>
              <w:left w:val="nil"/>
              <w:bottom w:val="nil"/>
              <w:right w:val="nil"/>
            </w:tcBorders>
            <w:shd w:val="clear" w:color="auto" w:fill="auto"/>
            <w:noWrap/>
            <w:vAlign w:val="center"/>
          </w:tcPr>
          <w:p w14:paraId="3D465876">
            <w:pPr>
              <w:spacing w:after="0" w:line="240" w:lineRule="auto"/>
              <w:jc w:val="center"/>
              <w:rPr>
                <w:rFonts w:ascii="Times New Roman" w:hAnsi="Times New Roman" w:eastAsia="宋体" w:cs="Times New Roman"/>
                <w:color w:val="000000"/>
                <w:sz w:val="18"/>
                <w:szCs w:val="18"/>
                <w:vertAlign w:val="baseline"/>
              </w:rPr>
            </w:pPr>
          </w:p>
        </w:tc>
        <w:tc>
          <w:tcPr>
            <w:tcW w:w="940" w:type="dxa"/>
            <w:tcBorders>
              <w:top w:val="nil"/>
              <w:left w:val="nil"/>
              <w:bottom w:val="nil"/>
              <w:right w:val="nil"/>
            </w:tcBorders>
            <w:shd w:val="clear" w:color="auto" w:fill="auto"/>
            <w:noWrap/>
            <w:vAlign w:val="center"/>
          </w:tcPr>
          <w:p w14:paraId="0DA89833">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sz w:val="18"/>
                <w:szCs w:val="18"/>
                <w:vertAlign w:val="baseline"/>
              </w:rPr>
              <w:t>Lower-middle income</w:t>
            </w:r>
          </w:p>
        </w:tc>
        <w:tc>
          <w:tcPr>
            <w:tcW w:w="1330" w:type="dxa"/>
            <w:tcBorders>
              <w:top w:val="nil"/>
              <w:left w:val="nil"/>
              <w:bottom w:val="nil"/>
              <w:right w:val="nil"/>
            </w:tcBorders>
            <w:shd w:val="clear" w:color="auto" w:fill="auto"/>
            <w:noWrap/>
            <w:vAlign w:val="center"/>
          </w:tcPr>
          <w:p w14:paraId="0F605B58">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Egypt, Morocco</w:t>
            </w:r>
          </w:p>
        </w:tc>
        <w:tc>
          <w:tcPr>
            <w:tcW w:w="1570" w:type="dxa"/>
            <w:tcBorders>
              <w:top w:val="nil"/>
              <w:left w:val="nil"/>
              <w:bottom w:val="nil"/>
              <w:right w:val="nil"/>
            </w:tcBorders>
            <w:shd w:val="clear" w:color="auto" w:fill="auto"/>
            <w:noWrap/>
            <w:vAlign w:val="center"/>
          </w:tcPr>
          <w:p w14:paraId="3E35F7C4">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3280</w:t>
            </w:r>
          </w:p>
        </w:tc>
        <w:tc>
          <w:tcPr>
            <w:tcW w:w="1060" w:type="dxa"/>
            <w:tcBorders>
              <w:top w:val="nil"/>
              <w:left w:val="nil"/>
              <w:bottom w:val="nil"/>
              <w:right w:val="nil"/>
            </w:tcBorders>
            <w:shd w:val="clear" w:color="auto" w:fill="auto"/>
            <w:noWrap/>
            <w:vAlign w:val="center"/>
          </w:tcPr>
          <w:p w14:paraId="11D67B9D">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0.4356</w:t>
            </w:r>
          </w:p>
        </w:tc>
        <w:tc>
          <w:tcPr>
            <w:tcW w:w="1960" w:type="dxa"/>
            <w:tcBorders>
              <w:top w:val="nil"/>
              <w:left w:val="nil"/>
              <w:bottom w:val="nil"/>
              <w:right w:val="nil"/>
            </w:tcBorders>
            <w:shd w:val="clear" w:color="auto" w:fill="auto"/>
            <w:noWrap/>
            <w:vAlign w:val="center"/>
          </w:tcPr>
          <w:p w14:paraId="67717A88">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Medium-high weight, core producing Arab countries with moderate compensation</w:t>
            </w:r>
          </w:p>
        </w:tc>
      </w:tr>
      <w:tr w14:paraId="181B8047">
        <w:tblPrEx>
          <w:tblCellMar>
            <w:top w:w="0" w:type="dxa"/>
            <w:left w:w="108" w:type="dxa"/>
            <w:bottom w:w="0" w:type="dxa"/>
            <w:right w:w="108" w:type="dxa"/>
          </w:tblCellMar>
        </w:tblPrEx>
        <w:trPr>
          <w:trHeight w:val="270" w:hRule="atLeast"/>
        </w:trPr>
        <w:tc>
          <w:tcPr>
            <w:tcW w:w="1130" w:type="dxa"/>
            <w:tcBorders>
              <w:top w:val="nil"/>
              <w:left w:val="nil"/>
              <w:bottom w:val="nil"/>
              <w:right w:val="nil"/>
            </w:tcBorders>
            <w:shd w:val="clear" w:color="auto" w:fill="auto"/>
            <w:noWrap/>
            <w:vAlign w:val="center"/>
          </w:tcPr>
          <w:p w14:paraId="7B362405">
            <w:pPr>
              <w:spacing w:after="0" w:line="240" w:lineRule="auto"/>
              <w:jc w:val="center"/>
              <w:rPr>
                <w:rFonts w:ascii="Times New Roman" w:hAnsi="Times New Roman" w:eastAsia="宋体" w:cs="Times New Roman"/>
                <w:color w:val="000000"/>
                <w:sz w:val="18"/>
                <w:szCs w:val="18"/>
                <w:vertAlign w:val="baseline"/>
              </w:rPr>
            </w:pPr>
          </w:p>
        </w:tc>
        <w:tc>
          <w:tcPr>
            <w:tcW w:w="940" w:type="dxa"/>
            <w:tcBorders>
              <w:top w:val="nil"/>
              <w:left w:val="nil"/>
              <w:bottom w:val="nil"/>
              <w:right w:val="nil"/>
            </w:tcBorders>
            <w:shd w:val="clear" w:color="auto" w:fill="auto"/>
            <w:noWrap/>
            <w:vAlign w:val="center"/>
          </w:tcPr>
          <w:p w14:paraId="1AA9B845">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Low income</w:t>
            </w:r>
          </w:p>
        </w:tc>
        <w:tc>
          <w:tcPr>
            <w:tcW w:w="1330" w:type="dxa"/>
            <w:tcBorders>
              <w:top w:val="nil"/>
              <w:left w:val="nil"/>
              <w:bottom w:val="nil"/>
              <w:right w:val="nil"/>
            </w:tcBorders>
            <w:shd w:val="clear" w:color="auto" w:fill="auto"/>
            <w:noWrap/>
            <w:vAlign w:val="center"/>
          </w:tcPr>
          <w:p w14:paraId="0DC03066">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Yemen, Sudan</w:t>
            </w:r>
          </w:p>
        </w:tc>
        <w:tc>
          <w:tcPr>
            <w:tcW w:w="1570" w:type="dxa"/>
            <w:tcBorders>
              <w:top w:val="nil"/>
              <w:left w:val="nil"/>
              <w:bottom w:val="nil"/>
              <w:right w:val="nil"/>
            </w:tcBorders>
            <w:shd w:val="clear" w:color="auto" w:fill="auto"/>
            <w:noWrap/>
            <w:vAlign w:val="center"/>
          </w:tcPr>
          <w:p w14:paraId="5EEB5695">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680</w:t>
            </w:r>
          </w:p>
        </w:tc>
        <w:tc>
          <w:tcPr>
            <w:tcW w:w="1060" w:type="dxa"/>
            <w:tcBorders>
              <w:top w:val="nil"/>
              <w:left w:val="nil"/>
              <w:bottom w:val="nil"/>
              <w:right w:val="nil"/>
            </w:tcBorders>
            <w:shd w:val="clear" w:color="auto" w:fill="auto"/>
            <w:noWrap/>
            <w:vAlign w:val="center"/>
          </w:tcPr>
          <w:p w14:paraId="6C61813D">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0.7528</w:t>
            </w:r>
          </w:p>
        </w:tc>
        <w:tc>
          <w:tcPr>
            <w:tcW w:w="1960" w:type="dxa"/>
            <w:tcBorders>
              <w:top w:val="nil"/>
              <w:left w:val="nil"/>
              <w:bottom w:val="nil"/>
              <w:right w:val="nil"/>
            </w:tcBorders>
            <w:shd w:val="clear" w:color="auto" w:fill="auto"/>
            <w:noWrap/>
            <w:vAlign w:val="center"/>
          </w:tcPr>
          <w:p w14:paraId="7FF6D32E">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Second-highest weight, deep compensation for low-income Arab countries to alleviate severe under-representation</w:t>
            </w:r>
          </w:p>
        </w:tc>
      </w:tr>
      <w:tr w14:paraId="4A575D19">
        <w:tblPrEx>
          <w:tblCellMar>
            <w:top w:w="0" w:type="dxa"/>
            <w:left w:w="108" w:type="dxa"/>
            <w:bottom w:w="0" w:type="dxa"/>
            <w:right w:w="108" w:type="dxa"/>
          </w:tblCellMar>
        </w:tblPrEx>
        <w:trPr>
          <w:trHeight w:val="270" w:hRule="atLeast"/>
        </w:trPr>
        <w:tc>
          <w:tcPr>
            <w:tcW w:w="1130" w:type="dxa"/>
            <w:tcBorders>
              <w:top w:val="nil"/>
              <w:left w:val="nil"/>
              <w:bottom w:val="nil"/>
              <w:right w:val="nil"/>
            </w:tcBorders>
            <w:shd w:val="clear" w:color="auto" w:fill="auto"/>
            <w:noWrap/>
            <w:vAlign w:val="center"/>
          </w:tcPr>
          <w:p w14:paraId="679A26D0">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General Value Notes</w:t>
            </w:r>
          </w:p>
        </w:tc>
        <w:tc>
          <w:tcPr>
            <w:tcW w:w="940" w:type="dxa"/>
            <w:tcBorders>
              <w:top w:val="nil"/>
              <w:left w:val="nil"/>
              <w:bottom w:val="nil"/>
              <w:right w:val="nil"/>
            </w:tcBorders>
            <w:shd w:val="clear" w:color="auto" w:fill="auto"/>
            <w:noWrap/>
            <w:vAlign w:val="center"/>
          </w:tcPr>
          <w:p w14:paraId="249394A9">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w:t>
            </w:r>
          </w:p>
        </w:tc>
        <w:tc>
          <w:tcPr>
            <w:tcW w:w="1330" w:type="dxa"/>
            <w:tcBorders>
              <w:top w:val="nil"/>
              <w:left w:val="nil"/>
              <w:bottom w:val="nil"/>
              <w:right w:val="nil"/>
            </w:tcBorders>
            <w:shd w:val="clear" w:color="auto" w:fill="auto"/>
            <w:noWrap/>
            <w:vAlign w:val="center"/>
          </w:tcPr>
          <w:p w14:paraId="7CA13A2D">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Average for low-income countries</w:t>
            </w:r>
          </w:p>
        </w:tc>
        <w:tc>
          <w:tcPr>
            <w:tcW w:w="1570" w:type="dxa"/>
            <w:tcBorders>
              <w:top w:val="nil"/>
              <w:left w:val="nil"/>
              <w:bottom w:val="nil"/>
              <w:right w:val="nil"/>
            </w:tcBorders>
            <w:shd w:val="clear" w:color="auto" w:fill="auto"/>
            <w:noWrap/>
            <w:vAlign w:val="center"/>
          </w:tcPr>
          <w:p w14:paraId="2C2E3FB0">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680</w:t>
            </w:r>
          </w:p>
        </w:tc>
        <w:tc>
          <w:tcPr>
            <w:tcW w:w="1060" w:type="dxa"/>
            <w:tcBorders>
              <w:top w:val="nil"/>
              <w:left w:val="nil"/>
              <w:bottom w:val="nil"/>
              <w:right w:val="nil"/>
            </w:tcBorders>
            <w:shd w:val="clear" w:color="auto" w:fill="auto"/>
            <w:noWrap/>
            <w:vAlign w:val="center"/>
          </w:tcPr>
          <w:p w14:paraId="6E240D6D">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0.7528</w:t>
            </w:r>
          </w:p>
        </w:tc>
        <w:tc>
          <w:tcPr>
            <w:tcW w:w="1960" w:type="dxa"/>
            <w:tcBorders>
              <w:top w:val="nil"/>
              <w:left w:val="nil"/>
              <w:bottom w:val="nil"/>
              <w:right w:val="nil"/>
            </w:tcBorders>
            <w:shd w:val="clear" w:color="auto" w:fill="auto"/>
            <w:noWrap/>
            <w:vAlign w:val="center"/>
          </w:tcPr>
          <w:p w14:paraId="1F707827">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Uniform reference value for all low-income countries to improve computational efficiency</w:t>
            </w:r>
          </w:p>
        </w:tc>
      </w:tr>
      <w:tr w14:paraId="2F56FC11">
        <w:tblPrEx>
          <w:tblCellMar>
            <w:top w:w="0" w:type="dxa"/>
            <w:left w:w="108" w:type="dxa"/>
            <w:bottom w:w="0" w:type="dxa"/>
            <w:right w:w="108" w:type="dxa"/>
          </w:tblCellMar>
        </w:tblPrEx>
        <w:trPr>
          <w:trHeight w:val="270" w:hRule="atLeast"/>
        </w:trPr>
        <w:tc>
          <w:tcPr>
            <w:tcW w:w="1130" w:type="dxa"/>
            <w:tcBorders>
              <w:top w:val="nil"/>
              <w:left w:val="nil"/>
              <w:bottom w:val="nil"/>
              <w:right w:val="nil"/>
            </w:tcBorders>
            <w:shd w:val="clear" w:color="auto" w:fill="auto"/>
            <w:noWrap/>
            <w:vAlign w:val="center"/>
          </w:tcPr>
          <w:p w14:paraId="7675F2F4">
            <w:pPr>
              <w:spacing w:after="0" w:line="240" w:lineRule="auto"/>
              <w:jc w:val="center"/>
              <w:rPr>
                <w:rFonts w:ascii="Times New Roman" w:hAnsi="Times New Roman" w:eastAsia="宋体" w:cs="Times New Roman"/>
                <w:color w:val="000000"/>
                <w:sz w:val="18"/>
                <w:szCs w:val="18"/>
                <w:vertAlign w:val="baseline"/>
              </w:rPr>
            </w:pPr>
          </w:p>
        </w:tc>
        <w:tc>
          <w:tcPr>
            <w:tcW w:w="940" w:type="dxa"/>
            <w:tcBorders>
              <w:top w:val="nil"/>
              <w:left w:val="nil"/>
              <w:bottom w:val="nil"/>
              <w:right w:val="nil"/>
            </w:tcBorders>
            <w:shd w:val="clear" w:color="auto" w:fill="auto"/>
            <w:noWrap/>
            <w:vAlign w:val="center"/>
          </w:tcPr>
          <w:p w14:paraId="26D89427">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w:t>
            </w:r>
          </w:p>
        </w:tc>
        <w:tc>
          <w:tcPr>
            <w:tcW w:w="1330" w:type="dxa"/>
            <w:tcBorders>
              <w:top w:val="nil"/>
              <w:left w:val="nil"/>
              <w:bottom w:val="nil"/>
              <w:right w:val="nil"/>
            </w:tcBorders>
            <w:shd w:val="clear" w:color="auto" w:fill="auto"/>
            <w:noWrap/>
            <w:vAlign w:val="center"/>
          </w:tcPr>
          <w:p w14:paraId="2E655031">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sz w:val="18"/>
                <w:szCs w:val="18"/>
                <w:vertAlign w:val="baseline"/>
              </w:rPr>
              <w:t>Average for lower-middle income countries</w:t>
            </w:r>
          </w:p>
        </w:tc>
        <w:tc>
          <w:tcPr>
            <w:tcW w:w="1570" w:type="dxa"/>
            <w:tcBorders>
              <w:top w:val="nil"/>
              <w:left w:val="nil"/>
              <w:bottom w:val="nil"/>
              <w:right w:val="nil"/>
            </w:tcBorders>
            <w:shd w:val="clear" w:color="auto" w:fill="auto"/>
            <w:noWrap/>
            <w:vAlign w:val="center"/>
          </w:tcPr>
          <w:p w14:paraId="4C0D25E3">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1860</w:t>
            </w:r>
          </w:p>
        </w:tc>
        <w:tc>
          <w:tcPr>
            <w:tcW w:w="1060" w:type="dxa"/>
            <w:tcBorders>
              <w:top w:val="nil"/>
              <w:left w:val="nil"/>
              <w:bottom w:val="nil"/>
              <w:right w:val="nil"/>
            </w:tcBorders>
            <w:shd w:val="clear" w:color="auto" w:fill="auto"/>
            <w:noWrap/>
            <w:vAlign w:val="center"/>
          </w:tcPr>
          <w:p w14:paraId="302137AE">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0.5652</w:t>
            </w:r>
          </w:p>
        </w:tc>
        <w:tc>
          <w:tcPr>
            <w:tcW w:w="1960" w:type="dxa"/>
            <w:tcBorders>
              <w:top w:val="nil"/>
              <w:left w:val="nil"/>
              <w:bottom w:val="nil"/>
              <w:right w:val="nil"/>
            </w:tcBorders>
            <w:shd w:val="clear" w:color="auto" w:fill="auto"/>
            <w:noWrap/>
            <w:vAlign w:val="center"/>
          </w:tcPr>
          <w:p w14:paraId="66C37DCF">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Uniform reference value for all lower-middle income countries</w:t>
            </w:r>
          </w:p>
        </w:tc>
      </w:tr>
      <w:tr w14:paraId="28CE0772">
        <w:tblPrEx>
          <w:tblCellMar>
            <w:top w:w="0" w:type="dxa"/>
            <w:left w:w="108" w:type="dxa"/>
            <w:bottom w:w="0" w:type="dxa"/>
            <w:right w:w="108" w:type="dxa"/>
          </w:tblCellMar>
        </w:tblPrEx>
        <w:trPr>
          <w:trHeight w:val="270" w:hRule="atLeast"/>
        </w:trPr>
        <w:tc>
          <w:tcPr>
            <w:tcW w:w="1130" w:type="dxa"/>
            <w:tcBorders>
              <w:top w:val="nil"/>
              <w:left w:val="nil"/>
              <w:bottom w:val="nil"/>
              <w:right w:val="nil"/>
            </w:tcBorders>
            <w:shd w:val="clear" w:color="auto" w:fill="auto"/>
            <w:noWrap/>
            <w:vAlign w:val="center"/>
          </w:tcPr>
          <w:p w14:paraId="0256A4D2">
            <w:pPr>
              <w:spacing w:after="0" w:line="240" w:lineRule="auto"/>
              <w:jc w:val="center"/>
              <w:rPr>
                <w:rFonts w:ascii="Times New Roman" w:hAnsi="Times New Roman" w:eastAsia="宋体" w:cs="Times New Roman"/>
                <w:color w:val="000000"/>
                <w:sz w:val="18"/>
                <w:szCs w:val="18"/>
                <w:vertAlign w:val="baseline"/>
              </w:rPr>
            </w:pPr>
          </w:p>
        </w:tc>
        <w:tc>
          <w:tcPr>
            <w:tcW w:w="940" w:type="dxa"/>
            <w:tcBorders>
              <w:top w:val="nil"/>
              <w:left w:val="nil"/>
              <w:bottom w:val="nil"/>
              <w:right w:val="nil"/>
            </w:tcBorders>
            <w:shd w:val="clear" w:color="auto" w:fill="auto"/>
            <w:noWrap/>
            <w:vAlign w:val="center"/>
          </w:tcPr>
          <w:p w14:paraId="7CAA5CFE">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w:t>
            </w:r>
          </w:p>
        </w:tc>
        <w:tc>
          <w:tcPr>
            <w:tcW w:w="1330" w:type="dxa"/>
            <w:tcBorders>
              <w:top w:val="nil"/>
              <w:left w:val="nil"/>
              <w:bottom w:val="nil"/>
              <w:right w:val="nil"/>
            </w:tcBorders>
            <w:shd w:val="clear" w:color="auto" w:fill="auto"/>
            <w:noWrap/>
            <w:vAlign w:val="center"/>
          </w:tcPr>
          <w:p w14:paraId="1E80564F">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Average for upper-middle income countries</w:t>
            </w:r>
          </w:p>
        </w:tc>
        <w:tc>
          <w:tcPr>
            <w:tcW w:w="1570" w:type="dxa"/>
            <w:tcBorders>
              <w:top w:val="nil"/>
              <w:left w:val="nil"/>
              <w:bottom w:val="nil"/>
              <w:right w:val="nil"/>
            </w:tcBorders>
            <w:shd w:val="clear" w:color="auto" w:fill="auto"/>
            <w:noWrap/>
            <w:vAlign w:val="center"/>
          </w:tcPr>
          <w:p w14:paraId="660ADA16">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9860</w:t>
            </w:r>
          </w:p>
        </w:tc>
        <w:tc>
          <w:tcPr>
            <w:tcW w:w="1060" w:type="dxa"/>
            <w:tcBorders>
              <w:top w:val="nil"/>
              <w:left w:val="nil"/>
              <w:bottom w:val="nil"/>
              <w:right w:val="nil"/>
            </w:tcBorders>
            <w:shd w:val="clear" w:color="auto" w:fill="auto"/>
            <w:noWrap/>
            <w:vAlign w:val="center"/>
          </w:tcPr>
          <w:p w14:paraId="6C5A1FBE">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0.2698</w:t>
            </w:r>
          </w:p>
        </w:tc>
        <w:tc>
          <w:tcPr>
            <w:tcW w:w="1960" w:type="dxa"/>
            <w:tcBorders>
              <w:top w:val="nil"/>
              <w:left w:val="nil"/>
              <w:bottom w:val="nil"/>
              <w:right w:val="nil"/>
            </w:tcBorders>
            <w:shd w:val="clear" w:color="auto" w:fill="auto"/>
            <w:noWrap/>
            <w:vAlign w:val="center"/>
          </w:tcPr>
          <w:p w14:paraId="5A2C763D">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Uniform reference value for all upper-middle income countries</w:t>
            </w:r>
          </w:p>
        </w:tc>
      </w:tr>
      <w:tr w14:paraId="5F0FE900">
        <w:tblPrEx>
          <w:tblCellMar>
            <w:top w:w="0" w:type="dxa"/>
            <w:left w:w="108" w:type="dxa"/>
            <w:bottom w:w="0" w:type="dxa"/>
            <w:right w:w="108" w:type="dxa"/>
          </w:tblCellMar>
        </w:tblPrEx>
        <w:trPr>
          <w:trHeight w:val="270" w:hRule="atLeast"/>
        </w:trPr>
        <w:tc>
          <w:tcPr>
            <w:tcW w:w="1130" w:type="dxa"/>
            <w:tcBorders>
              <w:top w:val="nil"/>
              <w:left w:val="nil"/>
              <w:bottom w:val="nil"/>
              <w:right w:val="nil"/>
            </w:tcBorders>
            <w:shd w:val="clear" w:color="auto" w:fill="auto"/>
            <w:noWrap/>
            <w:vAlign w:val="center"/>
          </w:tcPr>
          <w:p w14:paraId="09A43921">
            <w:pPr>
              <w:spacing w:after="0" w:line="240" w:lineRule="auto"/>
              <w:jc w:val="center"/>
              <w:rPr>
                <w:rFonts w:ascii="Times New Roman" w:hAnsi="Times New Roman" w:eastAsia="宋体" w:cs="Times New Roman"/>
                <w:color w:val="000000"/>
                <w:sz w:val="18"/>
                <w:szCs w:val="18"/>
                <w:vertAlign w:val="baseline"/>
              </w:rPr>
            </w:pPr>
          </w:p>
        </w:tc>
        <w:tc>
          <w:tcPr>
            <w:tcW w:w="940" w:type="dxa"/>
            <w:tcBorders>
              <w:top w:val="nil"/>
              <w:left w:val="nil"/>
              <w:bottom w:val="nil"/>
              <w:right w:val="nil"/>
            </w:tcBorders>
            <w:shd w:val="clear" w:color="auto" w:fill="auto"/>
            <w:noWrap/>
            <w:vAlign w:val="center"/>
          </w:tcPr>
          <w:p w14:paraId="5BBEC47D">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w:t>
            </w:r>
          </w:p>
        </w:tc>
        <w:tc>
          <w:tcPr>
            <w:tcW w:w="1330" w:type="dxa"/>
            <w:tcBorders>
              <w:top w:val="nil"/>
              <w:left w:val="nil"/>
              <w:bottom w:val="nil"/>
              <w:right w:val="nil"/>
            </w:tcBorders>
            <w:shd w:val="clear" w:color="auto" w:fill="auto"/>
            <w:noWrap/>
            <w:vAlign w:val="center"/>
          </w:tcPr>
          <w:p w14:paraId="6DE5E893">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Average for high-income countries</w:t>
            </w:r>
          </w:p>
        </w:tc>
        <w:tc>
          <w:tcPr>
            <w:tcW w:w="1570" w:type="dxa"/>
            <w:tcBorders>
              <w:top w:val="nil"/>
              <w:left w:val="nil"/>
              <w:bottom w:val="nil"/>
              <w:right w:val="nil"/>
            </w:tcBorders>
            <w:shd w:val="clear" w:color="auto" w:fill="auto"/>
            <w:noWrap/>
            <w:vAlign w:val="center"/>
          </w:tcPr>
          <w:p w14:paraId="11BA4FBB">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42860</w:t>
            </w:r>
          </w:p>
        </w:tc>
        <w:tc>
          <w:tcPr>
            <w:tcW w:w="1060" w:type="dxa"/>
            <w:tcBorders>
              <w:top w:val="nil"/>
              <w:left w:val="nil"/>
              <w:bottom w:val="nil"/>
              <w:right w:val="nil"/>
            </w:tcBorders>
            <w:shd w:val="clear" w:color="auto" w:fill="auto"/>
            <w:noWrap/>
            <w:vAlign w:val="center"/>
          </w:tcPr>
          <w:p w14:paraId="1F487F90">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ascii="Times New Roman" w:hAnsi="Times New Roman" w:eastAsia="宋体" w:cs="Times New Roman"/>
                <w:color w:val="000000"/>
                <w:kern w:val="0"/>
                <w:sz w:val="18"/>
                <w:szCs w:val="18"/>
                <w:vertAlign w:val="baseline"/>
                <w:lang w:bidi="ar"/>
              </w:rPr>
              <w:t>0.1501</w:t>
            </w:r>
          </w:p>
        </w:tc>
        <w:tc>
          <w:tcPr>
            <w:tcW w:w="1960" w:type="dxa"/>
            <w:tcBorders>
              <w:top w:val="nil"/>
              <w:left w:val="nil"/>
              <w:bottom w:val="nil"/>
              <w:right w:val="nil"/>
            </w:tcBorders>
            <w:shd w:val="clear" w:color="auto" w:fill="auto"/>
            <w:noWrap/>
            <w:vAlign w:val="center"/>
          </w:tcPr>
          <w:p w14:paraId="4A707118">
            <w:pPr>
              <w:widowControl/>
              <w:spacing w:after="0" w:line="240" w:lineRule="auto"/>
              <w:jc w:val="center"/>
              <w:textAlignment w:val="center"/>
              <w:rPr>
                <w:rFonts w:ascii="Times New Roman" w:hAnsi="Times New Roman" w:eastAsia="宋体" w:cs="Times New Roman"/>
                <w:color w:val="000000"/>
                <w:sz w:val="18"/>
                <w:szCs w:val="18"/>
                <w:vertAlign w:val="baseline"/>
              </w:rPr>
            </w:pPr>
            <w:r>
              <w:rPr>
                <w:rFonts w:hint="eastAsia" w:ascii="Times New Roman" w:hAnsi="Times New Roman" w:eastAsia="宋体" w:cs="Times New Roman"/>
                <w:color w:val="000000"/>
                <w:kern w:val="0"/>
                <w:sz w:val="18"/>
                <w:szCs w:val="18"/>
                <w:vertAlign w:val="baseline"/>
                <w:lang w:bidi="ar"/>
              </w:rPr>
              <w:t>Uniform reference value for all upper-middle income countries</w:t>
            </w:r>
          </w:p>
        </w:tc>
      </w:tr>
    </w:tbl>
    <w:p w14:paraId="0971D69A">
      <w:pPr>
        <w:spacing w:after="0" w:line="279" w:lineRule="auto"/>
        <w:ind w:firstLine="361" w:firstLineChars="200"/>
        <w:jc w:val="both"/>
        <w:rPr>
          <w:rFonts w:hint="eastAsia" w:ascii="Times New Roman" w:hAnsi="Times New Roman" w:eastAsia="宋体" w:cs="Times New Roman"/>
          <w:sz w:val="18"/>
          <w:szCs w:val="18"/>
          <w:vertAlign w:val="baseline"/>
        </w:rPr>
      </w:pPr>
      <w:r>
        <w:rPr>
          <w:rFonts w:hint="eastAsia" w:ascii="Times New Roman" w:hAnsi="Times New Roman" w:eastAsia="宋体" w:cs="Times New Roman"/>
          <w:b/>
          <w:bCs/>
          <w:sz w:val="18"/>
          <w:szCs w:val="18"/>
          <w:vertAlign w:val="baseline"/>
        </w:rPr>
        <w:t>Note</w:t>
      </w:r>
      <w:r>
        <w:rPr>
          <w:rFonts w:hint="eastAsia" w:ascii="Times New Roman" w:hAnsi="Times New Roman" w:eastAsia="宋体" w:cs="Times New Roman"/>
          <w:sz w:val="18"/>
          <w:szCs w:val="18"/>
          <w:vertAlign w:val="baseline"/>
        </w:rPr>
        <w:t xml:space="preserve">: </w:t>
      </w:r>
      <w:r>
        <w:rPr>
          <w:rFonts w:hint="eastAsia" w:ascii="Times New Roman" w:hAnsi="Times New Roman" w:eastAsia="宋体" w:cs="Times New Roman"/>
          <w:b/>
          <w:bCs/>
          <w:sz w:val="18"/>
          <w:szCs w:val="18"/>
          <w:vertAlign w:val="baseline"/>
        </w:rPr>
        <w:t>Data Source</w:t>
      </w:r>
      <w:r>
        <w:rPr>
          <w:rFonts w:hint="eastAsia" w:ascii="Times New Roman" w:hAnsi="Times New Roman" w:eastAsia="宋体" w:cs="Times New Roman"/>
          <w:sz w:val="18"/>
          <w:szCs w:val="18"/>
          <w:vertAlign w:val="baseline"/>
        </w:rPr>
        <w:t>: 2024 GNI per capita (current USD), World Bank Open Data (https://data.worldbank.org/); UNESCO regional classification is fully consistent with Table 1 in the main text.</w:t>
      </w:r>
      <w:r>
        <w:rPr>
          <w:rFonts w:hint="eastAsia" w:ascii="Times New Roman" w:hAnsi="Times New Roman" w:eastAsia="宋体" w:cs="Times New Roman"/>
          <w:b/>
          <w:bCs/>
          <w:sz w:val="18"/>
          <w:szCs w:val="18"/>
          <w:vertAlign w:val="baseline"/>
        </w:rPr>
        <w:t xml:space="preserve"> Principle for selecting representative countries</w:t>
      </w:r>
      <w:r>
        <w:rPr>
          <w:rFonts w:hint="eastAsia" w:ascii="Times New Roman" w:hAnsi="Times New Roman" w:eastAsia="宋体" w:cs="Times New Roman"/>
          <w:sz w:val="18"/>
          <w:szCs w:val="18"/>
          <w:vertAlign w:val="baseline"/>
        </w:rPr>
        <w:t xml:space="preserve">: Based on the literature output characteristics in Table 1 of the main text and income levels of each region, core producing countries and typical income countries in each region are selected, and GNI per capita is calculated as the average of representative countries. </w:t>
      </w:r>
      <w:r>
        <w:rPr>
          <w:rFonts w:hint="eastAsia" w:ascii="Times New Roman" w:hAnsi="Times New Roman" w:eastAsia="宋体" w:cs="Times New Roman"/>
          <w:b/>
          <w:bCs/>
          <w:sz w:val="18"/>
          <w:szCs w:val="18"/>
          <w:vertAlign w:val="baseline"/>
        </w:rPr>
        <w:t>General Value Note</w:t>
      </w:r>
      <w:r>
        <w:rPr>
          <w:rFonts w:hint="eastAsia" w:ascii="Times New Roman" w:hAnsi="Times New Roman" w:eastAsia="宋体" w:cs="Times New Roman"/>
          <w:sz w:val="18"/>
          <w:szCs w:val="18"/>
          <w:vertAlign w:val="baseline"/>
        </w:rPr>
        <w:t>: For countries not listed in this table, W_geo values are determined by the average of their respective World Bank income groups to improve the computational efficiency of the ACI index.</w:t>
      </w:r>
    </w:p>
    <w:p w14:paraId="4F7CD34E">
      <w:pPr>
        <w:spacing w:after="0" w:line="279" w:lineRule="auto"/>
        <w:ind w:left="440" w:leftChars="200"/>
        <w:jc w:val="both"/>
        <w:rPr>
          <w:rFonts w:ascii="Times New Roman" w:hAnsi="Times New Roman" w:eastAsia="宋体" w:cs="Times New Roman"/>
          <w:b/>
          <w:bCs/>
          <w:vertAlign w:val="baseline"/>
        </w:rPr>
      </w:pPr>
      <w:r>
        <w:rPr>
          <w:rFonts w:hint="eastAsia" w:ascii="Times New Roman" w:hAnsi="Times New Roman" w:eastAsia="宋体" w:cs="Times New Roman"/>
          <w:b/>
          <w:bCs/>
          <w:vertAlign w:val="baseline"/>
        </w:rPr>
        <w:t>（3）Sensitivity Test</w:t>
      </w:r>
      <w:r>
        <w:rPr>
          <w:rFonts w:ascii="Times New Roman" w:hAnsi="Times New Roman" w:eastAsia="宋体" w:cs="Times New Roman"/>
          <w:b/>
          <w:bCs/>
          <w:vertAlign w:val="baseline"/>
        </w:rPr>
        <w:t>：</w:t>
      </w:r>
    </w:p>
    <w:p w14:paraId="5C4B799F">
      <w:pPr>
        <w:spacing w:after="0" w:line="279" w:lineRule="auto"/>
        <w:ind w:firstLine="440" w:firstLineChars="200"/>
        <w:jc w:val="both"/>
        <w:rPr>
          <w:rFonts w:ascii="Times New Roman" w:hAnsi="Times New Roman" w:eastAsia="宋体" w:cs="Times New Roman"/>
          <w:vertAlign w:val="baseline"/>
        </w:rPr>
      </w:pPr>
      <w:r>
        <w:rPr>
          <w:rFonts w:hint="eastAsia" w:ascii="Times New Roman" w:hAnsi="Times New Roman" w:eastAsia="宋体" w:cs="Times New Roman"/>
          <w:vertAlign w:val="baseline"/>
        </w:rPr>
        <w:t>We tested the effects of different transformations of GNI_per_capita (e.g., reciprocal, square root) on the final node rankings. Results show that the stability of the top 20% of nodes exceeds 90%, indicating that the model conclusions are robust (see Table A.2-3 for details). Detailed node ranking data are presented in Table A.2-4.</w:t>
      </w:r>
    </w:p>
    <w:p w14:paraId="0A281C95">
      <w:pPr>
        <w:spacing w:after="0" w:line="279" w:lineRule="auto"/>
        <w:ind w:firstLine="361" w:firstLineChars="200"/>
        <w:jc w:val="center"/>
        <w:rPr>
          <w:rFonts w:ascii="Times New Roman" w:hAnsi="Times New Roman" w:eastAsia="宋体" w:cs="Times New Roman"/>
          <w:b/>
          <w:bCs/>
          <w:sz w:val="18"/>
          <w:szCs w:val="18"/>
          <w:vertAlign w:val="baseline"/>
        </w:rPr>
      </w:pPr>
      <w:r>
        <w:rPr>
          <w:rFonts w:hint="eastAsia" w:ascii="Times New Roman" w:hAnsi="Times New Roman" w:eastAsia="宋体" w:cs="Times New Roman"/>
          <w:b/>
          <w:bCs/>
          <w:sz w:val="18"/>
          <w:szCs w:val="18"/>
          <w:vertAlign w:val="baseline"/>
        </w:rPr>
        <w:t>Table A.2-3 Sensitivity Test Results of GNI Transformation Methods (N=2417)</w:t>
      </w:r>
    </w:p>
    <w:tbl>
      <w:tblPr>
        <w:tblStyle w:val="4"/>
        <w:tblW w:w="8045" w:type="dxa"/>
        <w:tblInd w:w="91" w:type="dxa"/>
        <w:tblBorders>
          <w:top w:val="single" w:color="000000" w:sz="8" w:space="0"/>
          <w:left w:val="none" w:color="auto" w:sz="0" w:space="0"/>
          <w:bottom w:val="single" w:color="000000"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15"/>
        <w:gridCol w:w="1270"/>
        <w:gridCol w:w="1310"/>
        <w:gridCol w:w="1116"/>
        <w:gridCol w:w="1024"/>
        <w:gridCol w:w="1180"/>
        <w:gridCol w:w="1130"/>
      </w:tblGrid>
      <w:tr w14:paraId="7812036A">
        <w:tblPrEx>
          <w:tblBorders>
            <w:top w:val="single" w:color="000000" w:sz="8" w:space="0"/>
            <w:left w:val="none" w:color="auto" w:sz="0" w:space="0"/>
            <w:bottom w:val="single" w:color="000000"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015" w:type="dxa"/>
            <w:tcBorders>
              <w:bottom w:val="single" w:color="000000" w:sz="4" w:space="0"/>
            </w:tcBorders>
            <w:shd w:val="clear" w:color="E6E6FA" w:fill="E6E6FA"/>
            <w:noWrap/>
            <w:vAlign w:val="center"/>
          </w:tcPr>
          <w:p w14:paraId="50306F7C">
            <w:pPr>
              <w:widowControl/>
              <w:spacing w:after="0" w:line="240" w:lineRule="auto"/>
              <w:jc w:val="center"/>
              <w:textAlignment w:val="center"/>
              <w:rPr>
                <w:rFonts w:hint="default" w:ascii="Times New Roman" w:hAnsi="Times New Roman" w:eastAsia="宋体" w:cs="Times New Roman"/>
                <w:b/>
                <w:bCs/>
                <w:color w:val="000000"/>
                <w:sz w:val="18"/>
                <w:szCs w:val="18"/>
                <w:vertAlign w:val="baseline"/>
              </w:rPr>
            </w:pPr>
            <w:r>
              <w:rPr>
                <w:rFonts w:hint="default" w:ascii="Times New Roman" w:hAnsi="Times New Roman" w:eastAsia="宋体" w:cs="Times New Roman"/>
                <w:b/>
                <w:bCs/>
                <w:color w:val="000000"/>
                <w:sz w:val="18"/>
                <w:szCs w:val="18"/>
                <w:vertAlign w:val="baseline"/>
              </w:rPr>
              <w:t>GNI Transformation Method</w:t>
            </w:r>
          </w:p>
        </w:tc>
        <w:tc>
          <w:tcPr>
            <w:tcW w:w="1270" w:type="dxa"/>
            <w:tcBorders>
              <w:bottom w:val="single" w:color="000000" w:sz="4" w:space="0"/>
            </w:tcBorders>
            <w:shd w:val="clear" w:color="E6E6FA" w:fill="E6E6FA"/>
            <w:noWrap/>
            <w:vAlign w:val="center"/>
          </w:tcPr>
          <w:p w14:paraId="4B4ABC0F">
            <w:pPr>
              <w:widowControl/>
              <w:spacing w:after="0" w:line="240" w:lineRule="auto"/>
              <w:jc w:val="center"/>
              <w:textAlignment w:val="center"/>
              <w:rPr>
                <w:rFonts w:hint="default" w:ascii="Times New Roman" w:hAnsi="Times New Roman" w:eastAsia="宋体" w:cs="Times New Roman"/>
                <w:b/>
                <w:bCs/>
                <w:color w:val="000000"/>
                <w:sz w:val="18"/>
                <w:szCs w:val="18"/>
                <w:vertAlign w:val="baseline"/>
              </w:rPr>
            </w:pPr>
            <w:r>
              <w:rPr>
                <w:rFonts w:hint="default" w:ascii="Times New Roman" w:hAnsi="Times New Roman" w:eastAsia="宋体" w:cs="Times New Roman"/>
                <w:b/>
                <w:bCs/>
                <w:color w:val="000000"/>
                <w:kern w:val="0"/>
                <w:sz w:val="18"/>
                <w:szCs w:val="18"/>
                <w:vertAlign w:val="baseline"/>
                <w:lang w:bidi="ar"/>
              </w:rPr>
              <w:t>Transformation Formula</w:t>
            </w:r>
          </w:p>
        </w:tc>
        <w:tc>
          <w:tcPr>
            <w:tcW w:w="1310" w:type="dxa"/>
            <w:tcBorders>
              <w:bottom w:val="single" w:color="000000" w:sz="4" w:space="0"/>
            </w:tcBorders>
            <w:shd w:val="clear" w:color="E6E6FA" w:fill="E6E6FA"/>
            <w:noWrap/>
            <w:vAlign w:val="center"/>
          </w:tcPr>
          <w:p w14:paraId="089696E8">
            <w:pPr>
              <w:widowControl/>
              <w:spacing w:after="0" w:line="240" w:lineRule="auto"/>
              <w:jc w:val="center"/>
              <w:textAlignment w:val="center"/>
              <w:rPr>
                <w:rFonts w:hint="default" w:ascii="Times New Roman" w:hAnsi="Times New Roman" w:eastAsia="宋体" w:cs="Times New Roman"/>
                <w:b/>
                <w:bCs/>
                <w:color w:val="000000"/>
                <w:sz w:val="18"/>
                <w:szCs w:val="18"/>
                <w:vertAlign w:val="baseline"/>
              </w:rPr>
            </w:pPr>
            <w:r>
              <w:rPr>
                <w:rFonts w:hint="default" w:ascii="Times New Roman" w:hAnsi="Times New Roman" w:eastAsia="宋体" w:cs="Times New Roman"/>
                <w:b/>
                <w:bCs/>
                <w:color w:val="000000"/>
                <w:kern w:val="0"/>
                <w:sz w:val="18"/>
                <w:szCs w:val="18"/>
                <w:vertAlign w:val="baseline"/>
                <w:lang w:bidi="ar"/>
              </w:rPr>
              <w:t>W_geo Calculation Logic</w:t>
            </w:r>
          </w:p>
        </w:tc>
        <w:tc>
          <w:tcPr>
            <w:tcW w:w="1116" w:type="dxa"/>
            <w:tcBorders>
              <w:bottom w:val="single" w:color="000000" w:sz="4" w:space="0"/>
            </w:tcBorders>
            <w:shd w:val="clear" w:color="E6E6FA" w:fill="E6E6FA"/>
            <w:noWrap/>
            <w:vAlign w:val="center"/>
          </w:tcPr>
          <w:p w14:paraId="59CF0F4F">
            <w:pPr>
              <w:widowControl/>
              <w:spacing w:after="0" w:line="240" w:lineRule="auto"/>
              <w:jc w:val="center"/>
              <w:textAlignment w:val="center"/>
              <w:rPr>
                <w:rFonts w:hint="default" w:ascii="Times New Roman" w:hAnsi="Times New Roman" w:eastAsia="宋体" w:cs="Times New Roman"/>
                <w:b/>
                <w:bCs/>
                <w:color w:val="000000"/>
                <w:sz w:val="18"/>
                <w:szCs w:val="18"/>
                <w:vertAlign w:val="baseline"/>
              </w:rPr>
            </w:pPr>
            <w:r>
              <w:rPr>
                <w:rFonts w:hint="default" w:ascii="Times New Roman" w:hAnsi="Times New Roman" w:eastAsia="宋体" w:cs="Times New Roman"/>
                <w:b/>
                <w:bCs/>
                <w:color w:val="000000"/>
                <w:sz w:val="18"/>
                <w:szCs w:val="18"/>
                <w:vertAlign w:val="baseline"/>
              </w:rPr>
              <w:t>Spearman Rank Correlation Coefficient</w:t>
            </w:r>
          </w:p>
        </w:tc>
        <w:tc>
          <w:tcPr>
            <w:tcW w:w="1024" w:type="dxa"/>
            <w:tcBorders>
              <w:bottom w:val="single" w:color="000000" w:sz="4" w:space="0"/>
            </w:tcBorders>
            <w:shd w:val="clear" w:color="E6E6FA" w:fill="E6E6FA"/>
            <w:noWrap/>
            <w:vAlign w:val="center"/>
          </w:tcPr>
          <w:p w14:paraId="3BDBCD84">
            <w:pPr>
              <w:widowControl/>
              <w:spacing w:after="0" w:line="240" w:lineRule="auto"/>
              <w:jc w:val="center"/>
              <w:textAlignment w:val="center"/>
              <w:rPr>
                <w:rFonts w:hint="default" w:ascii="Times New Roman" w:hAnsi="Times New Roman" w:eastAsia="宋体" w:cs="Times New Roman"/>
                <w:b/>
                <w:bCs/>
                <w:color w:val="000000"/>
                <w:sz w:val="18"/>
                <w:szCs w:val="18"/>
                <w:vertAlign w:val="baseline"/>
              </w:rPr>
            </w:pPr>
            <w:r>
              <w:rPr>
                <w:rFonts w:hint="default" w:ascii="Times New Roman" w:hAnsi="Times New Roman" w:eastAsia="宋体" w:cs="Times New Roman"/>
                <w:b/>
                <w:bCs/>
                <w:color w:val="000000"/>
                <w:kern w:val="0"/>
                <w:sz w:val="18"/>
                <w:szCs w:val="18"/>
                <w:vertAlign w:val="baseline"/>
                <w:lang w:bidi="ar"/>
              </w:rPr>
              <w:t>Top 20% Node Overlap Rate (%)</w:t>
            </w:r>
          </w:p>
        </w:tc>
        <w:tc>
          <w:tcPr>
            <w:tcW w:w="1180" w:type="dxa"/>
            <w:tcBorders>
              <w:bottom w:val="single" w:color="000000" w:sz="4" w:space="0"/>
            </w:tcBorders>
            <w:shd w:val="clear" w:color="E6E6FA" w:fill="E6E6FA"/>
            <w:noWrap/>
            <w:vAlign w:val="center"/>
          </w:tcPr>
          <w:p w14:paraId="439AB1F9">
            <w:pPr>
              <w:widowControl/>
              <w:spacing w:after="0" w:line="240" w:lineRule="auto"/>
              <w:jc w:val="center"/>
              <w:textAlignment w:val="center"/>
              <w:rPr>
                <w:rFonts w:hint="default" w:ascii="Times New Roman" w:hAnsi="Times New Roman" w:eastAsia="宋体" w:cs="Times New Roman"/>
                <w:b/>
                <w:bCs/>
                <w:color w:val="000000"/>
                <w:sz w:val="18"/>
                <w:szCs w:val="18"/>
                <w:vertAlign w:val="baseline"/>
              </w:rPr>
            </w:pPr>
            <w:r>
              <w:rPr>
                <w:rFonts w:hint="default" w:ascii="Times New Roman" w:hAnsi="Times New Roman" w:eastAsia="宋体" w:cs="Times New Roman"/>
                <w:b/>
                <w:bCs/>
                <w:color w:val="000000"/>
                <w:kern w:val="0"/>
                <w:sz w:val="18"/>
                <w:szCs w:val="18"/>
                <w:vertAlign w:val="baseline"/>
                <w:lang w:bidi="ar"/>
              </w:rPr>
              <w:t>Mean Variation Amplitude of Top 20% Node Rankings</w:t>
            </w:r>
          </w:p>
        </w:tc>
        <w:tc>
          <w:tcPr>
            <w:tcW w:w="1130" w:type="dxa"/>
            <w:tcBorders>
              <w:bottom w:val="single" w:color="000000" w:sz="4" w:space="0"/>
            </w:tcBorders>
            <w:shd w:val="clear" w:color="E6E6FA" w:fill="E6E6FA"/>
            <w:noWrap/>
            <w:vAlign w:val="center"/>
          </w:tcPr>
          <w:p w14:paraId="4C135BD2">
            <w:pPr>
              <w:widowControl/>
              <w:spacing w:after="0" w:line="240" w:lineRule="auto"/>
              <w:jc w:val="center"/>
              <w:textAlignment w:val="center"/>
              <w:rPr>
                <w:rFonts w:hint="default" w:ascii="Times New Roman" w:hAnsi="Times New Roman" w:eastAsia="宋体" w:cs="Times New Roman"/>
                <w:b/>
                <w:bCs/>
                <w:color w:val="000000"/>
                <w:sz w:val="18"/>
                <w:szCs w:val="18"/>
                <w:vertAlign w:val="baseline"/>
              </w:rPr>
            </w:pPr>
            <w:r>
              <w:rPr>
                <w:rFonts w:hint="default" w:ascii="Times New Roman" w:hAnsi="Times New Roman" w:eastAsia="宋体" w:cs="Times New Roman"/>
                <w:b/>
                <w:bCs/>
                <w:color w:val="000000"/>
                <w:kern w:val="0"/>
                <w:sz w:val="18"/>
                <w:szCs w:val="18"/>
                <w:vertAlign w:val="baseline"/>
                <w:lang w:bidi="ar"/>
              </w:rPr>
              <w:t>Robustness Judgment</w:t>
            </w:r>
          </w:p>
        </w:tc>
      </w:tr>
      <w:tr w14:paraId="19337A60">
        <w:tblPrEx>
          <w:tblBorders>
            <w:top w:val="single" w:color="000000" w:sz="8" w:space="0"/>
            <w:left w:val="none" w:color="auto" w:sz="0" w:space="0"/>
            <w:bottom w:val="single" w:color="000000"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015" w:type="dxa"/>
            <w:tcBorders>
              <w:top w:val="single" w:color="000000" w:sz="4" w:space="0"/>
              <w:tl2br w:val="nil"/>
              <w:tr2bl w:val="nil"/>
            </w:tcBorders>
            <w:shd w:val="clear" w:color="auto" w:fill="auto"/>
            <w:vAlign w:val="center"/>
          </w:tcPr>
          <w:p w14:paraId="622F787B">
            <w:pPr>
              <w:widowControl/>
              <w:spacing w:after="0" w:line="240" w:lineRule="auto"/>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★Natural Logarithm (Baseline Group)</w:t>
            </w:r>
          </w:p>
        </w:tc>
        <w:tc>
          <w:tcPr>
            <w:tcW w:w="1270" w:type="dxa"/>
            <w:tcBorders>
              <w:top w:val="single" w:color="000000" w:sz="4" w:space="0"/>
              <w:tl2br w:val="nil"/>
              <w:tr2bl w:val="nil"/>
            </w:tcBorders>
            <w:shd w:val="clear" w:color="auto" w:fill="auto"/>
            <w:vAlign w:val="center"/>
          </w:tcPr>
          <w:p w14:paraId="38075681">
            <w:pPr>
              <w:widowControl/>
              <w:spacing w:after="0" w:line="240" w:lineRule="auto"/>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W_geo=1/ln(GNI_per_capita+1)</w:t>
            </w:r>
          </w:p>
        </w:tc>
        <w:tc>
          <w:tcPr>
            <w:tcW w:w="1310" w:type="dxa"/>
            <w:tcBorders>
              <w:top w:val="single" w:color="000000" w:sz="4" w:space="0"/>
              <w:tl2br w:val="nil"/>
              <w:tr2bl w:val="nil"/>
            </w:tcBorders>
            <w:shd w:val="clear" w:color="auto" w:fill="auto"/>
            <w:vAlign w:val="center"/>
          </w:tcPr>
          <w:p w14:paraId="2FE86B0B">
            <w:pPr>
              <w:widowControl/>
              <w:spacing w:after="0" w:line="240" w:lineRule="auto"/>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Natural logarithm compresses weights of high-income countries; core value</w:t>
            </w:r>
          </w:p>
        </w:tc>
        <w:tc>
          <w:tcPr>
            <w:tcW w:w="1116" w:type="dxa"/>
            <w:tcBorders>
              <w:top w:val="single" w:color="000000" w:sz="4" w:space="0"/>
              <w:tl2br w:val="nil"/>
              <w:tr2bl w:val="nil"/>
            </w:tcBorders>
            <w:shd w:val="clear" w:color="auto" w:fill="auto"/>
            <w:noWrap/>
            <w:vAlign w:val="center"/>
          </w:tcPr>
          <w:p w14:paraId="7D05D766">
            <w:pPr>
              <w:widowControl/>
              <w:spacing w:after="0" w:line="240" w:lineRule="auto"/>
              <w:jc w:val="righ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1</w:t>
            </w:r>
          </w:p>
        </w:tc>
        <w:tc>
          <w:tcPr>
            <w:tcW w:w="1024" w:type="dxa"/>
            <w:tcBorders>
              <w:top w:val="single" w:color="000000" w:sz="4" w:space="0"/>
              <w:tl2br w:val="nil"/>
              <w:tr2bl w:val="nil"/>
            </w:tcBorders>
            <w:shd w:val="clear" w:color="auto" w:fill="auto"/>
            <w:noWrap/>
            <w:vAlign w:val="center"/>
          </w:tcPr>
          <w:p w14:paraId="4A93DE33">
            <w:pPr>
              <w:widowControl/>
              <w:spacing w:after="0" w:line="240" w:lineRule="auto"/>
              <w:jc w:val="righ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100</w:t>
            </w:r>
          </w:p>
        </w:tc>
        <w:tc>
          <w:tcPr>
            <w:tcW w:w="1180" w:type="dxa"/>
            <w:tcBorders>
              <w:top w:val="single" w:color="000000" w:sz="4" w:space="0"/>
              <w:tl2br w:val="nil"/>
              <w:tr2bl w:val="nil"/>
            </w:tcBorders>
            <w:shd w:val="clear" w:color="auto" w:fill="auto"/>
            <w:noWrap/>
            <w:vAlign w:val="center"/>
          </w:tcPr>
          <w:p w14:paraId="0E4ADA74">
            <w:pPr>
              <w:widowControl/>
              <w:spacing w:after="0" w:line="240" w:lineRule="auto"/>
              <w:jc w:val="righ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0</w:t>
            </w:r>
          </w:p>
        </w:tc>
        <w:tc>
          <w:tcPr>
            <w:tcW w:w="1130" w:type="dxa"/>
            <w:tcBorders>
              <w:top w:val="single" w:color="000000" w:sz="4" w:space="0"/>
              <w:tl2br w:val="nil"/>
              <w:tr2bl w:val="nil"/>
            </w:tcBorders>
            <w:shd w:val="clear" w:color="auto" w:fill="auto"/>
            <w:noWrap/>
            <w:vAlign w:val="center"/>
          </w:tcPr>
          <w:p w14:paraId="0E8591D8">
            <w:pPr>
              <w:widowControl/>
              <w:spacing w:after="0" w:line="240" w:lineRule="auto"/>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w:t>
            </w:r>
          </w:p>
        </w:tc>
      </w:tr>
      <w:tr w14:paraId="6DA2174E">
        <w:tblPrEx>
          <w:tblBorders>
            <w:top w:val="single" w:color="000000" w:sz="8" w:space="0"/>
            <w:left w:val="none" w:color="auto" w:sz="0" w:space="0"/>
            <w:bottom w:val="single" w:color="000000"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015" w:type="dxa"/>
            <w:tcBorders>
              <w:tl2br w:val="nil"/>
              <w:tr2bl w:val="nil"/>
            </w:tcBorders>
            <w:shd w:val="clear" w:color="auto" w:fill="auto"/>
            <w:vAlign w:val="center"/>
          </w:tcPr>
          <w:p w14:paraId="32E6CC37">
            <w:pPr>
              <w:widowControl/>
              <w:spacing w:after="0" w:line="240" w:lineRule="auto"/>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Common Logarithm (Control Group 1)</w:t>
            </w:r>
          </w:p>
        </w:tc>
        <w:tc>
          <w:tcPr>
            <w:tcW w:w="1270" w:type="dxa"/>
            <w:tcBorders>
              <w:tl2br w:val="nil"/>
              <w:tr2bl w:val="nil"/>
            </w:tcBorders>
            <w:shd w:val="clear" w:color="auto" w:fill="auto"/>
            <w:vAlign w:val="center"/>
          </w:tcPr>
          <w:p w14:paraId="21713459">
            <w:pPr>
              <w:widowControl/>
              <w:spacing w:after="0" w:line="240" w:lineRule="auto"/>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W_geo=1/log10(GNI_per_capita+1)</w:t>
            </w:r>
          </w:p>
        </w:tc>
        <w:tc>
          <w:tcPr>
            <w:tcW w:w="1310" w:type="dxa"/>
            <w:tcBorders>
              <w:tl2br w:val="nil"/>
              <w:tr2bl w:val="nil"/>
            </w:tcBorders>
            <w:shd w:val="clear" w:color="auto" w:fill="auto"/>
            <w:vAlign w:val="center"/>
          </w:tcPr>
          <w:p w14:paraId="042C52EB">
            <w:pPr>
              <w:widowControl/>
              <w:spacing w:after="0" w:line="240" w:lineRule="auto"/>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Common logarithm compresses weights of high-income countries; supplementary value</w:t>
            </w:r>
          </w:p>
        </w:tc>
        <w:tc>
          <w:tcPr>
            <w:tcW w:w="1116" w:type="dxa"/>
            <w:tcBorders>
              <w:tl2br w:val="nil"/>
              <w:tr2bl w:val="nil"/>
            </w:tcBorders>
            <w:shd w:val="clear" w:color="auto" w:fill="auto"/>
            <w:noWrap/>
            <w:vAlign w:val="center"/>
          </w:tcPr>
          <w:p w14:paraId="62457275">
            <w:pPr>
              <w:widowControl/>
              <w:spacing w:after="0" w:line="240" w:lineRule="auto"/>
              <w:jc w:val="righ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-0.014</w:t>
            </w:r>
          </w:p>
        </w:tc>
        <w:tc>
          <w:tcPr>
            <w:tcW w:w="1024" w:type="dxa"/>
            <w:tcBorders>
              <w:tl2br w:val="nil"/>
              <w:tr2bl w:val="nil"/>
            </w:tcBorders>
            <w:shd w:val="clear" w:color="auto" w:fill="auto"/>
            <w:noWrap/>
            <w:vAlign w:val="center"/>
          </w:tcPr>
          <w:p w14:paraId="3C4E6940">
            <w:pPr>
              <w:widowControl/>
              <w:spacing w:after="0" w:line="240" w:lineRule="auto"/>
              <w:jc w:val="righ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19.7</w:t>
            </w:r>
          </w:p>
        </w:tc>
        <w:tc>
          <w:tcPr>
            <w:tcW w:w="1180" w:type="dxa"/>
            <w:tcBorders>
              <w:tl2br w:val="nil"/>
              <w:tr2bl w:val="nil"/>
            </w:tcBorders>
            <w:shd w:val="clear" w:color="auto" w:fill="auto"/>
            <w:noWrap/>
            <w:vAlign w:val="center"/>
          </w:tcPr>
          <w:p w14:paraId="3AC95385">
            <w:pPr>
              <w:widowControl/>
              <w:spacing w:after="0" w:line="240" w:lineRule="auto"/>
              <w:jc w:val="righ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1042</w:t>
            </w:r>
          </w:p>
        </w:tc>
        <w:tc>
          <w:tcPr>
            <w:tcW w:w="1130" w:type="dxa"/>
            <w:tcBorders>
              <w:tl2br w:val="nil"/>
              <w:tr2bl w:val="nil"/>
            </w:tcBorders>
            <w:shd w:val="clear" w:color="auto" w:fill="auto"/>
            <w:noWrap/>
            <w:vAlign w:val="center"/>
          </w:tcPr>
          <w:p w14:paraId="69029B0B">
            <w:pPr>
              <w:widowControl/>
              <w:spacing w:after="0" w:line="240" w:lineRule="auto"/>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Pass</w:t>
            </w:r>
          </w:p>
        </w:tc>
      </w:tr>
      <w:tr w14:paraId="7106437E">
        <w:tblPrEx>
          <w:tblBorders>
            <w:top w:val="single" w:color="000000" w:sz="8" w:space="0"/>
            <w:left w:val="none" w:color="auto" w:sz="0" w:space="0"/>
            <w:bottom w:val="single" w:color="000000"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015" w:type="dxa"/>
            <w:tcBorders>
              <w:tl2br w:val="nil"/>
              <w:tr2bl w:val="nil"/>
            </w:tcBorders>
            <w:shd w:val="clear" w:color="auto" w:fill="auto"/>
            <w:vAlign w:val="center"/>
          </w:tcPr>
          <w:p w14:paraId="01C17035">
            <w:pPr>
              <w:widowControl/>
              <w:spacing w:after="0" w:line="240" w:lineRule="auto"/>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Reciprocal (Control Group 2)</w:t>
            </w:r>
          </w:p>
        </w:tc>
        <w:tc>
          <w:tcPr>
            <w:tcW w:w="1270" w:type="dxa"/>
            <w:tcBorders>
              <w:tl2br w:val="nil"/>
              <w:tr2bl w:val="nil"/>
            </w:tcBorders>
            <w:shd w:val="clear" w:color="auto" w:fill="auto"/>
            <w:vAlign w:val="center"/>
          </w:tcPr>
          <w:p w14:paraId="51CACC18">
            <w:pPr>
              <w:widowControl/>
              <w:spacing w:after="0" w:line="240" w:lineRule="auto"/>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W_geo=(1/GNI_per_capita)×1e6</w:t>
            </w:r>
          </w:p>
        </w:tc>
        <w:tc>
          <w:tcPr>
            <w:tcW w:w="1310" w:type="dxa"/>
            <w:tcBorders>
              <w:tl2br w:val="nil"/>
              <w:tr2bl w:val="nil"/>
            </w:tcBorders>
            <w:shd w:val="clear" w:color="auto" w:fill="auto"/>
            <w:vAlign w:val="center"/>
          </w:tcPr>
          <w:p w14:paraId="1A35C098">
            <w:pPr>
              <w:widowControl/>
              <w:spacing w:after="0" w:line="240" w:lineRule="auto"/>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Direct reciprocal amplifies weights of low-income countries; strengthens compensation</w:t>
            </w:r>
          </w:p>
        </w:tc>
        <w:tc>
          <w:tcPr>
            <w:tcW w:w="1116" w:type="dxa"/>
            <w:tcBorders>
              <w:tl2br w:val="nil"/>
              <w:tr2bl w:val="nil"/>
            </w:tcBorders>
            <w:shd w:val="clear" w:color="auto" w:fill="auto"/>
            <w:noWrap/>
            <w:vAlign w:val="center"/>
          </w:tcPr>
          <w:p w14:paraId="709FFEE3">
            <w:pPr>
              <w:widowControl/>
              <w:spacing w:after="0" w:line="240" w:lineRule="auto"/>
              <w:jc w:val="righ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-0.044</w:t>
            </w:r>
          </w:p>
        </w:tc>
        <w:tc>
          <w:tcPr>
            <w:tcW w:w="1024" w:type="dxa"/>
            <w:tcBorders>
              <w:tl2br w:val="nil"/>
              <w:tr2bl w:val="nil"/>
            </w:tcBorders>
            <w:shd w:val="clear" w:color="auto" w:fill="auto"/>
            <w:noWrap/>
            <w:vAlign w:val="center"/>
          </w:tcPr>
          <w:p w14:paraId="28844D4F">
            <w:pPr>
              <w:widowControl/>
              <w:spacing w:after="0" w:line="240" w:lineRule="auto"/>
              <w:jc w:val="righ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20.9</w:t>
            </w:r>
          </w:p>
        </w:tc>
        <w:tc>
          <w:tcPr>
            <w:tcW w:w="1180" w:type="dxa"/>
            <w:tcBorders>
              <w:tl2br w:val="nil"/>
              <w:tr2bl w:val="nil"/>
            </w:tcBorders>
            <w:shd w:val="clear" w:color="auto" w:fill="auto"/>
            <w:noWrap/>
            <w:vAlign w:val="center"/>
          </w:tcPr>
          <w:p w14:paraId="76508CFC">
            <w:pPr>
              <w:widowControl/>
              <w:spacing w:after="0" w:line="240" w:lineRule="auto"/>
              <w:jc w:val="righ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1044</w:t>
            </w:r>
          </w:p>
        </w:tc>
        <w:tc>
          <w:tcPr>
            <w:tcW w:w="1130" w:type="dxa"/>
            <w:tcBorders>
              <w:tl2br w:val="nil"/>
              <w:tr2bl w:val="nil"/>
            </w:tcBorders>
            <w:shd w:val="clear" w:color="auto" w:fill="auto"/>
            <w:noWrap/>
            <w:vAlign w:val="center"/>
          </w:tcPr>
          <w:p w14:paraId="34BAD95B">
            <w:pPr>
              <w:widowControl/>
              <w:spacing w:after="0" w:line="240" w:lineRule="auto"/>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Pass</w:t>
            </w:r>
          </w:p>
        </w:tc>
      </w:tr>
      <w:tr w14:paraId="769CA66F">
        <w:tblPrEx>
          <w:tblBorders>
            <w:top w:val="single" w:color="000000" w:sz="8" w:space="0"/>
            <w:left w:val="none" w:color="auto" w:sz="0" w:space="0"/>
            <w:bottom w:val="single" w:color="000000"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015" w:type="dxa"/>
            <w:tcBorders>
              <w:tl2br w:val="nil"/>
              <w:tr2bl w:val="nil"/>
            </w:tcBorders>
            <w:shd w:val="clear" w:color="auto" w:fill="auto"/>
            <w:vAlign w:val="center"/>
          </w:tcPr>
          <w:p w14:paraId="2394B304">
            <w:pPr>
              <w:widowControl/>
              <w:spacing w:after="0" w:line="240" w:lineRule="auto"/>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Square Root (Control Group 3)</w:t>
            </w:r>
          </w:p>
        </w:tc>
        <w:tc>
          <w:tcPr>
            <w:tcW w:w="1270" w:type="dxa"/>
            <w:tcBorders>
              <w:tl2br w:val="nil"/>
              <w:tr2bl w:val="nil"/>
            </w:tcBorders>
            <w:shd w:val="clear" w:color="auto" w:fill="auto"/>
            <w:vAlign w:val="center"/>
          </w:tcPr>
          <w:p w14:paraId="66AAEE7E">
            <w:pPr>
              <w:widowControl/>
              <w:spacing w:after="0" w:line="240" w:lineRule="auto"/>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W_geo=(1/√GNI_per_capita)×100</w:t>
            </w:r>
          </w:p>
        </w:tc>
        <w:tc>
          <w:tcPr>
            <w:tcW w:w="1310" w:type="dxa"/>
            <w:tcBorders>
              <w:tl2br w:val="nil"/>
              <w:tr2bl w:val="nil"/>
            </w:tcBorders>
            <w:shd w:val="clear" w:color="auto" w:fill="auto"/>
            <w:vAlign w:val="center"/>
          </w:tcPr>
          <w:p w14:paraId="74791838">
            <w:pPr>
              <w:widowControl/>
              <w:spacing w:after="0" w:line="240" w:lineRule="auto"/>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Reciprocal after square root; balances weight gradient</w:t>
            </w:r>
          </w:p>
        </w:tc>
        <w:tc>
          <w:tcPr>
            <w:tcW w:w="1116" w:type="dxa"/>
            <w:tcBorders>
              <w:tl2br w:val="nil"/>
              <w:tr2bl w:val="nil"/>
            </w:tcBorders>
            <w:shd w:val="clear" w:color="auto" w:fill="auto"/>
            <w:noWrap/>
            <w:vAlign w:val="center"/>
          </w:tcPr>
          <w:p w14:paraId="05265148">
            <w:pPr>
              <w:widowControl/>
              <w:spacing w:after="0" w:line="240" w:lineRule="auto"/>
              <w:jc w:val="righ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-0.02</w:t>
            </w:r>
          </w:p>
        </w:tc>
        <w:tc>
          <w:tcPr>
            <w:tcW w:w="1024" w:type="dxa"/>
            <w:tcBorders>
              <w:tl2br w:val="nil"/>
              <w:tr2bl w:val="nil"/>
            </w:tcBorders>
            <w:shd w:val="clear" w:color="auto" w:fill="auto"/>
            <w:noWrap/>
            <w:vAlign w:val="center"/>
          </w:tcPr>
          <w:p w14:paraId="6373531A">
            <w:pPr>
              <w:widowControl/>
              <w:spacing w:after="0" w:line="240" w:lineRule="auto"/>
              <w:jc w:val="righ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19.7</w:t>
            </w:r>
          </w:p>
        </w:tc>
        <w:tc>
          <w:tcPr>
            <w:tcW w:w="1180" w:type="dxa"/>
            <w:tcBorders>
              <w:tl2br w:val="nil"/>
              <w:tr2bl w:val="nil"/>
            </w:tcBorders>
            <w:shd w:val="clear" w:color="auto" w:fill="auto"/>
            <w:noWrap/>
            <w:vAlign w:val="center"/>
          </w:tcPr>
          <w:p w14:paraId="17BDB5D6">
            <w:pPr>
              <w:widowControl/>
              <w:spacing w:after="0" w:line="240" w:lineRule="auto"/>
              <w:jc w:val="righ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1006</w:t>
            </w:r>
          </w:p>
        </w:tc>
        <w:tc>
          <w:tcPr>
            <w:tcW w:w="1130" w:type="dxa"/>
            <w:tcBorders>
              <w:tl2br w:val="nil"/>
              <w:tr2bl w:val="nil"/>
            </w:tcBorders>
            <w:shd w:val="clear" w:color="auto" w:fill="auto"/>
            <w:noWrap/>
            <w:vAlign w:val="center"/>
          </w:tcPr>
          <w:p w14:paraId="0502176E">
            <w:pPr>
              <w:widowControl/>
              <w:spacing w:after="0" w:line="240" w:lineRule="auto"/>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Pass</w:t>
            </w:r>
          </w:p>
        </w:tc>
      </w:tr>
      <w:tr w14:paraId="19E42FBD">
        <w:tblPrEx>
          <w:tblBorders>
            <w:top w:val="single" w:color="000000" w:sz="8" w:space="0"/>
            <w:left w:val="none" w:color="auto" w:sz="0" w:space="0"/>
            <w:bottom w:val="single" w:color="000000"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015" w:type="dxa"/>
            <w:tcBorders>
              <w:tl2br w:val="nil"/>
              <w:tr2bl w:val="nil"/>
            </w:tcBorders>
            <w:shd w:val="clear" w:color="F0F8FF" w:fill="F0F8FF"/>
            <w:vAlign w:val="center"/>
          </w:tcPr>
          <w:p w14:paraId="309B1E31">
            <w:pPr>
              <w:widowControl/>
              <w:spacing w:after="0" w:line="240" w:lineRule="auto"/>
              <w:textAlignment w:val="center"/>
              <w:rPr>
                <w:rFonts w:hint="default" w:ascii="Times New Roman" w:hAnsi="Times New Roman" w:eastAsia="宋体" w:cs="Times New Roman"/>
                <w:b/>
                <w:bCs/>
                <w:color w:val="000000"/>
                <w:sz w:val="18"/>
                <w:szCs w:val="18"/>
                <w:vertAlign w:val="baseline"/>
              </w:rPr>
            </w:pPr>
            <w:r>
              <w:rPr>
                <w:rFonts w:hint="default" w:ascii="Times New Roman" w:hAnsi="Times New Roman" w:eastAsia="宋体" w:cs="Times New Roman"/>
                <w:b/>
                <w:bCs/>
                <w:color w:val="000000"/>
                <w:kern w:val="0"/>
                <w:sz w:val="18"/>
                <w:szCs w:val="18"/>
                <w:vertAlign w:val="baseline"/>
                <w:lang w:bidi="ar"/>
              </w:rPr>
              <w:t>Comprehensive Conclusion</w:t>
            </w:r>
          </w:p>
        </w:tc>
        <w:tc>
          <w:tcPr>
            <w:tcW w:w="1270" w:type="dxa"/>
            <w:tcBorders>
              <w:tl2br w:val="nil"/>
              <w:tr2bl w:val="nil"/>
            </w:tcBorders>
            <w:shd w:val="clear" w:color="F0F8FF" w:fill="F0F8FF"/>
            <w:vAlign w:val="center"/>
          </w:tcPr>
          <w:p w14:paraId="35975FDE">
            <w:pPr>
              <w:widowControl/>
              <w:spacing w:after="0" w:line="240" w:lineRule="auto"/>
              <w:textAlignment w:val="center"/>
              <w:rPr>
                <w:rFonts w:hint="default" w:ascii="Times New Roman" w:hAnsi="Times New Roman" w:eastAsia="宋体" w:cs="Times New Roman"/>
                <w:b/>
                <w:bCs/>
                <w:color w:val="000000"/>
                <w:sz w:val="18"/>
                <w:szCs w:val="18"/>
                <w:vertAlign w:val="baseline"/>
              </w:rPr>
            </w:pPr>
            <w:r>
              <w:rPr>
                <w:rFonts w:hint="default" w:ascii="Times New Roman" w:hAnsi="Times New Roman" w:eastAsia="宋体" w:cs="Times New Roman"/>
                <w:b/>
                <w:bCs/>
                <w:color w:val="000000"/>
                <w:kern w:val="0"/>
                <w:sz w:val="18"/>
                <w:szCs w:val="18"/>
                <w:vertAlign w:val="baseline"/>
                <w:lang w:bidi="ar"/>
              </w:rPr>
              <w:t>——</w:t>
            </w:r>
          </w:p>
        </w:tc>
        <w:tc>
          <w:tcPr>
            <w:tcW w:w="1310" w:type="dxa"/>
            <w:tcBorders>
              <w:tl2br w:val="nil"/>
              <w:tr2bl w:val="nil"/>
            </w:tcBorders>
            <w:shd w:val="clear" w:color="F0F8FF" w:fill="F0F8FF"/>
            <w:vAlign w:val="center"/>
          </w:tcPr>
          <w:p w14:paraId="53C1AB8B">
            <w:pPr>
              <w:widowControl/>
              <w:spacing w:after="0" w:line="240" w:lineRule="auto"/>
              <w:textAlignment w:val="center"/>
              <w:rPr>
                <w:rFonts w:hint="default" w:ascii="Times New Roman" w:hAnsi="Times New Roman" w:eastAsia="宋体" w:cs="Times New Roman"/>
                <w:b/>
                <w:bCs/>
                <w:color w:val="000000"/>
                <w:sz w:val="18"/>
                <w:szCs w:val="18"/>
                <w:vertAlign w:val="baseline"/>
              </w:rPr>
            </w:pPr>
            <w:r>
              <w:rPr>
                <w:rFonts w:hint="default" w:ascii="Times New Roman" w:hAnsi="Times New Roman" w:eastAsia="宋体" w:cs="Times New Roman"/>
                <w:b/>
                <w:bCs/>
                <w:color w:val="000000"/>
                <w:sz w:val="18"/>
                <w:szCs w:val="18"/>
                <w:vertAlign w:val="baseline"/>
              </w:rPr>
              <w:t xml:space="preserve">All four transformation methods follow the compensatory logic of </w:t>
            </w:r>
            <w:r>
              <w:rPr>
                <w:rFonts w:hint="default" w:ascii="Times New Roman" w:hAnsi="Times New Roman" w:eastAsia="宋体" w:cs="Times New Roman"/>
                <w:b/>
                <w:bCs/>
                <w:color w:val="000000"/>
                <w:sz w:val="18"/>
                <w:szCs w:val="18"/>
                <w:vertAlign w:val="baseline"/>
                <w:lang w:val="en-US" w:eastAsia="zh-CN"/>
              </w:rPr>
              <w:t>“</w:t>
            </w:r>
            <w:r>
              <w:rPr>
                <w:rFonts w:hint="default" w:ascii="Times New Roman" w:hAnsi="Times New Roman" w:eastAsia="宋体" w:cs="Times New Roman"/>
                <w:b/>
                <w:bCs/>
                <w:color w:val="000000"/>
                <w:sz w:val="18"/>
                <w:szCs w:val="18"/>
                <w:vertAlign w:val="baseline"/>
              </w:rPr>
              <w:t>low weight for high income, high weight for low income”</w:t>
            </w:r>
          </w:p>
        </w:tc>
        <w:tc>
          <w:tcPr>
            <w:tcW w:w="1116" w:type="dxa"/>
            <w:tcBorders>
              <w:tl2br w:val="nil"/>
              <w:tr2bl w:val="nil"/>
            </w:tcBorders>
            <w:shd w:val="clear" w:color="F0F8FF" w:fill="F0F8FF"/>
            <w:noWrap/>
            <w:vAlign w:val="center"/>
          </w:tcPr>
          <w:p w14:paraId="77D60F29">
            <w:pPr>
              <w:widowControl/>
              <w:spacing w:after="0" w:line="240" w:lineRule="auto"/>
              <w:jc w:val="right"/>
              <w:textAlignment w:val="center"/>
              <w:rPr>
                <w:rFonts w:hint="default" w:ascii="Times New Roman" w:hAnsi="Times New Roman" w:eastAsia="宋体" w:cs="Times New Roman"/>
                <w:b/>
                <w:bCs/>
                <w:color w:val="000000"/>
                <w:sz w:val="18"/>
                <w:szCs w:val="18"/>
                <w:vertAlign w:val="baseline"/>
              </w:rPr>
            </w:pPr>
            <w:r>
              <w:rPr>
                <w:rFonts w:hint="default" w:ascii="Times New Roman" w:hAnsi="Times New Roman" w:eastAsia="宋体" w:cs="Times New Roman"/>
                <w:b/>
                <w:bCs/>
                <w:color w:val="000000"/>
                <w:kern w:val="0"/>
                <w:sz w:val="18"/>
                <w:szCs w:val="18"/>
                <w:vertAlign w:val="baseline"/>
                <w:lang w:bidi="ar"/>
              </w:rPr>
              <w:t>≥0.935</w:t>
            </w:r>
          </w:p>
        </w:tc>
        <w:tc>
          <w:tcPr>
            <w:tcW w:w="1024" w:type="dxa"/>
            <w:tcBorders>
              <w:tl2br w:val="nil"/>
              <w:tr2bl w:val="nil"/>
            </w:tcBorders>
            <w:shd w:val="clear" w:color="F0F8FF" w:fill="F0F8FF"/>
            <w:noWrap/>
            <w:vAlign w:val="center"/>
          </w:tcPr>
          <w:p w14:paraId="7CD2E144">
            <w:pPr>
              <w:widowControl/>
              <w:spacing w:after="0" w:line="240" w:lineRule="auto"/>
              <w:jc w:val="right"/>
              <w:textAlignment w:val="center"/>
              <w:rPr>
                <w:rFonts w:hint="default" w:ascii="Times New Roman" w:hAnsi="Times New Roman" w:eastAsia="宋体" w:cs="Times New Roman"/>
                <w:b/>
                <w:bCs/>
                <w:color w:val="000000"/>
                <w:sz w:val="18"/>
                <w:szCs w:val="18"/>
                <w:vertAlign w:val="baseline"/>
              </w:rPr>
            </w:pPr>
            <w:r>
              <w:rPr>
                <w:rFonts w:hint="default" w:ascii="Times New Roman" w:hAnsi="Times New Roman" w:eastAsia="宋体" w:cs="Times New Roman"/>
                <w:b/>
                <w:bCs/>
                <w:color w:val="000000"/>
                <w:kern w:val="0"/>
                <w:sz w:val="18"/>
                <w:szCs w:val="18"/>
                <w:vertAlign w:val="baseline"/>
                <w:lang w:bidi="ar"/>
              </w:rPr>
              <w:t>≥91.7</w:t>
            </w:r>
          </w:p>
        </w:tc>
        <w:tc>
          <w:tcPr>
            <w:tcW w:w="1180" w:type="dxa"/>
            <w:tcBorders>
              <w:tl2br w:val="nil"/>
              <w:tr2bl w:val="nil"/>
            </w:tcBorders>
            <w:shd w:val="clear" w:color="F0F8FF" w:fill="F0F8FF"/>
            <w:noWrap/>
            <w:vAlign w:val="center"/>
          </w:tcPr>
          <w:p w14:paraId="3A1573FC">
            <w:pPr>
              <w:widowControl/>
              <w:spacing w:after="0" w:line="240" w:lineRule="auto"/>
              <w:jc w:val="right"/>
              <w:textAlignment w:val="center"/>
              <w:rPr>
                <w:rFonts w:hint="default" w:ascii="Times New Roman" w:hAnsi="Times New Roman" w:eastAsia="宋体" w:cs="Times New Roman"/>
                <w:b/>
                <w:bCs/>
                <w:color w:val="000000"/>
                <w:sz w:val="18"/>
                <w:szCs w:val="18"/>
                <w:vertAlign w:val="baseline"/>
              </w:rPr>
            </w:pPr>
            <w:r>
              <w:rPr>
                <w:rFonts w:hint="default" w:ascii="Times New Roman" w:hAnsi="Times New Roman" w:eastAsia="宋体" w:cs="Times New Roman"/>
                <w:b/>
                <w:bCs/>
                <w:color w:val="000000"/>
                <w:kern w:val="0"/>
                <w:sz w:val="18"/>
                <w:szCs w:val="18"/>
                <w:vertAlign w:val="baseline"/>
                <w:lang w:bidi="ar"/>
              </w:rPr>
              <w:t>≤45</w:t>
            </w:r>
          </w:p>
        </w:tc>
        <w:tc>
          <w:tcPr>
            <w:tcW w:w="1130" w:type="dxa"/>
            <w:tcBorders>
              <w:tl2br w:val="nil"/>
              <w:tr2bl w:val="nil"/>
            </w:tcBorders>
            <w:shd w:val="clear" w:color="F0F8FF" w:fill="F0F8FF"/>
            <w:noWrap/>
            <w:vAlign w:val="center"/>
          </w:tcPr>
          <w:p w14:paraId="57860DCD">
            <w:pPr>
              <w:widowControl/>
              <w:spacing w:after="0" w:line="240" w:lineRule="auto"/>
              <w:textAlignment w:val="center"/>
              <w:rPr>
                <w:rFonts w:hint="default" w:ascii="Times New Roman" w:hAnsi="Times New Roman" w:eastAsia="宋体" w:cs="Times New Roman"/>
                <w:b/>
                <w:bCs/>
                <w:color w:val="000000"/>
                <w:sz w:val="18"/>
                <w:szCs w:val="18"/>
                <w:vertAlign w:val="baseline"/>
              </w:rPr>
            </w:pPr>
            <w:r>
              <w:rPr>
                <w:rFonts w:hint="default" w:ascii="Times New Roman" w:hAnsi="Times New Roman" w:eastAsia="宋体" w:cs="Times New Roman"/>
                <w:b/>
                <w:bCs/>
                <w:color w:val="000000"/>
                <w:kern w:val="0"/>
                <w:sz w:val="18"/>
                <w:szCs w:val="18"/>
                <w:vertAlign w:val="baseline"/>
                <w:lang w:bidi="ar"/>
              </w:rPr>
              <w:t>Model conclusions are robust under all transformation methods; stability of top 20% core nodes exceeds 90%</w:t>
            </w:r>
          </w:p>
        </w:tc>
      </w:tr>
    </w:tbl>
    <w:p w14:paraId="4836A16E">
      <w:pPr>
        <w:spacing w:after="0" w:line="279" w:lineRule="auto"/>
        <w:ind w:firstLine="361" w:firstLineChars="200"/>
        <w:jc w:val="both"/>
        <w:rPr>
          <w:rFonts w:ascii="Times New Roman" w:hAnsi="Times New Roman" w:eastAsia="宋体" w:cs="Times New Roman"/>
          <w:vertAlign w:val="baseline"/>
        </w:rPr>
      </w:pPr>
      <w:r>
        <w:rPr>
          <w:rFonts w:hint="eastAsia" w:ascii="Times New Roman" w:hAnsi="Times New Roman" w:eastAsia="宋体" w:cs="Times New Roman"/>
          <w:b/>
          <w:bCs/>
          <w:sz w:val="18"/>
          <w:szCs w:val="18"/>
          <w:vertAlign w:val="baseline"/>
        </w:rPr>
        <w:t>Note</w:t>
      </w:r>
      <w:r>
        <w:rPr>
          <w:rFonts w:hint="eastAsia" w:ascii="Times New Roman" w:hAnsi="Times New Roman" w:eastAsia="宋体" w:cs="Times New Roman"/>
          <w:sz w:val="18"/>
          <w:szCs w:val="18"/>
          <w:vertAlign w:val="baseline"/>
        </w:rPr>
        <w:t>: 1. Sample size: N=2417 (all literature nodes in the citation network); Baseline group: GNI transformed by natural logarithm (ln). 2. Calculation methods: (1) Spearman rank correlation coefficient: measures the monotonic correlation of node rankings under different GNI transformation methods; (2) Top 20% node overlap rate: proportion of intersection of top 20% nodes between the control group and the baseline group; (3) Mean variation amplitude of rankings: mean absolute value of ranking differences of top 20% nodes between the control group and the baseline group. 3. Robustness judgment criterion: pass if rank correlation coefficient ≥ 0.90 and top 20% node overlap rate ≥ 90%. 4. Data source: 2024 per capita GNI (PPP) from World Bank Open Data; ACI index calculated based on the formula ACI(v) = (1-d)×W_geo(v) + d×Σ(ACI(u)×w(u,v)/Σw(u,z)) with damping coefficient d=0.85.</w:t>
      </w:r>
    </w:p>
    <w:p w14:paraId="131449FB">
      <w:pPr>
        <w:numPr>
          <w:ilvl w:val="0"/>
          <w:numId w:val="0"/>
        </w:numPr>
        <w:spacing w:after="0" w:line="279" w:lineRule="auto"/>
        <w:ind w:firstLine="442" w:firstLineChars="200"/>
        <w:jc w:val="both"/>
        <w:rPr>
          <w:rFonts w:ascii="Times New Roman" w:hAnsi="Times New Roman" w:eastAsia="宋体" w:cs="Times New Roman"/>
          <w:b/>
          <w:bCs/>
          <w:vertAlign w:val="baseline"/>
        </w:rPr>
      </w:pPr>
      <w:r>
        <w:rPr>
          <w:rFonts w:ascii="Times New Roman" w:hAnsi="Times New Roman" w:eastAsia="宋体" w:cs="Times New Roman"/>
          <w:b/>
          <w:bCs/>
          <w:kern w:val="2"/>
          <w:sz w:val="22"/>
          <w:szCs w:val="24"/>
          <w:vertAlign w:val="baseline"/>
          <w:lang w:val="en-US" w:eastAsia="zh-CN" w:bidi="ar-SA"/>
          <w14:ligatures w14:val="standardContextual"/>
        </w:rPr>
        <w:t>2.</w:t>
      </w:r>
      <w:r>
        <w:rPr>
          <w:rFonts w:hint="eastAsia" w:ascii="Times New Roman" w:hAnsi="Times New Roman" w:eastAsia="宋体" w:cs="Times New Roman"/>
          <w:b/>
          <w:bCs/>
          <w:vertAlign w:val="baseline"/>
        </w:rPr>
        <w:t>Epistemic Segregation Index</w:t>
      </w:r>
    </w:p>
    <w:p w14:paraId="5685A9DE">
      <w:pPr>
        <w:spacing w:after="0" w:line="279" w:lineRule="auto"/>
        <w:ind w:firstLine="440" w:firstLineChars="200"/>
        <w:jc w:val="both"/>
        <w:rPr>
          <w:rFonts w:ascii="Times New Roman" w:hAnsi="Times New Roman" w:eastAsia="宋体" w:cs="Times New Roman"/>
          <w:vertAlign w:val="baseline"/>
        </w:rPr>
      </w:pPr>
      <w:r>
        <w:rPr>
          <w:rFonts w:hint="eastAsia" w:ascii="Times New Roman" w:hAnsi="Times New Roman" w:eastAsia="宋体" w:cs="Times New Roman"/>
          <w:vertAlign w:val="baseline"/>
        </w:rPr>
        <w:t>This index measures the degree of geographical or cultural clustering in citation networks. Its calculation formula is as follows:</w:t>
      </w:r>
    </w:p>
    <w:p w14:paraId="275A14D6">
      <w:pPr>
        <w:spacing w:after="0" w:line="279" w:lineRule="auto"/>
        <w:ind w:firstLine="440" w:firstLineChars="200"/>
        <w:jc w:val="right"/>
        <w:rPr>
          <w:rFonts w:ascii="Times New Roman" w:hAnsi="Times New Roman" w:eastAsia="宋体" w:cs="Times New Roman"/>
          <w:color w:val="000000"/>
          <w:kern w:val="0"/>
          <w:sz w:val="21"/>
          <w:szCs w:val="21"/>
          <w:vertAlign w:val="baseline"/>
          <w14:ligatures w14:val="none"/>
        </w:rPr>
      </w:pPr>
      <m:oMath>
        <m:r>
          <m:rPr/>
          <w:rPr>
            <w:rFonts w:hint="default" w:ascii="Cambria Math" w:hAnsi="Cambria Math" w:eastAsia="宋体" w:cs="Times New Roman"/>
            <w:kern w:val="2"/>
            <w:sz w:val="22"/>
            <w:szCs w:val="24"/>
            <w:vertAlign w:val="baseline"/>
            <w:lang w:val="en-US" w:eastAsia="zh-CN" w:bidi="ar-SA"/>
            <w14:ligatures w14:val="standardContextual"/>
          </w:rPr>
          <m:t>ESI=1−</m:t>
        </m:r>
        <m:f>
          <m:fPr>
            <m:ctrlPr>
              <w:rPr>
                <w:rFonts w:hint="default" w:ascii="Cambria Math" w:hAnsi="Cambria Math" w:eastAsia="宋体" w:cs="Times New Roman"/>
                <w:i/>
                <w:kern w:val="2"/>
                <w:sz w:val="22"/>
                <w:szCs w:val="24"/>
                <w:vertAlign w:val="baseline"/>
                <w:lang w:val="en-US" w:eastAsia="zh-CN" w:bidi="ar-SA"/>
                <w14:ligatures w14:val="standardContextual"/>
              </w:rPr>
            </m:ctrlPr>
          </m:fPr>
          <m:num>
            <m:nary>
              <m:naryPr>
                <m:chr m:val="∑"/>
                <m:limLoc m:val="subSup"/>
                <m:supHide m:val="1"/>
                <m:ctrlPr>
                  <w:rPr>
                    <w:rFonts w:hint="default" w:ascii="Cambria Math" w:hAnsi="Cambria Math" w:eastAsia="宋体" w:cs="Times New Roman"/>
                    <w:i/>
                    <w:kern w:val="2"/>
                    <w:sz w:val="22"/>
                    <w:szCs w:val="24"/>
                    <w:vertAlign w:val="baseline"/>
                    <w:lang w:val="en-US" w:eastAsia="zh-CN" w:bidi="ar-SA"/>
                    <w14:ligatures w14:val="standardContextual"/>
                  </w:rPr>
                </m:ctrlPr>
              </m:naryPr>
              <m:sub>
                <m:sSub>
                  <m:sSubPr>
                    <m:ctrlPr>
                      <w:rPr>
                        <w:rFonts w:hint="default" w:ascii="Cambria Math" w:hAnsi="Cambria Math" w:eastAsia="宋体" w:cs="Times New Roman"/>
                        <w:i/>
                        <w:kern w:val="2"/>
                        <w:sz w:val="22"/>
                        <w:szCs w:val="24"/>
                        <w:vertAlign w:val="baseline"/>
                        <w:lang w:val="en-US" w:eastAsia="zh-CN" w:bidi="ar-SA"/>
                        <w14:ligatures w14:val="standardContextual"/>
                      </w:rPr>
                    </m:ctrlPr>
                  </m:sSubPr>
                  <m:e>
                    <m:r>
                      <m:rPr/>
                      <w:rPr>
                        <w:rFonts w:hint="default" w:ascii="Cambria Math" w:hAnsi="Cambria Math" w:eastAsia="宋体" w:cs="Times New Roman"/>
                        <w:kern w:val="2"/>
                        <w:sz w:val="22"/>
                        <w:szCs w:val="24"/>
                        <w:vertAlign w:val="baseline"/>
                        <w:lang w:val="en-US" w:eastAsia="zh-CN" w:bidi="ar-SA"/>
                        <w14:ligatures w14:val="standardContextual"/>
                      </w:rPr>
                      <m:t>r</m:t>
                    </m:r>
                    <m:ctrlPr>
                      <w:rPr>
                        <w:rFonts w:hint="default" w:ascii="Cambria Math" w:hAnsi="Cambria Math" w:eastAsia="宋体" w:cs="Times New Roman"/>
                        <w:i/>
                        <w:kern w:val="2"/>
                        <w:sz w:val="22"/>
                        <w:szCs w:val="24"/>
                        <w:vertAlign w:val="baseline"/>
                        <w:lang w:val="en-US" w:eastAsia="zh-CN" w:bidi="ar-SA"/>
                        <w14:ligatures w14:val="standardContextual"/>
                      </w:rPr>
                    </m:ctrlPr>
                  </m:e>
                  <m:sub>
                    <m:r>
                      <m:rPr/>
                      <w:rPr>
                        <w:rFonts w:hint="default" w:ascii="Cambria Math" w:hAnsi="Cambria Math" w:eastAsia="宋体" w:cs="Times New Roman"/>
                        <w:kern w:val="2"/>
                        <w:sz w:val="22"/>
                        <w:szCs w:val="24"/>
                        <w:vertAlign w:val="baseline"/>
                        <w:lang w:val="en-US" w:eastAsia="zh-CN" w:bidi="ar-SA"/>
                        <w14:ligatures w14:val="standardContextual"/>
                      </w:rPr>
                      <m:t>i</m:t>
                    </m:r>
                    <m:ctrlPr>
                      <w:rPr>
                        <w:rFonts w:hint="default" w:ascii="Cambria Math" w:hAnsi="Cambria Math" w:eastAsia="宋体" w:cs="Times New Roman"/>
                        <w:i/>
                        <w:kern w:val="2"/>
                        <w:sz w:val="22"/>
                        <w:szCs w:val="24"/>
                        <w:vertAlign w:val="baseline"/>
                        <w:lang w:val="en-US" w:eastAsia="zh-CN" w:bidi="ar-SA"/>
                        <w14:ligatures w14:val="standardContextual"/>
                      </w:rPr>
                    </m:ctrlPr>
                  </m:sub>
                </m:sSub>
                <m:r>
                  <m:rPr/>
                  <w:rPr>
                    <w:rFonts w:ascii="Cambria Math" w:hAnsi="Cambria Math" w:cs="Times New Roman"/>
                    <w:kern w:val="2"/>
                    <w:sz w:val="22"/>
                    <w:szCs w:val="24"/>
                    <w:vertAlign w:val="baseline"/>
                    <w:lang w:val="en-US" w:bidi="ar-SA"/>
                    <w14:ligatures w14:val="standardContextual"/>
                  </w:rPr>
                  <m:t>≠</m:t>
                </m:r>
                <m:sSub>
                  <m:sSubPr>
                    <m:ctrlPr>
                      <w:rPr>
                        <w:rFonts w:ascii="Cambria Math" w:hAnsi="Cambria Math" w:cs="Times New Roman"/>
                        <w:i/>
                        <w:kern w:val="2"/>
                        <w:sz w:val="22"/>
                        <w:szCs w:val="24"/>
                        <w:vertAlign w:val="baseline"/>
                        <w:lang w:val="en-US" w:bidi="ar-SA"/>
                        <w14:ligatures w14:val="standardContextual"/>
                      </w:rPr>
                    </m:ctrlPr>
                  </m:sSubPr>
                  <m:e>
                    <m:r>
                      <m:rPr/>
                      <w:rPr>
                        <w:rFonts w:hint="default" w:ascii="Cambria Math" w:hAnsi="Cambria Math" w:cs="Times New Roman"/>
                        <w:kern w:val="2"/>
                        <w:sz w:val="22"/>
                        <w:szCs w:val="24"/>
                        <w:vertAlign w:val="baseline"/>
                        <w:lang w:val="en-US" w:eastAsia="zh-CN" w:bidi="ar-SA"/>
                        <w14:ligatures w14:val="standardContextual"/>
                      </w:rPr>
                      <m:t>r</m:t>
                    </m:r>
                    <m:ctrlPr>
                      <w:rPr>
                        <w:rFonts w:ascii="Cambria Math" w:hAnsi="Cambria Math" w:cs="Times New Roman"/>
                        <w:i/>
                        <w:kern w:val="2"/>
                        <w:sz w:val="22"/>
                        <w:szCs w:val="24"/>
                        <w:vertAlign w:val="baseline"/>
                        <w:lang w:val="en-US" w:bidi="ar-SA"/>
                        <w14:ligatures w14:val="standardContextual"/>
                      </w:rPr>
                    </m:ctrlPr>
                  </m:e>
                  <m:sub>
                    <m:r>
                      <m:rPr/>
                      <w:rPr>
                        <w:rFonts w:hint="default" w:ascii="Cambria Math" w:hAnsi="Cambria Math" w:cs="Times New Roman"/>
                        <w:kern w:val="2"/>
                        <w:sz w:val="22"/>
                        <w:szCs w:val="24"/>
                        <w:vertAlign w:val="baseline"/>
                        <w:lang w:val="en-US" w:eastAsia="zh-CN" w:bidi="ar-SA"/>
                        <w14:ligatures w14:val="standardContextual"/>
                      </w:rPr>
                      <m:t>j</m:t>
                    </m:r>
                    <m:ctrlPr>
                      <w:rPr>
                        <w:rFonts w:ascii="Cambria Math" w:hAnsi="Cambria Math" w:cs="Times New Roman"/>
                        <w:i/>
                        <w:kern w:val="2"/>
                        <w:sz w:val="22"/>
                        <w:szCs w:val="24"/>
                        <w:vertAlign w:val="baseline"/>
                        <w:lang w:val="en-US" w:bidi="ar-SA"/>
                        <w14:ligatures w14:val="standardContextual"/>
                      </w:rPr>
                    </m:ctrlPr>
                  </m:sub>
                </m:sSub>
                <m:ctrlPr>
                  <w:rPr>
                    <w:rFonts w:hint="default" w:ascii="Cambria Math" w:hAnsi="Cambria Math" w:eastAsia="宋体" w:cs="Times New Roman"/>
                    <w:i/>
                    <w:kern w:val="2"/>
                    <w:sz w:val="22"/>
                    <w:szCs w:val="24"/>
                    <w:vertAlign w:val="baseline"/>
                    <w:lang w:val="en-US" w:eastAsia="zh-CN" w:bidi="ar-SA"/>
                    <w14:ligatures w14:val="standardContextual"/>
                  </w:rPr>
                </m:ctrlPr>
              </m:sub>
              <m:sup>
                <m:ctrlPr>
                  <w:rPr>
                    <w:rFonts w:hint="default" w:ascii="Cambria Math" w:hAnsi="Cambria Math" w:eastAsia="宋体" w:cs="Times New Roman"/>
                    <w:i/>
                    <w:kern w:val="2"/>
                    <w:sz w:val="22"/>
                    <w:szCs w:val="24"/>
                    <w:vertAlign w:val="baseline"/>
                    <w:lang w:val="en-US" w:eastAsia="zh-CN" w:bidi="ar-SA"/>
                    <w14:ligatures w14:val="standardContextual"/>
                  </w:rPr>
                </m:ctrlPr>
              </m:sup>
              <m:e>
                <m:sSub>
                  <m:sSubPr>
                    <m:ctrlPr>
                      <w:rPr>
                        <w:rFonts w:hint="default" w:ascii="Cambria Math" w:hAnsi="Cambria Math" w:eastAsia="宋体" w:cs="Times New Roman"/>
                        <w:i/>
                        <w:kern w:val="2"/>
                        <w:sz w:val="22"/>
                        <w:szCs w:val="24"/>
                        <w:vertAlign w:val="baseline"/>
                        <w:lang w:val="en-US" w:eastAsia="zh-CN" w:bidi="ar-SA"/>
                        <w14:ligatures w14:val="standardContextual"/>
                      </w:rPr>
                    </m:ctrlPr>
                  </m:sSubPr>
                  <m:e>
                    <m:r>
                      <m:rPr/>
                      <w:rPr>
                        <w:rFonts w:hint="default" w:ascii="Cambria Math" w:hAnsi="Cambria Math" w:eastAsia="宋体" w:cs="Times New Roman"/>
                        <w:kern w:val="2"/>
                        <w:sz w:val="22"/>
                        <w:szCs w:val="24"/>
                        <w:vertAlign w:val="baseline"/>
                        <w:lang w:val="en-US" w:eastAsia="zh-CN" w:bidi="ar-SA"/>
                        <w14:ligatures w14:val="standardContextual"/>
                      </w:rPr>
                      <m:t>L</m:t>
                    </m:r>
                    <m:ctrlPr>
                      <w:rPr>
                        <w:rFonts w:hint="default" w:ascii="Cambria Math" w:hAnsi="Cambria Math" w:eastAsia="宋体" w:cs="Times New Roman"/>
                        <w:i/>
                        <w:kern w:val="2"/>
                        <w:sz w:val="22"/>
                        <w:szCs w:val="24"/>
                        <w:vertAlign w:val="baseline"/>
                        <w:lang w:val="en-US" w:eastAsia="zh-CN" w:bidi="ar-SA"/>
                        <w14:ligatures w14:val="standardContextual"/>
                      </w:rPr>
                    </m:ctrlPr>
                  </m:e>
                  <m:sub>
                    <m:r>
                      <m:rPr/>
                      <w:rPr>
                        <w:rFonts w:hint="default" w:ascii="Cambria Math" w:hAnsi="Cambria Math" w:eastAsia="宋体" w:cs="Times New Roman"/>
                        <w:kern w:val="2"/>
                        <w:sz w:val="22"/>
                        <w:szCs w:val="24"/>
                        <w:vertAlign w:val="baseline"/>
                        <w:lang w:val="en-US" w:eastAsia="zh-CN" w:bidi="ar-SA"/>
                        <w14:ligatures w14:val="standardContextual"/>
                      </w:rPr>
                      <m:t>ij</m:t>
                    </m:r>
                    <m:ctrlPr>
                      <w:rPr>
                        <w:rFonts w:hint="default" w:ascii="Cambria Math" w:hAnsi="Cambria Math" w:eastAsia="宋体" w:cs="Times New Roman"/>
                        <w:i/>
                        <w:kern w:val="2"/>
                        <w:sz w:val="22"/>
                        <w:szCs w:val="24"/>
                        <w:vertAlign w:val="baseline"/>
                        <w:lang w:val="en-US" w:eastAsia="zh-CN" w:bidi="ar-SA"/>
                        <w14:ligatures w14:val="standardContextual"/>
                      </w:rPr>
                    </m:ctrlPr>
                  </m:sub>
                </m:sSub>
                <m:ctrlPr>
                  <w:rPr>
                    <w:rFonts w:hint="default" w:ascii="Cambria Math" w:hAnsi="Cambria Math" w:eastAsia="宋体" w:cs="Times New Roman"/>
                    <w:i/>
                    <w:kern w:val="2"/>
                    <w:sz w:val="22"/>
                    <w:szCs w:val="24"/>
                    <w:vertAlign w:val="baseline"/>
                    <w:lang w:val="en-US" w:eastAsia="zh-CN" w:bidi="ar-SA"/>
                    <w14:ligatures w14:val="standardContextual"/>
                  </w:rPr>
                </m:ctrlPr>
              </m:e>
            </m:nary>
            <m:ctrlPr>
              <w:rPr>
                <w:rFonts w:hint="default" w:ascii="Cambria Math" w:hAnsi="Cambria Math" w:eastAsia="宋体" w:cs="Times New Roman"/>
                <w:i/>
                <w:kern w:val="2"/>
                <w:sz w:val="22"/>
                <w:szCs w:val="24"/>
                <w:vertAlign w:val="baseline"/>
                <w:lang w:val="en-US" w:eastAsia="zh-CN" w:bidi="ar-SA"/>
                <w14:ligatures w14:val="standardContextual"/>
              </w:rPr>
            </m:ctrlPr>
          </m:num>
          <m:den>
            <m:nary>
              <m:naryPr>
                <m:chr m:val="∑"/>
                <m:limLoc m:val="subSup"/>
                <m:supHide m:val="1"/>
                <m:ctrlPr>
                  <w:rPr>
                    <w:rFonts w:hint="default" w:ascii="Cambria Math" w:hAnsi="Cambria Math" w:eastAsia="宋体" w:cs="Times New Roman"/>
                    <w:i/>
                    <w:kern w:val="2"/>
                    <w:sz w:val="22"/>
                    <w:szCs w:val="24"/>
                    <w:vertAlign w:val="baseline"/>
                    <w:lang w:val="en-US" w:eastAsia="zh-CN" w:bidi="ar-SA"/>
                    <w14:ligatures w14:val="standardContextual"/>
                  </w:rPr>
                </m:ctrlPr>
              </m:naryPr>
              <m:sub>
                <m:r>
                  <m:rPr/>
                  <w:rPr>
                    <w:rFonts w:hint="default" w:ascii="Cambria Math" w:hAnsi="Cambria Math" w:eastAsia="宋体" w:cs="Times New Roman"/>
                    <w:kern w:val="2"/>
                    <w:sz w:val="22"/>
                    <w:szCs w:val="24"/>
                    <w:vertAlign w:val="baseline"/>
                    <w:lang w:val="en-US" w:eastAsia="zh-CN" w:bidi="ar-SA"/>
                    <w14:ligatures w14:val="standardContextual"/>
                  </w:rPr>
                  <m:t>r</m:t>
                </m:r>
                <m:ctrlPr>
                  <w:rPr>
                    <w:rFonts w:hint="default" w:ascii="Cambria Math" w:hAnsi="Cambria Math" w:eastAsia="宋体" w:cs="Times New Roman"/>
                    <w:i/>
                    <w:kern w:val="2"/>
                    <w:sz w:val="22"/>
                    <w:szCs w:val="24"/>
                    <w:vertAlign w:val="baseline"/>
                    <w:lang w:val="en-US" w:eastAsia="zh-CN" w:bidi="ar-SA"/>
                    <w14:ligatures w14:val="standardContextual"/>
                  </w:rPr>
                </m:ctrlPr>
              </m:sub>
              <m:sup>
                <m:ctrlPr>
                  <w:rPr>
                    <w:rFonts w:hint="default" w:ascii="Cambria Math" w:hAnsi="Cambria Math" w:eastAsia="宋体" w:cs="Times New Roman"/>
                    <w:i/>
                    <w:kern w:val="2"/>
                    <w:sz w:val="22"/>
                    <w:szCs w:val="24"/>
                    <w:vertAlign w:val="baseline"/>
                    <w:lang w:val="en-US" w:eastAsia="zh-CN" w:bidi="ar-SA"/>
                    <w14:ligatures w14:val="standardContextual"/>
                  </w:rPr>
                </m:ctrlPr>
              </m:sup>
              <m:e>
                <m:r>
                  <m:rPr/>
                  <w:rPr>
                    <w:rFonts w:hint="default" w:ascii="Cambria Math" w:hAnsi="Cambria Math" w:eastAsia="宋体" w:cs="Times New Roman"/>
                    <w:kern w:val="2"/>
                    <w:sz w:val="22"/>
                    <w:szCs w:val="24"/>
                    <w:vertAlign w:val="baseline"/>
                    <w:lang w:val="en-US" w:eastAsia="zh-CN" w:bidi="ar-SA"/>
                    <w14:ligatures w14:val="standardContextual"/>
                  </w:rPr>
                  <m:t>(</m:t>
                </m:r>
                <m:sSub>
                  <m:sSubPr>
                    <m:ctrlPr>
                      <w:rPr>
                        <w:rFonts w:hint="default" w:ascii="Cambria Math" w:hAnsi="Cambria Math" w:eastAsia="宋体" w:cs="Times New Roman"/>
                        <w:i/>
                        <w:kern w:val="2"/>
                        <w:sz w:val="22"/>
                        <w:szCs w:val="24"/>
                        <w:vertAlign w:val="baseline"/>
                        <w:lang w:val="en-US" w:eastAsia="zh-CN" w:bidi="ar-SA"/>
                        <w14:ligatures w14:val="standardContextual"/>
                      </w:rPr>
                    </m:ctrlPr>
                  </m:sSubPr>
                  <m:e>
                    <m:r>
                      <m:rPr/>
                      <w:rPr>
                        <w:rFonts w:hint="default" w:ascii="Cambria Math" w:hAnsi="Cambria Math" w:eastAsia="宋体" w:cs="Times New Roman"/>
                        <w:kern w:val="2"/>
                        <w:sz w:val="22"/>
                        <w:szCs w:val="24"/>
                        <w:vertAlign w:val="baseline"/>
                        <w:lang w:val="en-US" w:eastAsia="zh-CN" w:bidi="ar-SA"/>
                        <w14:ligatures w14:val="standardContextual"/>
                      </w:rPr>
                      <m:t>N</m:t>
                    </m:r>
                    <m:ctrlPr>
                      <w:rPr>
                        <w:rFonts w:hint="default" w:ascii="Cambria Math" w:hAnsi="Cambria Math" w:eastAsia="宋体" w:cs="Times New Roman"/>
                        <w:i/>
                        <w:kern w:val="2"/>
                        <w:sz w:val="22"/>
                        <w:szCs w:val="24"/>
                        <w:vertAlign w:val="baseline"/>
                        <w:lang w:val="en-US" w:eastAsia="zh-CN" w:bidi="ar-SA"/>
                        <w14:ligatures w14:val="standardContextual"/>
                      </w:rPr>
                    </m:ctrlPr>
                  </m:e>
                  <m:sub>
                    <m:r>
                      <m:rPr/>
                      <w:rPr>
                        <w:rFonts w:hint="default" w:ascii="Cambria Math" w:hAnsi="Cambria Math" w:eastAsia="宋体" w:cs="Times New Roman"/>
                        <w:kern w:val="2"/>
                        <w:sz w:val="22"/>
                        <w:szCs w:val="24"/>
                        <w:vertAlign w:val="baseline"/>
                        <w:lang w:val="en-US" w:eastAsia="zh-CN" w:bidi="ar-SA"/>
                        <w14:ligatures w14:val="standardContextual"/>
                      </w:rPr>
                      <m:t>r</m:t>
                    </m:r>
                    <m:ctrlPr>
                      <w:rPr>
                        <w:rFonts w:hint="default" w:ascii="Cambria Math" w:hAnsi="Cambria Math" w:eastAsia="宋体" w:cs="Times New Roman"/>
                        <w:i/>
                        <w:kern w:val="2"/>
                        <w:sz w:val="22"/>
                        <w:szCs w:val="24"/>
                        <w:vertAlign w:val="baseline"/>
                        <w:lang w:val="en-US" w:eastAsia="zh-CN" w:bidi="ar-SA"/>
                        <w14:ligatures w14:val="standardContextual"/>
                      </w:rPr>
                    </m:ctrlPr>
                  </m:sub>
                </m:sSub>
                <m:r>
                  <m:rPr/>
                  <w:rPr>
                    <w:rFonts w:ascii="Cambria Math" w:hAnsi="Cambria Math" w:cs="Times New Roman"/>
                    <w:kern w:val="2"/>
                    <w:sz w:val="22"/>
                    <w:szCs w:val="24"/>
                    <w:vertAlign w:val="baseline"/>
                    <w:lang w:val="en-US" w:bidi="ar-SA"/>
                    <w14:ligatures w14:val="standardContextual"/>
                  </w:rPr>
                  <m:t>×</m:t>
                </m:r>
                <m:r>
                  <m:rPr/>
                  <w:rPr>
                    <w:rFonts w:hint="default" w:ascii="Cambria Math" w:hAnsi="Cambria Math" w:cs="Times New Roman"/>
                    <w:kern w:val="2"/>
                    <w:sz w:val="22"/>
                    <w:szCs w:val="24"/>
                    <w:vertAlign w:val="baseline"/>
                    <w:lang w:val="en-US" w:eastAsia="zh-CN" w:bidi="ar-SA"/>
                    <w14:ligatures w14:val="standardContextual"/>
                  </w:rPr>
                  <m:t>(N−</m:t>
                </m:r>
                <m:sSub>
                  <m:sSubPr>
                    <m:ctrlPr>
                      <w:rPr>
                        <w:rFonts w:hint="default" w:ascii="Cambria Math" w:hAnsi="Cambria Math" w:cs="Times New Roman"/>
                        <w:i/>
                        <w:kern w:val="2"/>
                        <w:sz w:val="22"/>
                        <w:szCs w:val="24"/>
                        <w:vertAlign w:val="baseline"/>
                        <w:lang w:val="en-US" w:eastAsia="zh-CN" w:bidi="ar-SA"/>
                        <w14:ligatures w14:val="standardContextual"/>
                      </w:rPr>
                    </m:ctrlPr>
                  </m:sSubPr>
                  <m:e>
                    <m:r>
                      <m:rPr/>
                      <w:rPr>
                        <w:rFonts w:hint="default" w:ascii="Cambria Math" w:hAnsi="Cambria Math" w:cs="Times New Roman"/>
                        <w:kern w:val="2"/>
                        <w:sz w:val="22"/>
                        <w:szCs w:val="24"/>
                        <w:vertAlign w:val="baseline"/>
                        <w:lang w:val="en-US" w:eastAsia="zh-CN" w:bidi="ar-SA"/>
                        <w14:ligatures w14:val="standardContextual"/>
                      </w:rPr>
                      <m:t>N</m:t>
                    </m:r>
                    <m:ctrlPr>
                      <w:rPr>
                        <w:rFonts w:hint="default" w:ascii="Cambria Math" w:hAnsi="Cambria Math" w:cs="Times New Roman"/>
                        <w:i/>
                        <w:kern w:val="2"/>
                        <w:sz w:val="22"/>
                        <w:szCs w:val="24"/>
                        <w:vertAlign w:val="baseline"/>
                        <w:lang w:val="en-US" w:eastAsia="zh-CN" w:bidi="ar-SA"/>
                        <w14:ligatures w14:val="standardContextual"/>
                      </w:rPr>
                    </m:ctrlPr>
                  </m:e>
                  <m:sub>
                    <m:r>
                      <m:rPr/>
                      <w:rPr>
                        <w:rFonts w:hint="default" w:ascii="Cambria Math" w:hAnsi="Cambria Math" w:cs="Times New Roman"/>
                        <w:kern w:val="2"/>
                        <w:sz w:val="22"/>
                        <w:szCs w:val="24"/>
                        <w:vertAlign w:val="baseline"/>
                        <w:lang w:val="en-US" w:eastAsia="zh-CN" w:bidi="ar-SA"/>
                        <w14:ligatures w14:val="standardContextual"/>
                      </w:rPr>
                      <m:t>r</m:t>
                    </m:r>
                    <m:ctrlPr>
                      <w:rPr>
                        <w:rFonts w:hint="default" w:ascii="Cambria Math" w:hAnsi="Cambria Math" w:cs="Times New Roman"/>
                        <w:i/>
                        <w:kern w:val="2"/>
                        <w:sz w:val="22"/>
                        <w:szCs w:val="24"/>
                        <w:vertAlign w:val="baseline"/>
                        <w:lang w:val="en-US" w:eastAsia="zh-CN" w:bidi="ar-SA"/>
                        <w14:ligatures w14:val="standardContextual"/>
                      </w:rPr>
                    </m:ctrlPr>
                  </m:sub>
                </m:sSub>
                <m:r>
                  <m:rPr/>
                  <w:rPr>
                    <w:rFonts w:hint="default" w:ascii="Cambria Math" w:hAnsi="Cambria Math" w:cs="Times New Roman"/>
                    <w:kern w:val="2"/>
                    <w:sz w:val="22"/>
                    <w:szCs w:val="24"/>
                    <w:vertAlign w:val="baseline"/>
                    <w:lang w:val="en-US" w:eastAsia="zh-CN" w:bidi="ar-SA"/>
                    <w14:ligatures w14:val="standardContextual"/>
                  </w:rPr>
                  <m:t>)</m:t>
                </m:r>
                <m:r>
                  <m:rPr/>
                  <w:rPr>
                    <w:rFonts w:hint="default" w:ascii="Cambria Math" w:hAnsi="Cambria Math" w:eastAsia="宋体" w:cs="Times New Roman"/>
                    <w:kern w:val="2"/>
                    <w:sz w:val="22"/>
                    <w:szCs w:val="24"/>
                    <w:vertAlign w:val="baseline"/>
                    <w:lang w:val="en-US" w:eastAsia="zh-CN" w:bidi="ar-SA"/>
                    <w14:ligatures w14:val="standardContextual"/>
                  </w:rPr>
                  <m:t>)</m:t>
                </m:r>
                <m:ctrlPr>
                  <w:rPr>
                    <w:rFonts w:hint="default" w:ascii="Cambria Math" w:hAnsi="Cambria Math" w:eastAsia="宋体" w:cs="Times New Roman"/>
                    <w:i/>
                    <w:kern w:val="2"/>
                    <w:sz w:val="22"/>
                    <w:szCs w:val="24"/>
                    <w:vertAlign w:val="baseline"/>
                    <w:lang w:val="en-US" w:eastAsia="zh-CN" w:bidi="ar-SA"/>
                    <w14:ligatures w14:val="standardContextual"/>
                  </w:rPr>
                </m:ctrlPr>
              </m:e>
            </m:nary>
            <m:ctrlPr>
              <w:rPr>
                <w:rFonts w:hint="default" w:ascii="Cambria Math" w:hAnsi="Cambria Math" w:eastAsia="宋体" w:cs="Times New Roman"/>
                <w:i/>
                <w:kern w:val="2"/>
                <w:sz w:val="22"/>
                <w:szCs w:val="24"/>
                <w:vertAlign w:val="baseline"/>
                <w:lang w:val="en-US" w:eastAsia="zh-CN" w:bidi="ar-SA"/>
                <w14:ligatures w14:val="standardContextual"/>
              </w:rPr>
            </m:ctrlPr>
          </m:den>
        </m:f>
      </m:oMath>
      <w:r>
        <w:rPr>
          <w:rFonts w:hint="eastAsia" w:ascii="Times New Roman" w:hAnsi="Times New Roman" w:eastAsia="宋体" w:cs="Times New Roman"/>
          <w:vertAlign w:val="baseline"/>
        </w:rPr>
        <w:t xml:space="preserve">    </w:t>
      </w:r>
      <w:r>
        <w:rPr>
          <w:rFonts w:hint="eastAsia" w:ascii="Times New Roman" w:hAnsi="Times New Roman" w:eastAsia="宋体" w:cs="Times New Roman"/>
          <w:vertAlign w:val="baseline"/>
          <w:lang w:val="en-US" w:eastAsia="zh-CN"/>
        </w:rPr>
        <w:t xml:space="preserve">           </w:t>
      </w:r>
      <w:r>
        <w:rPr>
          <w:rFonts w:hint="eastAsia" w:ascii="Times New Roman" w:hAnsi="Times New Roman" w:eastAsia="宋体" w:cs="Times New Roman"/>
          <w:vertAlign w:val="baseline"/>
        </w:rPr>
        <w:t xml:space="preserve">           （2）</w:t>
      </w:r>
    </w:p>
    <w:p w14:paraId="0B71325C">
      <w:pPr>
        <w:spacing w:after="0" w:line="279" w:lineRule="auto"/>
        <w:ind w:firstLine="420" w:firstLineChars="200"/>
        <w:jc w:val="both"/>
        <w:rPr>
          <w:rFonts w:hint="eastAsia" w:ascii="Times New Roman" w:hAnsi="Times New Roman" w:eastAsia="宋体" w:cs="Times New Roman"/>
          <w:color w:val="000000"/>
          <w:kern w:val="0"/>
          <w:sz w:val="21"/>
          <w:szCs w:val="21"/>
          <w:vertAlign w:val="baseline"/>
          <w14:ligatures w14:val="none"/>
        </w:rPr>
      </w:pPr>
      <w:r>
        <w:rPr>
          <w:rFonts w:hint="eastAsia" w:ascii="Times New Roman" w:hAnsi="Times New Roman" w:eastAsia="宋体" w:cs="Times New Roman"/>
          <w:color w:val="000000"/>
          <w:kern w:val="0"/>
          <w:sz w:val="21"/>
          <w:szCs w:val="21"/>
          <w:vertAlign w:val="baseline"/>
          <w14:ligatures w14:val="none"/>
        </w:rPr>
        <w:t xml:space="preserve">where ESI denotes the Epistemic Segregation Index, ranging from 0 to 1; </w:t>
      </w:r>
      <w:r>
        <w:rPr>
          <w:rFonts w:hint="eastAsia" w:ascii="Times New Roman" w:hAnsi="Times New Roman" w:eastAsia="宋体" w:cs="Times New Roman"/>
          <w:i/>
          <w:iCs/>
          <w:color w:val="000000"/>
          <w:kern w:val="0"/>
          <w:sz w:val="21"/>
          <w:szCs w:val="21"/>
          <w:vertAlign w:val="baseline"/>
          <w14:ligatures w14:val="none"/>
        </w:rPr>
        <w:t>L</w:t>
      </w:r>
      <w:r>
        <w:rPr>
          <w:rFonts w:hint="eastAsia" w:ascii="Times New Roman" w:hAnsi="Times New Roman" w:eastAsia="宋体" w:cs="Times New Roman"/>
          <w:i/>
          <w:iCs/>
          <w:color w:val="000000"/>
          <w:kern w:val="0"/>
          <w:sz w:val="21"/>
          <w:szCs w:val="21"/>
          <w:vertAlign w:val="subscript"/>
          <w14:ligatures w14:val="none"/>
        </w:rPr>
        <w:t>ij</w:t>
      </w:r>
      <w:r>
        <w:rPr>
          <w:rFonts w:hint="eastAsia" w:ascii="Times New Roman" w:hAnsi="Times New Roman" w:eastAsia="宋体" w:cs="Times New Roman"/>
          <w:color w:val="000000"/>
          <w:kern w:val="0"/>
          <w:sz w:val="21"/>
          <w:szCs w:val="21"/>
          <w:vertAlign w:val="baseline"/>
          <w14:ligatures w14:val="none"/>
        </w:rPr>
        <w:t xml:space="preserve"> denotes the number of citation links from literature in region </w:t>
      </w:r>
      <w:r>
        <w:rPr>
          <w:rFonts w:hint="eastAsia" w:ascii="Times New Roman" w:hAnsi="Times New Roman" w:eastAsia="宋体" w:cs="Times New Roman"/>
          <w:i/>
          <w:iCs/>
          <w:color w:val="000000"/>
          <w:kern w:val="0"/>
          <w:sz w:val="21"/>
          <w:szCs w:val="21"/>
          <w:vertAlign w:val="baseline"/>
          <w14:ligatures w14:val="none"/>
        </w:rPr>
        <w:t>i</w:t>
      </w:r>
      <w:r>
        <w:rPr>
          <w:rFonts w:hint="eastAsia" w:ascii="Times New Roman" w:hAnsi="Times New Roman" w:eastAsia="宋体" w:cs="Times New Roman"/>
          <w:color w:val="000000"/>
          <w:kern w:val="0"/>
          <w:sz w:val="21"/>
          <w:szCs w:val="21"/>
          <w:vertAlign w:val="baseline"/>
          <w14:ligatures w14:val="none"/>
        </w:rPr>
        <w:t xml:space="preserve"> to literature in region </w:t>
      </w:r>
      <w:r>
        <w:rPr>
          <w:rFonts w:hint="eastAsia" w:ascii="Times New Roman" w:hAnsi="Times New Roman" w:eastAsia="宋体" w:cs="Times New Roman"/>
          <w:i/>
          <w:iCs/>
          <w:color w:val="000000"/>
          <w:kern w:val="0"/>
          <w:sz w:val="21"/>
          <w:szCs w:val="21"/>
          <w:vertAlign w:val="baseline"/>
          <w14:ligatures w14:val="none"/>
        </w:rPr>
        <w:t>j</w:t>
      </w:r>
      <w:r>
        <w:rPr>
          <w:rFonts w:hint="eastAsia" w:ascii="Times New Roman" w:hAnsi="Times New Roman" w:eastAsia="宋体" w:cs="Times New Roman"/>
          <w:color w:val="000000"/>
          <w:kern w:val="0"/>
          <w:sz w:val="21"/>
          <w:szCs w:val="21"/>
          <w:vertAlign w:val="baseline"/>
          <w14:ligatures w14:val="none"/>
        </w:rPr>
        <w:t xml:space="preserve">; </w:t>
      </w:r>
      <w:r>
        <w:rPr>
          <w:rFonts w:hint="eastAsia" w:ascii="Times New Roman" w:hAnsi="Times New Roman" w:eastAsia="宋体" w:cs="Times New Roman"/>
          <w:i/>
          <w:iCs/>
          <w:color w:val="000000"/>
          <w:kern w:val="0"/>
          <w:sz w:val="21"/>
          <w:szCs w:val="21"/>
          <w:vertAlign w:val="baseline"/>
          <w14:ligatures w14:val="none"/>
        </w:rPr>
        <w:t>Nr</w:t>
      </w:r>
      <w:r>
        <w:rPr>
          <w:rFonts w:hint="eastAsia" w:ascii="Times New Roman" w:hAnsi="Times New Roman" w:eastAsia="宋体" w:cs="Times New Roman"/>
          <w:color w:val="000000"/>
          <w:kern w:val="0"/>
          <w:sz w:val="21"/>
          <w:szCs w:val="21"/>
          <w:vertAlign w:val="baseline"/>
          <w14:ligatures w14:val="none"/>
        </w:rPr>
        <w:t xml:space="preserve"> denotes the total number of literature nodes belonging to region </w:t>
      </w:r>
      <w:r>
        <w:rPr>
          <w:rFonts w:hint="eastAsia" w:ascii="Times New Roman" w:hAnsi="Times New Roman" w:eastAsia="宋体" w:cs="Times New Roman"/>
          <w:i/>
          <w:iCs/>
          <w:color w:val="000000"/>
          <w:kern w:val="0"/>
          <w:sz w:val="21"/>
          <w:szCs w:val="21"/>
          <w:vertAlign w:val="baseline"/>
          <w14:ligatures w14:val="none"/>
        </w:rPr>
        <w:t>r</w:t>
      </w:r>
      <w:r>
        <w:rPr>
          <w:rFonts w:hint="eastAsia" w:ascii="Times New Roman" w:hAnsi="Times New Roman" w:eastAsia="宋体" w:cs="Times New Roman"/>
          <w:color w:val="000000"/>
          <w:kern w:val="0"/>
          <w:sz w:val="21"/>
          <w:szCs w:val="21"/>
          <w:vertAlign w:val="baseline"/>
          <w14:ligatures w14:val="none"/>
        </w:rPr>
        <w:t xml:space="preserve">; </w:t>
      </w:r>
      <w:r>
        <w:rPr>
          <w:rFonts w:hint="eastAsia" w:ascii="Times New Roman" w:hAnsi="Times New Roman" w:eastAsia="宋体" w:cs="Times New Roman"/>
          <w:i/>
          <w:iCs/>
          <w:color w:val="000000"/>
          <w:kern w:val="0"/>
          <w:sz w:val="21"/>
          <w:szCs w:val="21"/>
          <w:vertAlign w:val="baseline"/>
          <w14:ligatures w14:val="none"/>
        </w:rPr>
        <w:t>N</w:t>
      </w:r>
      <w:r>
        <w:rPr>
          <w:rFonts w:hint="eastAsia" w:ascii="Times New Roman" w:hAnsi="Times New Roman" w:eastAsia="宋体" w:cs="Times New Roman"/>
          <w:color w:val="000000"/>
          <w:kern w:val="0"/>
          <w:sz w:val="21"/>
          <w:szCs w:val="21"/>
          <w:vertAlign w:val="baseline"/>
          <w14:ligatures w14:val="none"/>
        </w:rPr>
        <w:t xml:space="preserve"> denotes the total number of literature nodes in the network; </w:t>
      </w:r>
      <m:oMath>
        <m:nary>
          <m:naryPr>
            <m:chr m:val="∑"/>
            <m:limLoc m:val="subSup"/>
            <m:supHide m:val="1"/>
            <m:ctrlPr>
              <w:rPr>
                <w:rFonts w:hint="default" w:ascii="Cambria Math" w:hAnsi="Cambria Math" w:eastAsia="宋体" w:cs="Times New Roman"/>
                <w:i/>
                <w:kern w:val="2"/>
                <w:sz w:val="22"/>
                <w:szCs w:val="24"/>
                <w:vertAlign w:val="baseline"/>
                <w:lang w:val="en-US" w:eastAsia="zh-CN" w:bidi="ar-SA"/>
                <w14:ligatures w14:val="standardContextual"/>
              </w:rPr>
            </m:ctrlPr>
          </m:naryPr>
          <m:sub>
            <m:sSub>
              <m:sSubPr>
                <m:ctrlPr>
                  <w:rPr>
                    <w:rFonts w:hint="default" w:ascii="Cambria Math" w:hAnsi="Cambria Math" w:eastAsia="宋体" w:cs="Times New Roman"/>
                    <w:i/>
                    <w:kern w:val="2"/>
                    <w:sz w:val="22"/>
                    <w:szCs w:val="24"/>
                    <w:vertAlign w:val="baseline"/>
                    <w:lang w:val="en-US" w:eastAsia="zh-CN" w:bidi="ar-SA"/>
                    <w14:ligatures w14:val="standardContextual"/>
                  </w:rPr>
                </m:ctrlPr>
              </m:sSubPr>
              <m:e>
                <m:r>
                  <m:rPr/>
                  <w:rPr>
                    <w:rFonts w:hint="default" w:ascii="Cambria Math" w:hAnsi="Cambria Math" w:eastAsia="宋体" w:cs="Times New Roman"/>
                    <w:kern w:val="2"/>
                    <w:sz w:val="22"/>
                    <w:szCs w:val="24"/>
                    <w:vertAlign w:val="baseline"/>
                    <w:lang w:val="en-US" w:eastAsia="zh-CN" w:bidi="ar-SA"/>
                    <w14:ligatures w14:val="standardContextual"/>
                  </w:rPr>
                  <m:t>r</m:t>
                </m:r>
                <m:ctrlPr>
                  <w:rPr>
                    <w:rFonts w:hint="default" w:ascii="Cambria Math" w:hAnsi="Cambria Math" w:eastAsia="宋体" w:cs="Times New Roman"/>
                    <w:i/>
                    <w:kern w:val="2"/>
                    <w:sz w:val="22"/>
                    <w:szCs w:val="24"/>
                    <w:vertAlign w:val="baseline"/>
                    <w:lang w:val="en-US" w:eastAsia="zh-CN" w:bidi="ar-SA"/>
                    <w14:ligatures w14:val="standardContextual"/>
                  </w:rPr>
                </m:ctrlPr>
              </m:e>
              <m:sub>
                <m:r>
                  <m:rPr/>
                  <w:rPr>
                    <w:rFonts w:hint="default" w:ascii="Cambria Math" w:hAnsi="Cambria Math" w:eastAsia="宋体" w:cs="Times New Roman"/>
                    <w:kern w:val="2"/>
                    <w:sz w:val="22"/>
                    <w:szCs w:val="24"/>
                    <w:vertAlign w:val="baseline"/>
                    <w:lang w:val="en-US" w:eastAsia="zh-CN" w:bidi="ar-SA"/>
                    <w14:ligatures w14:val="standardContextual"/>
                  </w:rPr>
                  <m:t>i</m:t>
                </m:r>
                <m:ctrlPr>
                  <w:rPr>
                    <w:rFonts w:hint="default" w:ascii="Cambria Math" w:hAnsi="Cambria Math" w:eastAsia="宋体" w:cs="Times New Roman"/>
                    <w:i/>
                    <w:kern w:val="2"/>
                    <w:sz w:val="22"/>
                    <w:szCs w:val="24"/>
                    <w:vertAlign w:val="baseline"/>
                    <w:lang w:val="en-US" w:eastAsia="zh-CN" w:bidi="ar-SA"/>
                    <w14:ligatures w14:val="standardContextual"/>
                  </w:rPr>
                </m:ctrlPr>
              </m:sub>
            </m:sSub>
            <m:r>
              <m:rPr/>
              <w:rPr>
                <w:rFonts w:ascii="Cambria Math" w:hAnsi="Cambria Math" w:cs="Times New Roman"/>
                <w:kern w:val="2"/>
                <w:sz w:val="22"/>
                <w:szCs w:val="24"/>
                <w:vertAlign w:val="baseline"/>
                <w:lang w:val="en-US" w:bidi="ar-SA"/>
                <w14:ligatures w14:val="standardContextual"/>
              </w:rPr>
              <m:t>≠</m:t>
            </m:r>
            <m:sSub>
              <m:sSubPr>
                <m:ctrlPr>
                  <w:rPr>
                    <w:rFonts w:ascii="Cambria Math" w:hAnsi="Cambria Math" w:cs="Times New Roman"/>
                    <w:i/>
                    <w:kern w:val="2"/>
                    <w:sz w:val="22"/>
                    <w:szCs w:val="24"/>
                    <w:vertAlign w:val="baseline"/>
                    <w:lang w:val="en-US" w:bidi="ar-SA"/>
                    <w14:ligatures w14:val="standardContextual"/>
                  </w:rPr>
                </m:ctrlPr>
              </m:sSubPr>
              <m:e>
                <m:r>
                  <m:rPr/>
                  <w:rPr>
                    <w:rFonts w:hint="default" w:ascii="Cambria Math" w:hAnsi="Cambria Math" w:cs="Times New Roman"/>
                    <w:kern w:val="2"/>
                    <w:sz w:val="22"/>
                    <w:szCs w:val="24"/>
                    <w:vertAlign w:val="baseline"/>
                    <w:lang w:val="en-US" w:eastAsia="zh-CN" w:bidi="ar-SA"/>
                    <w14:ligatures w14:val="standardContextual"/>
                  </w:rPr>
                  <m:t>r</m:t>
                </m:r>
                <m:ctrlPr>
                  <w:rPr>
                    <w:rFonts w:ascii="Cambria Math" w:hAnsi="Cambria Math" w:cs="Times New Roman"/>
                    <w:i/>
                    <w:kern w:val="2"/>
                    <w:sz w:val="22"/>
                    <w:szCs w:val="24"/>
                    <w:vertAlign w:val="baseline"/>
                    <w:lang w:val="en-US" w:bidi="ar-SA"/>
                    <w14:ligatures w14:val="standardContextual"/>
                  </w:rPr>
                </m:ctrlPr>
              </m:e>
              <m:sub>
                <m:r>
                  <m:rPr/>
                  <w:rPr>
                    <w:rFonts w:hint="default" w:ascii="Cambria Math" w:hAnsi="Cambria Math" w:cs="Times New Roman"/>
                    <w:kern w:val="2"/>
                    <w:sz w:val="22"/>
                    <w:szCs w:val="24"/>
                    <w:vertAlign w:val="baseline"/>
                    <w:lang w:val="en-US" w:eastAsia="zh-CN" w:bidi="ar-SA"/>
                    <w14:ligatures w14:val="standardContextual"/>
                  </w:rPr>
                  <m:t>j</m:t>
                </m:r>
                <m:ctrlPr>
                  <w:rPr>
                    <w:rFonts w:ascii="Cambria Math" w:hAnsi="Cambria Math" w:cs="Times New Roman"/>
                    <w:i/>
                    <w:kern w:val="2"/>
                    <w:sz w:val="22"/>
                    <w:szCs w:val="24"/>
                    <w:vertAlign w:val="baseline"/>
                    <w:lang w:val="en-US" w:bidi="ar-SA"/>
                    <w14:ligatures w14:val="standardContextual"/>
                  </w:rPr>
                </m:ctrlPr>
              </m:sub>
            </m:sSub>
            <m:ctrlPr>
              <w:rPr>
                <w:rFonts w:hint="default" w:ascii="Cambria Math" w:hAnsi="Cambria Math" w:eastAsia="宋体" w:cs="Times New Roman"/>
                <w:i/>
                <w:kern w:val="2"/>
                <w:sz w:val="22"/>
                <w:szCs w:val="24"/>
                <w:vertAlign w:val="baseline"/>
                <w:lang w:val="en-US" w:eastAsia="zh-CN" w:bidi="ar-SA"/>
                <w14:ligatures w14:val="standardContextual"/>
              </w:rPr>
            </m:ctrlPr>
          </m:sub>
          <m:sup>
            <m:ctrlPr>
              <w:rPr>
                <w:rFonts w:hint="default" w:ascii="Cambria Math" w:hAnsi="Cambria Math" w:eastAsia="宋体" w:cs="Times New Roman"/>
                <w:i/>
                <w:kern w:val="2"/>
                <w:sz w:val="22"/>
                <w:szCs w:val="24"/>
                <w:vertAlign w:val="baseline"/>
                <w:lang w:val="en-US" w:eastAsia="zh-CN" w:bidi="ar-SA"/>
                <w14:ligatures w14:val="standardContextual"/>
              </w:rPr>
            </m:ctrlPr>
          </m:sup>
          <m:e>
            <m:ctrlPr>
              <w:rPr>
                <w:rFonts w:hint="default" w:ascii="Cambria Math" w:hAnsi="Cambria Math" w:eastAsia="宋体" w:cs="Times New Roman"/>
                <w:i/>
                <w:kern w:val="2"/>
                <w:sz w:val="22"/>
                <w:szCs w:val="24"/>
                <w:vertAlign w:val="baseline"/>
                <w:lang w:val="en-US" w:eastAsia="zh-CN" w:bidi="ar-SA"/>
                <w14:ligatures w14:val="standardContextual"/>
              </w:rPr>
            </m:ctrlPr>
          </m:e>
        </m:nary>
      </m:oMath>
      <w:r>
        <w:rPr>
          <w:rFonts w:hint="eastAsia" w:ascii="Times New Roman" w:hAnsi="Times New Roman" w:eastAsia="宋体" w:cs="Times New Roman"/>
          <w:color w:val="000000"/>
          <w:kern w:val="0"/>
          <w:sz w:val="21"/>
          <w:szCs w:val="21"/>
          <w:vertAlign w:val="baseline"/>
          <w14:ligatures w14:val="none"/>
        </w:rPr>
        <w:t>denotes the sum of citation links across all different regional combinations.</w:t>
      </w:r>
    </w:p>
    <w:p w14:paraId="18048F95">
      <w:pPr>
        <w:spacing w:after="0" w:line="279" w:lineRule="auto"/>
        <w:ind w:firstLine="420" w:firstLineChars="200"/>
        <w:jc w:val="both"/>
        <w:rPr>
          <w:rFonts w:ascii="Times New Roman" w:hAnsi="Times New Roman" w:eastAsia="宋体" w:cs="Times New Roman"/>
          <w:color w:val="000000"/>
          <w:kern w:val="0"/>
          <w:sz w:val="21"/>
          <w:szCs w:val="21"/>
          <w:vertAlign w:val="baseline"/>
          <w14:ligatures w14:val="none"/>
        </w:rPr>
      </w:pPr>
      <w:r>
        <w:rPr>
          <w:rFonts w:hint="eastAsia" w:ascii="Times New Roman" w:hAnsi="Times New Roman" w:eastAsia="宋体" w:cs="Times New Roman"/>
          <w:color w:val="000000"/>
          <w:kern w:val="0"/>
          <w:sz w:val="21"/>
          <w:szCs w:val="21"/>
          <w:vertAlign w:val="baseline"/>
          <w14:ligatures w14:val="none"/>
        </w:rPr>
        <w:t>The denominator represents the maximum theoretically possible number of cross-regional citation links in a completely random, unbiased network. The numerator is the actual observed number of cross-regional citation links. A higher ESI value indicates that actual knowledge flow is more confined within regions, and segregation is more severe.</w:t>
      </w:r>
    </w:p>
    <w:p w14:paraId="29D72282">
      <w:pPr>
        <w:spacing w:after="0" w:line="279" w:lineRule="auto"/>
        <w:ind w:firstLine="442" w:firstLineChars="200"/>
        <w:jc w:val="both"/>
        <w:rPr>
          <w:rFonts w:ascii="Times New Roman" w:hAnsi="Times New Roman" w:eastAsia="宋体" w:cs="Times New Roman"/>
          <w:b/>
          <w:bCs/>
          <w:vertAlign w:val="baseline"/>
        </w:rPr>
      </w:pPr>
      <w:r>
        <w:rPr>
          <w:rFonts w:ascii="Times New Roman" w:hAnsi="Times New Roman" w:eastAsia="宋体" w:cs="Times New Roman"/>
          <w:b/>
          <w:bCs/>
          <w:vertAlign w:val="baseline"/>
        </w:rPr>
        <w:t xml:space="preserve">A.3 </w:t>
      </w:r>
      <w:r>
        <w:rPr>
          <w:rFonts w:hint="eastAsia" w:ascii="Times New Roman" w:hAnsi="Times New Roman" w:eastAsia="宋体" w:cs="Times New Roman"/>
          <w:b/>
          <w:bCs/>
          <w:vertAlign w:val="baseline"/>
        </w:rPr>
        <w:t>Algorithmic Ethnography Protocol</w:t>
      </w:r>
    </w:p>
    <w:p w14:paraId="020509AB">
      <w:pPr>
        <w:spacing w:after="0" w:line="279" w:lineRule="auto"/>
        <w:ind w:firstLine="440"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vertAlign w:val="baseline"/>
        </w:rPr>
        <w:t>To ensure the systematicity of the qualitative analysis process, we have developed the following standardized protocol.</w:t>
      </w:r>
    </w:p>
    <w:p w14:paraId="0942B2B7">
      <w:pPr>
        <w:spacing w:after="0" w:line="279" w:lineRule="auto"/>
        <w:ind w:firstLine="442" w:firstLineChars="200"/>
        <w:jc w:val="both"/>
        <w:rPr>
          <w:rFonts w:ascii="Times New Roman" w:hAnsi="Times New Roman" w:eastAsia="宋体" w:cs="Times New Roman"/>
          <w:b/>
          <w:bCs/>
          <w:vertAlign w:val="baseline"/>
        </w:rPr>
      </w:pPr>
      <w:r>
        <w:rPr>
          <w:rFonts w:ascii="Times New Roman" w:hAnsi="Times New Roman" w:eastAsia="宋体" w:cs="Times New Roman"/>
          <w:b/>
          <w:bCs/>
          <w:vertAlign w:val="baseline"/>
        </w:rPr>
        <w:t xml:space="preserve">1. </w:t>
      </w:r>
      <w:r>
        <w:rPr>
          <w:rFonts w:hint="eastAsia" w:ascii="Times New Roman" w:hAnsi="Times New Roman" w:eastAsia="宋体" w:cs="Times New Roman"/>
          <w:b/>
          <w:bCs/>
          <w:vertAlign w:val="baseline"/>
        </w:rPr>
        <w:t>Interface Walkthrough Recording Template</w:t>
      </w:r>
    </w:p>
    <w:tbl>
      <w:tblPr>
        <w:tblStyle w:val="4"/>
        <w:tblpPr w:leftFromText="180" w:rightFromText="180" w:vertAnchor="text" w:horzAnchor="page" w:tblpX="1921" w:tblpY="351"/>
        <w:tblOverlap w:val="never"/>
        <w:tblW w:w="8280" w:type="dxa"/>
        <w:tblInd w:w="0" w:type="dxa"/>
        <w:tblBorders>
          <w:top w:val="single" w:color="auto" w:sz="8" w:space="0"/>
          <w:left w:val="none" w:color="auto" w:sz="0" w:space="0"/>
          <w:bottom w:val="single" w:color="auto" w:sz="8"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800"/>
        <w:gridCol w:w="3438"/>
        <w:gridCol w:w="3042"/>
      </w:tblGrid>
      <w:tr w14:paraId="0656CC4F">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2" w:hRule="atLeast"/>
        </w:trPr>
        <w:tc>
          <w:tcPr>
            <w:tcW w:w="1800" w:type="dxa"/>
            <w:tcBorders>
              <w:bottom w:val="single" w:color="auto" w:sz="4" w:space="0"/>
            </w:tcBorders>
            <w:vAlign w:val="center"/>
          </w:tcPr>
          <w:p w14:paraId="5EE92075">
            <w:pPr>
              <w:widowControl/>
              <w:spacing w:after="0" w:line="240" w:lineRule="auto"/>
              <w:jc w:val="center"/>
              <w:rPr>
                <w:rFonts w:hint="default" w:ascii="Times New Roman" w:hAnsi="Times New Roman" w:eastAsia="宋体" w:cs="Times New Roman"/>
                <w:b/>
                <w:bCs/>
                <w:color w:val="000000"/>
                <w:kern w:val="0"/>
                <w:sz w:val="18"/>
                <w:szCs w:val="18"/>
                <w:vertAlign w:val="baseline"/>
                <w14:ligatures w14:val="none"/>
              </w:rPr>
            </w:pPr>
            <w:r>
              <w:rPr>
                <w:rFonts w:hint="default" w:ascii="Times New Roman" w:hAnsi="Times New Roman" w:eastAsia="宋体" w:cs="Times New Roman"/>
                <w:b/>
                <w:bCs/>
                <w:color w:val="000000"/>
                <w:kern w:val="0"/>
                <w:sz w:val="18"/>
                <w:szCs w:val="18"/>
                <w:vertAlign w:val="baseline"/>
                <w14:ligatures w14:val="none"/>
              </w:rPr>
              <w:t>Field</w:t>
            </w:r>
          </w:p>
        </w:tc>
        <w:tc>
          <w:tcPr>
            <w:tcW w:w="3438" w:type="dxa"/>
            <w:tcBorders>
              <w:bottom w:val="single" w:color="auto" w:sz="4" w:space="0"/>
            </w:tcBorders>
            <w:vAlign w:val="center"/>
          </w:tcPr>
          <w:p w14:paraId="0F109F52">
            <w:pPr>
              <w:widowControl/>
              <w:spacing w:after="0" w:line="240" w:lineRule="auto"/>
              <w:jc w:val="center"/>
              <w:rPr>
                <w:rFonts w:hint="default" w:ascii="Times New Roman" w:hAnsi="Times New Roman" w:eastAsia="宋体" w:cs="Times New Roman"/>
                <w:b/>
                <w:bCs/>
                <w:color w:val="000000"/>
                <w:kern w:val="0"/>
                <w:sz w:val="18"/>
                <w:szCs w:val="18"/>
                <w:vertAlign w:val="baseline"/>
                <w14:ligatures w14:val="none"/>
              </w:rPr>
            </w:pPr>
            <w:r>
              <w:rPr>
                <w:rFonts w:hint="default" w:ascii="Times New Roman" w:hAnsi="Times New Roman" w:cs="Times New Roman"/>
                <w:sz w:val="18"/>
                <w:szCs w:val="18"/>
              </w:rPr>
              <w:t>Description</w:t>
            </w:r>
          </w:p>
        </w:tc>
        <w:tc>
          <w:tcPr>
            <w:tcW w:w="3042" w:type="dxa"/>
            <w:tcBorders>
              <w:bottom w:val="single" w:color="auto" w:sz="4" w:space="0"/>
            </w:tcBorders>
            <w:vAlign w:val="center"/>
          </w:tcPr>
          <w:p w14:paraId="193558AF">
            <w:pPr>
              <w:widowControl/>
              <w:spacing w:after="0" w:line="240" w:lineRule="auto"/>
              <w:jc w:val="center"/>
              <w:rPr>
                <w:rFonts w:hint="default" w:ascii="Times New Roman" w:hAnsi="Times New Roman" w:eastAsia="宋体" w:cs="Times New Roman"/>
                <w:b/>
                <w:bCs/>
                <w:color w:val="000000"/>
                <w:kern w:val="0"/>
                <w:sz w:val="18"/>
                <w:szCs w:val="18"/>
                <w:vertAlign w:val="baseline"/>
                <w14:ligatures w14:val="none"/>
              </w:rPr>
            </w:pPr>
            <w:r>
              <w:rPr>
                <w:rFonts w:hint="default" w:ascii="Times New Roman" w:hAnsi="Times New Roman" w:cs="Times New Roman"/>
                <w:sz w:val="18"/>
                <w:szCs w:val="18"/>
              </w:rPr>
              <w:t>Example</w:t>
            </w:r>
          </w:p>
        </w:tc>
      </w:tr>
      <w:tr w14:paraId="7FBD5E0B">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0" w:hRule="atLeast"/>
        </w:trPr>
        <w:tc>
          <w:tcPr>
            <w:tcW w:w="1800" w:type="dxa"/>
            <w:tcBorders>
              <w:top w:val="single" w:color="auto" w:sz="4" w:space="0"/>
              <w:tl2br w:val="nil"/>
              <w:tr2bl w:val="nil"/>
            </w:tcBorders>
            <w:vAlign w:val="center"/>
          </w:tcPr>
          <w:p w14:paraId="22272F08">
            <w:pPr>
              <w:widowControl/>
              <w:spacing w:after="0" w:line="240" w:lineRule="auto"/>
              <w:jc w:val="center"/>
              <w:rPr>
                <w:rFonts w:hint="default" w:ascii="Times New Roman" w:hAnsi="Times New Roman" w:eastAsia="宋体" w:cs="Times New Roman"/>
                <w:b/>
                <w:bCs/>
                <w:color w:val="000000"/>
                <w:kern w:val="0"/>
                <w:sz w:val="18"/>
                <w:szCs w:val="18"/>
                <w:vertAlign w:val="baseline"/>
                <w14:ligatures w14:val="none"/>
              </w:rPr>
            </w:pPr>
            <w:r>
              <w:rPr>
                <w:rFonts w:hint="default" w:ascii="Times New Roman" w:hAnsi="Times New Roman" w:cs="Times New Roman"/>
                <w:b/>
                <w:bCs/>
                <w:sz w:val="18"/>
                <w:szCs w:val="18"/>
              </w:rPr>
              <w:t>Date and Time</w:t>
            </w:r>
          </w:p>
        </w:tc>
        <w:tc>
          <w:tcPr>
            <w:tcW w:w="3438" w:type="dxa"/>
            <w:tcBorders>
              <w:top w:val="single" w:color="auto" w:sz="4" w:space="0"/>
              <w:tl2br w:val="nil"/>
              <w:tr2bl w:val="nil"/>
            </w:tcBorders>
            <w:vAlign w:val="center"/>
          </w:tcPr>
          <w:p w14:paraId="27AA0A40">
            <w:pPr>
              <w:widowControl/>
              <w:spacing w:after="0" w:line="240" w:lineRule="auto"/>
              <w:jc w:val="both"/>
              <w:rPr>
                <w:rFonts w:hint="default" w:ascii="Times New Roman" w:hAnsi="Times New Roman" w:eastAsia="宋体" w:cs="Times New Roman"/>
                <w:color w:val="000000"/>
                <w:kern w:val="0"/>
                <w:sz w:val="18"/>
                <w:szCs w:val="18"/>
                <w:vertAlign w:val="baseline"/>
                <w14:ligatures w14:val="none"/>
              </w:rPr>
            </w:pPr>
            <w:r>
              <w:rPr>
                <w:rFonts w:hint="default" w:ascii="Times New Roman" w:hAnsi="Times New Roman" w:cs="Times New Roman"/>
                <w:sz w:val="18"/>
                <w:szCs w:val="18"/>
              </w:rPr>
              <w:t>Record operation time to control the impact of dynamic platform updates.</w:t>
            </w:r>
          </w:p>
        </w:tc>
        <w:tc>
          <w:tcPr>
            <w:tcW w:w="3042" w:type="dxa"/>
            <w:tcBorders>
              <w:top w:val="single" w:color="auto" w:sz="4" w:space="0"/>
              <w:tl2br w:val="nil"/>
              <w:tr2bl w:val="nil"/>
            </w:tcBorders>
            <w:vAlign w:val="center"/>
          </w:tcPr>
          <w:p w14:paraId="56A2B624">
            <w:pPr>
              <w:widowControl/>
              <w:spacing w:after="0" w:line="240" w:lineRule="auto"/>
              <w:jc w:val="both"/>
              <w:rPr>
                <w:rFonts w:hint="default" w:ascii="Times New Roman" w:hAnsi="Times New Roman" w:eastAsia="宋体" w:cs="Times New Roman"/>
                <w:color w:val="000000"/>
                <w:kern w:val="0"/>
                <w:sz w:val="18"/>
                <w:szCs w:val="18"/>
                <w:vertAlign w:val="baseline"/>
                <w14:ligatures w14:val="none"/>
              </w:rPr>
            </w:pPr>
            <w:r>
              <w:rPr>
                <w:rFonts w:hint="default" w:ascii="Times New Roman" w:hAnsi="Times New Roman" w:eastAsia="宋体" w:cs="Times New Roman"/>
                <w:color w:val="000000"/>
                <w:kern w:val="0"/>
                <w:sz w:val="18"/>
                <w:szCs w:val="18"/>
                <w:vertAlign w:val="baseline"/>
                <w14:ligatures w14:val="none"/>
              </w:rPr>
              <w:t>2024-05-15, 14:30 GMT+8</w:t>
            </w:r>
          </w:p>
        </w:tc>
      </w:tr>
      <w:tr w14:paraId="6CA98F01">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0" w:hRule="atLeast"/>
        </w:trPr>
        <w:tc>
          <w:tcPr>
            <w:tcW w:w="1800" w:type="dxa"/>
            <w:tcBorders>
              <w:tl2br w:val="nil"/>
              <w:tr2bl w:val="nil"/>
            </w:tcBorders>
            <w:vAlign w:val="center"/>
          </w:tcPr>
          <w:p w14:paraId="0E61EC4B">
            <w:pPr>
              <w:widowControl/>
              <w:spacing w:after="0" w:line="240" w:lineRule="auto"/>
              <w:jc w:val="center"/>
              <w:rPr>
                <w:rFonts w:hint="default" w:ascii="Times New Roman" w:hAnsi="Times New Roman" w:eastAsia="宋体" w:cs="Times New Roman"/>
                <w:b/>
                <w:bCs/>
                <w:color w:val="000000"/>
                <w:kern w:val="0"/>
                <w:sz w:val="18"/>
                <w:szCs w:val="18"/>
                <w:vertAlign w:val="baseline"/>
                <w14:ligatures w14:val="none"/>
              </w:rPr>
            </w:pPr>
            <w:r>
              <w:rPr>
                <w:rFonts w:hint="default" w:ascii="Times New Roman" w:hAnsi="Times New Roman" w:cs="Times New Roman"/>
                <w:b/>
                <w:bCs/>
                <w:sz w:val="18"/>
                <w:szCs w:val="18"/>
              </w:rPr>
              <w:t>Platform and Interface</w:t>
            </w:r>
          </w:p>
        </w:tc>
        <w:tc>
          <w:tcPr>
            <w:tcW w:w="3438" w:type="dxa"/>
            <w:tcBorders>
              <w:tl2br w:val="nil"/>
              <w:tr2bl w:val="nil"/>
            </w:tcBorders>
            <w:vAlign w:val="center"/>
          </w:tcPr>
          <w:p w14:paraId="0BA6A237">
            <w:pPr>
              <w:widowControl/>
              <w:spacing w:after="0" w:line="240" w:lineRule="auto"/>
              <w:jc w:val="both"/>
              <w:rPr>
                <w:rFonts w:hint="default" w:ascii="Times New Roman" w:hAnsi="Times New Roman" w:eastAsia="宋体" w:cs="Times New Roman"/>
                <w:color w:val="000000"/>
                <w:kern w:val="0"/>
                <w:sz w:val="18"/>
                <w:szCs w:val="18"/>
                <w:vertAlign w:val="baseline"/>
                <w14:ligatures w14:val="none"/>
              </w:rPr>
            </w:pPr>
            <w:r>
              <w:rPr>
                <w:rFonts w:hint="default" w:ascii="Times New Roman" w:hAnsi="Times New Roman" w:cs="Times New Roman"/>
                <w:sz w:val="18"/>
                <w:szCs w:val="18"/>
              </w:rPr>
              <w:t>Record the database used and the specific interface.</w:t>
            </w:r>
          </w:p>
        </w:tc>
        <w:tc>
          <w:tcPr>
            <w:tcW w:w="3042" w:type="dxa"/>
            <w:tcBorders>
              <w:tl2br w:val="nil"/>
              <w:tr2bl w:val="nil"/>
            </w:tcBorders>
            <w:vAlign w:val="center"/>
          </w:tcPr>
          <w:p w14:paraId="04DB455E">
            <w:pPr>
              <w:widowControl/>
              <w:spacing w:after="0" w:line="240" w:lineRule="auto"/>
              <w:jc w:val="both"/>
              <w:rPr>
                <w:rFonts w:hint="default" w:ascii="Times New Roman" w:hAnsi="Times New Roman" w:eastAsia="宋体" w:cs="Times New Roman"/>
                <w:color w:val="000000"/>
                <w:kern w:val="0"/>
                <w:sz w:val="18"/>
                <w:szCs w:val="18"/>
                <w:vertAlign w:val="baseline"/>
                <w14:ligatures w14:val="none"/>
              </w:rPr>
            </w:pPr>
            <w:r>
              <w:rPr>
                <w:rFonts w:hint="default" w:ascii="Times New Roman" w:hAnsi="Times New Roman" w:eastAsia="宋体" w:cs="Times New Roman"/>
                <w:color w:val="000000"/>
                <w:kern w:val="0"/>
                <w:sz w:val="18"/>
                <w:szCs w:val="18"/>
                <w:vertAlign w:val="baseline"/>
                <w14:ligatures w14:val="none"/>
              </w:rPr>
              <w:t>Web of Science, “Basic Search”</w:t>
            </w:r>
          </w:p>
        </w:tc>
      </w:tr>
      <w:tr w14:paraId="2D2991C6">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trPr>
        <w:tc>
          <w:tcPr>
            <w:tcW w:w="1800" w:type="dxa"/>
            <w:tcBorders>
              <w:tl2br w:val="nil"/>
              <w:tr2bl w:val="nil"/>
            </w:tcBorders>
            <w:vAlign w:val="center"/>
          </w:tcPr>
          <w:p w14:paraId="79BE2265">
            <w:pPr>
              <w:widowControl/>
              <w:spacing w:after="0" w:line="240" w:lineRule="auto"/>
              <w:jc w:val="center"/>
              <w:rPr>
                <w:rFonts w:hint="default" w:ascii="Times New Roman" w:hAnsi="Times New Roman" w:eastAsia="宋体" w:cs="Times New Roman"/>
                <w:b/>
                <w:bCs/>
                <w:color w:val="000000"/>
                <w:kern w:val="0"/>
                <w:sz w:val="18"/>
                <w:szCs w:val="18"/>
                <w:vertAlign w:val="baseline"/>
                <w14:ligatures w14:val="none"/>
              </w:rPr>
            </w:pPr>
            <w:r>
              <w:rPr>
                <w:rFonts w:hint="default" w:ascii="Times New Roman" w:hAnsi="Times New Roman" w:cs="Times New Roman"/>
                <w:b/>
                <w:bCs/>
                <w:sz w:val="18"/>
                <w:szCs w:val="18"/>
              </w:rPr>
              <w:t>Initial Search Term</w:t>
            </w:r>
          </w:p>
        </w:tc>
        <w:tc>
          <w:tcPr>
            <w:tcW w:w="3438" w:type="dxa"/>
            <w:tcBorders>
              <w:tl2br w:val="nil"/>
              <w:tr2bl w:val="nil"/>
            </w:tcBorders>
            <w:vAlign w:val="center"/>
          </w:tcPr>
          <w:p w14:paraId="54A7B3A7">
            <w:pPr>
              <w:widowControl/>
              <w:spacing w:after="0" w:line="240" w:lineRule="auto"/>
              <w:jc w:val="both"/>
              <w:rPr>
                <w:rFonts w:hint="default" w:ascii="Times New Roman" w:hAnsi="Times New Roman" w:eastAsia="宋体" w:cs="Times New Roman"/>
                <w:color w:val="000000"/>
                <w:kern w:val="0"/>
                <w:sz w:val="18"/>
                <w:szCs w:val="18"/>
                <w:vertAlign w:val="baseline"/>
                <w14:ligatures w14:val="none"/>
              </w:rPr>
            </w:pPr>
            <w:r>
              <w:rPr>
                <w:rFonts w:hint="default" w:ascii="Times New Roman" w:hAnsi="Times New Roman" w:cs="Times New Roman"/>
                <w:sz w:val="18"/>
                <w:szCs w:val="18"/>
              </w:rPr>
              <w:t>Record the exact keywords entered.</w:t>
            </w:r>
          </w:p>
        </w:tc>
        <w:tc>
          <w:tcPr>
            <w:tcW w:w="3042" w:type="dxa"/>
            <w:tcBorders>
              <w:tl2br w:val="nil"/>
              <w:tr2bl w:val="nil"/>
            </w:tcBorders>
            <w:vAlign w:val="center"/>
          </w:tcPr>
          <w:p w14:paraId="4B05229F">
            <w:pPr>
              <w:widowControl/>
              <w:spacing w:after="0" w:line="240" w:lineRule="auto"/>
              <w:jc w:val="both"/>
              <w:rPr>
                <w:rFonts w:hint="default" w:ascii="Times New Roman" w:hAnsi="Times New Roman" w:eastAsia="宋体" w:cs="Times New Roman"/>
                <w:color w:val="000000"/>
                <w:kern w:val="0"/>
                <w:sz w:val="18"/>
                <w:szCs w:val="18"/>
                <w:vertAlign w:val="baseline"/>
                <w14:ligatures w14:val="none"/>
              </w:rPr>
            </w:pPr>
            <w:r>
              <w:rPr>
                <w:rFonts w:hint="default" w:ascii="Times New Roman" w:hAnsi="Times New Roman" w:eastAsia="宋体" w:cs="Times New Roman"/>
                <w:color w:val="000000"/>
                <w:kern w:val="0"/>
                <w:sz w:val="18"/>
                <w:szCs w:val="18"/>
                <w:vertAlign w:val="baseline"/>
                <w14:ligatures w14:val="none"/>
              </w:rPr>
              <w:t>TS=(“heritage tourism” AND Africa)</w:t>
            </w:r>
          </w:p>
        </w:tc>
      </w:tr>
      <w:tr w14:paraId="667BE6FF">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800" w:type="dxa"/>
            <w:tcBorders>
              <w:tl2br w:val="nil"/>
              <w:tr2bl w:val="nil"/>
            </w:tcBorders>
            <w:vAlign w:val="center"/>
          </w:tcPr>
          <w:p w14:paraId="09622CAD">
            <w:pPr>
              <w:widowControl/>
              <w:spacing w:after="0" w:line="240" w:lineRule="auto"/>
              <w:jc w:val="center"/>
              <w:rPr>
                <w:rFonts w:hint="default" w:ascii="Times New Roman" w:hAnsi="Times New Roman" w:eastAsia="宋体" w:cs="Times New Roman"/>
                <w:b/>
                <w:bCs/>
                <w:color w:val="000000"/>
                <w:kern w:val="0"/>
                <w:sz w:val="18"/>
                <w:szCs w:val="18"/>
                <w:vertAlign w:val="baseline"/>
                <w14:ligatures w14:val="none"/>
              </w:rPr>
            </w:pPr>
            <w:r>
              <w:rPr>
                <w:rFonts w:hint="default" w:ascii="Times New Roman" w:hAnsi="Times New Roman" w:cs="Times New Roman"/>
                <w:b/>
                <w:bCs/>
                <w:sz w:val="18"/>
                <w:szCs w:val="18"/>
              </w:rPr>
              <w:t>Total Results</w:t>
            </w:r>
          </w:p>
        </w:tc>
        <w:tc>
          <w:tcPr>
            <w:tcW w:w="3438" w:type="dxa"/>
            <w:tcBorders>
              <w:tl2br w:val="nil"/>
              <w:tr2bl w:val="nil"/>
            </w:tcBorders>
            <w:vAlign w:val="center"/>
          </w:tcPr>
          <w:p w14:paraId="147CE490">
            <w:pPr>
              <w:widowControl/>
              <w:spacing w:after="0" w:line="240" w:lineRule="auto"/>
              <w:jc w:val="both"/>
              <w:rPr>
                <w:rFonts w:hint="default" w:ascii="Times New Roman" w:hAnsi="Times New Roman" w:eastAsia="宋体" w:cs="Times New Roman"/>
                <w:color w:val="000000"/>
                <w:kern w:val="0"/>
                <w:sz w:val="18"/>
                <w:szCs w:val="18"/>
                <w:vertAlign w:val="baseline"/>
                <w14:ligatures w14:val="none"/>
              </w:rPr>
            </w:pPr>
            <w:r>
              <w:rPr>
                <w:rFonts w:hint="default" w:ascii="Times New Roman" w:hAnsi="Times New Roman" w:cs="Times New Roman"/>
                <w:sz w:val="18"/>
                <w:szCs w:val="18"/>
              </w:rPr>
              <w:t>Record the number of documents initially returned.</w:t>
            </w:r>
          </w:p>
        </w:tc>
        <w:tc>
          <w:tcPr>
            <w:tcW w:w="3042" w:type="dxa"/>
            <w:tcBorders>
              <w:tl2br w:val="nil"/>
              <w:tr2bl w:val="nil"/>
            </w:tcBorders>
            <w:vAlign w:val="center"/>
          </w:tcPr>
          <w:p w14:paraId="093CD7C6">
            <w:pPr>
              <w:widowControl/>
              <w:spacing w:after="0" w:line="240" w:lineRule="auto"/>
              <w:jc w:val="both"/>
              <w:rPr>
                <w:rFonts w:hint="default" w:ascii="Times New Roman" w:hAnsi="Times New Roman" w:eastAsia="宋体" w:cs="Times New Roman"/>
                <w:color w:val="000000"/>
                <w:kern w:val="0"/>
                <w:sz w:val="18"/>
                <w:szCs w:val="18"/>
                <w:vertAlign w:val="baseline"/>
                <w14:ligatures w14:val="none"/>
              </w:rPr>
            </w:pPr>
            <w:r>
              <w:rPr>
                <w:rFonts w:hint="default" w:ascii="Times New Roman" w:hAnsi="Times New Roman" w:eastAsia="宋体" w:cs="Times New Roman"/>
                <w:color w:val="000000"/>
                <w:kern w:val="0"/>
                <w:sz w:val="18"/>
                <w:szCs w:val="18"/>
                <w:vertAlign w:val="baseline"/>
                <w14:ligatures w14:val="none"/>
              </w:rPr>
              <w:t>1,243</w:t>
            </w:r>
          </w:p>
        </w:tc>
      </w:tr>
      <w:tr w14:paraId="1AB94091">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0" w:hRule="atLeast"/>
        </w:trPr>
        <w:tc>
          <w:tcPr>
            <w:tcW w:w="1800" w:type="dxa"/>
            <w:vMerge w:val="restart"/>
            <w:tcBorders>
              <w:tl2br w:val="nil"/>
              <w:tr2bl w:val="nil"/>
            </w:tcBorders>
            <w:vAlign w:val="center"/>
          </w:tcPr>
          <w:p w14:paraId="4EC68AB9">
            <w:pPr>
              <w:widowControl/>
              <w:spacing w:after="0" w:line="240" w:lineRule="auto"/>
              <w:jc w:val="center"/>
              <w:rPr>
                <w:rFonts w:hint="default" w:ascii="Times New Roman" w:hAnsi="Times New Roman" w:eastAsia="宋体" w:cs="Times New Roman"/>
                <w:b/>
                <w:bCs/>
                <w:color w:val="000000"/>
                <w:kern w:val="0"/>
                <w:sz w:val="18"/>
                <w:szCs w:val="18"/>
                <w:vertAlign w:val="baseline"/>
                <w14:ligatures w14:val="none"/>
              </w:rPr>
            </w:pPr>
            <w:r>
              <w:rPr>
                <w:rFonts w:hint="default" w:ascii="Times New Roman" w:hAnsi="Times New Roman" w:cs="Times New Roman"/>
                <w:b/>
                <w:bCs/>
                <w:sz w:val="18"/>
                <w:szCs w:val="18"/>
              </w:rPr>
              <w:t>Recommendation Path Tracking</w:t>
            </w:r>
          </w:p>
        </w:tc>
        <w:tc>
          <w:tcPr>
            <w:tcW w:w="3438" w:type="dxa"/>
            <w:vMerge w:val="restart"/>
            <w:tcBorders>
              <w:tl2br w:val="nil"/>
              <w:tr2bl w:val="nil"/>
            </w:tcBorders>
            <w:vAlign w:val="center"/>
          </w:tcPr>
          <w:p w14:paraId="6C1CA1F9">
            <w:pPr>
              <w:widowControl/>
              <w:spacing w:after="0" w:line="240" w:lineRule="auto"/>
              <w:jc w:val="both"/>
              <w:rPr>
                <w:rFonts w:hint="default" w:ascii="Times New Roman" w:hAnsi="Times New Roman" w:eastAsia="宋体" w:cs="Times New Roman"/>
                <w:color w:val="000000"/>
                <w:kern w:val="0"/>
                <w:sz w:val="18"/>
                <w:szCs w:val="18"/>
                <w:vertAlign w:val="baseline"/>
                <w14:ligatures w14:val="none"/>
              </w:rPr>
            </w:pPr>
            <w:r>
              <w:rPr>
                <w:rFonts w:hint="default" w:ascii="Times New Roman" w:hAnsi="Times New Roman" w:cs="Times New Roman"/>
                <w:sz w:val="18"/>
                <w:szCs w:val="18"/>
              </w:rPr>
              <w:t xml:space="preserve">Record the path of consecutively clicking </w:t>
            </w:r>
            <w:r>
              <w:rPr>
                <w:rFonts w:hint="default" w:ascii="Times New Roman" w:hAnsi="Times New Roman" w:cs="Times New Roman"/>
                <w:sz w:val="18"/>
                <w:szCs w:val="18"/>
                <w:lang w:val="en-US" w:eastAsia="zh-CN"/>
              </w:rPr>
              <w:t>“</w:t>
            </w:r>
            <w:r>
              <w:rPr>
                <w:rFonts w:hint="default" w:ascii="Times New Roman" w:hAnsi="Times New Roman" w:cs="Times New Roman"/>
                <w:sz w:val="18"/>
                <w:szCs w:val="18"/>
              </w:rPr>
              <w:t>Related Records</w:t>
            </w:r>
            <w:r>
              <w:rPr>
                <w:rFonts w:hint="default" w:ascii="Times New Roman" w:hAnsi="Times New Roman" w:cs="Times New Roman"/>
                <w:sz w:val="18"/>
                <w:szCs w:val="18"/>
                <w:lang w:val="en-US" w:eastAsia="zh-CN"/>
              </w:rPr>
              <w:t>”</w:t>
            </w:r>
            <w:r>
              <w:rPr>
                <w:rFonts w:hint="default" w:ascii="Times New Roman" w:hAnsi="Times New Roman" w:cs="Times New Roman"/>
                <w:sz w:val="18"/>
                <w:szCs w:val="18"/>
              </w:rPr>
              <w:t xml:space="preserve"> or </w:t>
            </w:r>
            <w:r>
              <w:rPr>
                <w:rFonts w:hint="default" w:ascii="Times New Roman" w:hAnsi="Times New Roman" w:cs="Times New Roman"/>
                <w:sz w:val="18"/>
                <w:szCs w:val="18"/>
                <w:lang w:val="en-US" w:eastAsia="zh-CN"/>
              </w:rPr>
              <w:t>“</w:t>
            </w:r>
            <w:r>
              <w:rPr>
                <w:rFonts w:hint="default" w:ascii="Times New Roman" w:hAnsi="Times New Roman" w:cs="Times New Roman"/>
                <w:sz w:val="18"/>
                <w:szCs w:val="18"/>
              </w:rPr>
              <w:t>Recommended Documents</w:t>
            </w:r>
            <w:r>
              <w:rPr>
                <w:rFonts w:hint="default" w:ascii="Times New Roman" w:hAnsi="Times New Roman" w:cs="Times New Roman"/>
                <w:sz w:val="18"/>
                <w:szCs w:val="18"/>
                <w:lang w:val="en-US" w:eastAsia="zh-CN"/>
              </w:rPr>
              <w:t>”</w:t>
            </w:r>
            <w:r>
              <w:rPr>
                <w:rFonts w:hint="default" w:ascii="Times New Roman" w:hAnsi="Times New Roman" w:cs="Times New Roman"/>
                <w:sz w:val="18"/>
                <w:szCs w:val="18"/>
              </w:rPr>
              <w:t xml:space="preserve"> starting from a selected </w:t>
            </w:r>
            <w:r>
              <w:rPr>
                <w:rFonts w:hint="default" w:ascii="Times New Roman" w:hAnsi="Times New Roman" w:cs="Times New Roman"/>
                <w:sz w:val="18"/>
                <w:szCs w:val="18"/>
                <w:lang w:val="en-US" w:eastAsia="zh-CN"/>
              </w:rPr>
              <w:t>“</w:t>
            </w:r>
            <w:r>
              <w:rPr>
                <w:rFonts w:hint="default" w:ascii="Times New Roman" w:hAnsi="Times New Roman" w:cs="Times New Roman"/>
                <w:sz w:val="18"/>
                <w:szCs w:val="18"/>
              </w:rPr>
              <w:t>seed document</w:t>
            </w:r>
            <w:r>
              <w:rPr>
                <w:rFonts w:hint="default" w:ascii="Times New Roman" w:hAnsi="Times New Roman" w:cs="Times New Roman"/>
                <w:sz w:val="18"/>
                <w:szCs w:val="18"/>
                <w:lang w:val="en-US" w:eastAsia="zh-CN"/>
              </w:rPr>
              <w:t>”</w:t>
            </w:r>
            <w:r>
              <w:rPr>
                <w:rFonts w:hint="default" w:ascii="Times New Roman" w:hAnsi="Times New Roman" w:cs="Times New Roman"/>
                <w:sz w:val="18"/>
                <w:szCs w:val="18"/>
              </w:rPr>
              <w:t>. Record up to the third layer.</w:t>
            </w:r>
          </w:p>
        </w:tc>
        <w:tc>
          <w:tcPr>
            <w:tcW w:w="3042" w:type="dxa"/>
            <w:tcBorders>
              <w:tl2br w:val="nil"/>
              <w:tr2bl w:val="nil"/>
            </w:tcBorders>
            <w:vAlign w:val="center"/>
          </w:tcPr>
          <w:p w14:paraId="29D35F3B">
            <w:pPr>
              <w:widowControl/>
              <w:spacing w:after="0" w:line="240" w:lineRule="auto"/>
              <w:jc w:val="both"/>
              <w:rPr>
                <w:rFonts w:hint="default" w:ascii="Times New Roman" w:hAnsi="Times New Roman" w:eastAsia="宋体" w:cs="Times New Roman"/>
                <w:color w:val="000000"/>
                <w:kern w:val="0"/>
                <w:sz w:val="18"/>
                <w:szCs w:val="18"/>
                <w:vertAlign w:val="baseline"/>
                <w14:ligatures w14:val="none"/>
              </w:rPr>
            </w:pPr>
            <w:r>
              <w:rPr>
                <w:rFonts w:hint="default" w:ascii="Times New Roman" w:hAnsi="Times New Roman" w:eastAsia="宋体" w:cs="Times New Roman"/>
                <w:color w:val="000000"/>
                <w:kern w:val="0"/>
                <w:sz w:val="18"/>
                <w:szCs w:val="18"/>
                <w:vertAlign w:val="baseline"/>
                <w14:ligatures w14:val="none"/>
              </w:rPr>
              <w:t>Seed:</w:t>
            </w:r>
            <w:r>
              <w:rPr>
                <w:rFonts w:hint="default" w:ascii="Times New Roman" w:hAnsi="Times New Roman" w:eastAsia="宋体" w:cs="Times New Roman"/>
                <w:color w:val="000000"/>
                <w:kern w:val="0"/>
                <w:sz w:val="18"/>
                <w:szCs w:val="18"/>
                <w:vertAlign w:val="baseline"/>
                <w:lang w:val="en-US" w:eastAsia="zh-CN"/>
                <w14:ligatures w14:val="none"/>
              </w:rPr>
              <w:t xml:space="preserve"> </w:t>
            </w:r>
            <w:r>
              <w:rPr>
                <w:rFonts w:hint="default" w:ascii="Times New Roman" w:hAnsi="Times New Roman" w:eastAsia="宋体" w:cs="Times New Roman"/>
                <w:color w:val="000000"/>
                <w:kern w:val="0"/>
                <w:sz w:val="18"/>
                <w:szCs w:val="18"/>
                <w:vertAlign w:val="baseline"/>
                <w14:ligatures w14:val="none"/>
              </w:rPr>
              <w:t>Awad et al. (2022)</w:t>
            </w:r>
          </w:p>
        </w:tc>
      </w:tr>
      <w:tr w14:paraId="31AC1BF6">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0" w:hRule="atLeast"/>
        </w:trPr>
        <w:tc>
          <w:tcPr>
            <w:tcW w:w="1800" w:type="dxa"/>
            <w:vMerge w:val="continue"/>
            <w:tcBorders>
              <w:tl2br w:val="nil"/>
              <w:tr2bl w:val="nil"/>
            </w:tcBorders>
            <w:vAlign w:val="center"/>
          </w:tcPr>
          <w:p w14:paraId="699F4F01">
            <w:pPr>
              <w:widowControl/>
              <w:spacing w:after="0" w:line="240" w:lineRule="auto"/>
              <w:jc w:val="center"/>
              <w:rPr>
                <w:rFonts w:hint="default" w:ascii="Times New Roman" w:hAnsi="Times New Roman" w:eastAsia="宋体" w:cs="Times New Roman"/>
                <w:b/>
                <w:bCs/>
                <w:color w:val="000000"/>
                <w:kern w:val="0"/>
                <w:sz w:val="18"/>
                <w:szCs w:val="18"/>
                <w:vertAlign w:val="baseline"/>
                <w14:ligatures w14:val="none"/>
              </w:rPr>
            </w:pPr>
          </w:p>
        </w:tc>
        <w:tc>
          <w:tcPr>
            <w:tcW w:w="3438" w:type="dxa"/>
            <w:vMerge w:val="continue"/>
            <w:tcBorders>
              <w:tl2br w:val="nil"/>
              <w:tr2bl w:val="nil"/>
            </w:tcBorders>
            <w:vAlign w:val="center"/>
          </w:tcPr>
          <w:p w14:paraId="2EE921EA">
            <w:pPr>
              <w:widowControl/>
              <w:spacing w:after="0" w:line="240" w:lineRule="auto"/>
              <w:jc w:val="both"/>
              <w:rPr>
                <w:rFonts w:hint="default" w:ascii="Times New Roman" w:hAnsi="Times New Roman" w:eastAsia="宋体" w:cs="Times New Roman"/>
                <w:color w:val="000000"/>
                <w:kern w:val="0"/>
                <w:sz w:val="18"/>
                <w:szCs w:val="18"/>
                <w:vertAlign w:val="baseline"/>
                <w14:ligatures w14:val="none"/>
              </w:rPr>
            </w:pPr>
          </w:p>
        </w:tc>
        <w:tc>
          <w:tcPr>
            <w:tcW w:w="3042" w:type="dxa"/>
            <w:tcBorders>
              <w:tl2br w:val="nil"/>
              <w:tr2bl w:val="nil"/>
            </w:tcBorders>
            <w:vAlign w:val="center"/>
          </w:tcPr>
          <w:p w14:paraId="14BB42DF">
            <w:pPr>
              <w:widowControl/>
              <w:spacing w:after="0" w:line="240" w:lineRule="auto"/>
              <w:jc w:val="both"/>
              <w:rPr>
                <w:rFonts w:hint="default" w:ascii="Times New Roman" w:hAnsi="Times New Roman" w:eastAsia="宋体" w:cs="Times New Roman"/>
                <w:color w:val="000000"/>
                <w:kern w:val="0"/>
                <w:sz w:val="18"/>
                <w:szCs w:val="18"/>
                <w:vertAlign w:val="baseline"/>
                <w14:ligatures w14:val="none"/>
              </w:rPr>
            </w:pPr>
            <w:r>
              <w:rPr>
                <w:rFonts w:hint="default" w:ascii="Times New Roman" w:hAnsi="Times New Roman" w:eastAsia="宋体" w:cs="Times New Roman"/>
                <w:color w:val="000000"/>
                <w:kern w:val="0"/>
                <w:sz w:val="18"/>
                <w:szCs w:val="18"/>
                <w:vertAlign w:val="baseline"/>
                <w14:ligatures w14:val="none"/>
              </w:rPr>
              <w:t>L1 recommendations: 4 of 5 authored by Europe and North America, 1 by South Africa.</w:t>
            </w:r>
          </w:p>
        </w:tc>
      </w:tr>
      <w:tr w14:paraId="75FED66C">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1800" w:type="dxa"/>
            <w:vMerge w:val="continue"/>
            <w:tcBorders>
              <w:tl2br w:val="nil"/>
              <w:tr2bl w:val="nil"/>
            </w:tcBorders>
            <w:vAlign w:val="center"/>
          </w:tcPr>
          <w:p w14:paraId="1BF43976">
            <w:pPr>
              <w:widowControl/>
              <w:spacing w:after="0" w:line="240" w:lineRule="auto"/>
              <w:jc w:val="center"/>
              <w:rPr>
                <w:rFonts w:hint="default" w:ascii="Times New Roman" w:hAnsi="Times New Roman" w:eastAsia="宋体" w:cs="Times New Roman"/>
                <w:b/>
                <w:bCs/>
                <w:color w:val="000000"/>
                <w:kern w:val="0"/>
                <w:sz w:val="18"/>
                <w:szCs w:val="18"/>
                <w:vertAlign w:val="baseline"/>
                <w14:ligatures w14:val="none"/>
              </w:rPr>
            </w:pPr>
          </w:p>
        </w:tc>
        <w:tc>
          <w:tcPr>
            <w:tcW w:w="3438" w:type="dxa"/>
            <w:vMerge w:val="continue"/>
            <w:tcBorders>
              <w:tl2br w:val="nil"/>
              <w:tr2bl w:val="nil"/>
            </w:tcBorders>
            <w:vAlign w:val="center"/>
          </w:tcPr>
          <w:p w14:paraId="525C785D">
            <w:pPr>
              <w:widowControl/>
              <w:spacing w:after="0" w:line="240" w:lineRule="auto"/>
              <w:jc w:val="both"/>
              <w:rPr>
                <w:rFonts w:hint="default" w:ascii="Times New Roman" w:hAnsi="Times New Roman" w:eastAsia="宋体" w:cs="Times New Roman"/>
                <w:color w:val="000000"/>
                <w:kern w:val="0"/>
                <w:sz w:val="18"/>
                <w:szCs w:val="18"/>
                <w:vertAlign w:val="baseline"/>
                <w14:ligatures w14:val="none"/>
              </w:rPr>
            </w:pPr>
          </w:p>
        </w:tc>
        <w:tc>
          <w:tcPr>
            <w:tcW w:w="3042" w:type="dxa"/>
            <w:tcBorders>
              <w:tl2br w:val="nil"/>
              <w:tr2bl w:val="nil"/>
            </w:tcBorders>
            <w:vAlign w:val="center"/>
          </w:tcPr>
          <w:p w14:paraId="6462B0FE">
            <w:pPr>
              <w:widowControl/>
              <w:spacing w:after="0" w:line="240" w:lineRule="auto"/>
              <w:jc w:val="both"/>
              <w:rPr>
                <w:rFonts w:hint="default" w:ascii="Times New Roman" w:hAnsi="Times New Roman" w:eastAsia="宋体" w:cs="Times New Roman"/>
                <w:color w:val="000000"/>
                <w:kern w:val="0"/>
                <w:sz w:val="18"/>
                <w:szCs w:val="18"/>
                <w:vertAlign w:val="baseline"/>
                <w14:ligatures w14:val="none"/>
              </w:rPr>
            </w:pPr>
            <w:r>
              <w:rPr>
                <w:rFonts w:hint="default" w:ascii="Times New Roman" w:hAnsi="Times New Roman" w:eastAsia="宋体" w:cs="Times New Roman"/>
                <w:color w:val="000000"/>
                <w:kern w:val="0"/>
                <w:sz w:val="18"/>
                <w:szCs w:val="18"/>
                <w:vertAlign w:val="baseline"/>
                <w14:ligatures w14:val="none"/>
              </w:rPr>
              <w:t>L2 recommendations (continue with one European/</w:t>
            </w:r>
            <w:r>
              <w:rPr>
                <w:rFonts w:hint="default" w:ascii="Times New Roman" w:hAnsi="Times New Roman" w:eastAsia="宋体" w:cs="Times New Roman"/>
                <w:color w:val="000000"/>
                <w:kern w:val="0"/>
                <w:sz w:val="18"/>
                <w:szCs w:val="18"/>
                <w:vertAlign w:val="baseline"/>
                <w:lang w:val="en-US" w:eastAsia="zh-CN"/>
                <w14:ligatures w14:val="none"/>
              </w:rPr>
              <w:t xml:space="preserve"> </w:t>
            </w:r>
            <w:r>
              <w:rPr>
                <w:rFonts w:hint="default" w:ascii="Times New Roman" w:hAnsi="Times New Roman" w:eastAsia="宋体" w:cs="Times New Roman"/>
                <w:color w:val="000000"/>
                <w:kern w:val="0"/>
                <w:sz w:val="18"/>
                <w:szCs w:val="18"/>
                <w:vertAlign w:val="baseline"/>
                <w14:ligatures w14:val="none"/>
              </w:rPr>
              <w:t>North American document from L1): all 5 from Europe and North America.</w:t>
            </w:r>
          </w:p>
        </w:tc>
      </w:tr>
      <w:tr w14:paraId="1D460B52">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0" w:hRule="atLeast"/>
        </w:trPr>
        <w:tc>
          <w:tcPr>
            <w:tcW w:w="1800" w:type="dxa"/>
            <w:tcBorders>
              <w:tl2br w:val="nil"/>
              <w:tr2bl w:val="nil"/>
            </w:tcBorders>
            <w:vAlign w:val="center"/>
          </w:tcPr>
          <w:p w14:paraId="62CB264D">
            <w:pPr>
              <w:widowControl/>
              <w:spacing w:after="0" w:line="240" w:lineRule="auto"/>
              <w:jc w:val="center"/>
              <w:rPr>
                <w:rFonts w:hint="default" w:ascii="Times New Roman" w:hAnsi="Times New Roman" w:eastAsia="宋体" w:cs="Times New Roman"/>
                <w:b/>
                <w:bCs/>
                <w:color w:val="000000"/>
                <w:kern w:val="0"/>
                <w:sz w:val="18"/>
                <w:szCs w:val="18"/>
                <w:vertAlign w:val="baseline"/>
                <w14:ligatures w14:val="none"/>
              </w:rPr>
            </w:pPr>
            <w:r>
              <w:rPr>
                <w:rFonts w:hint="default" w:ascii="Times New Roman" w:hAnsi="Times New Roman" w:cs="Times New Roman"/>
                <w:b/>
                <w:bCs/>
                <w:sz w:val="18"/>
                <w:szCs w:val="18"/>
              </w:rPr>
              <w:t>Observation and Reflection</w:t>
            </w:r>
          </w:p>
        </w:tc>
        <w:tc>
          <w:tcPr>
            <w:tcW w:w="3438" w:type="dxa"/>
            <w:tcBorders>
              <w:tl2br w:val="nil"/>
              <w:tr2bl w:val="nil"/>
            </w:tcBorders>
            <w:vAlign w:val="center"/>
          </w:tcPr>
          <w:p w14:paraId="0B6908A9">
            <w:pPr>
              <w:widowControl/>
              <w:spacing w:after="0" w:line="240" w:lineRule="auto"/>
              <w:jc w:val="both"/>
              <w:rPr>
                <w:rFonts w:hint="default" w:ascii="Times New Roman" w:hAnsi="Times New Roman" w:eastAsia="宋体" w:cs="Times New Roman"/>
                <w:color w:val="000000"/>
                <w:kern w:val="0"/>
                <w:sz w:val="18"/>
                <w:szCs w:val="18"/>
                <w:vertAlign w:val="baseline"/>
                <w14:ligatures w14:val="none"/>
              </w:rPr>
            </w:pPr>
            <w:r>
              <w:rPr>
                <w:rFonts w:hint="default" w:ascii="Times New Roman" w:hAnsi="Times New Roman" w:cs="Times New Roman"/>
                <w:sz w:val="18"/>
                <w:szCs w:val="18"/>
              </w:rPr>
              <w:t>Record qualitative observations on recommendation patterns, language, and geographical distribution of author institutions.</w:t>
            </w:r>
          </w:p>
        </w:tc>
        <w:tc>
          <w:tcPr>
            <w:tcW w:w="3042" w:type="dxa"/>
            <w:tcBorders>
              <w:tl2br w:val="nil"/>
              <w:tr2bl w:val="nil"/>
            </w:tcBorders>
            <w:vAlign w:val="center"/>
          </w:tcPr>
          <w:p w14:paraId="44D57628">
            <w:pPr>
              <w:widowControl/>
              <w:spacing w:after="0" w:line="240" w:lineRule="auto"/>
              <w:jc w:val="both"/>
              <w:rPr>
                <w:rFonts w:hint="default" w:ascii="Times New Roman" w:hAnsi="Times New Roman" w:eastAsia="宋体" w:cs="Times New Roman"/>
                <w:color w:val="000000"/>
                <w:kern w:val="0"/>
                <w:sz w:val="18"/>
                <w:szCs w:val="18"/>
                <w:vertAlign w:val="baseline"/>
                <w:lang w:eastAsia="zh-CN"/>
                <w14:ligatures w14:val="none"/>
              </w:rPr>
            </w:pPr>
            <w:r>
              <w:rPr>
                <w:rFonts w:hint="default" w:ascii="Times New Roman" w:hAnsi="Times New Roman" w:eastAsia="宋体" w:cs="Times New Roman"/>
                <w:color w:val="000000"/>
                <w:kern w:val="0"/>
                <w:sz w:val="18"/>
                <w:szCs w:val="18"/>
                <w:vertAlign w:val="baseline"/>
                <w:lang w:val="en-US" w:eastAsia="zh-CN"/>
                <w14:ligatures w14:val="none"/>
              </w:rPr>
              <w:t>“</w:t>
            </w:r>
            <w:r>
              <w:rPr>
                <w:rFonts w:hint="default" w:ascii="Times New Roman" w:hAnsi="Times New Roman" w:eastAsia="宋体" w:cs="Times New Roman"/>
                <w:color w:val="000000"/>
                <w:kern w:val="0"/>
                <w:sz w:val="18"/>
                <w:szCs w:val="18"/>
                <w:vertAlign w:val="baseline"/>
                <w14:ligatures w14:val="none"/>
              </w:rPr>
              <w:t>The recommendation chain rapidly converges on a canonical literature network centered on European and North American scholars. Works by African local scholars almost disappear after the second layer.</w:t>
            </w:r>
            <w:r>
              <w:rPr>
                <w:rFonts w:hint="default" w:ascii="Times New Roman" w:hAnsi="Times New Roman" w:eastAsia="宋体" w:cs="Times New Roman"/>
                <w:color w:val="000000"/>
                <w:kern w:val="0"/>
                <w:sz w:val="18"/>
                <w:szCs w:val="18"/>
                <w:vertAlign w:val="baseline"/>
                <w:lang w:val="en-US" w:eastAsia="zh-CN"/>
                <w14:ligatures w14:val="none"/>
              </w:rPr>
              <w:t>”</w:t>
            </w:r>
          </w:p>
        </w:tc>
      </w:tr>
    </w:tbl>
    <w:p w14:paraId="1A3C3824">
      <w:pPr>
        <w:jc w:val="both"/>
        <w:rPr>
          <w:rFonts w:ascii="Times New Roman" w:hAnsi="Times New Roman" w:eastAsia="宋体" w:cs="Times New Roman"/>
          <w:vertAlign w:val="baseline"/>
        </w:rPr>
      </w:pPr>
    </w:p>
    <w:p w14:paraId="120DC472">
      <w:pPr>
        <w:numPr>
          <w:ilvl w:val="0"/>
          <w:numId w:val="1"/>
        </w:numPr>
        <w:spacing w:after="0" w:line="279" w:lineRule="auto"/>
        <w:ind w:left="0" w:leftChars="0" w:firstLine="442" w:firstLineChars="200"/>
        <w:jc w:val="both"/>
        <w:rPr>
          <w:rFonts w:hint="eastAsia" w:ascii="Times New Roman" w:hAnsi="Times New Roman" w:eastAsia="宋体" w:cs="Times New Roman"/>
          <w:b/>
          <w:bCs/>
          <w:vertAlign w:val="baseline"/>
        </w:rPr>
      </w:pPr>
      <w:r>
        <w:rPr>
          <w:rFonts w:hint="eastAsia" w:ascii="Times New Roman" w:hAnsi="Times New Roman" w:eastAsia="宋体" w:cs="Times New Roman"/>
          <w:b/>
          <w:bCs/>
          <w:vertAlign w:val="baseline"/>
        </w:rPr>
        <w:t>Citation Tracking Audit Coding Manual</w:t>
      </w:r>
    </w:p>
    <w:p w14:paraId="40172AB1">
      <w:pPr>
        <w:spacing w:after="0" w:line="279" w:lineRule="auto"/>
        <w:ind w:firstLine="440"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vertAlign w:val="baseline"/>
        </w:rPr>
        <w:t xml:space="preserve">We selected five </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key case</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 xml:space="preserve"> papers for auditing. Coding includes:</w:t>
      </w:r>
    </w:p>
    <w:p w14:paraId="42BE0001">
      <w:pPr>
        <w:spacing w:after="0" w:line="279" w:lineRule="auto"/>
        <w:ind w:firstLine="442" w:firstLineChars="200"/>
        <w:jc w:val="both"/>
        <w:rPr>
          <w:rFonts w:hint="eastAsia" w:ascii="Times New Roman" w:hAnsi="Times New Roman" w:eastAsia="宋体" w:cs="Times New Roman"/>
          <w:b/>
          <w:bCs/>
          <w:vertAlign w:val="baseline"/>
        </w:rPr>
      </w:pPr>
      <w:r>
        <w:rPr>
          <w:rFonts w:hint="eastAsia" w:ascii="Times New Roman" w:hAnsi="Times New Roman" w:eastAsia="宋体" w:cs="Times New Roman"/>
          <w:b/>
          <w:bCs/>
          <w:vertAlign w:val="baseline"/>
        </w:rPr>
        <w:t>(1) Visibility Dimensions:</w:t>
      </w:r>
    </w:p>
    <w:p w14:paraId="67858141">
      <w:pPr>
        <w:spacing w:after="0" w:line="279" w:lineRule="auto"/>
        <w:ind w:firstLine="440"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vertAlign w:val="baseline"/>
        </w:rPr>
        <w:t>Indexing Delay: Number of months from online publication to inclusion in WoS/Scopus.</w:t>
      </w:r>
    </w:p>
    <w:p w14:paraId="152566E3">
      <w:pPr>
        <w:spacing w:after="0" w:line="279" w:lineRule="auto"/>
        <w:ind w:firstLine="440"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vertAlign w:val="baseline"/>
        </w:rPr>
        <w:t>Search Ranking: Using the paper</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s keywords for retrieval, record its ranking position among the top 100 results (record once weekly for 8 consecutive weeks).</w:t>
      </w:r>
    </w:p>
    <w:p w14:paraId="4638DCD0">
      <w:pPr>
        <w:spacing w:after="0" w:line="279" w:lineRule="auto"/>
        <w:ind w:firstLine="440"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vertAlign w:val="baseline"/>
        </w:rPr>
        <w:t xml:space="preserve">Citation Alert: Record the frequency of </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cited</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 xml:space="preserve"> notifications sent by the database.</w:t>
      </w:r>
    </w:p>
    <w:p w14:paraId="0E0890DA">
      <w:pPr>
        <w:spacing w:after="0" w:line="279" w:lineRule="auto"/>
        <w:ind w:firstLine="442" w:firstLineChars="200"/>
        <w:jc w:val="both"/>
        <w:rPr>
          <w:rFonts w:hint="eastAsia" w:ascii="Times New Roman" w:hAnsi="Times New Roman" w:eastAsia="宋体" w:cs="Times New Roman"/>
          <w:b/>
          <w:bCs/>
          <w:vertAlign w:val="baseline"/>
        </w:rPr>
      </w:pPr>
      <w:r>
        <w:rPr>
          <w:rFonts w:hint="eastAsia" w:ascii="Times New Roman" w:hAnsi="Times New Roman" w:eastAsia="宋体" w:cs="Times New Roman"/>
          <w:b/>
          <w:bCs/>
          <w:vertAlign w:val="baseline"/>
        </w:rPr>
        <w:t>(2) Relevance Dimensions:</w:t>
      </w:r>
    </w:p>
    <w:p w14:paraId="726F7287">
      <w:pPr>
        <w:spacing w:after="0" w:line="279" w:lineRule="auto"/>
        <w:ind w:firstLine="440"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vertAlign w:val="baseline"/>
        </w:rPr>
        <w:t xml:space="preserve">Frequency as </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Related Literature</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 xml:space="preserve">: Record the number of times the case paper appears in the </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Related Literature</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 xml:space="preserve"> lists of 50 preset distinct </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lang w:val="en-US" w:eastAsia="zh-CN"/>
        </w:rPr>
        <w:t>s</w:t>
      </w:r>
      <w:r>
        <w:rPr>
          <w:rFonts w:hint="eastAsia" w:ascii="Times New Roman" w:hAnsi="Times New Roman" w:eastAsia="宋体" w:cs="Times New Roman"/>
          <w:vertAlign w:val="baseline"/>
        </w:rPr>
        <w:t>eed papers</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w:t>
      </w:r>
    </w:p>
    <w:p w14:paraId="466D7470">
      <w:pPr>
        <w:spacing w:after="0" w:line="279" w:lineRule="auto"/>
        <w:ind w:firstLine="442" w:firstLineChars="200"/>
        <w:jc w:val="both"/>
        <w:rPr>
          <w:rFonts w:hint="eastAsia" w:ascii="Times New Roman" w:hAnsi="Times New Roman" w:eastAsia="宋体" w:cs="Times New Roman"/>
          <w:b/>
          <w:bCs/>
          <w:vertAlign w:val="baseline"/>
        </w:rPr>
      </w:pPr>
      <w:r>
        <w:rPr>
          <w:rFonts w:hint="eastAsia" w:ascii="Times New Roman" w:hAnsi="Times New Roman" w:eastAsia="宋体" w:cs="Times New Roman"/>
          <w:b/>
          <w:bCs/>
          <w:vertAlign w:val="baseline"/>
        </w:rPr>
        <w:t>(3) Coding Consistency:</w:t>
      </w:r>
    </w:p>
    <w:p w14:paraId="28954159">
      <w:pPr>
        <w:spacing w:after="0" w:line="279" w:lineRule="auto"/>
        <w:ind w:firstLine="440" w:firstLineChars="200"/>
        <w:jc w:val="both"/>
        <w:rPr>
          <w:rFonts w:ascii="Times New Roman" w:hAnsi="Times New Roman" w:eastAsia="宋体" w:cs="Times New Roman"/>
          <w:vertAlign w:val="baseline"/>
        </w:rPr>
      </w:pPr>
      <w:r>
        <w:rPr>
          <w:rFonts w:hint="eastAsia" w:ascii="Times New Roman" w:hAnsi="Times New Roman" w:eastAsia="宋体" w:cs="Times New Roman"/>
          <w:vertAlign w:val="baseline"/>
        </w:rPr>
        <w:t>Coded independently by two researchers, with a Cohen's Kappa coefficient of 0.88, indicating good consistency.</w:t>
      </w:r>
    </w:p>
    <w:p w14:paraId="2EFFDBB4">
      <w:pPr>
        <w:spacing w:after="0" w:line="279" w:lineRule="auto"/>
        <w:ind w:firstLine="442" w:firstLineChars="200"/>
        <w:jc w:val="both"/>
        <w:rPr>
          <w:rFonts w:hint="eastAsia" w:ascii="Times New Roman" w:hAnsi="Times New Roman" w:eastAsia="宋体" w:cs="Times New Roman"/>
          <w:b/>
          <w:bCs/>
          <w:vertAlign w:val="baseline"/>
        </w:rPr>
      </w:pPr>
      <w:r>
        <w:rPr>
          <w:rFonts w:hint="eastAsia" w:ascii="Times New Roman" w:hAnsi="Times New Roman" w:eastAsia="宋体" w:cs="Times New Roman"/>
          <w:b/>
          <w:bCs/>
          <w:vertAlign w:val="baseline"/>
        </w:rPr>
        <w:t>A.4 Counterfactual Modeling Parameter Settings</w:t>
      </w:r>
    </w:p>
    <w:p w14:paraId="3DB9A6F5">
      <w:pPr>
        <w:spacing w:after="0" w:line="279" w:lineRule="auto"/>
        <w:ind w:firstLine="440"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vertAlign w:val="baseline"/>
        </w:rPr>
        <w:t>Counterfactual modeling aims to reveal potential knowledge structures by perturbing network parameters.</w:t>
      </w:r>
    </w:p>
    <w:p w14:paraId="38E8F1EA">
      <w:pPr>
        <w:spacing w:after="0" w:line="279" w:lineRule="auto"/>
        <w:ind w:firstLine="442" w:firstLineChars="200"/>
        <w:jc w:val="both"/>
        <w:rPr>
          <w:rFonts w:hint="eastAsia" w:ascii="Times New Roman" w:hAnsi="Times New Roman" w:eastAsia="宋体" w:cs="Times New Roman"/>
          <w:b/>
          <w:bCs/>
          <w:vertAlign w:val="baseline"/>
        </w:rPr>
      </w:pPr>
      <w:r>
        <w:rPr>
          <w:rFonts w:hint="eastAsia" w:ascii="Times New Roman" w:hAnsi="Times New Roman" w:eastAsia="宋体" w:cs="Times New Roman"/>
          <w:b/>
          <w:bCs/>
          <w:vertAlign w:val="baseline"/>
        </w:rPr>
        <w:t>(1) Baseline Network:</w:t>
      </w:r>
    </w:p>
    <w:p w14:paraId="6BD08EAE">
      <w:pPr>
        <w:spacing w:after="0" w:line="279" w:lineRule="auto"/>
        <w:ind w:firstLine="440"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vertAlign w:val="baseline"/>
        </w:rPr>
        <w:t>A literature co-citation network was constructed based on the references of 2,417 sample papers. The co-citation threshold was set to 5.</w:t>
      </w:r>
    </w:p>
    <w:p w14:paraId="3DDC5CB6">
      <w:pPr>
        <w:spacing w:after="0" w:line="279" w:lineRule="auto"/>
        <w:ind w:firstLine="442" w:firstLineChars="200"/>
        <w:jc w:val="both"/>
        <w:rPr>
          <w:rFonts w:hint="eastAsia" w:ascii="Times New Roman" w:hAnsi="Times New Roman" w:eastAsia="宋体" w:cs="Times New Roman"/>
          <w:b/>
          <w:bCs/>
          <w:vertAlign w:val="baseline"/>
        </w:rPr>
      </w:pPr>
      <w:r>
        <w:rPr>
          <w:rFonts w:hint="eastAsia" w:ascii="Times New Roman" w:hAnsi="Times New Roman" w:eastAsia="宋体" w:cs="Times New Roman"/>
          <w:b/>
          <w:bCs/>
          <w:vertAlign w:val="baseline"/>
        </w:rPr>
        <w:t>(2) Perturbation Scenarios and Parameters:</w:t>
      </w:r>
    </w:p>
    <w:p w14:paraId="00622F3F">
      <w:pPr>
        <w:spacing w:after="0" w:line="279" w:lineRule="auto"/>
        <w:ind w:firstLine="442"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b/>
          <w:bCs/>
          <w:vertAlign w:val="baseline"/>
        </w:rPr>
        <w:t>Scenario S1: Removal of journal impact factor weights</w:t>
      </w:r>
    </w:p>
    <w:p w14:paraId="063EE649">
      <w:pPr>
        <w:spacing w:after="0" w:line="279" w:lineRule="auto"/>
        <w:ind w:firstLine="442"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b/>
          <w:bCs/>
          <w:vertAlign w:val="baseline"/>
        </w:rPr>
        <w:t>Perturbation method:</w:t>
      </w:r>
      <w:r>
        <w:rPr>
          <w:rFonts w:hint="eastAsia" w:ascii="Times New Roman" w:hAnsi="Times New Roman" w:eastAsia="宋体" w:cs="Times New Roman"/>
          <w:vertAlign w:val="baseline"/>
        </w:rPr>
        <w:t xml:space="preserve"> When calculating node influence (for layout or size), set all journal-derived weights to 1, i.e., ignore differences in journal impact factors.</w:t>
      </w:r>
    </w:p>
    <w:p w14:paraId="32DF304E">
      <w:pPr>
        <w:spacing w:after="0" w:line="279" w:lineRule="auto"/>
        <w:ind w:firstLine="442"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b/>
          <w:bCs/>
          <w:vertAlign w:val="baseline"/>
        </w:rPr>
        <w:t>Assumption:</w:t>
      </w:r>
      <w:r>
        <w:rPr>
          <w:rFonts w:hint="eastAsia" w:ascii="Times New Roman" w:hAnsi="Times New Roman" w:eastAsia="宋体" w:cs="Times New Roman"/>
          <w:vertAlign w:val="baseline"/>
        </w:rPr>
        <w:t xml:space="preserve"> Academic impact is based entirely on knowledge content relevance, independent of the </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prestige</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 xml:space="preserve"> of the publication venue.</w:t>
      </w:r>
    </w:p>
    <w:p w14:paraId="6D16F616">
      <w:pPr>
        <w:spacing w:after="0" w:line="279" w:lineRule="auto"/>
        <w:ind w:firstLine="442" w:firstLineChars="200"/>
        <w:jc w:val="both"/>
        <w:rPr>
          <w:rFonts w:hint="eastAsia" w:ascii="Times New Roman" w:hAnsi="Times New Roman" w:eastAsia="宋体" w:cs="Times New Roman"/>
          <w:b/>
          <w:bCs/>
          <w:vertAlign w:val="baseline"/>
        </w:rPr>
      </w:pPr>
      <w:r>
        <w:rPr>
          <w:rFonts w:hint="eastAsia" w:ascii="Times New Roman" w:hAnsi="Times New Roman" w:eastAsia="宋体" w:cs="Times New Roman"/>
          <w:b/>
          <w:bCs/>
          <w:vertAlign w:val="baseline"/>
        </w:rPr>
        <w:t>Scenario S2: Enhancement of weights for non-English journals</w:t>
      </w:r>
    </w:p>
    <w:p w14:paraId="7B284025">
      <w:pPr>
        <w:spacing w:after="0" w:line="279" w:lineRule="auto"/>
        <w:ind w:firstLine="442"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b/>
          <w:bCs/>
          <w:vertAlign w:val="baseline"/>
        </w:rPr>
        <w:t>Perturbation method:</w:t>
      </w:r>
      <w:r>
        <w:rPr>
          <w:rFonts w:hint="eastAsia" w:ascii="Times New Roman" w:hAnsi="Times New Roman" w:eastAsia="宋体" w:cs="Times New Roman"/>
          <w:vertAlign w:val="baseline"/>
        </w:rPr>
        <w:t xml:space="preserve"> Identify journals published in non-English languages (or in non-dominant English-speaking countries) and multiply the initial weights of corresponding nodes (in PageRank calculation) by a compensation factor k (set to k=2 in this study).</w:t>
      </w:r>
    </w:p>
    <w:p w14:paraId="50560DF6">
      <w:pPr>
        <w:spacing w:after="0" w:line="279" w:lineRule="auto"/>
        <w:ind w:firstLine="442"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b/>
          <w:bCs/>
          <w:vertAlign w:val="baseline"/>
        </w:rPr>
        <w:t>Assumption:</w:t>
      </w:r>
      <w:r>
        <w:rPr>
          <w:rFonts w:hint="eastAsia" w:ascii="Times New Roman" w:hAnsi="Times New Roman" w:eastAsia="宋体" w:cs="Times New Roman"/>
          <w:vertAlign w:val="baseline"/>
        </w:rPr>
        <w:t xml:space="preserve"> The academic evaluation system actively compensates for the visibility disadvantage of non-English publications.</w:t>
      </w:r>
    </w:p>
    <w:p w14:paraId="018186C9">
      <w:pPr>
        <w:spacing w:after="0" w:line="279" w:lineRule="auto"/>
        <w:ind w:firstLine="442" w:firstLineChars="200"/>
        <w:jc w:val="both"/>
        <w:rPr>
          <w:rFonts w:hint="eastAsia" w:ascii="Times New Roman" w:hAnsi="Times New Roman" w:eastAsia="宋体" w:cs="Times New Roman"/>
          <w:b/>
          <w:bCs/>
          <w:vertAlign w:val="baseline"/>
        </w:rPr>
      </w:pPr>
      <w:r>
        <w:rPr>
          <w:rFonts w:hint="eastAsia" w:ascii="Times New Roman" w:hAnsi="Times New Roman" w:eastAsia="宋体" w:cs="Times New Roman"/>
          <w:b/>
          <w:bCs/>
          <w:vertAlign w:val="baseline"/>
        </w:rPr>
        <w:t>(3) Sensitivity Test:</w:t>
      </w:r>
    </w:p>
    <w:p w14:paraId="545C2688">
      <w:pPr>
        <w:spacing w:after="0" w:line="279" w:lineRule="auto"/>
        <w:ind w:firstLine="440"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vertAlign w:val="baseline"/>
        </w:rPr>
        <w:t>We tested the effects of different co-citation thresholds (3, 5, 10) and compensation factors k (1.5, 2, 3) on the composition of core nodes in the counterfactual networks. Results show that the variation rate of the core node set (top 10%) was below 15%, indicating that main findings are robust to parameter selection.</w:t>
      </w:r>
    </w:p>
    <w:p w14:paraId="1CF2BC85">
      <w:pPr>
        <w:spacing w:after="0" w:line="279" w:lineRule="auto"/>
        <w:ind w:firstLine="442" w:firstLineChars="200"/>
        <w:jc w:val="both"/>
        <w:rPr>
          <w:rFonts w:hint="eastAsia" w:ascii="Times New Roman" w:hAnsi="Times New Roman" w:eastAsia="宋体" w:cs="Times New Roman"/>
          <w:b/>
          <w:bCs/>
          <w:vertAlign w:val="baseline"/>
        </w:rPr>
      </w:pPr>
      <w:r>
        <w:rPr>
          <w:rFonts w:hint="eastAsia" w:ascii="Times New Roman" w:hAnsi="Times New Roman" w:eastAsia="宋体" w:cs="Times New Roman"/>
          <w:b/>
          <w:bCs/>
          <w:vertAlign w:val="baseline"/>
        </w:rPr>
        <w:t>(4) Visualization Fixation:</w:t>
      </w:r>
    </w:p>
    <w:p w14:paraId="5859DEB4">
      <w:pPr>
        <w:spacing w:after="0" w:line="279" w:lineRule="auto"/>
        <w:ind w:firstLine="440" w:firstLineChars="200"/>
        <w:jc w:val="both"/>
        <w:rPr>
          <w:rFonts w:ascii="Times New Roman" w:hAnsi="Times New Roman" w:eastAsia="宋体" w:cs="Times New Roman"/>
          <w:vertAlign w:val="baseline"/>
        </w:rPr>
      </w:pPr>
      <w:r>
        <w:rPr>
          <w:rFonts w:hint="eastAsia" w:ascii="Times New Roman" w:hAnsi="Times New Roman" w:eastAsia="宋体" w:cs="Times New Roman"/>
          <w:vertAlign w:val="baseline"/>
        </w:rPr>
        <w:t>To ensure comparability, all networks (real, S1, S2) adopt the same set of node coordinates generated by the ForceAtlas2 algorithm from the real network for fixed layout, with only node size and color allowed to vary according to newly calculated centrality values.</w:t>
      </w:r>
    </w:p>
    <w:p w14:paraId="339FC022">
      <w:pPr>
        <w:pStyle w:val="2"/>
        <w:spacing w:before="80" w:line="279" w:lineRule="auto"/>
        <w:ind w:firstLine="562" w:firstLineChars="200"/>
        <w:rPr>
          <w:rFonts w:ascii="Times New Roman" w:hAnsi="Times New Roman" w:eastAsia="宋体" w:cs="Times New Roman"/>
          <w:b/>
          <w:bCs/>
          <w:color w:val="auto"/>
          <w:sz w:val="28"/>
          <w:szCs w:val="28"/>
          <w:vertAlign w:val="baseline"/>
        </w:rPr>
      </w:pPr>
      <w:r>
        <w:rPr>
          <w:rFonts w:ascii="Times New Roman" w:hAnsi="Times New Roman" w:eastAsia="宋体" w:cs="Times New Roman"/>
          <w:b/>
          <w:bCs/>
          <w:color w:val="auto"/>
          <w:sz w:val="28"/>
          <w:szCs w:val="28"/>
          <w:vertAlign w:val="baseline"/>
        </w:rPr>
        <w:t xml:space="preserve">Appendix B: </w:t>
      </w:r>
      <w:r>
        <w:rPr>
          <w:rFonts w:hint="eastAsia" w:ascii="Times New Roman" w:hAnsi="Times New Roman" w:eastAsia="宋体" w:cs="Times New Roman"/>
          <w:b/>
          <w:bCs/>
          <w:color w:val="auto"/>
          <w:sz w:val="28"/>
          <w:szCs w:val="28"/>
          <w:vertAlign w:val="baseline"/>
        </w:rPr>
        <w:t>Data Corpus and Screening Process</w:t>
      </w:r>
    </w:p>
    <w:p w14:paraId="390101AB">
      <w:pPr>
        <w:spacing w:after="0" w:line="279" w:lineRule="auto"/>
        <w:ind w:firstLine="442" w:firstLineChars="200"/>
        <w:jc w:val="both"/>
        <w:rPr>
          <w:rFonts w:ascii="Times New Roman" w:hAnsi="Times New Roman" w:eastAsia="宋体" w:cs="Times New Roman"/>
          <w:b/>
          <w:bCs/>
          <w:vertAlign w:val="baseline"/>
        </w:rPr>
      </w:pPr>
      <w:r>
        <w:rPr>
          <w:rFonts w:ascii="Times New Roman" w:hAnsi="Times New Roman" w:eastAsia="宋体" w:cs="Times New Roman"/>
          <w:b/>
          <w:bCs/>
          <w:vertAlign w:val="baseline"/>
        </w:rPr>
        <w:t xml:space="preserve">B.1 </w:t>
      </w:r>
      <w:r>
        <w:rPr>
          <w:rFonts w:hint="eastAsia" w:ascii="Times New Roman" w:hAnsi="Times New Roman" w:eastAsia="宋体" w:cs="Times New Roman"/>
          <w:b/>
          <w:bCs/>
          <w:vertAlign w:val="baseline"/>
        </w:rPr>
        <w:t>Complete Literature Screening Flowchart and Statistics</w:t>
      </w:r>
    </w:p>
    <w:p w14:paraId="129AAD2C">
      <w:pPr>
        <w:spacing w:after="0" w:line="279" w:lineRule="auto"/>
        <w:ind w:firstLine="442" w:firstLineChars="200"/>
        <w:jc w:val="both"/>
        <w:rPr>
          <w:rFonts w:ascii="Times New Roman" w:hAnsi="Times New Roman" w:eastAsia="宋体" w:cs="Times New Roman"/>
          <w:vertAlign w:val="baseline"/>
        </w:rPr>
      </w:pPr>
      <w:r>
        <w:rPr>
          <w:rFonts w:hint="eastAsia" w:ascii="Times New Roman" w:hAnsi="Times New Roman" w:eastAsia="宋体" w:cs="Times New Roman"/>
          <w:b/>
          <w:bCs/>
          <w:vertAlign w:val="baseline"/>
        </w:rPr>
        <w:t xml:space="preserve">Figure B1 </w:t>
      </w:r>
      <w:r>
        <w:rPr>
          <w:rFonts w:hint="eastAsia" w:ascii="Times New Roman" w:hAnsi="Times New Roman" w:eastAsia="宋体" w:cs="Times New Roman"/>
          <w:b w:val="0"/>
          <w:bCs w:val="0"/>
          <w:vertAlign w:val="baseline"/>
        </w:rPr>
        <w:t>visually presents the full process of obtaining the final 2,417 core articles from an initial retrieval of 7,448 records in the Web of Science Core Collection, through multiple rounds of screening including exclusion of non-research literature (editorials, conference abstracts, etc.), thematically irrelevant literature (e.g., pure architectural conservation, pure ecology), non-core heritage tourism literature (e.g., only involving general cultural tourism or museology without a heritage dimension), and duplicate records.</w:t>
      </w:r>
    </w:p>
    <w:p w14:paraId="4EDE05D4">
      <w:pPr>
        <w:spacing w:after="0" w:line="279" w:lineRule="auto"/>
        <w:ind w:firstLine="440" w:firstLineChars="200"/>
        <w:jc w:val="center"/>
        <w:rPr>
          <w:vertAlign w:val="baseline"/>
        </w:rPr>
      </w:pPr>
      <w:r>
        <w:rPr>
          <w:vertAlign w:val="baseline"/>
        </w:rPr>
        <w:drawing>
          <wp:inline distT="0" distB="0" distL="114300" distR="114300">
            <wp:extent cx="3658235" cy="2749550"/>
            <wp:effectExtent l="0" t="0" r="18415"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3658235" cy="2749550"/>
                    </a:xfrm>
                    <a:prstGeom prst="rect">
                      <a:avLst/>
                    </a:prstGeom>
                    <a:noFill/>
                    <a:ln>
                      <a:noFill/>
                    </a:ln>
                  </pic:spPr>
                </pic:pic>
              </a:graphicData>
            </a:graphic>
          </wp:inline>
        </w:drawing>
      </w:r>
    </w:p>
    <w:p w14:paraId="7E633476">
      <w:pPr>
        <w:spacing w:after="0" w:line="279" w:lineRule="auto"/>
        <w:ind w:firstLine="361" w:firstLineChars="200"/>
        <w:jc w:val="center"/>
        <w:rPr>
          <w:sz w:val="18"/>
          <w:szCs w:val="18"/>
          <w:vertAlign w:val="baseline"/>
        </w:rPr>
      </w:pPr>
      <w:r>
        <w:rPr>
          <w:rFonts w:hint="eastAsia" w:ascii="Times New Roman" w:hAnsi="Times New Roman" w:eastAsia="宋体" w:cs="Times New Roman"/>
          <w:b/>
          <w:bCs/>
          <w:sz w:val="18"/>
          <w:szCs w:val="18"/>
          <w:vertAlign w:val="baseline"/>
        </w:rPr>
        <w:t>Figure B1 Literature Screening Flowchart</w:t>
      </w:r>
    </w:p>
    <w:p w14:paraId="7B14B4A2">
      <w:pPr>
        <w:spacing w:after="0" w:line="279" w:lineRule="auto"/>
        <w:ind w:firstLine="442" w:firstLineChars="200"/>
        <w:jc w:val="both"/>
        <w:rPr>
          <w:rFonts w:ascii="Times New Roman" w:hAnsi="Times New Roman" w:eastAsia="宋体" w:cs="Times New Roman"/>
          <w:b/>
          <w:bCs/>
          <w:vertAlign w:val="baseline"/>
        </w:rPr>
      </w:pPr>
      <w:r>
        <w:rPr>
          <w:rFonts w:ascii="Times New Roman" w:hAnsi="Times New Roman" w:eastAsia="宋体" w:cs="Times New Roman"/>
          <w:b/>
          <w:bCs/>
          <w:vertAlign w:val="baseline"/>
        </w:rPr>
        <w:t xml:space="preserve">B.2 </w:t>
      </w:r>
      <w:r>
        <w:rPr>
          <w:rFonts w:hint="eastAsia" w:ascii="Times New Roman" w:hAnsi="Times New Roman" w:eastAsia="宋体" w:cs="Times New Roman"/>
          <w:b/>
          <w:bCs/>
          <w:vertAlign w:val="baseline"/>
        </w:rPr>
        <w:t>Sample Representativeness Analysis</w:t>
      </w:r>
    </w:p>
    <w:p w14:paraId="113C9BFE">
      <w:pPr>
        <w:spacing w:after="0" w:line="279" w:lineRule="auto"/>
        <w:ind w:firstLine="440" w:firstLineChars="200"/>
        <w:jc w:val="both"/>
        <w:rPr>
          <w:rFonts w:hint="eastAsia" w:ascii="Times New Roman" w:hAnsi="Times New Roman" w:eastAsia="宋体" w:cs="Times New Roman"/>
          <w:vertAlign w:val="baseline"/>
          <w:lang w:val="en-US" w:eastAsia="zh-CN"/>
        </w:rPr>
      </w:pPr>
      <w:r>
        <w:rPr>
          <w:rFonts w:hint="eastAsia" w:ascii="Times New Roman" w:hAnsi="Times New Roman" w:eastAsia="宋体" w:cs="Times New Roman"/>
          <w:vertAlign w:val="baseline"/>
          <w:lang w:val="en-US" w:eastAsia="zh-CN"/>
        </w:rPr>
        <w:t xml:space="preserve">Tables B1-1 to B1-3 present the </w:t>
      </w:r>
      <w:r>
        <w:rPr>
          <w:rFonts w:hint="eastAsia" w:ascii="Times New Roman" w:hAnsi="Times New Roman" w:eastAsia="宋体" w:cs="Times New Roman"/>
          <w:b/>
          <w:bCs/>
          <w:vertAlign w:val="baseline"/>
          <w:lang w:val="en-US" w:eastAsia="zh-CN"/>
        </w:rPr>
        <w:t>temporal distribution, spatial distribution, journal distribution</w:t>
      </w:r>
      <w:r>
        <w:rPr>
          <w:rFonts w:hint="eastAsia" w:ascii="Times New Roman" w:hAnsi="Times New Roman" w:eastAsia="宋体" w:cs="Times New Roman"/>
          <w:vertAlign w:val="baseline"/>
          <w:lang w:val="en-US" w:eastAsia="zh-CN"/>
        </w:rPr>
        <w:t xml:space="preserve"> of the literature sample, and a </w:t>
      </w:r>
      <w:r>
        <w:rPr>
          <w:rFonts w:hint="eastAsia" w:ascii="Times New Roman" w:hAnsi="Times New Roman" w:eastAsia="宋体" w:cs="Times New Roman"/>
          <w:b/>
          <w:bCs/>
          <w:vertAlign w:val="baseline"/>
          <w:lang w:val="en-US" w:eastAsia="zh-CN"/>
        </w:rPr>
        <w:t>comparative description</w:t>
      </w:r>
      <w:r>
        <w:rPr>
          <w:rFonts w:hint="eastAsia" w:ascii="Times New Roman" w:hAnsi="Times New Roman" w:eastAsia="宋体" w:cs="Times New Roman"/>
          <w:vertAlign w:val="baseline"/>
          <w:lang w:val="en-US" w:eastAsia="zh-CN"/>
        </w:rPr>
        <w:t xml:space="preserve"> of literature on the same topic in Scopus, respectively. The temporal distribution mainly shows the number of publications per year from 1992 to 2024, reflecting the growing trend of research interest; the spatial distribution shows the number and proportion of literature divided by the five UNESCO regions (this part is linked to Table 1 in the main text); the journal distribution lists the names, publication counts and total proportions of the top 10 journals by output volume, indicating the concentration of knowledge production; the comparative description briefly compares the annual growth trend of this sample with that of literature on the same topic in Scopus, proving that this sample is representative in capturing field dynamics.</w:t>
      </w:r>
    </w:p>
    <w:p w14:paraId="36BE3EC0">
      <w:pPr>
        <w:spacing w:after="0" w:line="279" w:lineRule="auto"/>
        <w:ind w:left="440" w:leftChars="200"/>
        <w:jc w:val="center"/>
        <w:rPr>
          <w:rFonts w:ascii="Times New Roman" w:hAnsi="Times New Roman" w:eastAsia="宋体" w:cs="Times New Roman"/>
          <w:b/>
          <w:bCs/>
          <w:vertAlign w:val="baseline"/>
        </w:rPr>
      </w:pPr>
      <w:r>
        <w:rPr>
          <w:rFonts w:hint="eastAsia" w:ascii="Times New Roman" w:hAnsi="Times New Roman" w:eastAsia="宋体" w:cs="Times New Roman"/>
          <w:b/>
          <w:bCs/>
          <w:vertAlign w:val="baseline"/>
        </w:rPr>
        <w:t>Table B1-1 Temporal Distribution Characteristics of the Sample</w:t>
      </w:r>
    </w:p>
    <w:tbl>
      <w:tblPr>
        <w:tblStyle w:val="4"/>
        <w:tblW w:w="8429" w:type="dxa"/>
        <w:jc w:val="center"/>
        <w:tblLayout w:type="fixed"/>
        <w:tblCellMar>
          <w:top w:w="0" w:type="dxa"/>
          <w:left w:w="108" w:type="dxa"/>
          <w:bottom w:w="0" w:type="dxa"/>
          <w:right w:w="108" w:type="dxa"/>
        </w:tblCellMar>
      </w:tblPr>
      <w:tblGrid>
        <w:gridCol w:w="1312"/>
        <w:gridCol w:w="945"/>
        <w:gridCol w:w="1253"/>
        <w:gridCol w:w="2133"/>
        <w:gridCol w:w="2786"/>
      </w:tblGrid>
      <w:tr w14:paraId="6D0895AC">
        <w:tblPrEx>
          <w:tblCellMar>
            <w:top w:w="0" w:type="dxa"/>
            <w:left w:w="108" w:type="dxa"/>
            <w:bottom w:w="0" w:type="dxa"/>
            <w:right w:w="108" w:type="dxa"/>
          </w:tblCellMar>
        </w:tblPrEx>
        <w:trPr>
          <w:trHeight w:val="658" w:hRule="atLeast"/>
          <w:jc w:val="center"/>
        </w:trPr>
        <w:tc>
          <w:tcPr>
            <w:tcW w:w="1312" w:type="dxa"/>
            <w:tcBorders>
              <w:top w:val="single" w:color="auto" w:sz="8" w:space="0"/>
              <w:left w:val="nil"/>
              <w:bottom w:val="single" w:color="auto" w:sz="4" w:space="0"/>
              <w:right w:val="nil"/>
            </w:tcBorders>
            <w:shd w:val="clear" w:color="auto" w:fill="auto"/>
            <w:noWrap/>
            <w:vAlign w:val="center"/>
          </w:tcPr>
          <w:p w14:paraId="24830EDA">
            <w:pPr>
              <w:widowControl/>
              <w:spacing w:after="0"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cs="Times New Roman"/>
                <w:sz w:val="18"/>
                <w:szCs w:val="18"/>
              </w:rPr>
              <w:t>Time</w:t>
            </w:r>
          </w:p>
        </w:tc>
        <w:tc>
          <w:tcPr>
            <w:tcW w:w="945" w:type="dxa"/>
            <w:tcBorders>
              <w:top w:val="single" w:color="auto" w:sz="8" w:space="0"/>
              <w:left w:val="nil"/>
              <w:bottom w:val="single" w:color="auto" w:sz="4" w:space="0"/>
              <w:right w:val="nil"/>
            </w:tcBorders>
            <w:shd w:val="clear" w:color="auto" w:fill="auto"/>
            <w:noWrap/>
            <w:vAlign w:val="center"/>
          </w:tcPr>
          <w:p w14:paraId="4437BC0A">
            <w:pPr>
              <w:widowControl/>
              <w:spacing w:after="0"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cs="Times New Roman"/>
                <w:sz w:val="18"/>
                <w:szCs w:val="18"/>
              </w:rPr>
              <w:t>Number of Articles</w:t>
            </w:r>
          </w:p>
        </w:tc>
        <w:tc>
          <w:tcPr>
            <w:tcW w:w="1253" w:type="dxa"/>
            <w:tcBorders>
              <w:top w:val="single" w:color="auto" w:sz="8" w:space="0"/>
              <w:left w:val="nil"/>
              <w:bottom w:val="single" w:color="auto" w:sz="4" w:space="0"/>
              <w:right w:val="nil"/>
            </w:tcBorders>
            <w:shd w:val="clear" w:color="auto" w:fill="auto"/>
            <w:noWrap/>
            <w:vAlign w:val="center"/>
          </w:tcPr>
          <w:p w14:paraId="78985D7C">
            <w:pPr>
              <w:widowControl/>
              <w:spacing w:after="0"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cs="Times New Roman"/>
                <w:sz w:val="18"/>
                <w:szCs w:val="18"/>
              </w:rPr>
              <w:t>Percentage of Total Sample (%)</w:t>
            </w:r>
          </w:p>
        </w:tc>
        <w:tc>
          <w:tcPr>
            <w:tcW w:w="2133" w:type="dxa"/>
            <w:tcBorders>
              <w:top w:val="single" w:color="auto" w:sz="8" w:space="0"/>
              <w:left w:val="nil"/>
              <w:bottom w:val="single" w:color="auto" w:sz="4" w:space="0"/>
              <w:right w:val="nil"/>
            </w:tcBorders>
            <w:shd w:val="clear" w:color="auto" w:fill="auto"/>
            <w:noWrap/>
            <w:vAlign w:val="center"/>
          </w:tcPr>
          <w:p w14:paraId="57AD4EC5">
            <w:pPr>
              <w:widowControl/>
              <w:spacing w:after="0"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cs="Times New Roman"/>
                <w:sz w:val="18"/>
                <w:szCs w:val="18"/>
              </w:rPr>
              <w:t>Comparison with Scopus Same-Topic Literature (Percentage Difference, %)</w:t>
            </w:r>
          </w:p>
        </w:tc>
        <w:tc>
          <w:tcPr>
            <w:tcW w:w="2786" w:type="dxa"/>
            <w:tcBorders>
              <w:top w:val="single" w:color="auto" w:sz="8" w:space="0"/>
              <w:left w:val="nil"/>
              <w:bottom w:val="single" w:color="auto" w:sz="4" w:space="0"/>
              <w:right w:val="nil"/>
            </w:tcBorders>
            <w:shd w:val="clear" w:color="auto" w:fill="auto"/>
            <w:noWrap/>
            <w:vAlign w:val="center"/>
          </w:tcPr>
          <w:p w14:paraId="21ED4D6C">
            <w:pPr>
              <w:widowControl/>
              <w:spacing w:after="0"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cs="Times New Roman"/>
                <w:sz w:val="18"/>
                <w:szCs w:val="18"/>
              </w:rPr>
              <w:t>Description</w:t>
            </w:r>
          </w:p>
        </w:tc>
      </w:tr>
      <w:tr w14:paraId="5F0EEA18">
        <w:tblPrEx>
          <w:tblCellMar>
            <w:top w:w="0" w:type="dxa"/>
            <w:left w:w="108" w:type="dxa"/>
            <w:bottom w:w="0" w:type="dxa"/>
            <w:right w:w="108" w:type="dxa"/>
          </w:tblCellMar>
        </w:tblPrEx>
        <w:trPr>
          <w:trHeight w:val="90" w:hRule="atLeast"/>
          <w:jc w:val="center"/>
        </w:trPr>
        <w:tc>
          <w:tcPr>
            <w:tcW w:w="1312" w:type="dxa"/>
            <w:tcBorders>
              <w:top w:val="single" w:color="auto" w:sz="4" w:space="0"/>
              <w:left w:val="nil"/>
              <w:bottom w:val="nil"/>
              <w:right w:val="nil"/>
            </w:tcBorders>
            <w:shd w:val="clear" w:color="auto" w:fill="auto"/>
            <w:noWrap/>
            <w:vAlign w:val="center"/>
          </w:tcPr>
          <w:p w14:paraId="4EDF44AC">
            <w:pPr>
              <w:widowControl/>
              <w:spacing w:line="240" w:lineRule="auto"/>
              <w:jc w:val="center"/>
              <w:textAlignment w:val="bottom"/>
              <w:rPr>
                <w:rFonts w:hint="default" w:ascii="Times New Roman" w:hAnsi="Times New Roman" w:eastAsia="宋体" w:cs="Times New Roman"/>
                <w:sz w:val="18"/>
                <w:szCs w:val="18"/>
                <w:vertAlign w:val="baseline"/>
              </w:rPr>
            </w:pPr>
            <w:r>
              <w:rPr>
                <w:rFonts w:hint="default" w:ascii="Times New Roman" w:hAnsi="Times New Roman" w:eastAsia="宋体" w:cs="Times New Roman"/>
                <w:kern w:val="0"/>
                <w:sz w:val="18"/>
                <w:szCs w:val="18"/>
                <w:vertAlign w:val="baseline"/>
                <w:lang w:bidi="ar"/>
              </w:rPr>
              <w:t>1992</w:t>
            </w:r>
          </w:p>
        </w:tc>
        <w:tc>
          <w:tcPr>
            <w:tcW w:w="945" w:type="dxa"/>
            <w:tcBorders>
              <w:top w:val="single" w:color="auto" w:sz="4" w:space="0"/>
              <w:left w:val="nil"/>
              <w:bottom w:val="nil"/>
              <w:right w:val="nil"/>
            </w:tcBorders>
            <w:shd w:val="clear" w:color="auto" w:fill="auto"/>
            <w:noWrap/>
            <w:vAlign w:val="center"/>
          </w:tcPr>
          <w:p w14:paraId="49D242AD">
            <w:pPr>
              <w:widowControl/>
              <w:spacing w:line="240" w:lineRule="auto"/>
              <w:jc w:val="center"/>
              <w:textAlignment w:val="bottom"/>
              <w:rPr>
                <w:rFonts w:hint="default" w:ascii="Times New Roman" w:hAnsi="Times New Roman" w:eastAsia="宋体" w:cs="Times New Roman"/>
                <w:sz w:val="18"/>
                <w:szCs w:val="18"/>
                <w:vertAlign w:val="baseline"/>
              </w:rPr>
            </w:pPr>
            <w:r>
              <w:rPr>
                <w:rFonts w:hint="default" w:ascii="Times New Roman" w:hAnsi="Times New Roman" w:eastAsia="宋体" w:cs="Times New Roman"/>
                <w:kern w:val="0"/>
                <w:sz w:val="18"/>
                <w:szCs w:val="18"/>
                <w:vertAlign w:val="baseline"/>
                <w:lang w:bidi="ar"/>
              </w:rPr>
              <w:t>1</w:t>
            </w:r>
          </w:p>
        </w:tc>
        <w:tc>
          <w:tcPr>
            <w:tcW w:w="1253" w:type="dxa"/>
            <w:tcBorders>
              <w:top w:val="single" w:color="auto" w:sz="4" w:space="0"/>
              <w:left w:val="nil"/>
              <w:bottom w:val="nil"/>
              <w:right w:val="nil"/>
            </w:tcBorders>
            <w:shd w:val="clear" w:color="auto" w:fill="auto"/>
            <w:noWrap/>
            <w:vAlign w:val="center"/>
          </w:tcPr>
          <w:p w14:paraId="3B2509AD">
            <w:pPr>
              <w:widowControl/>
              <w:spacing w:line="240" w:lineRule="auto"/>
              <w:jc w:val="center"/>
              <w:textAlignment w:val="center"/>
              <w:rPr>
                <w:rFonts w:hint="default" w:ascii="Times New Roman" w:hAnsi="Times New Roman" w:eastAsia="宋体" w:cs="Times New Roman"/>
                <w:sz w:val="18"/>
                <w:szCs w:val="18"/>
                <w:vertAlign w:val="baseline"/>
              </w:rPr>
            </w:pPr>
            <w:r>
              <w:rPr>
                <w:rFonts w:hint="default" w:ascii="Times New Roman" w:hAnsi="Times New Roman" w:eastAsia="宋体" w:cs="Times New Roman"/>
                <w:color w:val="000000"/>
                <w:kern w:val="0"/>
                <w:sz w:val="18"/>
                <w:szCs w:val="18"/>
                <w:vertAlign w:val="baseline"/>
                <w:lang w:bidi="ar"/>
              </w:rPr>
              <w:t>0.04</w:t>
            </w:r>
          </w:p>
        </w:tc>
        <w:tc>
          <w:tcPr>
            <w:tcW w:w="2133" w:type="dxa"/>
            <w:tcBorders>
              <w:top w:val="single" w:color="auto" w:sz="4" w:space="0"/>
              <w:left w:val="nil"/>
              <w:bottom w:val="nil"/>
              <w:right w:val="nil"/>
            </w:tcBorders>
            <w:shd w:val="clear" w:color="auto" w:fill="auto"/>
            <w:noWrap/>
            <w:vAlign w:val="center"/>
          </w:tcPr>
          <w:p w14:paraId="53DB789B">
            <w:pPr>
              <w:widowControl/>
              <w:spacing w:after="0" w:line="240" w:lineRule="auto"/>
              <w:jc w:val="center"/>
              <w:textAlignment w:val="bottom"/>
              <w:rPr>
                <w:rFonts w:hint="default" w:ascii="Times New Roman" w:hAnsi="Times New Roman" w:eastAsia="宋体" w:cs="Times New Roman"/>
                <w:sz w:val="18"/>
                <w:szCs w:val="18"/>
                <w:vertAlign w:val="baseline"/>
              </w:rPr>
            </w:pPr>
            <w:r>
              <w:rPr>
                <w:rFonts w:hint="default" w:ascii="Times New Roman" w:hAnsi="Times New Roman" w:eastAsia="宋体" w:cs="Times New Roman"/>
                <w:color w:val="000000"/>
                <w:kern w:val="0"/>
                <w:sz w:val="18"/>
                <w:szCs w:val="18"/>
                <w:vertAlign w:val="baseline"/>
                <w:lang w:bidi="ar"/>
              </w:rPr>
              <w:t>-0.06</w:t>
            </w:r>
          </w:p>
        </w:tc>
        <w:tc>
          <w:tcPr>
            <w:tcW w:w="2786" w:type="dxa"/>
            <w:tcBorders>
              <w:top w:val="single" w:color="auto" w:sz="4" w:space="0"/>
              <w:left w:val="nil"/>
              <w:bottom w:val="nil"/>
              <w:right w:val="nil"/>
            </w:tcBorders>
            <w:shd w:val="clear" w:color="auto" w:fill="auto"/>
            <w:noWrap/>
            <w:vAlign w:val="center"/>
          </w:tcPr>
          <w:p w14:paraId="13589583">
            <w:pPr>
              <w:keepNext w:val="0"/>
              <w:keepLines w:val="0"/>
              <w:widowControl/>
              <w:suppressLineNumbers w:val="0"/>
              <w:jc w:val="left"/>
              <w:textAlignment w:val="center"/>
              <w:rPr>
                <w:rFonts w:hint="default" w:ascii="Times New Roman" w:hAnsi="Times New Roman" w:eastAsia="宋体" w:cs="Times New Roman"/>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Pre-emergence stage, sporadic research, no systematic focus</w:t>
            </w:r>
          </w:p>
        </w:tc>
      </w:tr>
      <w:tr w14:paraId="1F50C322">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30124E4F">
            <w:pPr>
              <w:widowControl/>
              <w:spacing w:line="240" w:lineRule="auto"/>
              <w:jc w:val="center"/>
              <w:textAlignment w:val="bottom"/>
              <w:rPr>
                <w:rFonts w:hint="default" w:ascii="Times New Roman" w:hAnsi="Times New Roman" w:eastAsia="宋体" w:cs="Times New Roman"/>
                <w:sz w:val="18"/>
                <w:szCs w:val="18"/>
                <w:vertAlign w:val="baseline"/>
              </w:rPr>
            </w:pPr>
            <w:r>
              <w:rPr>
                <w:rFonts w:hint="default" w:ascii="Times New Roman" w:hAnsi="Times New Roman" w:eastAsia="宋体" w:cs="Times New Roman"/>
                <w:kern w:val="0"/>
                <w:sz w:val="18"/>
                <w:szCs w:val="18"/>
                <w:vertAlign w:val="baseline"/>
                <w:lang w:bidi="ar"/>
              </w:rPr>
              <w:t>1993</w:t>
            </w:r>
          </w:p>
        </w:tc>
        <w:tc>
          <w:tcPr>
            <w:tcW w:w="945" w:type="dxa"/>
            <w:tcBorders>
              <w:top w:val="nil"/>
              <w:left w:val="nil"/>
              <w:bottom w:val="nil"/>
              <w:right w:val="nil"/>
            </w:tcBorders>
            <w:shd w:val="clear" w:color="auto" w:fill="auto"/>
            <w:noWrap/>
            <w:vAlign w:val="center"/>
          </w:tcPr>
          <w:p w14:paraId="6D4B35DE">
            <w:pPr>
              <w:widowControl/>
              <w:spacing w:line="240" w:lineRule="auto"/>
              <w:jc w:val="center"/>
              <w:textAlignment w:val="bottom"/>
              <w:rPr>
                <w:rFonts w:hint="default" w:ascii="Times New Roman" w:hAnsi="Times New Roman" w:eastAsia="宋体" w:cs="Times New Roman"/>
                <w:sz w:val="18"/>
                <w:szCs w:val="18"/>
                <w:vertAlign w:val="baseline"/>
              </w:rPr>
            </w:pPr>
            <w:r>
              <w:rPr>
                <w:rFonts w:hint="default" w:ascii="Times New Roman" w:hAnsi="Times New Roman" w:eastAsia="宋体" w:cs="Times New Roman"/>
                <w:kern w:val="0"/>
                <w:sz w:val="18"/>
                <w:szCs w:val="18"/>
                <w:vertAlign w:val="baseline"/>
                <w:lang w:bidi="ar"/>
              </w:rPr>
              <w:t>0</w:t>
            </w:r>
          </w:p>
        </w:tc>
        <w:tc>
          <w:tcPr>
            <w:tcW w:w="1253" w:type="dxa"/>
            <w:tcBorders>
              <w:top w:val="nil"/>
              <w:left w:val="nil"/>
              <w:bottom w:val="nil"/>
              <w:right w:val="nil"/>
            </w:tcBorders>
            <w:shd w:val="clear" w:color="auto" w:fill="auto"/>
            <w:noWrap/>
            <w:vAlign w:val="center"/>
          </w:tcPr>
          <w:p w14:paraId="7EA7A034">
            <w:pPr>
              <w:widowControl/>
              <w:spacing w:line="240" w:lineRule="auto"/>
              <w:jc w:val="center"/>
              <w:textAlignment w:val="center"/>
              <w:rPr>
                <w:rFonts w:hint="default" w:ascii="Times New Roman" w:hAnsi="Times New Roman" w:eastAsia="宋体" w:cs="Times New Roman"/>
                <w:sz w:val="18"/>
                <w:szCs w:val="18"/>
                <w:vertAlign w:val="baseline"/>
              </w:rPr>
            </w:pPr>
            <w:r>
              <w:rPr>
                <w:rFonts w:hint="default" w:ascii="Times New Roman" w:hAnsi="Times New Roman" w:eastAsia="宋体" w:cs="Times New Roman"/>
                <w:color w:val="000000"/>
                <w:kern w:val="0"/>
                <w:sz w:val="18"/>
                <w:szCs w:val="18"/>
                <w:vertAlign w:val="baseline"/>
                <w:lang w:bidi="ar"/>
              </w:rPr>
              <w:t>0.00</w:t>
            </w:r>
          </w:p>
        </w:tc>
        <w:tc>
          <w:tcPr>
            <w:tcW w:w="2133" w:type="dxa"/>
            <w:tcBorders>
              <w:top w:val="nil"/>
              <w:left w:val="nil"/>
              <w:bottom w:val="nil"/>
              <w:right w:val="nil"/>
            </w:tcBorders>
            <w:shd w:val="clear" w:color="auto" w:fill="auto"/>
            <w:noWrap/>
            <w:vAlign w:val="center"/>
          </w:tcPr>
          <w:p w14:paraId="37C6A585">
            <w:pPr>
              <w:widowControl/>
              <w:spacing w:after="0" w:line="240" w:lineRule="auto"/>
              <w:jc w:val="center"/>
              <w:textAlignment w:val="bottom"/>
              <w:rPr>
                <w:rFonts w:hint="default" w:ascii="Times New Roman" w:hAnsi="Times New Roman" w:eastAsia="宋体" w:cs="Times New Roman"/>
                <w:sz w:val="18"/>
                <w:szCs w:val="18"/>
                <w:vertAlign w:val="baseline"/>
              </w:rPr>
            </w:pPr>
            <w:r>
              <w:rPr>
                <w:rFonts w:hint="default" w:ascii="Times New Roman" w:hAnsi="Times New Roman" w:eastAsia="宋体" w:cs="Times New Roman"/>
                <w:color w:val="000000"/>
                <w:kern w:val="0"/>
                <w:sz w:val="18"/>
                <w:szCs w:val="18"/>
                <w:vertAlign w:val="baseline"/>
                <w:lang w:bidi="ar"/>
              </w:rPr>
              <w:t>0</w:t>
            </w:r>
          </w:p>
        </w:tc>
        <w:tc>
          <w:tcPr>
            <w:tcW w:w="2786" w:type="dxa"/>
            <w:tcBorders>
              <w:top w:val="nil"/>
              <w:left w:val="nil"/>
              <w:bottom w:val="nil"/>
              <w:right w:val="nil"/>
            </w:tcBorders>
            <w:shd w:val="clear" w:color="auto" w:fill="auto"/>
            <w:noWrap/>
            <w:vAlign w:val="center"/>
          </w:tcPr>
          <w:p w14:paraId="15C67860">
            <w:pPr>
              <w:keepNext w:val="0"/>
              <w:keepLines w:val="0"/>
              <w:widowControl/>
              <w:suppressLineNumbers w:val="0"/>
              <w:jc w:val="left"/>
              <w:textAlignment w:val="center"/>
              <w:rPr>
                <w:rFonts w:hint="default" w:ascii="Times New Roman" w:hAnsi="Times New Roman" w:eastAsia="宋体" w:cs="Times New Roman"/>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Pre-emergence stage, extremely low field attention</w:t>
            </w:r>
          </w:p>
        </w:tc>
      </w:tr>
      <w:tr w14:paraId="38D7FEAA">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3DE488F8">
            <w:pPr>
              <w:widowControl/>
              <w:spacing w:line="240" w:lineRule="auto"/>
              <w:jc w:val="center"/>
              <w:textAlignment w:val="bottom"/>
              <w:rPr>
                <w:rFonts w:hint="default" w:ascii="Times New Roman" w:hAnsi="Times New Roman" w:eastAsia="宋体" w:cs="Times New Roman"/>
                <w:sz w:val="18"/>
                <w:szCs w:val="18"/>
                <w:vertAlign w:val="baseline"/>
              </w:rPr>
            </w:pPr>
            <w:r>
              <w:rPr>
                <w:rFonts w:hint="default" w:ascii="Times New Roman" w:hAnsi="Times New Roman" w:eastAsia="宋体" w:cs="Times New Roman"/>
                <w:kern w:val="0"/>
                <w:sz w:val="18"/>
                <w:szCs w:val="18"/>
                <w:vertAlign w:val="baseline"/>
                <w:lang w:bidi="ar"/>
              </w:rPr>
              <w:t>1994</w:t>
            </w:r>
          </w:p>
        </w:tc>
        <w:tc>
          <w:tcPr>
            <w:tcW w:w="945" w:type="dxa"/>
            <w:tcBorders>
              <w:top w:val="nil"/>
              <w:left w:val="nil"/>
              <w:bottom w:val="nil"/>
              <w:right w:val="nil"/>
            </w:tcBorders>
            <w:shd w:val="clear" w:color="auto" w:fill="auto"/>
            <w:noWrap/>
            <w:vAlign w:val="center"/>
          </w:tcPr>
          <w:p w14:paraId="29785996">
            <w:pPr>
              <w:widowControl/>
              <w:spacing w:line="240" w:lineRule="auto"/>
              <w:jc w:val="center"/>
              <w:textAlignment w:val="bottom"/>
              <w:rPr>
                <w:rFonts w:hint="default" w:ascii="Times New Roman" w:hAnsi="Times New Roman" w:eastAsia="宋体" w:cs="Times New Roman"/>
                <w:sz w:val="18"/>
                <w:szCs w:val="18"/>
                <w:vertAlign w:val="baseline"/>
              </w:rPr>
            </w:pPr>
            <w:r>
              <w:rPr>
                <w:rFonts w:hint="default" w:ascii="Times New Roman" w:hAnsi="Times New Roman" w:eastAsia="宋体" w:cs="Times New Roman"/>
                <w:kern w:val="0"/>
                <w:sz w:val="18"/>
                <w:szCs w:val="18"/>
                <w:vertAlign w:val="baseline"/>
                <w:lang w:bidi="ar"/>
              </w:rPr>
              <w:t>0</w:t>
            </w:r>
          </w:p>
        </w:tc>
        <w:tc>
          <w:tcPr>
            <w:tcW w:w="1253" w:type="dxa"/>
            <w:tcBorders>
              <w:top w:val="nil"/>
              <w:left w:val="nil"/>
              <w:bottom w:val="nil"/>
              <w:right w:val="nil"/>
            </w:tcBorders>
            <w:shd w:val="clear" w:color="auto" w:fill="auto"/>
            <w:noWrap/>
            <w:vAlign w:val="center"/>
          </w:tcPr>
          <w:p w14:paraId="2D97D475">
            <w:pPr>
              <w:widowControl/>
              <w:spacing w:line="240" w:lineRule="auto"/>
              <w:jc w:val="center"/>
              <w:textAlignment w:val="center"/>
              <w:rPr>
                <w:rFonts w:hint="default" w:ascii="Times New Roman" w:hAnsi="Times New Roman" w:eastAsia="宋体" w:cs="Times New Roman"/>
                <w:sz w:val="18"/>
                <w:szCs w:val="18"/>
                <w:vertAlign w:val="baseline"/>
              </w:rPr>
            </w:pPr>
            <w:r>
              <w:rPr>
                <w:rFonts w:hint="default" w:ascii="Times New Roman" w:hAnsi="Times New Roman" w:eastAsia="宋体" w:cs="Times New Roman"/>
                <w:color w:val="000000"/>
                <w:kern w:val="0"/>
                <w:sz w:val="18"/>
                <w:szCs w:val="18"/>
                <w:vertAlign w:val="baseline"/>
                <w:lang w:bidi="ar"/>
              </w:rPr>
              <w:t>0.00</w:t>
            </w:r>
          </w:p>
        </w:tc>
        <w:tc>
          <w:tcPr>
            <w:tcW w:w="2133" w:type="dxa"/>
            <w:tcBorders>
              <w:top w:val="nil"/>
              <w:left w:val="nil"/>
              <w:bottom w:val="nil"/>
              <w:right w:val="nil"/>
            </w:tcBorders>
            <w:shd w:val="clear" w:color="auto" w:fill="auto"/>
            <w:noWrap/>
            <w:vAlign w:val="center"/>
          </w:tcPr>
          <w:p w14:paraId="200747D8">
            <w:pPr>
              <w:widowControl/>
              <w:spacing w:after="0" w:line="240" w:lineRule="auto"/>
              <w:jc w:val="center"/>
              <w:textAlignment w:val="bottom"/>
              <w:rPr>
                <w:rFonts w:hint="default" w:ascii="Times New Roman" w:hAnsi="Times New Roman" w:eastAsia="宋体" w:cs="Times New Roman"/>
                <w:sz w:val="18"/>
                <w:szCs w:val="18"/>
                <w:vertAlign w:val="baseline"/>
              </w:rPr>
            </w:pPr>
            <w:r>
              <w:rPr>
                <w:rFonts w:hint="default" w:ascii="Times New Roman" w:hAnsi="Times New Roman" w:eastAsia="宋体" w:cs="Times New Roman"/>
                <w:color w:val="000000"/>
                <w:kern w:val="0"/>
                <w:sz w:val="18"/>
                <w:szCs w:val="18"/>
                <w:vertAlign w:val="baseline"/>
                <w:lang w:bidi="ar"/>
              </w:rPr>
              <w:t>0</w:t>
            </w:r>
          </w:p>
        </w:tc>
        <w:tc>
          <w:tcPr>
            <w:tcW w:w="2786" w:type="dxa"/>
            <w:tcBorders>
              <w:top w:val="nil"/>
              <w:left w:val="nil"/>
              <w:bottom w:val="nil"/>
              <w:right w:val="nil"/>
            </w:tcBorders>
            <w:shd w:val="clear" w:color="auto" w:fill="auto"/>
            <w:noWrap/>
            <w:vAlign w:val="center"/>
          </w:tcPr>
          <w:p w14:paraId="5F410925">
            <w:pPr>
              <w:keepNext w:val="0"/>
              <w:keepLines w:val="0"/>
              <w:widowControl/>
              <w:suppressLineNumbers w:val="0"/>
              <w:jc w:val="left"/>
              <w:textAlignment w:val="center"/>
              <w:rPr>
                <w:rFonts w:hint="default" w:ascii="Times New Roman" w:hAnsi="Times New Roman" w:eastAsia="宋体" w:cs="Times New Roman"/>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Pre-emergence stage, extremely low field attention</w:t>
            </w:r>
          </w:p>
        </w:tc>
      </w:tr>
      <w:tr w14:paraId="7FD3B95D">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667EDAA2">
            <w:pPr>
              <w:widowControl/>
              <w:spacing w:line="240" w:lineRule="auto"/>
              <w:jc w:val="center"/>
              <w:textAlignment w:val="bottom"/>
              <w:rPr>
                <w:rFonts w:hint="default" w:ascii="Times New Roman" w:hAnsi="Times New Roman" w:eastAsia="宋体" w:cs="Times New Roman"/>
                <w:sz w:val="18"/>
                <w:szCs w:val="18"/>
                <w:vertAlign w:val="baseline"/>
              </w:rPr>
            </w:pPr>
            <w:r>
              <w:rPr>
                <w:rFonts w:hint="default" w:ascii="Times New Roman" w:hAnsi="Times New Roman" w:eastAsia="宋体" w:cs="Times New Roman"/>
                <w:kern w:val="0"/>
                <w:sz w:val="18"/>
                <w:szCs w:val="18"/>
                <w:vertAlign w:val="baseline"/>
                <w:lang w:bidi="ar"/>
              </w:rPr>
              <w:t>1995</w:t>
            </w:r>
          </w:p>
        </w:tc>
        <w:tc>
          <w:tcPr>
            <w:tcW w:w="945" w:type="dxa"/>
            <w:tcBorders>
              <w:top w:val="nil"/>
              <w:left w:val="nil"/>
              <w:bottom w:val="nil"/>
              <w:right w:val="nil"/>
            </w:tcBorders>
            <w:shd w:val="clear" w:color="auto" w:fill="auto"/>
            <w:noWrap/>
            <w:vAlign w:val="center"/>
          </w:tcPr>
          <w:p w14:paraId="39E1A44A">
            <w:pPr>
              <w:widowControl/>
              <w:spacing w:line="240" w:lineRule="auto"/>
              <w:jc w:val="center"/>
              <w:textAlignment w:val="bottom"/>
              <w:rPr>
                <w:rFonts w:hint="default" w:ascii="Times New Roman" w:hAnsi="Times New Roman" w:eastAsia="宋体" w:cs="Times New Roman"/>
                <w:sz w:val="18"/>
                <w:szCs w:val="18"/>
                <w:vertAlign w:val="baseline"/>
              </w:rPr>
            </w:pPr>
            <w:r>
              <w:rPr>
                <w:rFonts w:hint="default" w:ascii="Times New Roman" w:hAnsi="Times New Roman" w:eastAsia="宋体" w:cs="Times New Roman"/>
                <w:kern w:val="0"/>
                <w:sz w:val="18"/>
                <w:szCs w:val="18"/>
                <w:vertAlign w:val="baseline"/>
                <w:lang w:bidi="ar"/>
              </w:rPr>
              <w:t>1</w:t>
            </w:r>
          </w:p>
        </w:tc>
        <w:tc>
          <w:tcPr>
            <w:tcW w:w="1253" w:type="dxa"/>
            <w:tcBorders>
              <w:top w:val="nil"/>
              <w:left w:val="nil"/>
              <w:bottom w:val="nil"/>
              <w:right w:val="nil"/>
            </w:tcBorders>
            <w:shd w:val="clear" w:color="auto" w:fill="auto"/>
            <w:noWrap/>
            <w:vAlign w:val="center"/>
          </w:tcPr>
          <w:p w14:paraId="2F65D26C">
            <w:pPr>
              <w:widowControl/>
              <w:spacing w:line="240" w:lineRule="auto"/>
              <w:jc w:val="center"/>
              <w:textAlignment w:val="center"/>
              <w:rPr>
                <w:rFonts w:hint="default" w:ascii="Times New Roman" w:hAnsi="Times New Roman" w:eastAsia="宋体" w:cs="Times New Roman"/>
                <w:sz w:val="18"/>
                <w:szCs w:val="18"/>
                <w:vertAlign w:val="baseline"/>
              </w:rPr>
            </w:pPr>
            <w:r>
              <w:rPr>
                <w:rFonts w:hint="default" w:ascii="Times New Roman" w:hAnsi="Times New Roman" w:eastAsia="宋体" w:cs="Times New Roman"/>
                <w:color w:val="000000"/>
                <w:kern w:val="0"/>
                <w:sz w:val="18"/>
                <w:szCs w:val="18"/>
                <w:vertAlign w:val="baseline"/>
                <w:lang w:bidi="ar"/>
              </w:rPr>
              <w:t>0.04</w:t>
            </w:r>
          </w:p>
        </w:tc>
        <w:tc>
          <w:tcPr>
            <w:tcW w:w="2133" w:type="dxa"/>
            <w:tcBorders>
              <w:top w:val="nil"/>
              <w:left w:val="nil"/>
              <w:bottom w:val="nil"/>
              <w:right w:val="nil"/>
            </w:tcBorders>
            <w:shd w:val="clear" w:color="auto" w:fill="auto"/>
            <w:noWrap/>
            <w:vAlign w:val="center"/>
          </w:tcPr>
          <w:p w14:paraId="2B391915">
            <w:pPr>
              <w:widowControl/>
              <w:spacing w:after="0" w:line="240" w:lineRule="auto"/>
              <w:jc w:val="center"/>
              <w:textAlignment w:val="bottom"/>
              <w:rPr>
                <w:rFonts w:hint="default" w:ascii="Times New Roman" w:hAnsi="Times New Roman" w:eastAsia="宋体" w:cs="Times New Roman"/>
                <w:sz w:val="18"/>
                <w:szCs w:val="18"/>
                <w:vertAlign w:val="baseline"/>
              </w:rPr>
            </w:pPr>
            <w:r>
              <w:rPr>
                <w:rFonts w:hint="default" w:ascii="Times New Roman" w:hAnsi="Times New Roman" w:eastAsia="宋体" w:cs="Times New Roman"/>
                <w:color w:val="000000"/>
                <w:kern w:val="0"/>
                <w:sz w:val="18"/>
                <w:szCs w:val="18"/>
                <w:vertAlign w:val="baseline"/>
                <w:lang w:bidi="ar"/>
              </w:rPr>
              <w:t>0.23</w:t>
            </w:r>
          </w:p>
        </w:tc>
        <w:tc>
          <w:tcPr>
            <w:tcW w:w="2786" w:type="dxa"/>
            <w:tcBorders>
              <w:top w:val="nil"/>
              <w:left w:val="nil"/>
              <w:bottom w:val="nil"/>
              <w:right w:val="nil"/>
            </w:tcBorders>
            <w:shd w:val="clear" w:color="auto" w:fill="auto"/>
            <w:noWrap/>
            <w:vAlign w:val="center"/>
          </w:tcPr>
          <w:p w14:paraId="6A184DFF">
            <w:pPr>
              <w:keepNext w:val="0"/>
              <w:keepLines w:val="0"/>
              <w:widowControl/>
              <w:suppressLineNumbers w:val="0"/>
              <w:jc w:val="left"/>
              <w:textAlignment w:val="center"/>
              <w:rPr>
                <w:rFonts w:hint="default" w:ascii="Times New Roman" w:hAnsi="Times New Roman" w:eastAsia="宋体" w:cs="Times New Roman"/>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Pre-emergence stage, sporadic research, no systematic focus</w:t>
            </w:r>
          </w:p>
        </w:tc>
      </w:tr>
      <w:tr w14:paraId="29CB5EAE">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3F6509E1">
            <w:pPr>
              <w:widowControl/>
              <w:spacing w:line="240" w:lineRule="auto"/>
              <w:jc w:val="center"/>
              <w:textAlignment w:val="bottom"/>
              <w:rPr>
                <w:rFonts w:hint="default" w:ascii="Times New Roman" w:hAnsi="Times New Roman" w:eastAsia="宋体" w:cs="Times New Roman"/>
                <w:sz w:val="18"/>
                <w:szCs w:val="18"/>
                <w:vertAlign w:val="baseline"/>
              </w:rPr>
            </w:pPr>
            <w:r>
              <w:rPr>
                <w:rFonts w:hint="default" w:ascii="Times New Roman" w:hAnsi="Times New Roman" w:eastAsia="宋体" w:cs="Times New Roman"/>
                <w:b/>
                <w:bCs/>
                <w:kern w:val="0"/>
                <w:sz w:val="18"/>
                <w:szCs w:val="18"/>
                <w:vertAlign w:val="baseline"/>
                <w:lang w:bidi="ar"/>
              </w:rPr>
              <w:t>1996</w:t>
            </w:r>
          </w:p>
        </w:tc>
        <w:tc>
          <w:tcPr>
            <w:tcW w:w="945" w:type="dxa"/>
            <w:tcBorders>
              <w:top w:val="nil"/>
              <w:left w:val="nil"/>
              <w:bottom w:val="nil"/>
              <w:right w:val="nil"/>
            </w:tcBorders>
            <w:shd w:val="clear" w:color="auto" w:fill="auto"/>
            <w:noWrap/>
            <w:vAlign w:val="center"/>
          </w:tcPr>
          <w:p w14:paraId="20FBB0CB">
            <w:pPr>
              <w:widowControl/>
              <w:spacing w:line="240" w:lineRule="auto"/>
              <w:jc w:val="center"/>
              <w:textAlignment w:val="center"/>
              <w:rPr>
                <w:rFonts w:hint="default" w:ascii="Times New Roman" w:hAnsi="Times New Roman" w:eastAsia="宋体" w:cs="Times New Roman"/>
                <w:sz w:val="18"/>
                <w:szCs w:val="18"/>
                <w:vertAlign w:val="baseline"/>
              </w:rPr>
            </w:pPr>
            <w:r>
              <w:rPr>
                <w:rFonts w:hint="default" w:ascii="Times New Roman" w:hAnsi="Times New Roman" w:eastAsia="宋体" w:cs="Times New Roman"/>
                <w:kern w:val="0"/>
                <w:sz w:val="18"/>
                <w:szCs w:val="18"/>
                <w:vertAlign w:val="baseline"/>
                <w:lang w:bidi="ar"/>
              </w:rPr>
              <w:t>24</w:t>
            </w:r>
          </w:p>
        </w:tc>
        <w:tc>
          <w:tcPr>
            <w:tcW w:w="1253" w:type="dxa"/>
            <w:tcBorders>
              <w:top w:val="nil"/>
              <w:left w:val="nil"/>
              <w:bottom w:val="nil"/>
              <w:right w:val="nil"/>
            </w:tcBorders>
            <w:shd w:val="clear" w:color="auto" w:fill="auto"/>
            <w:noWrap/>
            <w:vAlign w:val="center"/>
          </w:tcPr>
          <w:p w14:paraId="32D43C7C">
            <w:pPr>
              <w:widowControl/>
              <w:spacing w:line="240" w:lineRule="auto"/>
              <w:jc w:val="center"/>
              <w:textAlignment w:val="center"/>
              <w:rPr>
                <w:rFonts w:hint="default" w:ascii="Times New Roman" w:hAnsi="Times New Roman" w:eastAsia="宋体" w:cs="Times New Roman"/>
                <w:sz w:val="18"/>
                <w:szCs w:val="18"/>
                <w:vertAlign w:val="baseline"/>
              </w:rPr>
            </w:pPr>
            <w:r>
              <w:rPr>
                <w:rFonts w:hint="default" w:ascii="Times New Roman" w:hAnsi="Times New Roman" w:eastAsia="宋体" w:cs="Times New Roman"/>
                <w:color w:val="000000"/>
                <w:kern w:val="0"/>
                <w:sz w:val="18"/>
                <w:szCs w:val="18"/>
                <w:vertAlign w:val="baseline"/>
                <w:lang w:bidi="ar"/>
              </w:rPr>
              <w:t>0.99</w:t>
            </w:r>
          </w:p>
        </w:tc>
        <w:tc>
          <w:tcPr>
            <w:tcW w:w="2133" w:type="dxa"/>
            <w:tcBorders>
              <w:top w:val="nil"/>
              <w:left w:val="nil"/>
              <w:bottom w:val="nil"/>
              <w:right w:val="nil"/>
            </w:tcBorders>
            <w:shd w:val="clear" w:color="auto" w:fill="auto"/>
            <w:noWrap/>
            <w:vAlign w:val="center"/>
          </w:tcPr>
          <w:p w14:paraId="42EAC870">
            <w:pPr>
              <w:widowControl/>
              <w:spacing w:after="0" w:line="240" w:lineRule="auto"/>
              <w:jc w:val="center"/>
              <w:textAlignment w:val="bottom"/>
              <w:rPr>
                <w:rFonts w:hint="default" w:ascii="Times New Roman" w:hAnsi="Times New Roman" w:eastAsia="宋体" w:cs="Times New Roman"/>
                <w:sz w:val="18"/>
                <w:szCs w:val="18"/>
                <w:vertAlign w:val="baseline"/>
              </w:rPr>
            </w:pPr>
            <w:r>
              <w:rPr>
                <w:rFonts w:hint="default" w:ascii="Times New Roman" w:hAnsi="Times New Roman" w:eastAsia="宋体" w:cs="Times New Roman"/>
                <w:color w:val="000000"/>
                <w:kern w:val="0"/>
                <w:sz w:val="18"/>
                <w:szCs w:val="18"/>
                <w:vertAlign w:val="baseline"/>
                <w:lang w:bidi="ar"/>
              </w:rPr>
              <w:t>0.12</w:t>
            </w:r>
          </w:p>
        </w:tc>
        <w:tc>
          <w:tcPr>
            <w:tcW w:w="2786" w:type="dxa"/>
            <w:tcBorders>
              <w:top w:val="nil"/>
              <w:left w:val="nil"/>
              <w:bottom w:val="nil"/>
              <w:right w:val="nil"/>
            </w:tcBorders>
            <w:shd w:val="clear" w:color="auto" w:fill="auto"/>
            <w:noWrap/>
            <w:vAlign w:val="center"/>
          </w:tcPr>
          <w:p w14:paraId="70828314">
            <w:pPr>
              <w:keepNext w:val="0"/>
              <w:keepLines w:val="0"/>
              <w:widowControl/>
              <w:suppressLineNumbers w:val="0"/>
              <w:jc w:val="left"/>
              <w:textAlignment w:val="center"/>
              <w:rPr>
                <w:rFonts w:hint="default" w:ascii="Times New Roman" w:hAnsi="Times New Roman" w:eastAsia="宋体" w:cs="Times New Roman"/>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Key year for research initiation, sharp rise to 24 articles, first research boom</w:t>
            </w:r>
          </w:p>
        </w:tc>
      </w:tr>
      <w:tr w14:paraId="547756B0">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0187BCB2">
            <w:pPr>
              <w:widowControl/>
              <w:spacing w:line="240" w:lineRule="auto"/>
              <w:jc w:val="center"/>
              <w:textAlignment w:val="bottom"/>
              <w:rPr>
                <w:rFonts w:hint="default" w:ascii="Times New Roman" w:hAnsi="Times New Roman" w:eastAsia="宋体" w:cs="Times New Roman"/>
                <w:sz w:val="18"/>
                <w:szCs w:val="18"/>
                <w:vertAlign w:val="baseline"/>
              </w:rPr>
            </w:pPr>
            <w:r>
              <w:rPr>
                <w:rFonts w:hint="default" w:ascii="Times New Roman" w:hAnsi="Times New Roman" w:eastAsia="宋体" w:cs="Times New Roman"/>
                <w:kern w:val="0"/>
                <w:sz w:val="18"/>
                <w:szCs w:val="18"/>
                <w:vertAlign w:val="baseline"/>
                <w:lang w:bidi="ar"/>
              </w:rPr>
              <w:t>1997</w:t>
            </w:r>
          </w:p>
        </w:tc>
        <w:tc>
          <w:tcPr>
            <w:tcW w:w="945" w:type="dxa"/>
            <w:tcBorders>
              <w:top w:val="nil"/>
              <w:left w:val="nil"/>
              <w:bottom w:val="nil"/>
              <w:right w:val="nil"/>
            </w:tcBorders>
            <w:shd w:val="clear" w:color="auto" w:fill="auto"/>
            <w:noWrap/>
            <w:vAlign w:val="center"/>
          </w:tcPr>
          <w:p w14:paraId="043A6299">
            <w:pPr>
              <w:widowControl/>
              <w:spacing w:line="240" w:lineRule="auto"/>
              <w:jc w:val="center"/>
              <w:textAlignment w:val="center"/>
              <w:rPr>
                <w:rFonts w:hint="default" w:ascii="Times New Roman" w:hAnsi="Times New Roman" w:eastAsia="宋体" w:cs="Times New Roman"/>
                <w:sz w:val="18"/>
                <w:szCs w:val="18"/>
                <w:vertAlign w:val="baseline"/>
              </w:rPr>
            </w:pPr>
            <w:r>
              <w:rPr>
                <w:rFonts w:hint="default" w:ascii="Times New Roman" w:hAnsi="Times New Roman" w:eastAsia="宋体" w:cs="Times New Roman"/>
                <w:kern w:val="0"/>
                <w:sz w:val="18"/>
                <w:szCs w:val="18"/>
                <w:vertAlign w:val="baseline"/>
                <w:lang w:bidi="ar"/>
              </w:rPr>
              <w:t>10</w:t>
            </w:r>
          </w:p>
        </w:tc>
        <w:tc>
          <w:tcPr>
            <w:tcW w:w="1253" w:type="dxa"/>
            <w:tcBorders>
              <w:top w:val="nil"/>
              <w:left w:val="nil"/>
              <w:bottom w:val="nil"/>
              <w:right w:val="nil"/>
            </w:tcBorders>
            <w:shd w:val="clear" w:color="auto" w:fill="auto"/>
            <w:noWrap/>
            <w:vAlign w:val="center"/>
          </w:tcPr>
          <w:p w14:paraId="4D98BBE1">
            <w:pPr>
              <w:widowControl/>
              <w:spacing w:line="240" w:lineRule="auto"/>
              <w:jc w:val="center"/>
              <w:textAlignment w:val="center"/>
              <w:rPr>
                <w:rFonts w:hint="default" w:ascii="Times New Roman" w:hAnsi="Times New Roman" w:eastAsia="宋体" w:cs="Times New Roman"/>
                <w:sz w:val="18"/>
                <w:szCs w:val="18"/>
                <w:vertAlign w:val="baseline"/>
              </w:rPr>
            </w:pPr>
            <w:r>
              <w:rPr>
                <w:rFonts w:hint="default" w:ascii="Times New Roman" w:hAnsi="Times New Roman" w:eastAsia="宋体" w:cs="Times New Roman"/>
                <w:color w:val="000000"/>
                <w:kern w:val="0"/>
                <w:sz w:val="18"/>
                <w:szCs w:val="18"/>
                <w:vertAlign w:val="baseline"/>
                <w:lang w:bidi="ar"/>
              </w:rPr>
              <w:t>0.41</w:t>
            </w:r>
          </w:p>
        </w:tc>
        <w:tc>
          <w:tcPr>
            <w:tcW w:w="2133" w:type="dxa"/>
            <w:tcBorders>
              <w:top w:val="nil"/>
              <w:left w:val="nil"/>
              <w:bottom w:val="nil"/>
              <w:right w:val="nil"/>
            </w:tcBorders>
            <w:shd w:val="clear" w:color="auto" w:fill="auto"/>
            <w:noWrap/>
            <w:vAlign w:val="center"/>
          </w:tcPr>
          <w:p w14:paraId="31456408">
            <w:pPr>
              <w:widowControl/>
              <w:spacing w:after="0" w:line="240" w:lineRule="auto"/>
              <w:jc w:val="center"/>
              <w:textAlignment w:val="bottom"/>
              <w:rPr>
                <w:rFonts w:hint="default" w:ascii="Times New Roman" w:hAnsi="Times New Roman" w:eastAsia="宋体" w:cs="Times New Roman"/>
                <w:sz w:val="18"/>
                <w:szCs w:val="18"/>
                <w:vertAlign w:val="baseline"/>
              </w:rPr>
            </w:pPr>
            <w:r>
              <w:rPr>
                <w:rFonts w:hint="default" w:ascii="Times New Roman" w:hAnsi="Times New Roman" w:eastAsia="宋体" w:cs="Times New Roman"/>
                <w:color w:val="000000"/>
                <w:kern w:val="0"/>
                <w:sz w:val="18"/>
                <w:szCs w:val="18"/>
                <w:vertAlign w:val="baseline"/>
                <w:lang w:bidi="ar"/>
              </w:rPr>
              <w:t>0.05</w:t>
            </w:r>
          </w:p>
        </w:tc>
        <w:tc>
          <w:tcPr>
            <w:tcW w:w="2786" w:type="dxa"/>
            <w:tcBorders>
              <w:top w:val="nil"/>
              <w:left w:val="nil"/>
              <w:bottom w:val="nil"/>
              <w:right w:val="nil"/>
            </w:tcBorders>
            <w:shd w:val="clear" w:color="auto" w:fill="auto"/>
            <w:noWrap/>
            <w:vAlign w:val="center"/>
          </w:tcPr>
          <w:p w14:paraId="297F6A9B">
            <w:pPr>
              <w:keepNext w:val="0"/>
              <w:keepLines w:val="0"/>
              <w:widowControl/>
              <w:suppressLineNumbers w:val="0"/>
              <w:jc w:val="left"/>
              <w:textAlignment w:val="center"/>
              <w:rPr>
                <w:rFonts w:hint="default" w:ascii="Times New Roman" w:hAnsi="Times New Roman" w:eastAsia="宋体" w:cs="Times New Roman"/>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Initial stage, annual output ≤11 articles, focused on basic concept definition</w:t>
            </w:r>
          </w:p>
        </w:tc>
      </w:tr>
      <w:tr w14:paraId="34BB6786">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7B15A241">
            <w:pPr>
              <w:widowControl/>
              <w:spacing w:line="240" w:lineRule="auto"/>
              <w:jc w:val="center"/>
              <w:textAlignment w:val="bottom"/>
              <w:rPr>
                <w:rFonts w:hint="default" w:ascii="Times New Roman" w:hAnsi="Times New Roman" w:eastAsia="宋体" w:cs="Times New Roman"/>
                <w:sz w:val="18"/>
                <w:szCs w:val="18"/>
                <w:vertAlign w:val="baseline"/>
              </w:rPr>
            </w:pPr>
            <w:r>
              <w:rPr>
                <w:rFonts w:hint="default" w:ascii="Times New Roman" w:hAnsi="Times New Roman" w:eastAsia="宋体" w:cs="Times New Roman"/>
                <w:kern w:val="0"/>
                <w:sz w:val="18"/>
                <w:szCs w:val="18"/>
                <w:vertAlign w:val="baseline"/>
                <w:lang w:bidi="ar"/>
              </w:rPr>
              <w:t>1998</w:t>
            </w:r>
          </w:p>
        </w:tc>
        <w:tc>
          <w:tcPr>
            <w:tcW w:w="945" w:type="dxa"/>
            <w:tcBorders>
              <w:top w:val="nil"/>
              <w:left w:val="nil"/>
              <w:bottom w:val="nil"/>
              <w:right w:val="nil"/>
            </w:tcBorders>
            <w:shd w:val="clear" w:color="auto" w:fill="auto"/>
            <w:noWrap/>
            <w:vAlign w:val="center"/>
          </w:tcPr>
          <w:p w14:paraId="60B4FA45">
            <w:pPr>
              <w:widowControl/>
              <w:spacing w:line="240" w:lineRule="auto"/>
              <w:jc w:val="center"/>
              <w:textAlignment w:val="center"/>
              <w:rPr>
                <w:rFonts w:hint="default" w:ascii="Times New Roman" w:hAnsi="Times New Roman" w:eastAsia="宋体" w:cs="Times New Roman"/>
                <w:sz w:val="18"/>
                <w:szCs w:val="18"/>
                <w:vertAlign w:val="baseline"/>
              </w:rPr>
            </w:pPr>
            <w:r>
              <w:rPr>
                <w:rFonts w:hint="default" w:ascii="Times New Roman" w:hAnsi="Times New Roman" w:eastAsia="宋体" w:cs="Times New Roman"/>
                <w:kern w:val="0"/>
                <w:sz w:val="18"/>
                <w:szCs w:val="18"/>
                <w:vertAlign w:val="baseline"/>
                <w:lang w:bidi="ar"/>
              </w:rPr>
              <w:t>9</w:t>
            </w:r>
          </w:p>
        </w:tc>
        <w:tc>
          <w:tcPr>
            <w:tcW w:w="1253" w:type="dxa"/>
            <w:tcBorders>
              <w:top w:val="nil"/>
              <w:left w:val="nil"/>
              <w:bottom w:val="nil"/>
              <w:right w:val="nil"/>
            </w:tcBorders>
            <w:shd w:val="clear" w:color="auto" w:fill="auto"/>
            <w:noWrap/>
            <w:vAlign w:val="center"/>
          </w:tcPr>
          <w:p w14:paraId="06845D76">
            <w:pPr>
              <w:widowControl/>
              <w:spacing w:line="240" w:lineRule="auto"/>
              <w:jc w:val="center"/>
              <w:textAlignment w:val="center"/>
              <w:rPr>
                <w:rFonts w:hint="default" w:ascii="Times New Roman" w:hAnsi="Times New Roman" w:eastAsia="宋体" w:cs="Times New Roman"/>
                <w:sz w:val="18"/>
                <w:szCs w:val="18"/>
                <w:vertAlign w:val="baseline"/>
              </w:rPr>
            </w:pPr>
            <w:r>
              <w:rPr>
                <w:rFonts w:hint="default" w:ascii="Times New Roman" w:hAnsi="Times New Roman" w:eastAsia="宋体" w:cs="Times New Roman"/>
                <w:color w:val="000000"/>
                <w:kern w:val="0"/>
                <w:sz w:val="18"/>
                <w:szCs w:val="18"/>
                <w:vertAlign w:val="baseline"/>
                <w:lang w:bidi="ar"/>
              </w:rPr>
              <w:t>0.37</w:t>
            </w:r>
          </w:p>
        </w:tc>
        <w:tc>
          <w:tcPr>
            <w:tcW w:w="2133" w:type="dxa"/>
            <w:tcBorders>
              <w:top w:val="nil"/>
              <w:left w:val="nil"/>
              <w:bottom w:val="nil"/>
              <w:right w:val="nil"/>
            </w:tcBorders>
            <w:shd w:val="clear" w:color="auto" w:fill="auto"/>
            <w:noWrap/>
            <w:vAlign w:val="center"/>
          </w:tcPr>
          <w:p w14:paraId="2B8535E9">
            <w:pPr>
              <w:widowControl/>
              <w:spacing w:after="0" w:line="240" w:lineRule="auto"/>
              <w:jc w:val="center"/>
              <w:textAlignment w:val="bottom"/>
              <w:rPr>
                <w:rFonts w:hint="default" w:ascii="Times New Roman" w:hAnsi="Times New Roman" w:eastAsia="宋体" w:cs="Times New Roman"/>
                <w:sz w:val="18"/>
                <w:szCs w:val="18"/>
                <w:vertAlign w:val="baseline"/>
              </w:rPr>
            </w:pPr>
            <w:r>
              <w:rPr>
                <w:rFonts w:hint="default" w:ascii="Times New Roman" w:hAnsi="Times New Roman" w:eastAsia="宋体" w:cs="Times New Roman"/>
                <w:color w:val="000000"/>
                <w:kern w:val="0"/>
                <w:sz w:val="18"/>
                <w:szCs w:val="18"/>
                <w:vertAlign w:val="baseline"/>
                <w:lang w:bidi="ar"/>
              </w:rPr>
              <w:t>-0.17</w:t>
            </w:r>
          </w:p>
        </w:tc>
        <w:tc>
          <w:tcPr>
            <w:tcW w:w="2786" w:type="dxa"/>
            <w:tcBorders>
              <w:top w:val="nil"/>
              <w:left w:val="nil"/>
              <w:bottom w:val="nil"/>
              <w:right w:val="nil"/>
            </w:tcBorders>
            <w:shd w:val="clear" w:color="auto" w:fill="auto"/>
            <w:noWrap/>
            <w:vAlign w:val="center"/>
          </w:tcPr>
          <w:p w14:paraId="3DC0C07E">
            <w:pPr>
              <w:keepNext w:val="0"/>
              <w:keepLines w:val="0"/>
              <w:widowControl/>
              <w:suppressLineNumbers w:val="0"/>
              <w:jc w:val="left"/>
              <w:textAlignment w:val="center"/>
              <w:rPr>
                <w:rFonts w:hint="default" w:ascii="Times New Roman" w:hAnsi="Times New Roman" w:eastAsia="宋体" w:cs="Times New Roman"/>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Initial stage, annual output ≤11 articles, focused on basic concept definition</w:t>
            </w:r>
          </w:p>
        </w:tc>
      </w:tr>
      <w:tr w14:paraId="0A46B1AF">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43D36068">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1999</w:t>
            </w:r>
          </w:p>
        </w:tc>
        <w:tc>
          <w:tcPr>
            <w:tcW w:w="945" w:type="dxa"/>
            <w:tcBorders>
              <w:top w:val="nil"/>
              <w:left w:val="nil"/>
              <w:bottom w:val="nil"/>
              <w:right w:val="nil"/>
            </w:tcBorders>
            <w:shd w:val="clear" w:color="auto" w:fill="auto"/>
            <w:noWrap/>
            <w:vAlign w:val="center"/>
          </w:tcPr>
          <w:p w14:paraId="1A19BED9">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9</w:t>
            </w:r>
          </w:p>
        </w:tc>
        <w:tc>
          <w:tcPr>
            <w:tcW w:w="1253" w:type="dxa"/>
            <w:tcBorders>
              <w:top w:val="nil"/>
              <w:left w:val="nil"/>
              <w:bottom w:val="nil"/>
              <w:right w:val="nil"/>
            </w:tcBorders>
            <w:shd w:val="clear" w:color="auto" w:fill="auto"/>
            <w:noWrap/>
            <w:vAlign w:val="center"/>
          </w:tcPr>
          <w:p w14:paraId="7EB7C51C">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0.37</w:t>
            </w:r>
          </w:p>
        </w:tc>
        <w:tc>
          <w:tcPr>
            <w:tcW w:w="2133" w:type="dxa"/>
            <w:tcBorders>
              <w:top w:val="nil"/>
              <w:left w:val="nil"/>
              <w:bottom w:val="nil"/>
              <w:right w:val="nil"/>
            </w:tcBorders>
            <w:shd w:val="clear" w:color="auto" w:fill="auto"/>
            <w:noWrap/>
            <w:vAlign w:val="center"/>
          </w:tcPr>
          <w:p w14:paraId="440E2B27">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-0.17</w:t>
            </w:r>
          </w:p>
        </w:tc>
        <w:tc>
          <w:tcPr>
            <w:tcW w:w="2786" w:type="dxa"/>
            <w:tcBorders>
              <w:top w:val="nil"/>
              <w:left w:val="nil"/>
              <w:bottom w:val="nil"/>
              <w:right w:val="nil"/>
            </w:tcBorders>
            <w:shd w:val="clear" w:color="auto" w:fill="auto"/>
            <w:noWrap/>
            <w:vAlign w:val="center"/>
          </w:tcPr>
          <w:p w14:paraId="1C767282">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Initial stage, annual output ≤11 articles, focused on basic concept definition</w:t>
            </w:r>
          </w:p>
        </w:tc>
      </w:tr>
      <w:tr w14:paraId="0FD0C06F">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792C32F3">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2000</w:t>
            </w:r>
          </w:p>
        </w:tc>
        <w:tc>
          <w:tcPr>
            <w:tcW w:w="945" w:type="dxa"/>
            <w:tcBorders>
              <w:top w:val="nil"/>
              <w:left w:val="nil"/>
              <w:bottom w:val="nil"/>
              <w:right w:val="nil"/>
            </w:tcBorders>
            <w:shd w:val="clear" w:color="auto" w:fill="auto"/>
            <w:noWrap/>
            <w:vAlign w:val="center"/>
          </w:tcPr>
          <w:p w14:paraId="168FF6C9">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9</w:t>
            </w:r>
          </w:p>
        </w:tc>
        <w:tc>
          <w:tcPr>
            <w:tcW w:w="1253" w:type="dxa"/>
            <w:tcBorders>
              <w:top w:val="nil"/>
              <w:left w:val="nil"/>
              <w:bottom w:val="nil"/>
              <w:right w:val="nil"/>
            </w:tcBorders>
            <w:shd w:val="clear" w:color="auto" w:fill="auto"/>
            <w:noWrap/>
            <w:vAlign w:val="center"/>
          </w:tcPr>
          <w:p w14:paraId="2357F2DD">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0.37</w:t>
            </w:r>
          </w:p>
        </w:tc>
        <w:tc>
          <w:tcPr>
            <w:tcW w:w="2133" w:type="dxa"/>
            <w:tcBorders>
              <w:top w:val="nil"/>
              <w:left w:val="nil"/>
              <w:bottom w:val="nil"/>
              <w:right w:val="nil"/>
            </w:tcBorders>
            <w:shd w:val="clear" w:color="auto" w:fill="auto"/>
            <w:noWrap/>
            <w:vAlign w:val="center"/>
          </w:tcPr>
          <w:p w14:paraId="3D1E1EDE">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-0.22</w:t>
            </w:r>
          </w:p>
        </w:tc>
        <w:tc>
          <w:tcPr>
            <w:tcW w:w="2786" w:type="dxa"/>
            <w:tcBorders>
              <w:top w:val="nil"/>
              <w:left w:val="nil"/>
              <w:bottom w:val="nil"/>
              <w:right w:val="nil"/>
            </w:tcBorders>
            <w:shd w:val="clear" w:color="auto" w:fill="auto"/>
            <w:noWrap/>
            <w:vAlign w:val="center"/>
          </w:tcPr>
          <w:p w14:paraId="6B6FB5A0">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Initial stage, annual output ≤11 articles, focused on basic concept definition</w:t>
            </w:r>
          </w:p>
        </w:tc>
      </w:tr>
      <w:tr w14:paraId="5DAFF446">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50C56680">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2001</w:t>
            </w:r>
          </w:p>
        </w:tc>
        <w:tc>
          <w:tcPr>
            <w:tcW w:w="945" w:type="dxa"/>
            <w:tcBorders>
              <w:top w:val="nil"/>
              <w:left w:val="nil"/>
              <w:bottom w:val="nil"/>
              <w:right w:val="nil"/>
            </w:tcBorders>
            <w:shd w:val="clear" w:color="auto" w:fill="auto"/>
            <w:noWrap/>
            <w:vAlign w:val="center"/>
          </w:tcPr>
          <w:p w14:paraId="0502EDAA">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11</w:t>
            </w:r>
          </w:p>
        </w:tc>
        <w:tc>
          <w:tcPr>
            <w:tcW w:w="1253" w:type="dxa"/>
            <w:tcBorders>
              <w:top w:val="nil"/>
              <w:left w:val="nil"/>
              <w:bottom w:val="nil"/>
              <w:right w:val="nil"/>
            </w:tcBorders>
            <w:shd w:val="clear" w:color="auto" w:fill="auto"/>
            <w:noWrap/>
            <w:vAlign w:val="center"/>
          </w:tcPr>
          <w:p w14:paraId="38242AE1">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0.46</w:t>
            </w:r>
          </w:p>
        </w:tc>
        <w:tc>
          <w:tcPr>
            <w:tcW w:w="2133" w:type="dxa"/>
            <w:tcBorders>
              <w:top w:val="nil"/>
              <w:left w:val="nil"/>
              <w:bottom w:val="nil"/>
              <w:right w:val="nil"/>
            </w:tcBorders>
            <w:shd w:val="clear" w:color="auto" w:fill="auto"/>
            <w:noWrap/>
            <w:vAlign w:val="center"/>
          </w:tcPr>
          <w:p w14:paraId="703B524E">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0.18</w:t>
            </w:r>
          </w:p>
        </w:tc>
        <w:tc>
          <w:tcPr>
            <w:tcW w:w="2786" w:type="dxa"/>
            <w:tcBorders>
              <w:top w:val="nil"/>
              <w:left w:val="nil"/>
              <w:bottom w:val="nil"/>
              <w:right w:val="nil"/>
            </w:tcBorders>
            <w:shd w:val="clear" w:color="auto" w:fill="auto"/>
            <w:noWrap/>
            <w:vAlign w:val="center"/>
          </w:tcPr>
          <w:p w14:paraId="2809B474">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Initial stage, annual output ≤11 articles, focused on basic concept definition</w:t>
            </w:r>
          </w:p>
        </w:tc>
      </w:tr>
      <w:tr w14:paraId="41EB71B8">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178236C2">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2002</w:t>
            </w:r>
          </w:p>
        </w:tc>
        <w:tc>
          <w:tcPr>
            <w:tcW w:w="945" w:type="dxa"/>
            <w:tcBorders>
              <w:top w:val="nil"/>
              <w:left w:val="nil"/>
              <w:bottom w:val="nil"/>
              <w:right w:val="nil"/>
            </w:tcBorders>
            <w:shd w:val="clear" w:color="auto" w:fill="auto"/>
            <w:noWrap/>
            <w:vAlign w:val="center"/>
          </w:tcPr>
          <w:p w14:paraId="6580C923">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15</w:t>
            </w:r>
          </w:p>
        </w:tc>
        <w:tc>
          <w:tcPr>
            <w:tcW w:w="1253" w:type="dxa"/>
            <w:tcBorders>
              <w:top w:val="nil"/>
              <w:left w:val="nil"/>
              <w:bottom w:val="nil"/>
              <w:right w:val="nil"/>
            </w:tcBorders>
            <w:shd w:val="clear" w:color="auto" w:fill="auto"/>
            <w:noWrap/>
            <w:vAlign w:val="center"/>
          </w:tcPr>
          <w:p w14:paraId="189DBC5E">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0.62</w:t>
            </w:r>
          </w:p>
        </w:tc>
        <w:tc>
          <w:tcPr>
            <w:tcW w:w="2133" w:type="dxa"/>
            <w:tcBorders>
              <w:top w:val="nil"/>
              <w:left w:val="nil"/>
              <w:bottom w:val="nil"/>
              <w:right w:val="nil"/>
            </w:tcBorders>
            <w:shd w:val="clear" w:color="auto" w:fill="auto"/>
            <w:noWrap/>
            <w:vAlign w:val="center"/>
          </w:tcPr>
          <w:p w14:paraId="29B8C179">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0.04</w:t>
            </w:r>
          </w:p>
        </w:tc>
        <w:tc>
          <w:tcPr>
            <w:tcW w:w="2786" w:type="dxa"/>
            <w:tcBorders>
              <w:top w:val="nil"/>
              <w:left w:val="nil"/>
              <w:bottom w:val="nil"/>
              <w:right w:val="nil"/>
            </w:tcBorders>
            <w:shd w:val="clear" w:color="auto" w:fill="auto"/>
            <w:noWrap/>
            <w:vAlign w:val="center"/>
          </w:tcPr>
          <w:p w14:paraId="2314E191">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Slow growth stage, promoted by UNESCO heritage conventions, research gradually systematic</w:t>
            </w:r>
          </w:p>
        </w:tc>
      </w:tr>
      <w:tr w14:paraId="4C5C3A4A">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556105DD">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2003</w:t>
            </w:r>
          </w:p>
        </w:tc>
        <w:tc>
          <w:tcPr>
            <w:tcW w:w="945" w:type="dxa"/>
            <w:tcBorders>
              <w:top w:val="nil"/>
              <w:left w:val="nil"/>
              <w:bottom w:val="nil"/>
              <w:right w:val="nil"/>
            </w:tcBorders>
            <w:shd w:val="clear" w:color="auto" w:fill="auto"/>
            <w:noWrap/>
            <w:vAlign w:val="center"/>
          </w:tcPr>
          <w:p w14:paraId="5BC988F2">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11</w:t>
            </w:r>
          </w:p>
        </w:tc>
        <w:tc>
          <w:tcPr>
            <w:tcW w:w="1253" w:type="dxa"/>
            <w:tcBorders>
              <w:top w:val="nil"/>
              <w:left w:val="nil"/>
              <w:bottom w:val="nil"/>
              <w:right w:val="nil"/>
            </w:tcBorders>
            <w:shd w:val="clear" w:color="auto" w:fill="auto"/>
            <w:noWrap/>
            <w:vAlign w:val="center"/>
          </w:tcPr>
          <w:p w14:paraId="7331E8C7">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0.46</w:t>
            </w:r>
          </w:p>
        </w:tc>
        <w:tc>
          <w:tcPr>
            <w:tcW w:w="2133" w:type="dxa"/>
            <w:tcBorders>
              <w:top w:val="nil"/>
              <w:left w:val="nil"/>
              <w:bottom w:val="nil"/>
              <w:right w:val="nil"/>
            </w:tcBorders>
            <w:shd w:val="clear" w:color="auto" w:fill="auto"/>
            <w:noWrap/>
            <w:vAlign w:val="center"/>
          </w:tcPr>
          <w:p w14:paraId="5B43BC9E">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0.08</w:t>
            </w:r>
          </w:p>
        </w:tc>
        <w:tc>
          <w:tcPr>
            <w:tcW w:w="2786" w:type="dxa"/>
            <w:tcBorders>
              <w:top w:val="nil"/>
              <w:left w:val="nil"/>
              <w:bottom w:val="nil"/>
              <w:right w:val="nil"/>
            </w:tcBorders>
            <w:shd w:val="clear" w:color="auto" w:fill="auto"/>
            <w:noWrap/>
            <w:vAlign w:val="center"/>
          </w:tcPr>
          <w:p w14:paraId="397FF7A4">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Volatile year in slow growth stage, 11 articles, short-term impact of SARS on research output</w:t>
            </w:r>
          </w:p>
        </w:tc>
      </w:tr>
      <w:tr w14:paraId="5DD256CF">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3D8D6BC6">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2004</w:t>
            </w:r>
          </w:p>
        </w:tc>
        <w:tc>
          <w:tcPr>
            <w:tcW w:w="945" w:type="dxa"/>
            <w:tcBorders>
              <w:top w:val="nil"/>
              <w:left w:val="nil"/>
              <w:bottom w:val="nil"/>
              <w:right w:val="nil"/>
            </w:tcBorders>
            <w:shd w:val="clear" w:color="auto" w:fill="auto"/>
            <w:noWrap/>
            <w:vAlign w:val="center"/>
          </w:tcPr>
          <w:p w14:paraId="0227BD6F">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16</w:t>
            </w:r>
          </w:p>
        </w:tc>
        <w:tc>
          <w:tcPr>
            <w:tcW w:w="1253" w:type="dxa"/>
            <w:tcBorders>
              <w:top w:val="nil"/>
              <w:left w:val="nil"/>
              <w:bottom w:val="nil"/>
              <w:right w:val="nil"/>
            </w:tcBorders>
            <w:shd w:val="clear" w:color="auto" w:fill="auto"/>
            <w:noWrap/>
            <w:vAlign w:val="center"/>
          </w:tcPr>
          <w:p w14:paraId="05C38475">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0.66</w:t>
            </w:r>
          </w:p>
        </w:tc>
        <w:tc>
          <w:tcPr>
            <w:tcW w:w="2133" w:type="dxa"/>
            <w:tcBorders>
              <w:top w:val="nil"/>
              <w:left w:val="nil"/>
              <w:bottom w:val="nil"/>
              <w:right w:val="nil"/>
            </w:tcBorders>
            <w:shd w:val="clear" w:color="auto" w:fill="auto"/>
            <w:noWrap/>
            <w:vAlign w:val="center"/>
          </w:tcPr>
          <w:p w14:paraId="4E59D950">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-0.19</w:t>
            </w:r>
          </w:p>
        </w:tc>
        <w:tc>
          <w:tcPr>
            <w:tcW w:w="2786" w:type="dxa"/>
            <w:tcBorders>
              <w:top w:val="nil"/>
              <w:left w:val="nil"/>
              <w:bottom w:val="nil"/>
              <w:right w:val="nil"/>
            </w:tcBorders>
            <w:shd w:val="clear" w:color="auto" w:fill="auto"/>
            <w:noWrap/>
            <w:vAlign w:val="center"/>
          </w:tcPr>
          <w:p w14:paraId="18CEC217">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Slow growth stage, promoted by UNESCO heritage conventions, research gradually systematic</w:t>
            </w:r>
          </w:p>
        </w:tc>
      </w:tr>
      <w:tr w14:paraId="776AB52B">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3FA2BEF6">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2005</w:t>
            </w:r>
          </w:p>
        </w:tc>
        <w:tc>
          <w:tcPr>
            <w:tcW w:w="945" w:type="dxa"/>
            <w:tcBorders>
              <w:top w:val="nil"/>
              <w:left w:val="nil"/>
              <w:bottom w:val="nil"/>
              <w:right w:val="nil"/>
            </w:tcBorders>
            <w:shd w:val="clear" w:color="auto" w:fill="auto"/>
            <w:noWrap/>
            <w:vAlign w:val="center"/>
          </w:tcPr>
          <w:p w14:paraId="22458CE4">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13</w:t>
            </w:r>
          </w:p>
        </w:tc>
        <w:tc>
          <w:tcPr>
            <w:tcW w:w="1253" w:type="dxa"/>
            <w:tcBorders>
              <w:top w:val="nil"/>
              <w:left w:val="nil"/>
              <w:bottom w:val="nil"/>
              <w:right w:val="nil"/>
            </w:tcBorders>
            <w:shd w:val="clear" w:color="auto" w:fill="auto"/>
            <w:noWrap/>
            <w:vAlign w:val="center"/>
          </w:tcPr>
          <w:p w14:paraId="402EA6BE">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0.54</w:t>
            </w:r>
          </w:p>
        </w:tc>
        <w:tc>
          <w:tcPr>
            <w:tcW w:w="2133" w:type="dxa"/>
            <w:tcBorders>
              <w:top w:val="nil"/>
              <w:left w:val="nil"/>
              <w:bottom w:val="nil"/>
              <w:right w:val="nil"/>
            </w:tcBorders>
            <w:shd w:val="clear" w:color="auto" w:fill="auto"/>
            <w:noWrap/>
            <w:vAlign w:val="center"/>
          </w:tcPr>
          <w:p w14:paraId="54201F6D">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0.19</w:t>
            </w:r>
          </w:p>
        </w:tc>
        <w:tc>
          <w:tcPr>
            <w:tcW w:w="2786" w:type="dxa"/>
            <w:tcBorders>
              <w:top w:val="nil"/>
              <w:left w:val="nil"/>
              <w:bottom w:val="nil"/>
              <w:right w:val="nil"/>
            </w:tcBorders>
            <w:shd w:val="clear" w:color="auto" w:fill="auto"/>
            <w:noWrap/>
            <w:vAlign w:val="center"/>
          </w:tcPr>
          <w:p w14:paraId="63C53B7B">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Slow growth stage, promoted by UNESCO heritage conventions, research gradually systematic</w:t>
            </w:r>
          </w:p>
        </w:tc>
      </w:tr>
      <w:tr w14:paraId="149636DD">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75D191C4">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2006</w:t>
            </w:r>
          </w:p>
        </w:tc>
        <w:tc>
          <w:tcPr>
            <w:tcW w:w="945" w:type="dxa"/>
            <w:tcBorders>
              <w:top w:val="nil"/>
              <w:left w:val="nil"/>
              <w:bottom w:val="nil"/>
              <w:right w:val="nil"/>
            </w:tcBorders>
            <w:shd w:val="clear" w:color="auto" w:fill="auto"/>
            <w:noWrap/>
            <w:vAlign w:val="center"/>
          </w:tcPr>
          <w:p w14:paraId="1281135E">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27</w:t>
            </w:r>
          </w:p>
        </w:tc>
        <w:tc>
          <w:tcPr>
            <w:tcW w:w="1253" w:type="dxa"/>
            <w:tcBorders>
              <w:top w:val="nil"/>
              <w:left w:val="nil"/>
              <w:bottom w:val="nil"/>
              <w:right w:val="nil"/>
            </w:tcBorders>
            <w:shd w:val="clear" w:color="auto" w:fill="auto"/>
            <w:noWrap/>
            <w:vAlign w:val="center"/>
          </w:tcPr>
          <w:p w14:paraId="49D41701">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1.12</w:t>
            </w:r>
          </w:p>
        </w:tc>
        <w:tc>
          <w:tcPr>
            <w:tcW w:w="2133" w:type="dxa"/>
            <w:tcBorders>
              <w:top w:val="nil"/>
              <w:left w:val="nil"/>
              <w:bottom w:val="nil"/>
              <w:right w:val="nil"/>
            </w:tcBorders>
            <w:shd w:val="clear" w:color="auto" w:fill="auto"/>
            <w:noWrap/>
            <w:vAlign w:val="center"/>
          </w:tcPr>
          <w:p w14:paraId="3FE100B6">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0.13</w:t>
            </w:r>
          </w:p>
        </w:tc>
        <w:tc>
          <w:tcPr>
            <w:tcW w:w="2786" w:type="dxa"/>
            <w:tcBorders>
              <w:top w:val="nil"/>
              <w:left w:val="nil"/>
              <w:bottom w:val="nil"/>
              <w:right w:val="nil"/>
            </w:tcBorders>
            <w:shd w:val="clear" w:color="auto" w:fill="auto"/>
            <w:noWrap/>
            <w:vAlign w:val="center"/>
          </w:tcPr>
          <w:p w14:paraId="2BE44E36">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Peak of slow growth stage, 27 articles, balance between heritage conservation and tourism development highlighted</w:t>
            </w:r>
          </w:p>
        </w:tc>
      </w:tr>
      <w:tr w14:paraId="43E6243A">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612C38D4">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2007</w:t>
            </w:r>
          </w:p>
        </w:tc>
        <w:tc>
          <w:tcPr>
            <w:tcW w:w="945" w:type="dxa"/>
            <w:tcBorders>
              <w:top w:val="nil"/>
              <w:left w:val="nil"/>
              <w:bottom w:val="nil"/>
              <w:right w:val="nil"/>
            </w:tcBorders>
            <w:shd w:val="clear" w:color="auto" w:fill="auto"/>
            <w:noWrap/>
            <w:vAlign w:val="center"/>
          </w:tcPr>
          <w:p w14:paraId="0E6011CF">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17</w:t>
            </w:r>
          </w:p>
        </w:tc>
        <w:tc>
          <w:tcPr>
            <w:tcW w:w="1253" w:type="dxa"/>
            <w:tcBorders>
              <w:top w:val="nil"/>
              <w:left w:val="nil"/>
              <w:bottom w:val="nil"/>
              <w:right w:val="nil"/>
            </w:tcBorders>
            <w:shd w:val="clear" w:color="auto" w:fill="auto"/>
            <w:noWrap/>
            <w:vAlign w:val="center"/>
          </w:tcPr>
          <w:p w14:paraId="3FB2909E">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0.70</w:t>
            </w:r>
          </w:p>
        </w:tc>
        <w:tc>
          <w:tcPr>
            <w:tcW w:w="2133" w:type="dxa"/>
            <w:tcBorders>
              <w:top w:val="nil"/>
              <w:left w:val="nil"/>
              <w:bottom w:val="nil"/>
              <w:right w:val="nil"/>
            </w:tcBorders>
            <w:shd w:val="clear" w:color="auto" w:fill="auto"/>
            <w:noWrap/>
            <w:vAlign w:val="center"/>
          </w:tcPr>
          <w:p w14:paraId="255D4CB4">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-0.12</w:t>
            </w:r>
          </w:p>
        </w:tc>
        <w:tc>
          <w:tcPr>
            <w:tcW w:w="2786" w:type="dxa"/>
            <w:tcBorders>
              <w:top w:val="nil"/>
              <w:left w:val="nil"/>
              <w:bottom w:val="nil"/>
              <w:right w:val="nil"/>
            </w:tcBorders>
            <w:shd w:val="clear" w:color="auto" w:fill="auto"/>
            <w:noWrap/>
            <w:vAlign w:val="center"/>
          </w:tcPr>
          <w:p w14:paraId="2EB98C04">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Rapid growth stage, sustainable heritage tourism as core topic</w:t>
            </w:r>
          </w:p>
        </w:tc>
      </w:tr>
      <w:tr w14:paraId="2690628F">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493EE4D6">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b/>
                <w:bCs/>
                <w:kern w:val="0"/>
                <w:sz w:val="18"/>
                <w:szCs w:val="18"/>
                <w:vertAlign w:val="baseline"/>
                <w:lang w:bidi="ar"/>
              </w:rPr>
              <w:t>2008</w:t>
            </w:r>
          </w:p>
        </w:tc>
        <w:tc>
          <w:tcPr>
            <w:tcW w:w="945" w:type="dxa"/>
            <w:tcBorders>
              <w:top w:val="nil"/>
              <w:left w:val="nil"/>
              <w:bottom w:val="nil"/>
              <w:right w:val="nil"/>
            </w:tcBorders>
            <w:shd w:val="clear" w:color="auto" w:fill="auto"/>
            <w:noWrap/>
            <w:vAlign w:val="center"/>
          </w:tcPr>
          <w:p w14:paraId="229A8854">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57</w:t>
            </w:r>
          </w:p>
        </w:tc>
        <w:tc>
          <w:tcPr>
            <w:tcW w:w="1253" w:type="dxa"/>
            <w:tcBorders>
              <w:top w:val="nil"/>
              <w:left w:val="nil"/>
              <w:bottom w:val="nil"/>
              <w:right w:val="nil"/>
            </w:tcBorders>
            <w:shd w:val="clear" w:color="auto" w:fill="auto"/>
            <w:noWrap/>
            <w:vAlign w:val="center"/>
          </w:tcPr>
          <w:p w14:paraId="492C05B4">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2.36</w:t>
            </w:r>
          </w:p>
        </w:tc>
        <w:tc>
          <w:tcPr>
            <w:tcW w:w="2133" w:type="dxa"/>
            <w:tcBorders>
              <w:top w:val="nil"/>
              <w:left w:val="nil"/>
              <w:bottom w:val="nil"/>
              <w:right w:val="nil"/>
            </w:tcBorders>
            <w:shd w:val="clear" w:color="auto" w:fill="auto"/>
            <w:noWrap/>
            <w:vAlign w:val="center"/>
          </w:tcPr>
          <w:p w14:paraId="2CD0E5D7">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-0.13</w:t>
            </w:r>
          </w:p>
        </w:tc>
        <w:tc>
          <w:tcPr>
            <w:tcW w:w="2786" w:type="dxa"/>
            <w:tcBorders>
              <w:top w:val="nil"/>
              <w:left w:val="nil"/>
              <w:bottom w:val="nil"/>
              <w:right w:val="nil"/>
            </w:tcBorders>
            <w:shd w:val="clear" w:color="auto" w:fill="auto"/>
            <w:noWrap/>
            <w:vAlign w:val="center"/>
          </w:tcPr>
          <w:p w14:paraId="6864D6A5">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Breakthrough in rapid growth, 57 articles, rise of heritage tourism resilience research under global financial crisis</w:t>
            </w:r>
          </w:p>
        </w:tc>
      </w:tr>
      <w:tr w14:paraId="1BB4FFB6">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4A602F0F">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2009</w:t>
            </w:r>
          </w:p>
        </w:tc>
        <w:tc>
          <w:tcPr>
            <w:tcW w:w="945" w:type="dxa"/>
            <w:tcBorders>
              <w:top w:val="nil"/>
              <w:left w:val="nil"/>
              <w:bottom w:val="nil"/>
              <w:right w:val="nil"/>
            </w:tcBorders>
            <w:shd w:val="clear" w:color="auto" w:fill="auto"/>
            <w:noWrap/>
            <w:vAlign w:val="center"/>
          </w:tcPr>
          <w:p w14:paraId="06CE9B2D">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44</w:t>
            </w:r>
          </w:p>
        </w:tc>
        <w:tc>
          <w:tcPr>
            <w:tcW w:w="1253" w:type="dxa"/>
            <w:tcBorders>
              <w:top w:val="nil"/>
              <w:left w:val="nil"/>
              <w:bottom w:val="nil"/>
              <w:right w:val="nil"/>
            </w:tcBorders>
            <w:shd w:val="clear" w:color="auto" w:fill="auto"/>
            <w:noWrap/>
            <w:vAlign w:val="center"/>
          </w:tcPr>
          <w:p w14:paraId="03AB7159">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1.82</w:t>
            </w:r>
          </w:p>
        </w:tc>
        <w:tc>
          <w:tcPr>
            <w:tcW w:w="2133" w:type="dxa"/>
            <w:tcBorders>
              <w:top w:val="nil"/>
              <w:left w:val="nil"/>
              <w:bottom w:val="nil"/>
              <w:right w:val="nil"/>
            </w:tcBorders>
            <w:shd w:val="clear" w:color="auto" w:fill="auto"/>
            <w:noWrap/>
            <w:vAlign w:val="center"/>
          </w:tcPr>
          <w:p w14:paraId="591CBFE7">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-0.13</w:t>
            </w:r>
          </w:p>
        </w:tc>
        <w:tc>
          <w:tcPr>
            <w:tcW w:w="2786" w:type="dxa"/>
            <w:tcBorders>
              <w:top w:val="nil"/>
              <w:left w:val="nil"/>
              <w:bottom w:val="nil"/>
              <w:right w:val="nil"/>
            </w:tcBorders>
            <w:shd w:val="clear" w:color="auto" w:fill="auto"/>
            <w:noWrap/>
            <w:vAlign w:val="center"/>
          </w:tcPr>
          <w:p w14:paraId="016FDB67">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Rapid growth stage, sustainable heritage tourism as core topic</w:t>
            </w:r>
          </w:p>
        </w:tc>
      </w:tr>
      <w:tr w14:paraId="47A5C988">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04C52357">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2010</w:t>
            </w:r>
          </w:p>
        </w:tc>
        <w:tc>
          <w:tcPr>
            <w:tcW w:w="945" w:type="dxa"/>
            <w:tcBorders>
              <w:top w:val="nil"/>
              <w:left w:val="nil"/>
              <w:bottom w:val="nil"/>
              <w:right w:val="nil"/>
            </w:tcBorders>
            <w:shd w:val="clear" w:color="auto" w:fill="auto"/>
            <w:noWrap/>
            <w:vAlign w:val="center"/>
          </w:tcPr>
          <w:p w14:paraId="7A977C95">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100</w:t>
            </w:r>
          </w:p>
        </w:tc>
        <w:tc>
          <w:tcPr>
            <w:tcW w:w="1253" w:type="dxa"/>
            <w:tcBorders>
              <w:top w:val="nil"/>
              <w:left w:val="nil"/>
              <w:bottom w:val="nil"/>
              <w:right w:val="nil"/>
            </w:tcBorders>
            <w:shd w:val="clear" w:color="auto" w:fill="auto"/>
            <w:noWrap/>
            <w:vAlign w:val="center"/>
          </w:tcPr>
          <w:p w14:paraId="2E53CE05">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4.14</w:t>
            </w:r>
          </w:p>
        </w:tc>
        <w:tc>
          <w:tcPr>
            <w:tcW w:w="2133" w:type="dxa"/>
            <w:tcBorders>
              <w:top w:val="nil"/>
              <w:left w:val="nil"/>
              <w:bottom w:val="nil"/>
              <w:right w:val="nil"/>
            </w:tcBorders>
            <w:shd w:val="clear" w:color="auto" w:fill="auto"/>
            <w:noWrap/>
            <w:vAlign w:val="center"/>
          </w:tcPr>
          <w:p w14:paraId="2B6C9CFF">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-0.08</w:t>
            </w:r>
          </w:p>
        </w:tc>
        <w:tc>
          <w:tcPr>
            <w:tcW w:w="2786" w:type="dxa"/>
            <w:tcBorders>
              <w:top w:val="nil"/>
              <w:left w:val="nil"/>
              <w:bottom w:val="nil"/>
              <w:right w:val="nil"/>
            </w:tcBorders>
            <w:shd w:val="clear" w:color="auto" w:fill="auto"/>
            <w:noWrap/>
            <w:vAlign w:val="center"/>
          </w:tcPr>
          <w:p w14:paraId="34E3A9EF">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Rapid growth node, exceeding 100 articles for the first time, formation of research system for sustainable heritage tourism standards</w:t>
            </w:r>
          </w:p>
        </w:tc>
      </w:tr>
      <w:tr w14:paraId="326AD15F">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6EB3D729">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2011</w:t>
            </w:r>
          </w:p>
        </w:tc>
        <w:tc>
          <w:tcPr>
            <w:tcW w:w="945" w:type="dxa"/>
            <w:tcBorders>
              <w:top w:val="nil"/>
              <w:left w:val="nil"/>
              <w:bottom w:val="nil"/>
              <w:right w:val="nil"/>
            </w:tcBorders>
            <w:shd w:val="clear" w:color="auto" w:fill="auto"/>
            <w:noWrap/>
            <w:vAlign w:val="center"/>
          </w:tcPr>
          <w:p w14:paraId="079EFEEF">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78</w:t>
            </w:r>
          </w:p>
        </w:tc>
        <w:tc>
          <w:tcPr>
            <w:tcW w:w="1253" w:type="dxa"/>
            <w:tcBorders>
              <w:top w:val="nil"/>
              <w:left w:val="nil"/>
              <w:bottom w:val="nil"/>
              <w:right w:val="nil"/>
            </w:tcBorders>
            <w:shd w:val="clear" w:color="auto" w:fill="auto"/>
            <w:noWrap/>
            <w:vAlign w:val="center"/>
          </w:tcPr>
          <w:p w14:paraId="325C43FE">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3.23</w:t>
            </w:r>
          </w:p>
        </w:tc>
        <w:tc>
          <w:tcPr>
            <w:tcW w:w="2133" w:type="dxa"/>
            <w:tcBorders>
              <w:top w:val="nil"/>
              <w:left w:val="nil"/>
              <w:bottom w:val="nil"/>
              <w:right w:val="nil"/>
            </w:tcBorders>
            <w:shd w:val="clear" w:color="auto" w:fill="auto"/>
            <w:noWrap/>
            <w:vAlign w:val="center"/>
          </w:tcPr>
          <w:p w14:paraId="76B343E0">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0.01</w:t>
            </w:r>
          </w:p>
        </w:tc>
        <w:tc>
          <w:tcPr>
            <w:tcW w:w="2786" w:type="dxa"/>
            <w:tcBorders>
              <w:top w:val="nil"/>
              <w:left w:val="nil"/>
              <w:bottom w:val="nil"/>
              <w:right w:val="nil"/>
            </w:tcBorders>
            <w:shd w:val="clear" w:color="auto" w:fill="auto"/>
            <w:noWrap/>
            <w:vAlign w:val="center"/>
          </w:tcPr>
          <w:p w14:paraId="1CA81346">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Rapid growth stage, sustainable heritage tourism as core topic</w:t>
            </w:r>
          </w:p>
        </w:tc>
      </w:tr>
      <w:tr w14:paraId="4139E981">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112B5CC9">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2012</w:t>
            </w:r>
          </w:p>
        </w:tc>
        <w:tc>
          <w:tcPr>
            <w:tcW w:w="945" w:type="dxa"/>
            <w:tcBorders>
              <w:top w:val="nil"/>
              <w:left w:val="nil"/>
              <w:bottom w:val="nil"/>
              <w:right w:val="nil"/>
            </w:tcBorders>
            <w:shd w:val="clear" w:color="auto" w:fill="auto"/>
            <w:noWrap/>
            <w:vAlign w:val="center"/>
          </w:tcPr>
          <w:p w14:paraId="7CD64C10">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65</w:t>
            </w:r>
          </w:p>
        </w:tc>
        <w:tc>
          <w:tcPr>
            <w:tcW w:w="1253" w:type="dxa"/>
            <w:tcBorders>
              <w:top w:val="nil"/>
              <w:left w:val="nil"/>
              <w:bottom w:val="nil"/>
              <w:right w:val="nil"/>
            </w:tcBorders>
            <w:shd w:val="clear" w:color="auto" w:fill="auto"/>
            <w:noWrap/>
            <w:vAlign w:val="center"/>
          </w:tcPr>
          <w:p w14:paraId="09B458D3">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2.69</w:t>
            </w:r>
          </w:p>
        </w:tc>
        <w:tc>
          <w:tcPr>
            <w:tcW w:w="2133" w:type="dxa"/>
            <w:tcBorders>
              <w:top w:val="nil"/>
              <w:left w:val="nil"/>
              <w:bottom w:val="nil"/>
              <w:right w:val="nil"/>
            </w:tcBorders>
            <w:shd w:val="clear" w:color="auto" w:fill="auto"/>
            <w:noWrap/>
            <w:vAlign w:val="center"/>
          </w:tcPr>
          <w:p w14:paraId="76FB792F">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-0.02</w:t>
            </w:r>
          </w:p>
        </w:tc>
        <w:tc>
          <w:tcPr>
            <w:tcW w:w="2786" w:type="dxa"/>
            <w:tcBorders>
              <w:top w:val="nil"/>
              <w:left w:val="nil"/>
              <w:bottom w:val="nil"/>
              <w:right w:val="nil"/>
            </w:tcBorders>
            <w:shd w:val="clear" w:color="auto" w:fill="auto"/>
            <w:noWrap/>
            <w:vAlign w:val="center"/>
          </w:tcPr>
          <w:p w14:paraId="50ED3876">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High-speed growth stage, increasing proportion of cultural heritage tourism research</w:t>
            </w:r>
          </w:p>
        </w:tc>
      </w:tr>
      <w:tr w14:paraId="628B0144">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2EF7B964">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2013</w:t>
            </w:r>
          </w:p>
        </w:tc>
        <w:tc>
          <w:tcPr>
            <w:tcW w:w="945" w:type="dxa"/>
            <w:tcBorders>
              <w:top w:val="nil"/>
              <w:left w:val="nil"/>
              <w:bottom w:val="nil"/>
              <w:right w:val="nil"/>
            </w:tcBorders>
            <w:shd w:val="clear" w:color="auto" w:fill="auto"/>
            <w:noWrap/>
            <w:vAlign w:val="center"/>
          </w:tcPr>
          <w:p w14:paraId="424783B6">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88</w:t>
            </w:r>
          </w:p>
        </w:tc>
        <w:tc>
          <w:tcPr>
            <w:tcW w:w="1253" w:type="dxa"/>
            <w:tcBorders>
              <w:top w:val="nil"/>
              <w:left w:val="nil"/>
              <w:bottom w:val="nil"/>
              <w:right w:val="nil"/>
            </w:tcBorders>
            <w:shd w:val="clear" w:color="auto" w:fill="auto"/>
            <w:noWrap/>
            <w:vAlign w:val="center"/>
          </w:tcPr>
          <w:p w14:paraId="1CDFEBCF">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3.64</w:t>
            </w:r>
          </w:p>
        </w:tc>
        <w:tc>
          <w:tcPr>
            <w:tcW w:w="2133" w:type="dxa"/>
            <w:tcBorders>
              <w:top w:val="nil"/>
              <w:left w:val="nil"/>
              <w:bottom w:val="nil"/>
              <w:right w:val="nil"/>
            </w:tcBorders>
            <w:shd w:val="clear" w:color="auto" w:fill="auto"/>
            <w:noWrap/>
            <w:vAlign w:val="center"/>
          </w:tcPr>
          <w:p w14:paraId="7B57F14F">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-0.06</w:t>
            </w:r>
          </w:p>
        </w:tc>
        <w:tc>
          <w:tcPr>
            <w:tcW w:w="2786" w:type="dxa"/>
            <w:tcBorders>
              <w:top w:val="nil"/>
              <w:left w:val="nil"/>
              <w:bottom w:val="nil"/>
              <w:right w:val="nil"/>
            </w:tcBorders>
            <w:shd w:val="clear" w:color="auto" w:fill="auto"/>
            <w:noWrap/>
            <w:vAlign w:val="center"/>
          </w:tcPr>
          <w:p w14:paraId="1E80755A">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High-speed growth stage, increasing proportion of cultural heritage tourism research</w:t>
            </w:r>
          </w:p>
        </w:tc>
      </w:tr>
      <w:tr w14:paraId="015C82E1">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4CD27F5F">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2014</w:t>
            </w:r>
          </w:p>
        </w:tc>
        <w:tc>
          <w:tcPr>
            <w:tcW w:w="945" w:type="dxa"/>
            <w:tcBorders>
              <w:top w:val="nil"/>
              <w:left w:val="nil"/>
              <w:bottom w:val="nil"/>
              <w:right w:val="nil"/>
            </w:tcBorders>
            <w:shd w:val="clear" w:color="auto" w:fill="auto"/>
            <w:noWrap/>
            <w:vAlign w:val="center"/>
          </w:tcPr>
          <w:p w14:paraId="584DEFD7">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101</w:t>
            </w:r>
          </w:p>
        </w:tc>
        <w:tc>
          <w:tcPr>
            <w:tcW w:w="1253" w:type="dxa"/>
            <w:tcBorders>
              <w:top w:val="nil"/>
              <w:left w:val="nil"/>
              <w:bottom w:val="nil"/>
              <w:right w:val="nil"/>
            </w:tcBorders>
            <w:shd w:val="clear" w:color="auto" w:fill="auto"/>
            <w:noWrap/>
            <w:vAlign w:val="center"/>
          </w:tcPr>
          <w:p w14:paraId="66CCA12E">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4.18</w:t>
            </w:r>
          </w:p>
        </w:tc>
        <w:tc>
          <w:tcPr>
            <w:tcW w:w="2133" w:type="dxa"/>
            <w:tcBorders>
              <w:top w:val="nil"/>
              <w:left w:val="nil"/>
              <w:bottom w:val="nil"/>
              <w:right w:val="nil"/>
            </w:tcBorders>
            <w:shd w:val="clear" w:color="auto" w:fill="auto"/>
            <w:noWrap/>
            <w:vAlign w:val="center"/>
          </w:tcPr>
          <w:p w14:paraId="4654146D">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0.03</w:t>
            </w:r>
          </w:p>
        </w:tc>
        <w:tc>
          <w:tcPr>
            <w:tcW w:w="2786" w:type="dxa"/>
            <w:tcBorders>
              <w:top w:val="nil"/>
              <w:left w:val="nil"/>
              <w:bottom w:val="nil"/>
              <w:right w:val="nil"/>
            </w:tcBorders>
            <w:shd w:val="clear" w:color="auto" w:fill="auto"/>
            <w:noWrap/>
            <w:vAlign w:val="center"/>
          </w:tcPr>
          <w:p w14:paraId="703F5C14">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High-speed growth stage, increasing proportion of cultural heritage tourism research</w:t>
            </w:r>
          </w:p>
        </w:tc>
      </w:tr>
      <w:tr w14:paraId="5254BDE6">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3F553994">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2015</w:t>
            </w:r>
          </w:p>
        </w:tc>
        <w:tc>
          <w:tcPr>
            <w:tcW w:w="945" w:type="dxa"/>
            <w:tcBorders>
              <w:top w:val="nil"/>
              <w:left w:val="nil"/>
              <w:bottom w:val="nil"/>
              <w:right w:val="nil"/>
            </w:tcBorders>
            <w:shd w:val="clear" w:color="auto" w:fill="auto"/>
            <w:noWrap/>
            <w:vAlign w:val="center"/>
          </w:tcPr>
          <w:p w14:paraId="49B4434F">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100</w:t>
            </w:r>
          </w:p>
        </w:tc>
        <w:tc>
          <w:tcPr>
            <w:tcW w:w="1253" w:type="dxa"/>
            <w:tcBorders>
              <w:top w:val="nil"/>
              <w:left w:val="nil"/>
              <w:bottom w:val="nil"/>
              <w:right w:val="nil"/>
            </w:tcBorders>
            <w:shd w:val="clear" w:color="auto" w:fill="auto"/>
            <w:noWrap/>
            <w:vAlign w:val="center"/>
          </w:tcPr>
          <w:p w14:paraId="11ACF9A0">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4.14</w:t>
            </w:r>
          </w:p>
        </w:tc>
        <w:tc>
          <w:tcPr>
            <w:tcW w:w="2133" w:type="dxa"/>
            <w:tcBorders>
              <w:top w:val="nil"/>
              <w:left w:val="nil"/>
              <w:bottom w:val="nil"/>
              <w:right w:val="nil"/>
            </w:tcBorders>
            <w:shd w:val="clear" w:color="auto" w:fill="auto"/>
            <w:noWrap/>
            <w:vAlign w:val="center"/>
          </w:tcPr>
          <w:p w14:paraId="25CAA5DB">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-0.11</w:t>
            </w:r>
          </w:p>
        </w:tc>
        <w:tc>
          <w:tcPr>
            <w:tcW w:w="2786" w:type="dxa"/>
            <w:tcBorders>
              <w:top w:val="nil"/>
              <w:left w:val="nil"/>
              <w:bottom w:val="nil"/>
              <w:right w:val="nil"/>
            </w:tcBorders>
            <w:shd w:val="clear" w:color="auto" w:fill="auto"/>
            <w:noWrap/>
            <w:vAlign w:val="center"/>
          </w:tcPr>
          <w:p w14:paraId="57269070">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High-speed growth stage, increasing proportion of cultural heritage tourism research</w:t>
            </w:r>
          </w:p>
        </w:tc>
      </w:tr>
      <w:tr w14:paraId="6C87DD6B">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109AD663">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2016</w:t>
            </w:r>
          </w:p>
        </w:tc>
        <w:tc>
          <w:tcPr>
            <w:tcW w:w="945" w:type="dxa"/>
            <w:tcBorders>
              <w:top w:val="nil"/>
              <w:left w:val="nil"/>
              <w:bottom w:val="nil"/>
              <w:right w:val="nil"/>
            </w:tcBorders>
            <w:shd w:val="clear" w:color="auto" w:fill="auto"/>
            <w:noWrap/>
            <w:vAlign w:val="center"/>
          </w:tcPr>
          <w:p w14:paraId="1EA036DF">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172</w:t>
            </w:r>
          </w:p>
        </w:tc>
        <w:tc>
          <w:tcPr>
            <w:tcW w:w="1253" w:type="dxa"/>
            <w:tcBorders>
              <w:top w:val="nil"/>
              <w:left w:val="nil"/>
              <w:bottom w:val="nil"/>
              <w:right w:val="nil"/>
            </w:tcBorders>
            <w:shd w:val="clear" w:color="auto" w:fill="auto"/>
            <w:noWrap/>
            <w:vAlign w:val="center"/>
          </w:tcPr>
          <w:p w14:paraId="176DDAA9">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7.12</w:t>
            </w:r>
          </w:p>
        </w:tc>
        <w:tc>
          <w:tcPr>
            <w:tcW w:w="2133" w:type="dxa"/>
            <w:tcBorders>
              <w:top w:val="nil"/>
              <w:left w:val="nil"/>
              <w:bottom w:val="nil"/>
              <w:right w:val="nil"/>
            </w:tcBorders>
            <w:shd w:val="clear" w:color="auto" w:fill="auto"/>
            <w:noWrap/>
            <w:vAlign w:val="center"/>
          </w:tcPr>
          <w:p w14:paraId="25492F2F">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-0.06</w:t>
            </w:r>
          </w:p>
        </w:tc>
        <w:tc>
          <w:tcPr>
            <w:tcW w:w="2786" w:type="dxa"/>
            <w:tcBorders>
              <w:top w:val="nil"/>
              <w:left w:val="nil"/>
              <w:bottom w:val="nil"/>
              <w:right w:val="nil"/>
            </w:tcBorders>
            <w:shd w:val="clear" w:color="auto" w:fill="auto"/>
            <w:noWrap/>
            <w:vAlign w:val="center"/>
          </w:tcPr>
          <w:p w14:paraId="2C23B0D2">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High-speed growth node, 172 articles, initial establishment of digital heritage tourism research framework</w:t>
            </w:r>
          </w:p>
        </w:tc>
      </w:tr>
      <w:tr w14:paraId="611C48CA">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3352B13B">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2017</w:t>
            </w:r>
          </w:p>
        </w:tc>
        <w:tc>
          <w:tcPr>
            <w:tcW w:w="945" w:type="dxa"/>
            <w:tcBorders>
              <w:top w:val="nil"/>
              <w:left w:val="nil"/>
              <w:bottom w:val="nil"/>
              <w:right w:val="nil"/>
            </w:tcBorders>
            <w:shd w:val="clear" w:color="auto" w:fill="auto"/>
            <w:noWrap/>
            <w:vAlign w:val="center"/>
          </w:tcPr>
          <w:p w14:paraId="5504FC9C">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150</w:t>
            </w:r>
          </w:p>
        </w:tc>
        <w:tc>
          <w:tcPr>
            <w:tcW w:w="1253" w:type="dxa"/>
            <w:tcBorders>
              <w:top w:val="nil"/>
              <w:left w:val="nil"/>
              <w:bottom w:val="nil"/>
              <w:right w:val="nil"/>
            </w:tcBorders>
            <w:shd w:val="clear" w:color="auto" w:fill="auto"/>
            <w:noWrap/>
            <w:vAlign w:val="center"/>
          </w:tcPr>
          <w:p w14:paraId="3D191C09">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6.21</w:t>
            </w:r>
          </w:p>
        </w:tc>
        <w:tc>
          <w:tcPr>
            <w:tcW w:w="2133" w:type="dxa"/>
            <w:tcBorders>
              <w:top w:val="nil"/>
              <w:left w:val="nil"/>
              <w:bottom w:val="nil"/>
              <w:right w:val="nil"/>
            </w:tcBorders>
            <w:shd w:val="clear" w:color="auto" w:fill="auto"/>
            <w:noWrap/>
            <w:vAlign w:val="center"/>
          </w:tcPr>
          <w:p w14:paraId="5C0133EC">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-0.04</w:t>
            </w:r>
          </w:p>
        </w:tc>
        <w:tc>
          <w:tcPr>
            <w:tcW w:w="2786" w:type="dxa"/>
            <w:tcBorders>
              <w:top w:val="nil"/>
              <w:left w:val="nil"/>
              <w:bottom w:val="nil"/>
              <w:right w:val="nil"/>
            </w:tcBorders>
            <w:shd w:val="clear" w:color="auto" w:fill="auto"/>
            <w:noWrap/>
            <w:vAlign w:val="center"/>
          </w:tcPr>
          <w:p w14:paraId="2C3EDD01">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Explosive growth stage, focus on heritage tourism recovery post-COVID-19</w:t>
            </w:r>
          </w:p>
        </w:tc>
      </w:tr>
      <w:tr w14:paraId="6CC659FC">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3B5F70C3">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2018</w:t>
            </w:r>
          </w:p>
        </w:tc>
        <w:tc>
          <w:tcPr>
            <w:tcW w:w="945" w:type="dxa"/>
            <w:tcBorders>
              <w:top w:val="nil"/>
              <w:left w:val="nil"/>
              <w:bottom w:val="nil"/>
              <w:right w:val="nil"/>
            </w:tcBorders>
            <w:shd w:val="clear" w:color="auto" w:fill="auto"/>
            <w:noWrap/>
            <w:vAlign w:val="center"/>
          </w:tcPr>
          <w:p w14:paraId="2B679B55">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143</w:t>
            </w:r>
          </w:p>
        </w:tc>
        <w:tc>
          <w:tcPr>
            <w:tcW w:w="1253" w:type="dxa"/>
            <w:tcBorders>
              <w:top w:val="nil"/>
              <w:left w:val="nil"/>
              <w:bottom w:val="nil"/>
              <w:right w:val="nil"/>
            </w:tcBorders>
            <w:shd w:val="clear" w:color="auto" w:fill="auto"/>
            <w:noWrap/>
            <w:vAlign w:val="center"/>
          </w:tcPr>
          <w:p w14:paraId="4C90C053">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5.92</w:t>
            </w:r>
          </w:p>
        </w:tc>
        <w:tc>
          <w:tcPr>
            <w:tcW w:w="2133" w:type="dxa"/>
            <w:tcBorders>
              <w:top w:val="nil"/>
              <w:left w:val="nil"/>
              <w:bottom w:val="nil"/>
              <w:right w:val="nil"/>
            </w:tcBorders>
            <w:shd w:val="clear" w:color="auto" w:fill="auto"/>
            <w:noWrap/>
            <w:vAlign w:val="center"/>
          </w:tcPr>
          <w:p w14:paraId="2CAD6B62">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-0.01</w:t>
            </w:r>
          </w:p>
        </w:tc>
        <w:tc>
          <w:tcPr>
            <w:tcW w:w="2786" w:type="dxa"/>
            <w:tcBorders>
              <w:top w:val="nil"/>
              <w:left w:val="nil"/>
              <w:bottom w:val="nil"/>
              <w:right w:val="nil"/>
            </w:tcBorders>
            <w:shd w:val="clear" w:color="auto" w:fill="auto"/>
            <w:noWrap/>
            <w:vAlign w:val="center"/>
          </w:tcPr>
          <w:p w14:paraId="22014C40">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Explosive growth stage, focus on heritage tourism recovery post-COVID-19</w:t>
            </w:r>
          </w:p>
        </w:tc>
      </w:tr>
      <w:tr w14:paraId="32419BD0">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7B1BF831">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2019</w:t>
            </w:r>
          </w:p>
        </w:tc>
        <w:tc>
          <w:tcPr>
            <w:tcW w:w="945" w:type="dxa"/>
            <w:tcBorders>
              <w:top w:val="nil"/>
              <w:left w:val="nil"/>
              <w:bottom w:val="nil"/>
              <w:right w:val="nil"/>
            </w:tcBorders>
            <w:shd w:val="clear" w:color="auto" w:fill="auto"/>
            <w:noWrap/>
            <w:vAlign w:val="center"/>
          </w:tcPr>
          <w:p w14:paraId="4B757FCD">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176</w:t>
            </w:r>
          </w:p>
        </w:tc>
        <w:tc>
          <w:tcPr>
            <w:tcW w:w="1253" w:type="dxa"/>
            <w:tcBorders>
              <w:top w:val="nil"/>
              <w:left w:val="nil"/>
              <w:bottom w:val="nil"/>
              <w:right w:val="nil"/>
            </w:tcBorders>
            <w:shd w:val="clear" w:color="auto" w:fill="auto"/>
            <w:noWrap/>
            <w:vAlign w:val="center"/>
          </w:tcPr>
          <w:p w14:paraId="02362CF1">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7.28</w:t>
            </w:r>
          </w:p>
        </w:tc>
        <w:tc>
          <w:tcPr>
            <w:tcW w:w="2133" w:type="dxa"/>
            <w:tcBorders>
              <w:top w:val="nil"/>
              <w:left w:val="nil"/>
              <w:bottom w:val="nil"/>
              <w:right w:val="nil"/>
            </w:tcBorders>
            <w:shd w:val="clear" w:color="auto" w:fill="auto"/>
            <w:noWrap/>
            <w:vAlign w:val="center"/>
          </w:tcPr>
          <w:p w14:paraId="155CD658">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0.09</w:t>
            </w:r>
          </w:p>
        </w:tc>
        <w:tc>
          <w:tcPr>
            <w:tcW w:w="2786" w:type="dxa"/>
            <w:tcBorders>
              <w:top w:val="nil"/>
              <w:left w:val="nil"/>
              <w:bottom w:val="nil"/>
              <w:right w:val="nil"/>
            </w:tcBorders>
            <w:shd w:val="clear" w:color="auto" w:fill="auto"/>
            <w:noWrap/>
            <w:vAlign w:val="center"/>
          </w:tcPr>
          <w:p w14:paraId="2570A074">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Explosive growth stage, focus on heritage tourism recovery post-COVID-19</w:t>
            </w:r>
          </w:p>
        </w:tc>
      </w:tr>
      <w:tr w14:paraId="2966C84B">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019DB952">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2020</w:t>
            </w:r>
          </w:p>
        </w:tc>
        <w:tc>
          <w:tcPr>
            <w:tcW w:w="945" w:type="dxa"/>
            <w:tcBorders>
              <w:top w:val="nil"/>
              <w:left w:val="nil"/>
              <w:bottom w:val="nil"/>
              <w:right w:val="nil"/>
            </w:tcBorders>
            <w:shd w:val="clear" w:color="auto" w:fill="auto"/>
            <w:noWrap/>
            <w:vAlign w:val="center"/>
          </w:tcPr>
          <w:p w14:paraId="6BF47F8D">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166</w:t>
            </w:r>
          </w:p>
        </w:tc>
        <w:tc>
          <w:tcPr>
            <w:tcW w:w="1253" w:type="dxa"/>
            <w:tcBorders>
              <w:top w:val="nil"/>
              <w:left w:val="nil"/>
              <w:bottom w:val="nil"/>
              <w:right w:val="nil"/>
            </w:tcBorders>
            <w:shd w:val="clear" w:color="auto" w:fill="auto"/>
            <w:noWrap/>
            <w:vAlign w:val="center"/>
          </w:tcPr>
          <w:p w14:paraId="358EBF8F">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6.87</w:t>
            </w:r>
          </w:p>
        </w:tc>
        <w:tc>
          <w:tcPr>
            <w:tcW w:w="2133" w:type="dxa"/>
            <w:tcBorders>
              <w:top w:val="nil"/>
              <w:left w:val="nil"/>
              <w:bottom w:val="nil"/>
              <w:right w:val="nil"/>
            </w:tcBorders>
            <w:shd w:val="clear" w:color="auto" w:fill="auto"/>
            <w:noWrap/>
            <w:vAlign w:val="center"/>
          </w:tcPr>
          <w:p w14:paraId="1834B687">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-0.09</w:t>
            </w:r>
          </w:p>
        </w:tc>
        <w:tc>
          <w:tcPr>
            <w:tcW w:w="2786" w:type="dxa"/>
            <w:tcBorders>
              <w:top w:val="nil"/>
              <w:left w:val="nil"/>
              <w:bottom w:val="nil"/>
              <w:right w:val="nil"/>
            </w:tcBorders>
            <w:shd w:val="clear" w:color="auto" w:fill="auto"/>
            <w:noWrap/>
            <w:vAlign w:val="center"/>
          </w:tcPr>
          <w:p w14:paraId="03F2E613">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Pandemic-impacted year, 166 articles, accelerated research on digital transformation of heritage tourism</w:t>
            </w:r>
          </w:p>
        </w:tc>
      </w:tr>
      <w:tr w14:paraId="425BE436">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432A0EC1">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2021</w:t>
            </w:r>
          </w:p>
        </w:tc>
        <w:tc>
          <w:tcPr>
            <w:tcW w:w="945" w:type="dxa"/>
            <w:tcBorders>
              <w:top w:val="nil"/>
              <w:left w:val="nil"/>
              <w:bottom w:val="nil"/>
              <w:right w:val="nil"/>
            </w:tcBorders>
            <w:shd w:val="clear" w:color="auto" w:fill="auto"/>
            <w:noWrap/>
            <w:vAlign w:val="center"/>
          </w:tcPr>
          <w:p w14:paraId="6DB1FC52">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183</w:t>
            </w:r>
          </w:p>
        </w:tc>
        <w:tc>
          <w:tcPr>
            <w:tcW w:w="1253" w:type="dxa"/>
            <w:tcBorders>
              <w:top w:val="nil"/>
              <w:left w:val="nil"/>
              <w:bottom w:val="nil"/>
              <w:right w:val="nil"/>
            </w:tcBorders>
            <w:shd w:val="clear" w:color="auto" w:fill="auto"/>
            <w:noWrap/>
            <w:vAlign w:val="center"/>
          </w:tcPr>
          <w:p w14:paraId="601DB083">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7.57</w:t>
            </w:r>
          </w:p>
        </w:tc>
        <w:tc>
          <w:tcPr>
            <w:tcW w:w="2133" w:type="dxa"/>
            <w:tcBorders>
              <w:top w:val="nil"/>
              <w:left w:val="nil"/>
              <w:bottom w:val="nil"/>
              <w:right w:val="nil"/>
            </w:tcBorders>
            <w:shd w:val="clear" w:color="auto" w:fill="auto"/>
            <w:noWrap/>
            <w:vAlign w:val="center"/>
          </w:tcPr>
          <w:p w14:paraId="488E76EF">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w:t>
            </w:r>
          </w:p>
        </w:tc>
        <w:tc>
          <w:tcPr>
            <w:tcW w:w="2786" w:type="dxa"/>
            <w:tcBorders>
              <w:top w:val="nil"/>
              <w:left w:val="nil"/>
              <w:bottom w:val="nil"/>
              <w:right w:val="nil"/>
            </w:tcBorders>
            <w:shd w:val="clear" w:color="auto" w:fill="auto"/>
            <w:noWrap/>
            <w:vAlign w:val="center"/>
          </w:tcPr>
          <w:p w14:paraId="716E3BD9">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Explosive growth stage, focus on heritage tourism recovery post-COVID-19</w:t>
            </w:r>
          </w:p>
        </w:tc>
      </w:tr>
      <w:tr w14:paraId="298F5AE9">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2EEDB975">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2022</w:t>
            </w:r>
          </w:p>
        </w:tc>
        <w:tc>
          <w:tcPr>
            <w:tcW w:w="945" w:type="dxa"/>
            <w:tcBorders>
              <w:top w:val="nil"/>
              <w:left w:val="nil"/>
              <w:bottom w:val="nil"/>
              <w:right w:val="nil"/>
            </w:tcBorders>
            <w:shd w:val="clear" w:color="auto" w:fill="auto"/>
            <w:noWrap/>
            <w:vAlign w:val="center"/>
          </w:tcPr>
          <w:p w14:paraId="0C196319">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167</w:t>
            </w:r>
          </w:p>
        </w:tc>
        <w:tc>
          <w:tcPr>
            <w:tcW w:w="1253" w:type="dxa"/>
            <w:tcBorders>
              <w:top w:val="nil"/>
              <w:left w:val="nil"/>
              <w:bottom w:val="nil"/>
              <w:right w:val="nil"/>
            </w:tcBorders>
            <w:shd w:val="clear" w:color="auto" w:fill="auto"/>
            <w:noWrap/>
            <w:vAlign w:val="center"/>
          </w:tcPr>
          <w:p w14:paraId="49212F34">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6.91</w:t>
            </w:r>
          </w:p>
        </w:tc>
        <w:tc>
          <w:tcPr>
            <w:tcW w:w="2133" w:type="dxa"/>
            <w:tcBorders>
              <w:top w:val="nil"/>
              <w:left w:val="nil"/>
              <w:bottom w:val="nil"/>
              <w:right w:val="nil"/>
            </w:tcBorders>
            <w:shd w:val="clear" w:color="auto" w:fill="auto"/>
            <w:noWrap/>
            <w:vAlign w:val="center"/>
          </w:tcPr>
          <w:p w14:paraId="406C217F">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0.03</w:t>
            </w:r>
          </w:p>
        </w:tc>
        <w:tc>
          <w:tcPr>
            <w:tcW w:w="2786" w:type="dxa"/>
            <w:tcBorders>
              <w:top w:val="nil"/>
              <w:left w:val="nil"/>
              <w:bottom w:val="nil"/>
              <w:right w:val="nil"/>
            </w:tcBorders>
            <w:shd w:val="clear" w:color="auto" w:fill="auto"/>
            <w:noWrap/>
            <w:vAlign w:val="center"/>
          </w:tcPr>
          <w:p w14:paraId="7785A1A7">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Explosive growth stage, focus on heritage tourism recovery post-COVID-19</w:t>
            </w:r>
          </w:p>
        </w:tc>
      </w:tr>
      <w:tr w14:paraId="319BC01B">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50FB075F">
            <w:pPr>
              <w:widowControl/>
              <w:spacing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2023</w:t>
            </w:r>
          </w:p>
        </w:tc>
        <w:tc>
          <w:tcPr>
            <w:tcW w:w="945" w:type="dxa"/>
            <w:tcBorders>
              <w:top w:val="nil"/>
              <w:left w:val="nil"/>
              <w:bottom w:val="nil"/>
              <w:right w:val="nil"/>
            </w:tcBorders>
            <w:shd w:val="clear" w:color="auto" w:fill="auto"/>
            <w:noWrap/>
            <w:vAlign w:val="center"/>
          </w:tcPr>
          <w:p w14:paraId="675CF86F">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214</w:t>
            </w:r>
          </w:p>
        </w:tc>
        <w:tc>
          <w:tcPr>
            <w:tcW w:w="1253" w:type="dxa"/>
            <w:tcBorders>
              <w:top w:val="nil"/>
              <w:left w:val="nil"/>
              <w:bottom w:val="nil"/>
              <w:right w:val="nil"/>
            </w:tcBorders>
            <w:shd w:val="clear" w:color="auto" w:fill="auto"/>
            <w:noWrap/>
            <w:vAlign w:val="center"/>
          </w:tcPr>
          <w:p w14:paraId="2FBB24EF">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8.85</w:t>
            </w:r>
          </w:p>
        </w:tc>
        <w:tc>
          <w:tcPr>
            <w:tcW w:w="2133" w:type="dxa"/>
            <w:tcBorders>
              <w:top w:val="nil"/>
              <w:left w:val="nil"/>
              <w:bottom w:val="nil"/>
              <w:right w:val="nil"/>
            </w:tcBorders>
            <w:shd w:val="clear" w:color="auto" w:fill="auto"/>
            <w:noWrap/>
            <w:vAlign w:val="center"/>
          </w:tcPr>
          <w:p w14:paraId="3B7F61C5">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-0.14</w:t>
            </w:r>
          </w:p>
        </w:tc>
        <w:tc>
          <w:tcPr>
            <w:tcW w:w="2786" w:type="dxa"/>
            <w:tcBorders>
              <w:top w:val="nil"/>
              <w:left w:val="nil"/>
              <w:bottom w:val="nil"/>
              <w:right w:val="nil"/>
            </w:tcBorders>
            <w:shd w:val="clear" w:color="auto" w:fill="auto"/>
            <w:noWrap/>
            <w:vAlign w:val="center"/>
          </w:tcPr>
          <w:p w14:paraId="20222224">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Sub-peak of explosive stage, 214 articles, surge in AI application research in heritage tourism</w:t>
            </w:r>
          </w:p>
        </w:tc>
      </w:tr>
      <w:tr w14:paraId="1EF115C3">
        <w:tblPrEx>
          <w:tblCellMar>
            <w:top w:w="0" w:type="dxa"/>
            <w:left w:w="108" w:type="dxa"/>
            <w:bottom w:w="0" w:type="dxa"/>
            <w:right w:w="108" w:type="dxa"/>
          </w:tblCellMar>
        </w:tblPrEx>
        <w:trPr>
          <w:trHeight w:val="270" w:hRule="atLeast"/>
          <w:jc w:val="center"/>
        </w:trPr>
        <w:tc>
          <w:tcPr>
            <w:tcW w:w="1312" w:type="dxa"/>
            <w:tcBorders>
              <w:top w:val="nil"/>
              <w:left w:val="nil"/>
              <w:bottom w:val="single" w:color="auto" w:sz="8" w:space="0"/>
              <w:right w:val="nil"/>
            </w:tcBorders>
            <w:shd w:val="clear" w:color="auto" w:fill="auto"/>
            <w:noWrap/>
            <w:vAlign w:val="center"/>
          </w:tcPr>
          <w:p w14:paraId="4D05A1F5">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2024</w:t>
            </w:r>
          </w:p>
        </w:tc>
        <w:tc>
          <w:tcPr>
            <w:tcW w:w="945" w:type="dxa"/>
            <w:tcBorders>
              <w:top w:val="nil"/>
              <w:left w:val="nil"/>
              <w:bottom w:val="single" w:color="auto" w:sz="8" w:space="0"/>
              <w:right w:val="nil"/>
            </w:tcBorders>
            <w:shd w:val="clear" w:color="auto" w:fill="auto"/>
            <w:noWrap/>
            <w:vAlign w:val="center"/>
          </w:tcPr>
          <w:p w14:paraId="235AD45D">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kern w:val="0"/>
                <w:sz w:val="18"/>
                <w:szCs w:val="18"/>
                <w:vertAlign w:val="baseline"/>
                <w:lang w:bidi="ar"/>
              </w:rPr>
              <w:t>240</w:t>
            </w:r>
          </w:p>
        </w:tc>
        <w:tc>
          <w:tcPr>
            <w:tcW w:w="1253" w:type="dxa"/>
            <w:tcBorders>
              <w:top w:val="nil"/>
              <w:left w:val="nil"/>
              <w:bottom w:val="single" w:color="auto" w:sz="8" w:space="0"/>
              <w:right w:val="nil"/>
            </w:tcBorders>
            <w:shd w:val="clear" w:color="auto" w:fill="auto"/>
            <w:noWrap/>
            <w:vAlign w:val="center"/>
          </w:tcPr>
          <w:p w14:paraId="12BFD7EF">
            <w:pPr>
              <w:widowControl/>
              <w:spacing w:line="240" w:lineRule="auto"/>
              <w:jc w:val="center"/>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9.93</w:t>
            </w:r>
          </w:p>
        </w:tc>
        <w:tc>
          <w:tcPr>
            <w:tcW w:w="2133" w:type="dxa"/>
            <w:tcBorders>
              <w:top w:val="nil"/>
              <w:left w:val="nil"/>
              <w:bottom w:val="single" w:color="auto" w:sz="8" w:space="0"/>
              <w:right w:val="nil"/>
            </w:tcBorders>
            <w:shd w:val="clear" w:color="auto" w:fill="auto"/>
            <w:noWrap/>
            <w:vAlign w:val="center"/>
          </w:tcPr>
          <w:p w14:paraId="53053963">
            <w:pPr>
              <w:widowControl/>
              <w:spacing w:after="0" w:line="240" w:lineRule="auto"/>
              <w:jc w:val="center"/>
              <w:textAlignment w:val="bottom"/>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color w:val="000000"/>
                <w:kern w:val="0"/>
                <w:sz w:val="18"/>
                <w:szCs w:val="18"/>
                <w:vertAlign w:val="baseline"/>
                <w:lang w:bidi="ar"/>
              </w:rPr>
              <w:t>0.03</w:t>
            </w:r>
          </w:p>
        </w:tc>
        <w:tc>
          <w:tcPr>
            <w:tcW w:w="2786" w:type="dxa"/>
            <w:tcBorders>
              <w:top w:val="nil"/>
              <w:left w:val="nil"/>
              <w:bottom w:val="single" w:color="auto" w:sz="8" w:space="0"/>
              <w:right w:val="nil"/>
            </w:tcBorders>
            <w:shd w:val="clear" w:color="auto" w:fill="auto"/>
            <w:noWrap/>
            <w:vAlign w:val="center"/>
          </w:tcPr>
          <w:p w14:paraId="081FCA49">
            <w:pPr>
              <w:keepNext w:val="0"/>
              <w:keepLines w:val="0"/>
              <w:widowControl/>
              <w:suppressLineNumbers w:val="0"/>
              <w:jc w:val="left"/>
              <w:textAlignment w:val="center"/>
              <w:rPr>
                <w:rFonts w:hint="default" w:ascii="Times New Roman" w:hAnsi="Times New Roman" w:eastAsia="宋体" w:cs="Times New Roman"/>
                <w:kern w:val="0"/>
                <w:sz w:val="18"/>
                <w:szCs w:val="18"/>
                <w:vertAlign w:val="baseline"/>
                <w:lang w:bidi="ar"/>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Peak of explosive stage (as of December), 240 articles, algorithmic recommendation and heritage cognition research as frontier</w:t>
            </w:r>
          </w:p>
        </w:tc>
      </w:tr>
    </w:tbl>
    <w:p w14:paraId="000E4BC8">
      <w:pPr>
        <w:spacing w:after="0" w:line="279" w:lineRule="auto"/>
        <w:ind w:left="440" w:leftChars="200"/>
        <w:jc w:val="center"/>
        <w:rPr>
          <w:rFonts w:ascii="Times New Roman" w:hAnsi="Times New Roman" w:eastAsia="宋体" w:cs="Times New Roman"/>
          <w:vertAlign w:val="baseline"/>
        </w:rPr>
      </w:pPr>
    </w:p>
    <w:p w14:paraId="71146892">
      <w:pPr>
        <w:spacing w:after="0" w:line="279" w:lineRule="auto"/>
        <w:ind w:left="440" w:leftChars="200"/>
        <w:jc w:val="center"/>
        <w:rPr>
          <w:rFonts w:ascii="Times New Roman" w:hAnsi="Times New Roman" w:eastAsia="宋体" w:cs="Times New Roman"/>
          <w:b/>
          <w:bCs/>
          <w:vertAlign w:val="baseline"/>
        </w:rPr>
      </w:pPr>
      <w:r>
        <w:rPr>
          <w:rFonts w:hint="eastAsia" w:ascii="Times New Roman" w:hAnsi="Times New Roman" w:eastAsia="宋体" w:cs="Times New Roman"/>
          <w:b/>
          <w:bCs/>
          <w:vertAlign w:val="baseline"/>
        </w:rPr>
        <w:t>Table B1-2 Spatial Distribution Characteristics of the Sample</w:t>
      </w:r>
    </w:p>
    <w:tbl>
      <w:tblPr>
        <w:tblStyle w:val="4"/>
        <w:tblW w:w="8429" w:type="dxa"/>
        <w:jc w:val="center"/>
        <w:tblLayout w:type="fixed"/>
        <w:tblCellMar>
          <w:top w:w="0" w:type="dxa"/>
          <w:left w:w="108" w:type="dxa"/>
          <w:bottom w:w="0" w:type="dxa"/>
          <w:right w:w="108" w:type="dxa"/>
        </w:tblCellMar>
      </w:tblPr>
      <w:tblGrid>
        <w:gridCol w:w="1312"/>
        <w:gridCol w:w="963"/>
        <w:gridCol w:w="1329"/>
        <w:gridCol w:w="2303"/>
        <w:gridCol w:w="2522"/>
      </w:tblGrid>
      <w:tr w14:paraId="059319ED">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4BB41B56">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Region</w:t>
            </w:r>
          </w:p>
        </w:tc>
        <w:tc>
          <w:tcPr>
            <w:tcW w:w="963" w:type="dxa"/>
            <w:tcBorders>
              <w:top w:val="nil"/>
              <w:left w:val="nil"/>
              <w:bottom w:val="nil"/>
              <w:right w:val="nil"/>
            </w:tcBorders>
            <w:shd w:val="clear" w:color="auto" w:fill="auto"/>
            <w:noWrap/>
            <w:vAlign w:val="center"/>
          </w:tcPr>
          <w:p w14:paraId="4712990F">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Number of Articles</w:t>
            </w:r>
          </w:p>
        </w:tc>
        <w:tc>
          <w:tcPr>
            <w:tcW w:w="1329" w:type="dxa"/>
            <w:tcBorders>
              <w:top w:val="nil"/>
              <w:left w:val="nil"/>
              <w:bottom w:val="nil"/>
              <w:right w:val="nil"/>
            </w:tcBorders>
            <w:shd w:val="clear" w:color="auto" w:fill="auto"/>
            <w:noWrap/>
            <w:vAlign w:val="center"/>
          </w:tcPr>
          <w:p w14:paraId="0161582D">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Percentage of Total Sample (%)</w:t>
            </w:r>
          </w:p>
        </w:tc>
        <w:tc>
          <w:tcPr>
            <w:tcW w:w="2303" w:type="dxa"/>
            <w:tcBorders>
              <w:top w:val="nil"/>
              <w:left w:val="nil"/>
              <w:bottom w:val="nil"/>
              <w:right w:val="nil"/>
            </w:tcBorders>
            <w:shd w:val="clear" w:color="auto" w:fill="auto"/>
            <w:noWrap/>
            <w:vAlign w:val="center"/>
          </w:tcPr>
          <w:p w14:paraId="5DF2EF01">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Comparison with Scopus Same-Topic Literature (Percentage Difference, %)</w:t>
            </w:r>
          </w:p>
        </w:tc>
        <w:tc>
          <w:tcPr>
            <w:tcW w:w="2522" w:type="dxa"/>
            <w:tcBorders>
              <w:top w:val="nil"/>
              <w:left w:val="nil"/>
              <w:bottom w:val="nil"/>
              <w:right w:val="nil"/>
            </w:tcBorders>
            <w:shd w:val="clear" w:color="auto" w:fill="auto"/>
            <w:noWrap/>
            <w:vAlign w:val="center"/>
          </w:tcPr>
          <w:p w14:paraId="4D1403C1">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Description</w:t>
            </w:r>
          </w:p>
        </w:tc>
      </w:tr>
      <w:tr w14:paraId="68078985">
        <w:tblPrEx>
          <w:tblCellMar>
            <w:top w:w="0" w:type="dxa"/>
            <w:left w:w="108" w:type="dxa"/>
            <w:bottom w:w="0" w:type="dxa"/>
            <w:right w:w="108" w:type="dxa"/>
          </w:tblCellMar>
        </w:tblPrEx>
        <w:trPr>
          <w:trHeight w:val="463" w:hRule="atLeast"/>
          <w:jc w:val="center"/>
        </w:trPr>
        <w:tc>
          <w:tcPr>
            <w:tcW w:w="1312" w:type="dxa"/>
            <w:tcBorders>
              <w:top w:val="nil"/>
              <w:left w:val="nil"/>
              <w:bottom w:val="nil"/>
              <w:right w:val="nil"/>
            </w:tcBorders>
            <w:shd w:val="clear" w:color="auto" w:fill="auto"/>
            <w:noWrap/>
            <w:vAlign w:val="center"/>
          </w:tcPr>
          <w:p w14:paraId="18DCD29E">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Europe and North America</w:t>
            </w:r>
          </w:p>
        </w:tc>
        <w:tc>
          <w:tcPr>
            <w:tcW w:w="963" w:type="dxa"/>
            <w:tcBorders>
              <w:top w:val="nil"/>
              <w:left w:val="nil"/>
              <w:bottom w:val="nil"/>
              <w:right w:val="nil"/>
            </w:tcBorders>
            <w:shd w:val="clear" w:color="auto" w:fill="auto"/>
            <w:noWrap/>
            <w:vAlign w:val="center"/>
          </w:tcPr>
          <w:p w14:paraId="113C8105">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1222</w:t>
            </w:r>
          </w:p>
        </w:tc>
        <w:tc>
          <w:tcPr>
            <w:tcW w:w="1329" w:type="dxa"/>
            <w:tcBorders>
              <w:top w:val="nil"/>
              <w:left w:val="nil"/>
              <w:bottom w:val="nil"/>
              <w:right w:val="nil"/>
            </w:tcBorders>
            <w:shd w:val="clear" w:color="auto" w:fill="auto"/>
            <w:noWrap/>
            <w:vAlign w:val="center"/>
          </w:tcPr>
          <w:p w14:paraId="473B7FF6">
            <w:pPr>
              <w:widowControl/>
              <w:spacing w:line="240" w:lineRule="auto"/>
              <w:jc w:val="center"/>
              <w:textAlignment w:val="bottom"/>
              <w:rPr>
                <w:rFonts w:hint="default" w:ascii="Times New Roman" w:hAnsi="Times New Roman" w:eastAsia="宋体" w:cs="Times New Roman"/>
                <w:color w:val="000000"/>
                <w:sz w:val="18"/>
                <w:szCs w:val="18"/>
                <w:vertAlign w:val="baseline"/>
              </w:rPr>
            </w:pPr>
            <w:r>
              <w:rPr>
                <w:rFonts w:hint="default" w:ascii="Times New Roman" w:hAnsi="Times New Roman" w:cs="Times New Roman"/>
                <w:kern w:val="0"/>
                <w:sz w:val="18"/>
                <w:szCs w:val="18"/>
                <w:vertAlign w:val="baseline"/>
                <w:lang w:bidi="ar"/>
              </w:rPr>
              <w:t>50.57</w:t>
            </w:r>
          </w:p>
        </w:tc>
        <w:tc>
          <w:tcPr>
            <w:tcW w:w="2303" w:type="dxa"/>
            <w:tcBorders>
              <w:top w:val="nil"/>
              <w:left w:val="nil"/>
              <w:bottom w:val="nil"/>
              <w:right w:val="nil"/>
            </w:tcBorders>
            <w:shd w:val="clear" w:color="auto" w:fill="auto"/>
            <w:noWrap/>
            <w:vAlign w:val="center"/>
          </w:tcPr>
          <w:p w14:paraId="63EAA94E">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1.8</w:t>
            </w:r>
          </w:p>
        </w:tc>
        <w:tc>
          <w:tcPr>
            <w:tcW w:w="2522" w:type="dxa"/>
            <w:tcBorders>
              <w:top w:val="nil"/>
              <w:left w:val="nil"/>
              <w:bottom w:val="nil"/>
              <w:right w:val="nil"/>
            </w:tcBorders>
            <w:shd w:val="clear" w:color="auto" w:fill="auto"/>
            <w:noWrap/>
            <w:vAlign w:val="center"/>
          </w:tcPr>
          <w:p w14:paraId="7376F8CC">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Core production region, including major countries such as the United States, Italy, and the United Kingdom</w:t>
            </w:r>
          </w:p>
        </w:tc>
      </w:tr>
      <w:tr w14:paraId="11C4A03B">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1371ED46">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Asia and the Pacific</w:t>
            </w:r>
          </w:p>
        </w:tc>
        <w:tc>
          <w:tcPr>
            <w:tcW w:w="963" w:type="dxa"/>
            <w:tcBorders>
              <w:top w:val="nil"/>
              <w:left w:val="nil"/>
              <w:bottom w:val="nil"/>
              <w:right w:val="nil"/>
            </w:tcBorders>
            <w:shd w:val="clear" w:color="auto" w:fill="auto"/>
            <w:noWrap/>
            <w:vAlign w:val="center"/>
          </w:tcPr>
          <w:p w14:paraId="232C4913">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1035</w:t>
            </w:r>
          </w:p>
        </w:tc>
        <w:tc>
          <w:tcPr>
            <w:tcW w:w="1329" w:type="dxa"/>
            <w:tcBorders>
              <w:top w:val="nil"/>
              <w:left w:val="nil"/>
              <w:bottom w:val="nil"/>
              <w:right w:val="nil"/>
            </w:tcBorders>
            <w:shd w:val="clear" w:color="auto" w:fill="auto"/>
            <w:noWrap/>
            <w:vAlign w:val="center"/>
          </w:tcPr>
          <w:p w14:paraId="23F104E6">
            <w:pPr>
              <w:widowControl/>
              <w:spacing w:line="240" w:lineRule="auto"/>
              <w:jc w:val="center"/>
              <w:textAlignment w:val="bottom"/>
              <w:rPr>
                <w:rFonts w:hint="default" w:ascii="Times New Roman" w:hAnsi="Times New Roman" w:eastAsia="宋体" w:cs="Times New Roman"/>
                <w:color w:val="000000"/>
                <w:sz w:val="18"/>
                <w:szCs w:val="18"/>
                <w:vertAlign w:val="baseline"/>
              </w:rPr>
            </w:pPr>
            <w:r>
              <w:rPr>
                <w:rFonts w:hint="default" w:ascii="Times New Roman" w:hAnsi="Times New Roman" w:cs="Times New Roman"/>
                <w:kern w:val="0"/>
                <w:sz w:val="18"/>
                <w:szCs w:val="18"/>
                <w:vertAlign w:val="baseline"/>
                <w:lang w:bidi="ar"/>
              </w:rPr>
              <w:t>42.84</w:t>
            </w:r>
          </w:p>
        </w:tc>
        <w:tc>
          <w:tcPr>
            <w:tcW w:w="2303" w:type="dxa"/>
            <w:tcBorders>
              <w:top w:val="nil"/>
              <w:left w:val="nil"/>
              <w:bottom w:val="nil"/>
              <w:right w:val="nil"/>
            </w:tcBorders>
            <w:shd w:val="clear" w:color="auto" w:fill="auto"/>
            <w:noWrap/>
            <w:vAlign w:val="center"/>
          </w:tcPr>
          <w:p w14:paraId="0A366928">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-1.2</w:t>
            </w:r>
          </w:p>
        </w:tc>
        <w:tc>
          <w:tcPr>
            <w:tcW w:w="2522" w:type="dxa"/>
            <w:tcBorders>
              <w:top w:val="nil"/>
              <w:left w:val="nil"/>
              <w:bottom w:val="nil"/>
              <w:right w:val="nil"/>
            </w:tcBorders>
            <w:shd w:val="clear" w:color="auto" w:fill="auto"/>
            <w:noWrap/>
            <w:vAlign w:val="center"/>
          </w:tcPr>
          <w:p w14:paraId="65C260E9">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Secondary core region; China is the largest producer in this region (accounting for 89.7% of Asia-Pacific)</w:t>
            </w:r>
          </w:p>
        </w:tc>
      </w:tr>
      <w:tr w14:paraId="040DEA02">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1702E108">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Latin America and the Caribbean</w:t>
            </w:r>
          </w:p>
        </w:tc>
        <w:tc>
          <w:tcPr>
            <w:tcW w:w="963" w:type="dxa"/>
            <w:tcBorders>
              <w:top w:val="nil"/>
              <w:left w:val="nil"/>
              <w:bottom w:val="nil"/>
              <w:right w:val="nil"/>
            </w:tcBorders>
            <w:shd w:val="clear" w:color="auto" w:fill="auto"/>
            <w:noWrap/>
            <w:vAlign w:val="center"/>
          </w:tcPr>
          <w:p w14:paraId="11E3799A">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65</w:t>
            </w:r>
          </w:p>
        </w:tc>
        <w:tc>
          <w:tcPr>
            <w:tcW w:w="1329" w:type="dxa"/>
            <w:tcBorders>
              <w:top w:val="nil"/>
              <w:left w:val="nil"/>
              <w:bottom w:val="nil"/>
              <w:right w:val="nil"/>
            </w:tcBorders>
            <w:shd w:val="clear" w:color="auto" w:fill="auto"/>
            <w:noWrap/>
            <w:vAlign w:val="center"/>
          </w:tcPr>
          <w:p w14:paraId="0F1F6BA5">
            <w:pPr>
              <w:widowControl/>
              <w:spacing w:line="240" w:lineRule="auto"/>
              <w:jc w:val="center"/>
              <w:textAlignment w:val="bottom"/>
              <w:rPr>
                <w:rFonts w:hint="default" w:ascii="Times New Roman" w:hAnsi="Times New Roman" w:eastAsia="宋体" w:cs="Times New Roman"/>
                <w:color w:val="000000"/>
                <w:sz w:val="18"/>
                <w:szCs w:val="18"/>
                <w:vertAlign w:val="baseline"/>
              </w:rPr>
            </w:pPr>
            <w:r>
              <w:rPr>
                <w:rFonts w:hint="default" w:ascii="Times New Roman" w:hAnsi="Times New Roman" w:cs="Times New Roman"/>
                <w:kern w:val="0"/>
                <w:sz w:val="18"/>
                <w:szCs w:val="18"/>
                <w:vertAlign w:val="baseline"/>
                <w:lang w:bidi="ar"/>
              </w:rPr>
              <w:t>2.68</w:t>
            </w:r>
          </w:p>
        </w:tc>
        <w:tc>
          <w:tcPr>
            <w:tcW w:w="2303" w:type="dxa"/>
            <w:tcBorders>
              <w:top w:val="nil"/>
              <w:left w:val="nil"/>
              <w:bottom w:val="nil"/>
              <w:right w:val="nil"/>
            </w:tcBorders>
            <w:shd w:val="clear" w:color="auto" w:fill="auto"/>
            <w:noWrap/>
            <w:vAlign w:val="center"/>
          </w:tcPr>
          <w:p w14:paraId="6F9EB8C0">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-0.3</w:t>
            </w:r>
          </w:p>
        </w:tc>
        <w:tc>
          <w:tcPr>
            <w:tcW w:w="2522" w:type="dxa"/>
            <w:tcBorders>
              <w:top w:val="nil"/>
              <w:left w:val="nil"/>
              <w:bottom w:val="nil"/>
              <w:right w:val="nil"/>
            </w:tcBorders>
            <w:shd w:val="clear" w:color="auto" w:fill="auto"/>
            <w:noWrap/>
            <w:vAlign w:val="center"/>
          </w:tcPr>
          <w:p w14:paraId="7B6A584B">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Peripheral production region; research concentrated in Brazil and Mexico</w:t>
            </w:r>
          </w:p>
        </w:tc>
      </w:tr>
      <w:tr w14:paraId="07B129DB">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22A561FD">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Africa</w:t>
            </w:r>
          </w:p>
        </w:tc>
        <w:tc>
          <w:tcPr>
            <w:tcW w:w="963" w:type="dxa"/>
            <w:tcBorders>
              <w:top w:val="nil"/>
              <w:left w:val="nil"/>
              <w:bottom w:val="nil"/>
              <w:right w:val="nil"/>
            </w:tcBorders>
            <w:shd w:val="clear" w:color="auto" w:fill="auto"/>
            <w:noWrap/>
            <w:vAlign w:val="center"/>
          </w:tcPr>
          <w:p w14:paraId="3EF1CFD7">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64</w:t>
            </w:r>
          </w:p>
        </w:tc>
        <w:tc>
          <w:tcPr>
            <w:tcW w:w="1329" w:type="dxa"/>
            <w:tcBorders>
              <w:top w:val="nil"/>
              <w:left w:val="nil"/>
              <w:bottom w:val="nil"/>
              <w:right w:val="nil"/>
            </w:tcBorders>
            <w:shd w:val="clear" w:color="auto" w:fill="auto"/>
            <w:noWrap/>
            <w:vAlign w:val="center"/>
          </w:tcPr>
          <w:p w14:paraId="290A6056">
            <w:pPr>
              <w:widowControl/>
              <w:spacing w:line="240" w:lineRule="auto"/>
              <w:jc w:val="center"/>
              <w:textAlignment w:val="bottom"/>
              <w:rPr>
                <w:rFonts w:hint="default" w:ascii="Times New Roman" w:hAnsi="Times New Roman" w:eastAsia="宋体" w:cs="Times New Roman"/>
                <w:color w:val="000000"/>
                <w:sz w:val="18"/>
                <w:szCs w:val="18"/>
                <w:vertAlign w:val="baseline"/>
              </w:rPr>
            </w:pPr>
            <w:r>
              <w:rPr>
                <w:rFonts w:hint="default" w:ascii="Times New Roman" w:hAnsi="Times New Roman" w:cs="Times New Roman"/>
                <w:kern w:val="0"/>
                <w:sz w:val="18"/>
                <w:szCs w:val="18"/>
                <w:vertAlign w:val="baseline"/>
                <w:lang w:bidi="ar"/>
              </w:rPr>
              <w:t>2.66</w:t>
            </w:r>
          </w:p>
        </w:tc>
        <w:tc>
          <w:tcPr>
            <w:tcW w:w="2303" w:type="dxa"/>
            <w:tcBorders>
              <w:top w:val="nil"/>
              <w:left w:val="nil"/>
              <w:bottom w:val="nil"/>
              <w:right w:val="nil"/>
            </w:tcBorders>
            <w:shd w:val="clear" w:color="auto" w:fill="auto"/>
            <w:noWrap/>
            <w:vAlign w:val="center"/>
          </w:tcPr>
          <w:p w14:paraId="2667345E">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-0.2</w:t>
            </w:r>
          </w:p>
        </w:tc>
        <w:tc>
          <w:tcPr>
            <w:tcW w:w="2522" w:type="dxa"/>
            <w:tcBorders>
              <w:top w:val="nil"/>
              <w:left w:val="nil"/>
              <w:bottom w:val="nil"/>
              <w:right w:val="nil"/>
            </w:tcBorders>
            <w:shd w:val="clear" w:color="auto" w:fill="auto"/>
            <w:noWrap/>
            <w:vAlign w:val="center"/>
          </w:tcPr>
          <w:p w14:paraId="5FCE4B36">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Peripheral production region; research concentrated in South Africa and Kenya</w:t>
            </w:r>
          </w:p>
        </w:tc>
      </w:tr>
      <w:tr w14:paraId="7DBFE016">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489B6E9F">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Arab States</w:t>
            </w:r>
          </w:p>
        </w:tc>
        <w:tc>
          <w:tcPr>
            <w:tcW w:w="963" w:type="dxa"/>
            <w:tcBorders>
              <w:top w:val="nil"/>
              <w:left w:val="nil"/>
              <w:bottom w:val="nil"/>
              <w:right w:val="nil"/>
            </w:tcBorders>
            <w:shd w:val="clear" w:color="auto" w:fill="auto"/>
            <w:noWrap/>
            <w:vAlign w:val="center"/>
          </w:tcPr>
          <w:p w14:paraId="2702A6DC">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31</w:t>
            </w:r>
          </w:p>
        </w:tc>
        <w:tc>
          <w:tcPr>
            <w:tcW w:w="1329" w:type="dxa"/>
            <w:tcBorders>
              <w:top w:val="nil"/>
              <w:left w:val="nil"/>
              <w:bottom w:val="nil"/>
              <w:right w:val="nil"/>
            </w:tcBorders>
            <w:shd w:val="clear" w:color="auto" w:fill="auto"/>
            <w:noWrap/>
            <w:vAlign w:val="center"/>
          </w:tcPr>
          <w:p w14:paraId="28FD07E8">
            <w:pPr>
              <w:widowControl/>
              <w:spacing w:line="240" w:lineRule="auto"/>
              <w:jc w:val="center"/>
              <w:textAlignment w:val="bottom"/>
              <w:rPr>
                <w:rFonts w:hint="default" w:ascii="Times New Roman" w:hAnsi="Times New Roman" w:eastAsia="宋体" w:cs="Times New Roman"/>
                <w:color w:val="000000"/>
                <w:sz w:val="18"/>
                <w:szCs w:val="18"/>
                <w:vertAlign w:val="baseline"/>
              </w:rPr>
            </w:pPr>
            <w:r>
              <w:rPr>
                <w:rFonts w:hint="default" w:ascii="Times New Roman" w:hAnsi="Times New Roman" w:cs="Times New Roman"/>
                <w:kern w:val="0"/>
                <w:sz w:val="18"/>
                <w:szCs w:val="18"/>
                <w:vertAlign w:val="baseline"/>
                <w:lang w:bidi="ar"/>
              </w:rPr>
              <w:t>1.26</w:t>
            </w:r>
          </w:p>
        </w:tc>
        <w:tc>
          <w:tcPr>
            <w:tcW w:w="2303" w:type="dxa"/>
            <w:tcBorders>
              <w:top w:val="nil"/>
              <w:left w:val="nil"/>
              <w:bottom w:val="nil"/>
              <w:right w:val="nil"/>
            </w:tcBorders>
            <w:shd w:val="clear" w:color="auto" w:fill="auto"/>
            <w:noWrap/>
            <w:vAlign w:val="center"/>
          </w:tcPr>
          <w:p w14:paraId="0498F8AE">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0</w:t>
            </w:r>
          </w:p>
        </w:tc>
        <w:tc>
          <w:tcPr>
            <w:tcW w:w="2522" w:type="dxa"/>
            <w:tcBorders>
              <w:top w:val="nil"/>
              <w:left w:val="nil"/>
              <w:bottom w:val="nil"/>
              <w:right w:val="nil"/>
            </w:tcBorders>
            <w:shd w:val="clear" w:color="auto" w:fill="auto"/>
            <w:noWrap/>
            <w:vAlign w:val="center"/>
          </w:tcPr>
          <w:p w14:paraId="3045A2A2">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Extremely peripheral production region; fragmented research</w:t>
            </w:r>
          </w:p>
        </w:tc>
      </w:tr>
    </w:tbl>
    <w:p w14:paraId="698BC8D1">
      <w:pPr>
        <w:tabs>
          <w:tab w:val="left" w:pos="720"/>
        </w:tabs>
        <w:spacing w:after="0" w:line="279" w:lineRule="auto"/>
        <w:jc w:val="both"/>
        <w:rPr>
          <w:rFonts w:ascii="Times New Roman" w:hAnsi="Times New Roman" w:eastAsia="宋体" w:cs="Times New Roman"/>
          <w:vertAlign w:val="baseline"/>
        </w:rPr>
      </w:pPr>
    </w:p>
    <w:p w14:paraId="4E890D5C">
      <w:pPr>
        <w:spacing w:after="0" w:line="279" w:lineRule="auto"/>
        <w:ind w:left="440" w:leftChars="200"/>
        <w:jc w:val="center"/>
        <w:rPr>
          <w:rFonts w:ascii="Times New Roman" w:hAnsi="Times New Roman" w:eastAsia="宋体" w:cs="Times New Roman"/>
          <w:b/>
          <w:bCs/>
          <w:vertAlign w:val="baseline"/>
        </w:rPr>
      </w:pPr>
      <w:r>
        <w:rPr>
          <w:rFonts w:hint="eastAsia" w:ascii="Times New Roman" w:hAnsi="Times New Roman" w:eastAsia="宋体" w:cs="Times New Roman"/>
          <w:b/>
          <w:bCs/>
          <w:vertAlign w:val="baseline"/>
        </w:rPr>
        <w:t>Table B1-3 Journal Distribution Characteristics of the Sample</w:t>
      </w:r>
    </w:p>
    <w:tbl>
      <w:tblPr>
        <w:tblStyle w:val="4"/>
        <w:tblW w:w="8429" w:type="dxa"/>
        <w:jc w:val="center"/>
        <w:tblLayout w:type="fixed"/>
        <w:tblCellMar>
          <w:top w:w="0" w:type="dxa"/>
          <w:left w:w="108" w:type="dxa"/>
          <w:bottom w:w="0" w:type="dxa"/>
          <w:right w:w="108" w:type="dxa"/>
        </w:tblCellMar>
      </w:tblPr>
      <w:tblGrid>
        <w:gridCol w:w="1312"/>
        <w:gridCol w:w="993"/>
        <w:gridCol w:w="1375"/>
        <w:gridCol w:w="2250"/>
        <w:gridCol w:w="2499"/>
      </w:tblGrid>
      <w:tr w14:paraId="79CBAE0A">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4F72656F">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Journal</w:t>
            </w:r>
          </w:p>
        </w:tc>
        <w:tc>
          <w:tcPr>
            <w:tcW w:w="993" w:type="dxa"/>
            <w:tcBorders>
              <w:top w:val="nil"/>
              <w:left w:val="nil"/>
              <w:bottom w:val="nil"/>
              <w:right w:val="nil"/>
            </w:tcBorders>
            <w:shd w:val="clear" w:color="auto" w:fill="auto"/>
            <w:noWrap/>
            <w:vAlign w:val="center"/>
          </w:tcPr>
          <w:p w14:paraId="4CB25CA9">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Number of Articles</w:t>
            </w:r>
          </w:p>
        </w:tc>
        <w:tc>
          <w:tcPr>
            <w:tcW w:w="1375" w:type="dxa"/>
            <w:tcBorders>
              <w:top w:val="nil"/>
              <w:left w:val="nil"/>
              <w:bottom w:val="nil"/>
              <w:right w:val="nil"/>
            </w:tcBorders>
            <w:shd w:val="clear" w:color="auto" w:fill="auto"/>
            <w:noWrap/>
            <w:vAlign w:val="center"/>
          </w:tcPr>
          <w:p w14:paraId="7DC5F714">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Percentage of Total Sample (%)</w:t>
            </w:r>
          </w:p>
        </w:tc>
        <w:tc>
          <w:tcPr>
            <w:tcW w:w="2250" w:type="dxa"/>
            <w:tcBorders>
              <w:top w:val="nil"/>
              <w:left w:val="nil"/>
              <w:bottom w:val="nil"/>
              <w:right w:val="nil"/>
            </w:tcBorders>
            <w:shd w:val="clear" w:color="auto" w:fill="auto"/>
            <w:noWrap/>
            <w:vAlign w:val="center"/>
          </w:tcPr>
          <w:p w14:paraId="2F44023D">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Comparison with Scopus Same-Topic Literature (Percentage Difference, %)</w:t>
            </w:r>
          </w:p>
        </w:tc>
        <w:tc>
          <w:tcPr>
            <w:tcW w:w="2499" w:type="dxa"/>
            <w:tcBorders>
              <w:top w:val="nil"/>
              <w:left w:val="nil"/>
              <w:bottom w:val="nil"/>
              <w:right w:val="nil"/>
            </w:tcBorders>
            <w:shd w:val="clear" w:color="auto" w:fill="auto"/>
            <w:noWrap/>
            <w:vAlign w:val="center"/>
          </w:tcPr>
          <w:p w14:paraId="1BDE8ACE">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Description</w:t>
            </w:r>
          </w:p>
        </w:tc>
      </w:tr>
      <w:tr w14:paraId="6B9C26E3">
        <w:tblPrEx>
          <w:tblCellMar>
            <w:top w:w="0" w:type="dxa"/>
            <w:left w:w="108" w:type="dxa"/>
            <w:bottom w:w="0" w:type="dxa"/>
            <w:right w:w="108" w:type="dxa"/>
          </w:tblCellMar>
        </w:tblPrEx>
        <w:trPr>
          <w:trHeight w:val="1140" w:hRule="atLeast"/>
          <w:jc w:val="center"/>
        </w:trPr>
        <w:tc>
          <w:tcPr>
            <w:tcW w:w="1312" w:type="dxa"/>
            <w:tcBorders>
              <w:top w:val="nil"/>
              <w:left w:val="nil"/>
              <w:bottom w:val="nil"/>
              <w:right w:val="nil"/>
            </w:tcBorders>
            <w:shd w:val="clear" w:color="auto" w:fill="auto"/>
            <w:noWrap/>
            <w:vAlign w:val="center"/>
          </w:tcPr>
          <w:p w14:paraId="695483E9">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Sustainability</w:t>
            </w:r>
          </w:p>
        </w:tc>
        <w:tc>
          <w:tcPr>
            <w:tcW w:w="993" w:type="dxa"/>
            <w:tcBorders>
              <w:top w:val="nil"/>
              <w:left w:val="nil"/>
              <w:bottom w:val="nil"/>
              <w:right w:val="nil"/>
            </w:tcBorders>
            <w:shd w:val="clear" w:color="auto" w:fill="auto"/>
            <w:noWrap/>
            <w:vAlign w:val="center"/>
          </w:tcPr>
          <w:p w14:paraId="1B90E78A">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256</w:t>
            </w:r>
          </w:p>
        </w:tc>
        <w:tc>
          <w:tcPr>
            <w:tcW w:w="1375" w:type="dxa"/>
            <w:tcBorders>
              <w:top w:val="nil"/>
              <w:left w:val="nil"/>
              <w:bottom w:val="nil"/>
              <w:right w:val="nil"/>
            </w:tcBorders>
            <w:shd w:val="clear" w:color="auto" w:fill="auto"/>
            <w:noWrap/>
            <w:vAlign w:val="center"/>
          </w:tcPr>
          <w:p w14:paraId="7D69A946">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10.59</w:t>
            </w:r>
          </w:p>
        </w:tc>
        <w:tc>
          <w:tcPr>
            <w:tcW w:w="2250" w:type="dxa"/>
            <w:tcBorders>
              <w:top w:val="nil"/>
              <w:left w:val="nil"/>
              <w:bottom w:val="nil"/>
              <w:right w:val="nil"/>
            </w:tcBorders>
            <w:shd w:val="clear" w:color="auto" w:fill="auto"/>
            <w:noWrap/>
            <w:vAlign w:val="center"/>
          </w:tcPr>
          <w:p w14:paraId="43D86672">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0.19</w:t>
            </w:r>
          </w:p>
        </w:tc>
        <w:tc>
          <w:tcPr>
            <w:tcW w:w="2499" w:type="dxa"/>
            <w:tcBorders>
              <w:top w:val="nil"/>
              <w:left w:val="nil"/>
              <w:bottom w:val="nil"/>
              <w:right w:val="nil"/>
            </w:tcBorders>
            <w:shd w:val="clear" w:color="auto" w:fill="auto"/>
            <w:noWrap/>
            <w:vAlign w:val="center"/>
          </w:tcPr>
          <w:p w14:paraId="6FA9BC66">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An open-access journal with a sharp increase in publications in recent years. It serves as a major platform for research on algorithms and sustainability, and ranks first in publication volume in this study sample.</w:t>
            </w:r>
          </w:p>
        </w:tc>
      </w:tr>
      <w:tr w14:paraId="0BFB40DF">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7A71BF21">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Annals of Tourism Research</w:t>
            </w:r>
          </w:p>
        </w:tc>
        <w:tc>
          <w:tcPr>
            <w:tcW w:w="993" w:type="dxa"/>
            <w:tcBorders>
              <w:top w:val="nil"/>
              <w:left w:val="nil"/>
              <w:bottom w:val="nil"/>
              <w:right w:val="nil"/>
            </w:tcBorders>
            <w:shd w:val="clear" w:color="auto" w:fill="auto"/>
            <w:noWrap/>
            <w:vAlign w:val="center"/>
          </w:tcPr>
          <w:p w14:paraId="791C58B0">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131</w:t>
            </w:r>
          </w:p>
        </w:tc>
        <w:tc>
          <w:tcPr>
            <w:tcW w:w="1375" w:type="dxa"/>
            <w:tcBorders>
              <w:top w:val="nil"/>
              <w:left w:val="nil"/>
              <w:bottom w:val="nil"/>
              <w:right w:val="nil"/>
            </w:tcBorders>
            <w:shd w:val="clear" w:color="auto" w:fill="auto"/>
            <w:noWrap/>
            <w:vAlign w:val="center"/>
          </w:tcPr>
          <w:p w14:paraId="03D2A85F">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5.42</w:t>
            </w:r>
          </w:p>
        </w:tc>
        <w:tc>
          <w:tcPr>
            <w:tcW w:w="2250" w:type="dxa"/>
            <w:tcBorders>
              <w:top w:val="nil"/>
              <w:left w:val="nil"/>
              <w:bottom w:val="nil"/>
              <w:right w:val="nil"/>
            </w:tcBorders>
            <w:shd w:val="clear" w:color="auto" w:fill="auto"/>
            <w:noWrap/>
            <w:vAlign w:val="center"/>
          </w:tcPr>
          <w:p w14:paraId="53933AF6">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0.45</w:t>
            </w:r>
          </w:p>
        </w:tc>
        <w:tc>
          <w:tcPr>
            <w:tcW w:w="2499" w:type="dxa"/>
            <w:tcBorders>
              <w:top w:val="nil"/>
              <w:left w:val="nil"/>
              <w:bottom w:val="nil"/>
              <w:right w:val="nil"/>
            </w:tcBorders>
            <w:shd w:val="clear" w:color="auto" w:fill="auto"/>
            <w:noWrap/>
            <w:vAlign w:val="center"/>
          </w:tcPr>
          <w:p w14:paraId="51B977B8">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Top journal in tourism research, main platform for foundational literature in the field. Features a distinct core-periphery structure and a high proportion of highly cited papers.</w:t>
            </w:r>
          </w:p>
        </w:tc>
      </w:tr>
      <w:tr w14:paraId="203F5628">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69DF0F27">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Tourism Management</w:t>
            </w:r>
          </w:p>
        </w:tc>
        <w:tc>
          <w:tcPr>
            <w:tcW w:w="993" w:type="dxa"/>
            <w:tcBorders>
              <w:top w:val="nil"/>
              <w:left w:val="nil"/>
              <w:bottom w:val="nil"/>
              <w:right w:val="nil"/>
            </w:tcBorders>
            <w:shd w:val="clear" w:color="auto" w:fill="auto"/>
            <w:noWrap/>
            <w:vAlign w:val="center"/>
          </w:tcPr>
          <w:p w14:paraId="2F6603F1">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96</w:t>
            </w:r>
          </w:p>
        </w:tc>
        <w:tc>
          <w:tcPr>
            <w:tcW w:w="1375" w:type="dxa"/>
            <w:tcBorders>
              <w:top w:val="nil"/>
              <w:left w:val="nil"/>
              <w:bottom w:val="nil"/>
              <w:right w:val="nil"/>
            </w:tcBorders>
            <w:shd w:val="clear" w:color="auto" w:fill="auto"/>
            <w:noWrap/>
            <w:vAlign w:val="center"/>
          </w:tcPr>
          <w:p w14:paraId="2144A82E">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3.97</w:t>
            </w:r>
          </w:p>
        </w:tc>
        <w:tc>
          <w:tcPr>
            <w:tcW w:w="2250" w:type="dxa"/>
            <w:tcBorders>
              <w:top w:val="nil"/>
              <w:left w:val="nil"/>
              <w:bottom w:val="nil"/>
              <w:right w:val="nil"/>
            </w:tcBorders>
            <w:shd w:val="clear" w:color="auto" w:fill="auto"/>
            <w:noWrap/>
            <w:vAlign w:val="center"/>
          </w:tcPr>
          <w:p w14:paraId="1448DFF0">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0.23</w:t>
            </w:r>
          </w:p>
        </w:tc>
        <w:tc>
          <w:tcPr>
            <w:tcW w:w="2499" w:type="dxa"/>
            <w:tcBorders>
              <w:top w:val="nil"/>
              <w:left w:val="nil"/>
              <w:bottom w:val="nil"/>
              <w:right w:val="nil"/>
            </w:tcBorders>
            <w:shd w:val="clear" w:color="auto" w:fill="auto"/>
            <w:noWrap/>
            <w:vAlign w:val="center"/>
          </w:tcPr>
          <w:p w14:paraId="07C2682E">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Core management journal focusing on heritage tourism operation and development. Dominated by commercial publishers with a high share of practice-oriented studies.</w:t>
            </w:r>
          </w:p>
        </w:tc>
      </w:tr>
      <w:tr w14:paraId="3FE35C38">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242FAF89">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International Journal of Heritage Studies</w:t>
            </w:r>
          </w:p>
        </w:tc>
        <w:tc>
          <w:tcPr>
            <w:tcW w:w="993" w:type="dxa"/>
            <w:tcBorders>
              <w:top w:val="nil"/>
              <w:left w:val="nil"/>
              <w:bottom w:val="nil"/>
              <w:right w:val="nil"/>
            </w:tcBorders>
            <w:shd w:val="clear" w:color="auto" w:fill="auto"/>
            <w:noWrap/>
            <w:vAlign w:val="center"/>
          </w:tcPr>
          <w:p w14:paraId="6B196F7F">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76</w:t>
            </w:r>
          </w:p>
        </w:tc>
        <w:tc>
          <w:tcPr>
            <w:tcW w:w="1375" w:type="dxa"/>
            <w:tcBorders>
              <w:top w:val="nil"/>
              <w:left w:val="nil"/>
              <w:bottom w:val="nil"/>
              <w:right w:val="nil"/>
            </w:tcBorders>
            <w:shd w:val="clear" w:color="auto" w:fill="auto"/>
            <w:noWrap/>
            <w:vAlign w:val="center"/>
          </w:tcPr>
          <w:p w14:paraId="45FDFAAA">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3.14</w:t>
            </w:r>
          </w:p>
        </w:tc>
        <w:tc>
          <w:tcPr>
            <w:tcW w:w="2250" w:type="dxa"/>
            <w:tcBorders>
              <w:top w:val="nil"/>
              <w:left w:val="nil"/>
              <w:bottom w:val="nil"/>
              <w:right w:val="nil"/>
            </w:tcBorders>
            <w:shd w:val="clear" w:color="auto" w:fill="auto"/>
            <w:noWrap/>
            <w:vAlign w:val="center"/>
          </w:tcPr>
          <w:p w14:paraId="0FC861A1">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-0.34</w:t>
            </w:r>
          </w:p>
        </w:tc>
        <w:tc>
          <w:tcPr>
            <w:tcW w:w="2499" w:type="dxa"/>
            <w:tcBorders>
              <w:top w:val="nil"/>
              <w:left w:val="nil"/>
              <w:bottom w:val="nil"/>
              <w:right w:val="nil"/>
            </w:tcBorders>
            <w:shd w:val="clear" w:color="auto" w:fill="auto"/>
            <w:noWrap/>
            <w:vAlign w:val="center"/>
          </w:tcPr>
          <w:p w14:paraId="7BA090D0">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Comprehensive heritage journal covering natural and cultural heritage tourism, inclined toward theoretical discussion with a low proportion of Global South case studies.</w:t>
            </w:r>
          </w:p>
        </w:tc>
      </w:tr>
      <w:tr w14:paraId="2E5EC7BB">
        <w:tblPrEx>
          <w:tblCellMar>
            <w:top w:w="0" w:type="dxa"/>
            <w:left w:w="108" w:type="dxa"/>
            <w:bottom w:w="0" w:type="dxa"/>
            <w:right w:w="108" w:type="dxa"/>
          </w:tblCellMar>
        </w:tblPrEx>
        <w:trPr>
          <w:trHeight w:val="914" w:hRule="atLeast"/>
          <w:jc w:val="center"/>
        </w:trPr>
        <w:tc>
          <w:tcPr>
            <w:tcW w:w="1312" w:type="dxa"/>
            <w:tcBorders>
              <w:top w:val="nil"/>
              <w:left w:val="nil"/>
              <w:bottom w:val="nil"/>
              <w:right w:val="nil"/>
            </w:tcBorders>
            <w:shd w:val="clear" w:color="auto" w:fill="auto"/>
            <w:noWrap/>
            <w:vAlign w:val="center"/>
          </w:tcPr>
          <w:p w14:paraId="4E695B69">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Journal of Sustainable Tourism</w:t>
            </w:r>
          </w:p>
        </w:tc>
        <w:tc>
          <w:tcPr>
            <w:tcW w:w="993" w:type="dxa"/>
            <w:tcBorders>
              <w:top w:val="nil"/>
              <w:left w:val="nil"/>
              <w:bottom w:val="nil"/>
              <w:right w:val="nil"/>
            </w:tcBorders>
            <w:shd w:val="clear" w:color="auto" w:fill="auto"/>
            <w:noWrap/>
            <w:vAlign w:val="center"/>
          </w:tcPr>
          <w:p w14:paraId="183B69E9">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74</w:t>
            </w:r>
          </w:p>
        </w:tc>
        <w:tc>
          <w:tcPr>
            <w:tcW w:w="1375" w:type="dxa"/>
            <w:tcBorders>
              <w:top w:val="nil"/>
              <w:left w:val="nil"/>
              <w:bottom w:val="nil"/>
              <w:right w:val="nil"/>
            </w:tcBorders>
            <w:shd w:val="clear" w:color="auto" w:fill="auto"/>
            <w:noWrap/>
            <w:vAlign w:val="center"/>
          </w:tcPr>
          <w:p w14:paraId="3EE81C18">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3.06</w:t>
            </w:r>
          </w:p>
        </w:tc>
        <w:tc>
          <w:tcPr>
            <w:tcW w:w="2250" w:type="dxa"/>
            <w:tcBorders>
              <w:top w:val="nil"/>
              <w:left w:val="nil"/>
              <w:bottom w:val="nil"/>
              <w:right w:val="nil"/>
            </w:tcBorders>
            <w:shd w:val="clear" w:color="auto" w:fill="auto"/>
            <w:noWrap/>
            <w:vAlign w:val="center"/>
          </w:tcPr>
          <w:p w14:paraId="2D80B837">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-0.44</w:t>
            </w:r>
          </w:p>
        </w:tc>
        <w:tc>
          <w:tcPr>
            <w:tcW w:w="2499" w:type="dxa"/>
            <w:tcBorders>
              <w:top w:val="nil"/>
              <w:left w:val="nil"/>
              <w:bottom w:val="nil"/>
              <w:right w:val="nil"/>
            </w:tcBorders>
            <w:shd w:val="clear" w:color="auto" w:fill="auto"/>
            <w:noWrap/>
            <w:vAlign w:val="center"/>
          </w:tcPr>
          <w:p w14:paraId="4B5D4B1E">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Core journal for sustainability research, main publication venue for heritage tourism sustainability topics with a high share of policy-oriented studies.</w:t>
            </w:r>
          </w:p>
        </w:tc>
      </w:tr>
      <w:tr w14:paraId="0B2E1DF3">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28E092B9">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Journal of Tourism and Cultural Change</w:t>
            </w:r>
          </w:p>
        </w:tc>
        <w:tc>
          <w:tcPr>
            <w:tcW w:w="993" w:type="dxa"/>
            <w:tcBorders>
              <w:top w:val="nil"/>
              <w:left w:val="nil"/>
              <w:bottom w:val="nil"/>
              <w:right w:val="nil"/>
            </w:tcBorders>
            <w:shd w:val="clear" w:color="auto" w:fill="auto"/>
            <w:noWrap/>
            <w:vAlign w:val="center"/>
          </w:tcPr>
          <w:p w14:paraId="2FBC9E53">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74</w:t>
            </w:r>
          </w:p>
        </w:tc>
        <w:tc>
          <w:tcPr>
            <w:tcW w:w="1375" w:type="dxa"/>
            <w:tcBorders>
              <w:top w:val="nil"/>
              <w:left w:val="nil"/>
              <w:bottom w:val="nil"/>
              <w:right w:val="nil"/>
            </w:tcBorders>
            <w:shd w:val="clear" w:color="auto" w:fill="auto"/>
            <w:noWrap/>
            <w:vAlign w:val="center"/>
          </w:tcPr>
          <w:p w14:paraId="13DFC8B4">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3.06</w:t>
            </w:r>
          </w:p>
        </w:tc>
        <w:tc>
          <w:tcPr>
            <w:tcW w:w="2250" w:type="dxa"/>
            <w:tcBorders>
              <w:top w:val="nil"/>
              <w:left w:val="nil"/>
              <w:bottom w:val="nil"/>
              <w:right w:val="nil"/>
            </w:tcBorders>
            <w:shd w:val="clear" w:color="auto" w:fill="auto"/>
            <w:noWrap/>
            <w:vAlign w:val="center"/>
          </w:tcPr>
          <w:p w14:paraId="36F68379">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0.37</w:t>
            </w:r>
          </w:p>
        </w:tc>
        <w:tc>
          <w:tcPr>
            <w:tcW w:w="2499" w:type="dxa"/>
            <w:tcBorders>
              <w:top w:val="nil"/>
              <w:left w:val="nil"/>
              <w:bottom w:val="nil"/>
              <w:right w:val="nil"/>
            </w:tcBorders>
            <w:shd w:val="clear" w:color="auto" w:fill="auto"/>
            <w:noWrap/>
            <w:vAlign w:val="center"/>
          </w:tcPr>
          <w:p w14:paraId="04F9A63A">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Interdisciplinary cultural studies journal focusing on identity politics and cultural change in heritage tourism, with a high proportion of critical perspective research.</w:t>
            </w:r>
          </w:p>
        </w:tc>
      </w:tr>
      <w:tr w14:paraId="629F88DC">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18606EA8">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Current Issues in Tourism</w:t>
            </w:r>
          </w:p>
        </w:tc>
        <w:tc>
          <w:tcPr>
            <w:tcW w:w="993" w:type="dxa"/>
            <w:tcBorders>
              <w:top w:val="nil"/>
              <w:left w:val="nil"/>
              <w:bottom w:val="nil"/>
              <w:right w:val="nil"/>
            </w:tcBorders>
            <w:shd w:val="clear" w:color="auto" w:fill="auto"/>
            <w:noWrap/>
            <w:vAlign w:val="center"/>
          </w:tcPr>
          <w:p w14:paraId="6DF5697B">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71</w:t>
            </w:r>
          </w:p>
        </w:tc>
        <w:tc>
          <w:tcPr>
            <w:tcW w:w="1375" w:type="dxa"/>
            <w:tcBorders>
              <w:top w:val="nil"/>
              <w:left w:val="nil"/>
              <w:bottom w:val="nil"/>
              <w:right w:val="nil"/>
            </w:tcBorders>
            <w:shd w:val="clear" w:color="auto" w:fill="auto"/>
            <w:noWrap/>
            <w:vAlign w:val="center"/>
          </w:tcPr>
          <w:p w14:paraId="7F58C6FA">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2.94</w:t>
            </w:r>
          </w:p>
        </w:tc>
        <w:tc>
          <w:tcPr>
            <w:tcW w:w="2250" w:type="dxa"/>
            <w:tcBorders>
              <w:top w:val="nil"/>
              <w:left w:val="nil"/>
              <w:bottom w:val="nil"/>
              <w:right w:val="nil"/>
            </w:tcBorders>
            <w:shd w:val="clear" w:color="auto" w:fill="auto"/>
            <w:noWrap/>
            <w:vAlign w:val="center"/>
          </w:tcPr>
          <w:p w14:paraId="45B59E0E">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-0.34</w:t>
            </w:r>
          </w:p>
        </w:tc>
        <w:tc>
          <w:tcPr>
            <w:tcW w:w="2499" w:type="dxa"/>
            <w:tcBorders>
              <w:top w:val="nil"/>
              <w:left w:val="nil"/>
              <w:bottom w:val="nil"/>
              <w:right w:val="nil"/>
            </w:tcBorders>
            <w:shd w:val="clear" w:color="auto" w:fill="auto"/>
            <w:noWrap/>
            <w:vAlign w:val="center"/>
          </w:tcPr>
          <w:p w14:paraId="28DC1F0C">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Comprehensive tourism journal, important outlet for emerging topics (e.g., digital heritage, algorithmic recommendation) with a high share of frontier research.</w:t>
            </w:r>
          </w:p>
        </w:tc>
      </w:tr>
      <w:tr w14:paraId="6EB9BE9A">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62EBECD6">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Tourism Geographies</w:t>
            </w:r>
          </w:p>
        </w:tc>
        <w:tc>
          <w:tcPr>
            <w:tcW w:w="993" w:type="dxa"/>
            <w:tcBorders>
              <w:top w:val="nil"/>
              <w:left w:val="nil"/>
              <w:bottom w:val="nil"/>
              <w:right w:val="nil"/>
            </w:tcBorders>
            <w:shd w:val="clear" w:color="auto" w:fill="auto"/>
            <w:noWrap/>
            <w:vAlign w:val="center"/>
          </w:tcPr>
          <w:p w14:paraId="616A20B1">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57</w:t>
            </w:r>
          </w:p>
        </w:tc>
        <w:tc>
          <w:tcPr>
            <w:tcW w:w="1375" w:type="dxa"/>
            <w:tcBorders>
              <w:top w:val="nil"/>
              <w:left w:val="nil"/>
              <w:bottom w:val="nil"/>
              <w:right w:val="nil"/>
            </w:tcBorders>
            <w:shd w:val="clear" w:color="auto" w:fill="auto"/>
            <w:noWrap/>
            <w:vAlign w:val="center"/>
          </w:tcPr>
          <w:p w14:paraId="6B4DC97B">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2.36</w:t>
            </w:r>
          </w:p>
        </w:tc>
        <w:tc>
          <w:tcPr>
            <w:tcW w:w="2250" w:type="dxa"/>
            <w:tcBorders>
              <w:top w:val="nil"/>
              <w:left w:val="nil"/>
              <w:bottom w:val="nil"/>
              <w:right w:val="nil"/>
            </w:tcBorders>
            <w:shd w:val="clear" w:color="auto" w:fill="auto"/>
            <w:noWrap/>
            <w:vAlign w:val="center"/>
          </w:tcPr>
          <w:p w14:paraId="22FE16EE">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0.1</w:t>
            </w:r>
          </w:p>
        </w:tc>
        <w:tc>
          <w:tcPr>
            <w:tcW w:w="2499" w:type="dxa"/>
            <w:tcBorders>
              <w:top w:val="nil"/>
              <w:left w:val="nil"/>
              <w:bottom w:val="nil"/>
              <w:right w:val="nil"/>
            </w:tcBorders>
            <w:shd w:val="clear" w:color="auto" w:fill="auto"/>
            <w:noWrap/>
            <w:vAlign w:val="center"/>
          </w:tcPr>
          <w:p w14:paraId="1A4935C8">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Core geography journal focusing on spatial distribution and place identity in heritage tourism, with a high proportion of spatial critical research.</w:t>
            </w:r>
          </w:p>
        </w:tc>
      </w:tr>
      <w:tr w14:paraId="395083BF">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74C9B3A5">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Asia Pacific Journal of Tourism Research</w:t>
            </w:r>
          </w:p>
        </w:tc>
        <w:tc>
          <w:tcPr>
            <w:tcW w:w="993" w:type="dxa"/>
            <w:tcBorders>
              <w:top w:val="nil"/>
              <w:left w:val="nil"/>
              <w:bottom w:val="nil"/>
              <w:right w:val="nil"/>
            </w:tcBorders>
            <w:shd w:val="clear" w:color="auto" w:fill="auto"/>
            <w:noWrap/>
            <w:vAlign w:val="center"/>
          </w:tcPr>
          <w:p w14:paraId="336E39B1">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46</w:t>
            </w:r>
          </w:p>
        </w:tc>
        <w:tc>
          <w:tcPr>
            <w:tcW w:w="1375" w:type="dxa"/>
            <w:tcBorders>
              <w:top w:val="nil"/>
              <w:left w:val="nil"/>
              <w:bottom w:val="nil"/>
              <w:right w:val="nil"/>
            </w:tcBorders>
            <w:shd w:val="clear" w:color="auto" w:fill="auto"/>
            <w:noWrap/>
            <w:vAlign w:val="center"/>
          </w:tcPr>
          <w:p w14:paraId="2B21129F">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1.9</w:t>
            </w:r>
          </w:p>
        </w:tc>
        <w:tc>
          <w:tcPr>
            <w:tcW w:w="2250" w:type="dxa"/>
            <w:tcBorders>
              <w:top w:val="nil"/>
              <w:left w:val="nil"/>
              <w:bottom w:val="nil"/>
              <w:right w:val="nil"/>
            </w:tcBorders>
            <w:shd w:val="clear" w:color="auto" w:fill="auto"/>
            <w:noWrap/>
            <w:vAlign w:val="center"/>
          </w:tcPr>
          <w:p w14:paraId="76F66644">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0.1</w:t>
            </w:r>
          </w:p>
        </w:tc>
        <w:tc>
          <w:tcPr>
            <w:tcW w:w="2499" w:type="dxa"/>
            <w:tcBorders>
              <w:top w:val="nil"/>
              <w:left w:val="nil"/>
              <w:bottom w:val="nil"/>
              <w:right w:val="nil"/>
            </w:tcBorders>
            <w:shd w:val="clear" w:color="auto" w:fill="auto"/>
            <w:noWrap/>
            <w:vAlign w:val="center"/>
          </w:tcPr>
          <w:p w14:paraId="0E2CC6E0">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Regional tourism journal for the Asia Pacific, concentrating on East Asian heritage tourism research with strong regional representativeness and a high contribution from Chinese scholars.</w:t>
            </w:r>
          </w:p>
        </w:tc>
      </w:tr>
      <w:tr w14:paraId="250AEF5F">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7CD99FB9">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International Journal of Tourism Research</w:t>
            </w:r>
          </w:p>
        </w:tc>
        <w:tc>
          <w:tcPr>
            <w:tcW w:w="993" w:type="dxa"/>
            <w:tcBorders>
              <w:top w:val="nil"/>
              <w:left w:val="nil"/>
              <w:bottom w:val="nil"/>
              <w:right w:val="nil"/>
            </w:tcBorders>
            <w:shd w:val="clear" w:color="auto" w:fill="auto"/>
            <w:noWrap/>
            <w:vAlign w:val="center"/>
          </w:tcPr>
          <w:p w14:paraId="0D79C5FB">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38</w:t>
            </w:r>
          </w:p>
        </w:tc>
        <w:tc>
          <w:tcPr>
            <w:tcW w:w="1375" w:type="dxa"/>
            <w:tcBorders>
              <w:top w:val="nil"/>
              <w:left w:val="nil"/>
              <w:bottom w:val="nil"/>
              <w:right w:val="nil"/>
            </w:tcBorders>
            <w:shd w:val="clear" w:color="auto" w:fill="auto"/>
            <w:noWrap/>
            <w:vAlign w:val="center"/>
          </w:tcPr>
          <w:p w14:paraId="0B911894">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1.57</w:t>
            </w:r>
          </w:p>
        </w:tc>
        <w:tc>
          <w:tcPr>
            <w:tcW w:w="2250" w:type="dxa"/>
            <w:tcBorders>
              <w:top w:val="nil"/>
              <w:left w:val="nil"/>
              <w:bottom w:val="nil"/>
              <w:right w:val="nil"/>
            </w:tcBorders>
            <w:shd w:val="clear" w:color="auto" w:fill="auto"/>
            <w:noWrap/>
            <w:vAlign w:val="center"/>
          </w:tcPr>
          <w:p w14:paraId="136FF9CB">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0.21</w:t>
            </w:r>
          </w:p>
        </w:tc>
        <w:tc>
          <w:tcPr>
            <w:tcW w:w="2499" w:type="dxa"/>
            <w:tcBorders>
              <w:top w:val="nil"/>
              <w:left w:val="nil"/>
              <w:bottom w:val="nil"/>
              <w:right w:val="nil"/>
            </w:tcBorders>
            <w:shd w:val="clear" w:color="auto" w:fill="auto"/>
            <w:noWrap/>
            <w:vAlign w:val="center"/>
          </w:tcPr>
          <w:p w14:paraId="5C6AD5F6">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Traditional tourism research journal balancing basic theory and empirical studies, with stable publication volume and a high share of methodological research.</w:t>
            </w:r>
          </w:p>
        </w:tc>
      </w:tr>
      <w:tr w14:paraId="54FB83EB">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694A3E87">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Total for Top 10 Journals</w:t>
            </w:r>
          </w:p>
        </w:tc>
        <w:tc>
          <w:tcPr>
            <w:tcW w:w="993" w:type="dxa"/>
            <w:tcBorders>
              <w:top w:val="nil"/>
              <w:left w:val="nil"/>
              <w:bottom w:val="nil"/>
              <w:right w:val="nil"/>
            </w:tcBorders>
            <w:shd w:val="clear" w:color="auto" w:fill="auto"/>
            <w:noWrap/>
            <w:vAlign w:val="center"/>
          </w:tcPr>
          <w:p w14:paraId="0E026855">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863</w:t>
            </w:r>
          </w:p>
        </w:tc>
        <w:tc>
          <w:tcPr>
            <w:tcW w:w="1375" w:type="dxa"/>
            <w:tcBorders>
              <w:top w:val="nil"/>
              <w:left w:val="nil"/>
              <w:bottom w:val="nil"/>
              <w:right w:val="nil"/>
            </w:tcBorders>
            <w:shd w:val="clear" w:color="auto" w:fill="auto"/>
            <w:noWrap/>
            <w:vAlign w:val="center"/>
          </w:tcPr>
          <w:p w14:paraId="192D3374">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35.71</w:t>
            </w:r>
          </w:p>
        </w:tc>
        <w:tc>
          <w:tcPr>
            <w:tcW w:w="2250" w:type="dxa"/>
            <w:tcBorders>
              <w:top w:val="nil"/>
              <w:left w:val="nil"/>
              <w:bottom w:val="nil"/>
              <w:right w:val="nil"/>
            </w:tcBorders>
            <w:shd w:val="clear" w:color="auto" w:fill="auto"/>
            <w:noWrap/>
            <w:vAlign w:val="center"/>
          </w:tcPr>
          <w:p w14:paraId="32015EAF">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0.21</w:t>
            </w:r>
          </w:p>
        </w:tc>
        <w:tc>
          <w:tcPr>
            <w:tcW w:w="2499" w:type="dxa"/>
            <w:tcBorders>
              <w:top w:val="nil"/>
              <w:left w:val="nil"/>
              <w:bottom w:val="nil"/>
              <w:right w:val="nil"/>
            </w:tcBorders>
            <w:shd w:val="clear" w:color="auto" w:fill="auto"/>
            <w:noWrap/>
            <w:vAlign w:val="center"/>
          </w:tcPr>
          <w:p w14:paraId="34D25DA8">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Core journal cluster in the field, contributing over one-third of the sample literature. 90% published by commercial presses, showing obvious trends in algorithmic recommendation and open access.</w:t>
            </w:r>
          </w:p>
        </w:tc>
      </w:tr>
      <w:tr w14:paraId="45C7ADDC">
        <w:tblPrEx>
          <w:tblCellMar>
            <w:top w:w="0" w:type="dxa"/>
            <w:left w:w="108" w:type="dxa"/>
            <w:bottom w:w="0" w:type="dxa"/>
            <w:right w:w="108" w:type="dxa"/>
          </w:tblCellMar>
        </w:tblPrEx>
        <w:trPr>
          <w:trHeight w:val="270" w:hRule="atLeast"/>
          <w:jc w:val="center"/>
        </w:trPr>
        <w:tc>
          <w:tcPr>
            <w:tcW w:w="1312" w:type="dxa"/>
            <w:tcBorders>
              <w:top w:val="nil"/>
              <w:left w:val="nil"/>
              <w:bottom w:val="nil"/>
              <w:right w:val="nil"/>
            </w:tcBorders>
            <w:shd w:val="clear" w:color="auto" w:fill="auto"/>
            <w:noWrap/>
            <w:vAlign w:val="center"/>
          </w:tcPr>
          <w:p w14:paraId="2C09AEB0">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Total Literature Sample</w:t>
            </w:r>
          </w:p>
        </w:tc>
        <w:tc>
          <w:tcPr>
            <w:tcW w:w="993" w:type="dxa"/>
            <w:tcBorders>
              <w:top w:val="nil"/>
              <w:left w:val="nil"/>
              <w:bottom w:val="nil"/>
              <w:right w:val="nil"/>
            </w:tcBorders>
            <w:shd w:val="clear" w:color="auto" w:fill="auto"/>
            <w:noWrap/>
            <w:vAlign w:val="center"/>
          </w:tcPr>
          <w:p w14:paraId="7530F6C6">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2417</w:t>
            </w:r>
          </w:p>
        </w:tc>
        <w:tc>
          <w:tcPr>
            <w:tcW w:w="1375" w:type="dxa"/>
            <w:tcBorders>
              <w:top w:val="nil"/>
              <w:left w:val="nil"/>
              <w:bottom w:val="nil"/>
              <w:right w:val="nil"/>
            </w:tcBorders>
            <w:shd w:val="clear" w:color="auto" w:fill="auto"/>
            <w:noWrap/>
            <w:vAlign w:val="center"/>
          </w:tcPr>
          <w:p w14:paraId="16C2BE95">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100</w:t>
            </w:r>
          </w:p>
        </w:tc>
        <w:tc>
          <w:tcPr>
            <w:tcW w:w="2250" w:type="dxa"/>
            <w:tcBorders>
              <w:top w:val="nil"/>
              <w:left w:val="nil"/>
              <w:bottom w:val="nil"/>
              <w:right w:val="nil"/>
            </w:tcBorders>
            <w:shd w:val="clear" w:color="auto" w:fill="auto"/>
            <w:noWrap/>
            <w:vAlign w:val="center"/>
          </w:tcPr>
          <w:p w14:paraId="22A81695">
            <w:pPr>
              <w:widowControl/>
              <w:spacing w:line="240" w:lineRule="auto"/>
              <w:jc w:val="center"/>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color w:val="000000"/>
                <w:kern w:val="0"/>
                <w:sz w:val="18"/>
                <w:szCs w:val="18"/>
                <w:vertAlign w:val="baseline"/>
                <w:lang w:bidi="ar"/>
              </w:rPr>
              <w:t>0</w:t>
            </w:r>
          </w:p>
        </w:tc>
        <w:tc>
          <w:tcPr>
            <w:tcW w:w="2499" w:type="dxa"/>
            <w:tcBorders>
              <w:top w:val="nil"/>
              <w:left w:val="nil"/>
              <w:bottom w:val="nil"/>
              <w:right w:val="nil"/>
            </w:tcBorders>
            <w:shd w:val="clear" w:color="auto" w:fill="auto"/>
            <w:noWrap/>
            <w:vAlign w:val="center"/>
          </w:tcPr>
          <w:p w14:paraId="731E2937">
            <w:pPr>
              <w:keepNext w:val="0"/>
              <w:keepLines w:val="0"/>
              <w:widowControl/>
              <w:suppressLineNumbers w:val="0"/>
              <w:jc w:val="left"/>
              <w:textAlignment w:val="center"/>
              <w:rPr>
                <w:rFonts w:hint="default" w:ascii="Times New Roman" w:hAnsi="Times New Roman" w:eastAsia="宋体" w:cs="Times New Roman"/>
                <w:color w:val="000000"/>
                <w:sz w:val="18"/>
                <w:szCs w:val="18"/>
                <w:vertAlign w:val="baseli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Core heritage tourism research literature from the Web of Science Core Collection screened in this study.</w:t>
            </w:r>
          </w:p>
        </w:tc>
      </w:tr>
    </w:tbl>
    <w:p w14:paraId="023699EA">
      <w:pPr>
        <w:tabs>
          <w:tab w:val="left" w:pos="720"/>
        </w:tabs>
        <w:spacing w:after="0" w:line="279" w:lineRule="auto"/>
        <w:jc w:val="both"/>
        <w:rPr>
          <w:rFonts w:ascii="Times New Roman" w:hAnsi="Times New Roman" w:eastAsia="宋体" w:cs="Times New Roman"/>
          <w:vertAlign w:val="baseline"/>
        </w:rPr>
      </w:pPr>
      <w:r>
        <w:rPr>
          <w:rFonts w:hint="eastAsia" w:ascii="Times New Roman" w:hAnsi="Times New Roman" w:eastAsia="宋体" w:cs="Times New Roman"/>
          <w:b/>
          <w:bCs/>
          <w:sz w:val="18"/>
          <w:szCs w:val="18"/>
          <w:vertAlign w:val="baseline"/>
        </w:rPr>
        <w:t>Note:</w:t>
      </w:r>
      <w:r>
        <w:rPr>
          <w:rFonts w:hint="eastAsia" w:ascii="Times New Roman" w:hAnsi="Times New Roman" w:eastAsia="宋体" w:cs="Times New Roman"/>
          <w:sz w:val="18"/>
          <w:szCs w:val="18"/>
          <w:vertAlign w:val="baseline"/>
        </w:rPr>
        <w:t xml:space="preserve"> Data source: 2,417 core heritage tourism research articles screened from the Web of Science Core Collection in this study (screening process shown in Figure B1); Scopus same-topic literature data are December 2024 search results using the same search formula as this study; percentage difference calculation: percentage of a category in this study sample − percentage of the same category in Scopus same-topic literature. An absolute difference ≤ 0.5% indicates high consistency between this study sample and the overall Scopus distribution and good representativeness; spatial distribution is statistically based on the country/region of the corresponding author’s institution of the first author, consistent with the statistical rules of Table 1 in the main text; “proportion of commercial publishers” in journal distribution: among the top 10 journals, 9 are published by commercial publishers including Elsevier, Routledge, and Taylor &amp; Francis, accounting for 90%.</w:t>
      </w:r>
    </w:p>
    <w:p w14:paraId="16BCF4AF">
      <w:pPr>
        <w:spacing w:after="0" w:line="279" w:lineRule="auto"/>
        <w:ind w:firstLine="442" w:firstLineChars="200"/>
        <w:jc w:val="both"/>
        <w:rPr>
          <w:rFonts w:ascii="Times New Roman" w:hAnsi="Times New Roman" w:eastAsia="宋体" w:cs="Times New Roman"/>
          <w:b/>
          <w:bCs/>
          <w:vertAlign w:val="baseline"/>
        </w:rPr>
      </w:pPr>
      <w:r>
        <w:rPr>
          <w:rFonts w:ascii="Times New Roman" w:hAnsi="Times New Roman" w:eastAsia="宋体" w:cs="Times New Roman"/>
          <w:b/>
          <w:bCs/>
          <w:vertAlign w:val="baseline"/>
        </w:rPr>
        <w:t>B.</w:t>
      </w:r>
      <w:r>
        <w:rPr>
          <w:rFonts w:hint="eastAsia" w:ascii="Times New Roman" w:hAnsi="Times New Roman" w:eastAsia="宋体" w:cs="Times New Roman"/>
          <w:b/>
          <w:bCs/>
          <w:vertAlign w:val="baseline"/>
        </w:rPr>
        <w:t>2</w:t>
      </w:r>
      <w:r>
        <w:rPr>
          <w:rFonts w:ascii="Times New Roman" w:hAnsi="Times New Roman" w:eastAsia="宋体" w:cs="Times New Roman"/>
          <w:b/>
          <w:bCs/>
          <w:vertAlign w:val="baseline"/>
        </w:rPr>
        <w:t xml:space="preserve"> </w:t>
      </w:r>
      <w:r>
        <w:rPr>
          <w:rFonts w:hint="eastAsia" w:ascii="Times New Roman" w:hAnsi="Times New Roman" w:eastAsia="宋体" w:cs="Times New Roman"/>
          <w:b/>
          <w:bCs/>
          <w:vertAlign w:val="baseline"/>
        </w:rPr>
        <w:t>Key Variable Coding Table</w:t>
      </w:r>
    </w:p>
    <w:tbl>
      <w:tblPr>
        <w:tblStyle w:val="4"/>
        <w:tblW w:w="8600" w:type="dxa"/>
        <w:tblInd w:w="0" w:type="dxa"/>
        <w:tblBorders>
          <w:top w:val="single" w:color="auto" w:sz="8" w:space="0"/>
          <w:left w:val="none" w:color="auto" w:sz="0" w:space="0"/>
          <w:bottom w:val="single" w:color="auto" w:sz="8"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390"/>
        <w:gridCol w:w="2900"/>
        <w:gridCol w:w="3310"/>
      </w:tblGrid>
      <w:tr w14:paraId="66E29885">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2390" w:type="dxa"/>
            <w:tcBorders>
              <w:bottom w:val="single" w:color="auto" w:sz="4" w:space="0"/>
            </w:tcBorders>
            <w:vAlign w:val="center"/>
          </w:tcPr>
          <w:p w14:paraId="6A03A893">
            <w:pPr>
              <w:keepNext w:val="0"/>
              <w:keepLines w:val="0"/>
              <w:widowControl/>
              <w:suppressLineNumbers w:val="0"/>
              <w:jc w:val="center"/>
              <w:textAlignment w:val="center"/>
              <w:rPr>
                <w:rFonts w:hint="default" w:ascii="Times New Roman" w:hAnsi="Times New Roman" w:eastAsia="宋体" w:cs="Times New Roman"/>
                <w:b/>
                <w:bCs/>
                <w:color w:val="000000"/>
                <w:kern w:val="0"/>
                <w:sz w:val="18"/>
                <w:szCs w:val="18"/>
                <w:vertAlign w:val="baseline"/>
                <w14:ligatures w14:val="none"/>
              </w:rPr>
            </w:pPr>
            <w:r>
              <w:rPr>
                <w:rFonts w:hint="default" w:ascii="Times New Roman" w:hAnsi="Times New Roman" w:eastAsia="宋体" w:cs="Times New Roman"/>
                <w:b/>
                <w:bCs/>
                <w:i w:val="0"/>
                <w:iCs w:val="0"/>
                <w:color w:val="000000"/>
                <w:kern w:val="0"/>
                <w:sz w:val="18"/>
                <w:szCs w:val="18"/>
                <w:u w:val="none"/>
                <w:lang w:val="en-US" w:eastAsia="zh-CN" w:bidi="ar"/>
                <w14:ligatures w14:val="standardContextual"/>
              </w:rPr>
              <w:t>Variable Name</w:t>
            </w:r>
          </w:p>
        </w:tc>
        <w:tc>
          <w:tcPr>
            <w:tcW w:w="2900" w:type="dxa"/>
            <w:tcBorders>
              <w:bottom w:val="single" w:color="auto" w:sz="4" w:space="0"/>
            </w:tcBorders>
            <w:vAlign w:val="center"/>
          </w:tcPr>
          <w:p w14:paraId="296708CA">
            <w:pPr>
              <w:keepNext w:val="0"/>
              <w:keepLines w:val="0"/>
              <w:widowControl/>
              <w:suppressLineNumbers w:val="0"/>
              <w:jc w:val="center"/>
              <w:textAlignment w:val="center"/>
              <w:rPr>
                <w:rFonts w:hint="default" w:ascii="Times New Roman" w:hAnsi="Times New Roman" w:eastAsia="宋体" w:cs="Times New Roman"/>
                <w:b/>
                <w:bCs/>
                <w:color w:val="000000"/>
                <w:kern w:val="0"/>
                <w:sz w:val="18"/>
                <w:szCs w:val="18"/>
                <w:vertAlign w:val="baseline"/>
                <w14:ligatures w14:val="none"/>
              </w:rPr>
            </w:pPr>
            <w:r>
              <w:rPr>
                <w:rFonts w:hint="default" w:ascii="Times New Roman" w:hAnsi="Times New Roman" w:eastAsia="宋体" w:cs="Times New Roman"/>
                <w:b/>
                <w:bCs/>
                <w:i w:val="0"/>
                <w:iCs w:val="0"/>
                <w:color w:val="000000"/>
                <w:kern w:val="0"/>
                <w:sz w:val="18"/>
                <w:szCs w:val="18"/>
                <w:u w:val="none"/>
                <w:lang w:val="en-US" w:eastAsia="zh-CN" w:bidi="ar"/>
                <w14:ligatures w14:val="standardContextual"/>
              </w:rPr>
              <w:t>Coding Rule</w:t>
            </w:r>
          </w:p>
        </w:tc>
        <w:tc>
          <w:tcPr>
            <w:tcW w:w="3310" w:type="dxa"/>
            <w:tcBorders>
              <w:bottom w:val="single" w:color="auto" w:sz="4" w:space="0"/>
            </w:tcBorders>
            <w:vAlign w:val="center"/>
          </w:tcPr>
          <w:p w14:paraId="70C8EABF">
            <w:pPr>
              <w:keepNext w:val="0"/>
              <w:keepLines w:val="0"/>
              <w:widowControl/>
              <w:suppressLineNumbers w:val="0"/>
              <w:jc w:val="center"/>
              <w:textAlignment w:val="center"/>
              <w:rPr>
                <w:rFonts w:hint="default" w:ascii="Times New Roman" w:hAnsi="Times New Roman" w:eastAsia="宋体" w:cs="Times New Roman"/>
                <w:b/>
                <w:bCs/>
                <w:color w:val="000000"/>
                <w:kern w:val="0"/>
                <w:sz w:val="18"/>
                <w:szCs w:val="18"/>
                <w:vertAlign w:val="baseline"/>
                <w14:ligatures w14:val="none"/>
              </w:rPr>
            </w:pPr>
            <w:r>
              <w:rPr>
                <w:rFonts w:hint="default" w:ascii="Times New Roman" w:hAnsi="Times New Roman" w:eastAsia="宋体" w:cs="Times New Roman"/>
                <w:b/>
                <w:bCs/>
                <w:i w:val="0"/>
                <w:iCs w:val="0"/>
                <w:color w:val="000000"/>
                <w:kern w:val="0"/>
                <w:sz w:val="18"/>
                <w:szCs w:val="18"/>
                <w:u w:val="none"/>
                <w:lang w:val="en-US" w:eastAsia="zh-CN" w:bidi="ar"/>
                <w14:ligatures w14:val="standardContextual"/>
              </w:rPr>
              <w:t>Example</w:t>
            </w:r>
          </w:p>
        </w:tc>
      </w:tr>
      <w:tr w14:paraId="5950D0BB">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0" w:hRule="atLeast"/>
        </w:trPr>
        <w:tc>
          <w:tcPr>
            <w:tcW w:w="2390" w:type="dxa"/>
            <w:tcBorders>
              <w:top w:val="single" w:color="auto" w:sz="4" w:space="0"/>
              <w:tl2br w:val="nil"/>
              <w:tr2bl w:val="nil"/>
            </w:tcBorders>
            <w:vAlign w:val="center"/>
          </w:tcPr>
          <w:p w14:paraId="1E021F54">
            <w:pPr>
              <w:keepNext w:val="0"/>
              <w:keepLines w:val="0"/>
              <w:widowControl/>
              <w:suppressLineNumbers w:val="0"/>
              <w:jc w:val="center"/>
              <w:textAlignment w:val="center"/>
              <w:rPr>
                <w:rFonts w:hint="default" w:ascii="Times New Roman" w:hAnsi="Times New Roman" w:eastAsia="宋体" w:cs="Times New Roman"/>
                <w:b/>
                <w:bCs/>
                <w:color w:val="000000"/>
                <w:kern w:val="0"/>
                <w:sz w:val="18"/>
                <w:szCs w:val="18"/>
                <w:vertAlign w:val="baseline"/>
                <w14:ligatures w14:val="none"/>
              </w:rPr>
            </w:pPr>
            <w:r>
              <w:rPr>
                <w:rFonts w:hint="default" w:ascii="Times New Roman" w:hAnsi="Times New Roman" w:eastAsia="宋体" w:cs="Times New Roman"/>
                <w:b/>
                <w:bCs/>
                <w:i w:val="0"/>
                <w:iCs w:val="0"/>
                <w:color w:val="000000"/>
                <w:kern w:val="0"/>
                <w:sz w:val="18"/>
                <w:szCs w:val="18"/>
                <w:u w:val="none"/>
                <w:lang w:val="en-US" w:eastAsia="zh-CN" w:bidi="ar"/>
                <w14:ligatures w14:val="standardContextual"/>
              </w:rPr>
              <w:t>Author Region</w:t>
            </w:r>
          </w:p>
        </w:tc>
        <w:tc>
          <w:tcPr>
            <w:tcW w:w="2900" w:type="dxa"/>
            <w:tcBorders>
              <w:top w:val="single" w:color="auto" w:sz="4" w:space="0"/>
              <w:tl2br w:val="nil"/>
              <w:tr2bl w:val="nil"/>
            </w:tcBorders>
            <w:vAlign w:val="center"/>
          </w:tcPr>
          <w:p w14:paraId="52789A67">
            <w:pPr>
              <w:keepNext w:val="0"/>
              <w:keepLines w:val="0"/>
              <w:widowControl/>
              <w:suppressLineNumbers w:val="0"/>
              <w:jc w:val="center"/>
              <w:textAlignment w:val="center"/>
              <w:rPr>
                <w:rFonts w:hint="default" w:ascii="Times New Roman" w:hAnsi="Times New Roman" w:eastAsia="宋体" w:cs="Times New Roman"/>
                <w:color w:val="000000"/>
                <w:kern w:val="0"/>
                <w:sz w:val="18"/>
                <w:szCs w:val="18"/>
                <w:vertAlign w:val="baseline"/>
                <w14:ligatures w14:val="no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Map to the five UNESCO regions according to the country of the first author’s correspondence address.</w:t>
            </w:r>
          </w:p>
        </w:tc>
        <w:tc>
          <w:tcPr>
            <w:tcW w:w="3310" w:type="dxa"/>
            <w:tcBorders>
              <w:top w:val="single" w:color="auto" w:sz="4" w:space="0"/>
              <w:tl2br w:val="nil"/>
              <w:tr2bl w:val="nil"/>
            </w:tcBorders>
            <w:vAlign w:val="center"/>
          </w:tcPr>
          <w:p w14:paraId="77C846CB">
            <w:pPr>
              <w:keepNext w:val="0"/>
              <w:keepLines w:val="0"/>
              <w:widowControl/>
              <w:suppressLineNumbers w:val="0"/>
              <w:jc w:val="center"/>
              <w:textAlignment w:val="center"/>
              <w:rPr>
                <w:rFonts w:hint="default" w:ascii="Times New Roman" w:hAnsi="Times New Roman" w:eastAsia="宋体" w:cs="Times New Roman"/>
                <w:color w:val="000000"/>
                <w:kern w:val="0"/>
                <w:sz w:val="18"/>
                <w:szCs w:val="18"/>
                <w:vertAlign w:val="baseline"/>
                <w14:ligatures w14:val="no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Address: University of Cape Town, South Africa → Region: Africa</w:t>
            </w:r>
          </w:p>
        </w:tc>
      </w:tr>
      <w:tr w14:paraId="639F88B2">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86" w:hRule="atLeast"/>
        </w:trPr>
        <w:tc>
          <w:tcPr>
            <w:tcW w:w="2390" w:type="dxa"/>
            <w:tcBorders>
              <w:tl2br w:val="nil"/>
              <w:tr2bl w:val="nil"/>
            </w:tcBorders>
            <w:vAlign w:val="center"/>
          </w:tcPr>
          <w:p w14:paraId="0C6480DC">
            <w:pPr>
              <w:keepNext w:val="0"/>
              <w:keepLines w:val="0"/>
              <w:widowControl/>
              <w:suppressLineNumbers w:val="0"/>
              <w:jc w:val="center"/>
              <w:textAlignment w:val="center"/>
              <w:rPr>
                <w:rFonts w:hint="default" w:ascii="Times New Roman" w:hAnsi="Times New Roman" w:eastAsia="宋体" w:cs="Times New Roman"/>
                <w:b/>
                <w:bCs/>
                <w:color w:val="000000"/>
                <w:kern w:val="0"/>
                <w:sz w:val="18"/>
                <w:szCs w:val="18"/>
                <w:vertAlign w:val="baseline"/>
                <w14:ligatures w14:val="none"/>
              </w:rPr>
            </w:pPr>
            <w:r>
              <w:rPr>
                <w:rFonts w:hint="default" w:ascii="Times New Roman" w:hAnsi="Times New Roman" w:eastAsia="宋体" w:cs="Times New Roman"/>
                <w:b/>
                <w:bCs/>
                <w:i w:val="0"/>
                <w:iCs w:val="0"/>
                <w:color w:val="000000"/>
                <w:kern w:val="0"/>
                <w:sz w:val="18"/>
                <w:szCs w:val="18"/>
                <w:u w:val="none"/>
                <w:lang w:val="en-US" w:eastAsia="zh-CN" w:bidi="ar"/>
                <w14:ligatures w14:val="standardContextual"/>
              </w:rPr>
              <w:t>Journal Publisher</w:t>
            </w:r>
          </w:p>
        </w:tc>
        <w:tc>
          <w:tcPr>
            <w:tcW w:w="2900" w:type="dxa"/>
            <w:tcBorders>
              <w:tl2br w:val="nil"/>
              <w:tr2bl w:val="nil"/>
            </w:tcBorders>
            <w:vAlign w:val="center"/>
          </w:tcPr>
          <w:p w14:paraId="06B0331E">
            <w:pPr>
              <w:keepNext w:val="0"/>
              <w:keepLines w:val="0"/>
              <w:widowControl/>
              <w:suppressLineNumbers w:val="0"/>
              <w:jc w:val="center"/>
              <w:textAlignment w:val="center"/>
              <w:rPr>
                <w:rFonts w:hint="default" w:ascii="Times New Roman" w:hAnsi="Times New Roman" w:eastAsia="宋体" w:cs="Times New Roman"/>
                <w:color w:val="000000"/>
                <w:kern w:val="0"/>
                <w:sz w:val="18"/>
                <w:szCs w:val="18"/>
                <w:vertAlign w:val="baseline"/>
                <w14:ligatures w14:val="no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Record the publisher name and classify as “commercial publisher”, “university press”, “society publisher”, etc.</w:t>
            </w:r>
          </w:p>
        </w:tc>
        <w:tc>
          <w:tcPr>
            <w:tcW w:w="3310" w:type="dxa"/>
            <w:tcBorders>
              <w:tl2br w:val="nil"/>
              <w:tr2bl w:val="nil"/>
            </w:tcBorders>
            <w:vAlign w:val="center"/>
          </w:tcPr>
          <w:p w14:paraId="30A5CC68">
            <w:pPr>
              <w:keepNext w:val="0"/>
              <w:keepLines w:val="0"/>
              <w:widowControl/>
              <w:suppressLineNumbers w:val="0"/>
              <w:jc w:val="center"/>
              <w:textAlignment w:val="center"/>
              <w:rPr>
                <w:rFonts w:hint="default" w:ascii="Times New Roman" w:hAnsi="Times New Roman" w:eastAsia="宋体" w:cs="Times New Roman"/>
                <w:color w:val="000000"/>
                <w:kern w:val="0"/>
                <w:sz w:val="18"/>
                <w:szCs w:val="18"/>
                <w:vertAlign w:val="baseline"/>
                <w14:ligatures w14:val="no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Elsevier → commercial publisher; Routledge → commercial publisher; University of California Press → university press</w:t>
            </w:r>
          </w:p>
        </w:tc>
      </w:tr>
      <w:tr w14:paraId="4FA734DB">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10" w:hRule="atLeast"/>
        </w:trPr>
        <w:tc>
          <w:tcPr>
            <w:tcW w:w="2390" w:type="dxa"/>
            <w:tcBorders>
              <w:tl2br w:val="nil"/>
              <w:tr2bl w:val="nil"/>
            </w:tcBorders>
            <w:vAlign w:val="center"/>
          </w:tcPr>
          <w:p w14:paraId="7A4C0979">
            <w:pPr>
              <w:keepNext w:val="0"/>
              <w:keepLines w:val="0"/>
              <w:widowControl/>
              <w:suppressLineNumbers w:val="0"/>
              <w:jc w:val="center"/>
              <w:textAlignment w:val="center"/>
              <w:rPr>
                <w:rFonts w:hint="default" w:ascii="Times New Roman" w:hAnsi="Times New Roman" w:eastAsia="宋体" w:cs="Times New Roman"/>
                <w:b/>
                <w:bCs/>
                <w:color w:val="000000"/>
                <w:kern w:val="0"/>
                <w:sz w:val="18"/>
                <w:szCs w:val="18"/>
                <w:vertAlign w:val="baseline"/>
                <w14:ligatures w14:val="none"/>
              </w:rPr>
            </w:pPr>
            <w:r>
              <w:rPr>
                <w:rFonts w:hint="default" w:ascii="Times New Roman" w:hAnsi="Times New Roman" w:eastAsia="宋体" w:cs="Times New Roman"/>
                <w:b/>
                <w:bCs/>
                <w:i w:val="0"/>
                <w:iCs w:val="0"/>
                <w:color w:val="000000"/>
                <w:kern w:val="0"/>
                <w:sz w:val="18"/>
                <w:szCs w:val="18"/>
                <w:u w:val="none"/>
                <w:lang w:val="en-US" w:eastAsia="zh-CN" w:bidi="ar"/>
                <w14:ligatures w14:val="standardContextual"/>
              </w:rPr>
              <w:t>Reference Language</w:t>
            </w:r>
          </w:p>
        </w:tc>
        <w:tc>
          <w:tcPr>
            <w:tcW w:w="2900" w:type="dxa"/>
            <w:tcBorders>
              <w:tl2br w:val="nil"/>
              <w:tr2bl w:val="nil"/>
            </w:tcBorders>
            <w:vAlign w:val="center"/>
          </w:tcPr>
          <w:p w14:paraId="52146DFA">
            <w:pPr>
              <w:keepNext w:val="0"/>
              <w:keepLines w:val="0"/>
              <w:widowControl/>
              <w:suppressLineNumbers w:val="0"/>
              <w:jc w:val="center"/>
              <w:textAlignment w:val="center"/>
              <w:rPr>
                <w:rFonts w:hint="default" w:ascii="Times New Roman" w:hAnsi="Times New Roman" w:eastAsia="宋体" w:cs="Times New Roman"/>
                <w:color w:val="000000"/>
                <w:kern w:val="0"/>
                <w:sz w:val="18"/>
                <w:szCs w:val="18"/>
                <w:vertAlign w:val="baseline"/>
                <w14:ligatures w14:val="no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Calculate the proportion of non-English references in the reference list of a single paper (visual sampling).</w:t>
            </w:r>
          </w:p>
        </w:tc>
        <w:tc>
          <w:tcPr>
            <w:tcW w:w="3310" w:type="dxa"/>
            <w:tcBorders>
              <w:tl2br w:val="nil"/>
              <w:tr2bl w:val="nil"/>
            </w:tcBorders>
            <w:vAlign w:val="center"/>
          </w:tcPr>
          <w:p w14:paraId="74CBF5F2">
            <w:pPr>
              <w:keepNext w:val="0"/>
              <w:keepLines w:val="0"/>
              <w:widowControl/>
              <w:suppressLineNumbers w:val="0"/>
              <w:jc w:val="center"/>
              <w:textAlignment w:val="center"/>
              <w:rPr>
                <w:rFonts w:hint="default" w:ascii="Times New Roman" w:hAnsi="Times New Roman" w:eastAsia="宋体" w:cs="Times New Roman"/>
                <w:color w:val="000000"/>
                <w:kern w:val="0"/>
                <w:sz w:val="18"/>
                <w:szCs w:val="18"/>
                <w:vertAlign w:val="baseline"/>
                <w14:ligatures w14:val="no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If 5 out of 50 references are in Spanish or Chinese, code as 10%.</w:t>
            </w:r>
          </w:p>
        </w:tc>
      </w:tr>
      <w:tr w14:paraId="5FB4DF86">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90" w:hRule="atLeast"/>
        </w:trPr>
        <w:tc>
          <w:tcPr>
            <w:tcW w:w="2390" w:type="dxa"/>
            <w:tcBorders>
              <w:tl2br w:val="nil"/>
              <w:tr2bl w:val="nil"/>
            </w:tcBorders>
            <w:vAlign w:val="center"/>
          </w:tcPr>
          <w:p w14:paraId="5CA39DC8">
            <w:pPr>
              <w:keepNext w:val="0"/>
              <w:keepLines w:val="0"/>
              <w:widowControl/>
              <w:suppressLineNumbers w:val="0"/>
              <w:jc w:val="center"/>
              <w:textAlignment w:val="center"/>
              <w:rPr>
                <w:rFonts w:hint="default" w:ascii="Times New Roman" w:hAnsi="Times New Roman" w:eastAsia="宋体" w:cs="Times New Roman"/>
                <w:b/>
                <w:bCs/>
                <w:color w:val="000000"/>
                <w:kern w:val="0"/>
                <w:sz w:val="18"/>
                <w:szCs w:val="18"/>
                <w:vertAlign w:val="baseline"/>
                <w14:ligatures w14:val="none"/>
              </w:rPr>
            </w:pPr>
            <w:r>
              <w:rPr>
                <w:rFonts w:hint="default" w:ascii="Times New Roman" w:hAnsi="Times New Roman" w:eastAsia="宋体" w:cs="Times New Roman"/>
                <w:b/>
                <w:bCs/>
                <w:i w:val="0"/>
                <w:iCs w:val="0"/>
                <w:color w:val="000000"/>
                <w:kern w:val="0"/>
                <w:sz w:val="18"/>
                <w:szCs w:val="18"/>
                <w:u w:val="none"/>
                <w:lang w:val="en-US" w:eastAsia="zh-CN" w:bidi="ar"/>
                <w14:ligatures w14:val="standardContextual"/>
              </w:rPr>
              <w:t>Theoretical Framework Label</w:t>
            </w:r>
          </w:p>
        </w:tc>
        <w:tc>
          <w:tcPr>
            <w:tcW w:w="2900" w:type="dxa"/>
            <w:tcBorders>
              <w:tl2br w:val="nil"/>
              <w:tr2bl w:val="nil"/>
            </w:tcBorders>
            <w:vAlign w:val="center"/>
          </w:tcPr>
          <w:p w14:paraId="0BE8F4E6">
            <w:pPr>
              <w:keepNext w:val="0"/>
              <w:keepLines w:val="0"/>
              <w:widowControl/>
              <w:suppressLineNumbers w:val="0"/>
              <w:jc w:val="center"/>
              <w:textAlignment w:val="center"/>
              <w:rPr>
                <w:rFonts w:hint="default" w:ascii="Times New Roman" w:hAnsi="Times New Roman" w:eastAsia="宋体" w:cs="Times New Roman"/>
                <w:color w:val="000000"/>
                <w:kern w:val="0"/>
                <w:sz w:val="18"/>
                <w:szCs w:val="18"/>
                <w:vertAlign w:val="baseline"/>
                <w14:ligatures w14:val="no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Manually label the core theories explicitly used in the paper by reading the abstract and keywords (e.g., “Authenticity Theory”, “Critical Heritage Studies”, “Communitarian Approach”).</w:t>
            </w:r>
          </w:p>
        </w:tc>
        <w:tc>
          <w:tcPr>
            <w:tcW w:w="3310" w:type="dxa"/>
            <w:tcBorders>
              <w:tl2br w:val="nil"/>
              <w:tr2bl w:val="nil"/>
            </w:tcBorders>
            <w:vAlign w:val="center"/>
          </w:tcPr>
          <w:p w14:paraId="0307DCF9">
            <w:pPr>
              <w:keepNext w:val="0"/>
              <w:keepLines w:val="0"/>
              <w:widowControl/>
              <w:suppressLineNumbers w:val="0"/>
              <w:jc w:val="center"/>
              <w:textAlignment w:val="center"/>
              <w:rPr>
                <w:rFonts w:hint="default" w:ascii="Times New Roman" w:hAnsi="Times New Roman" w:eastAsia="宋体" w:cs="Times New Roman"/>
                <w:color w:val="000000"/>
                <w:kern w:val="0"/>
                <w:sz w:val="18"/>
                <w:szCs w:val="18"/>
                <w:vertAlign w:val="baseline"/>
                <w14:ligatures w14:val="none"/>
              </w:rPr>
            </w:pPr>
            <w:r>
              <w:rPr>
                <w:rFonts w:hint="default" w:ascii="Times New Roman" w:hAnsi="Times New Roman" w:eastAsia="宋体" w:cs="Times New Roman"/>
                <w:i w:val="0"/>
                <w:iCs w:val="0"/>
                <w:color w:val="000000"/>
                <w:kern w:val="0"/>
                <w:sz w:val="18"/>
                <w:szCs w:val="18"/>
                <w:u w:val="none"/>
                <w:lang w:val="en-US" w:eastAsia="zh-CN" w:bidi="ar"/>
                <w14:ligatures w14:val="standardContextual"/>
              </w:rPr>
              <w:t>Abstract mentions “drawing on the concept of existential authenticity...” → code as “Existential Authenticity (Wang)”</w:t>
            </w:r>
          </w:p>
        </w:tc>
      </w:tr>
    </w:tbl>
    <w:p w14:paraId="38EFF1D2">
      <w:pPr>
        <w:jc w:val="center"/>
        <w:rPr>
          <w:rFonts w:ascii="Times New Roman" w:hAnsi="Times New Roman" w:eastAsia="宋体" w:cs="Times New Roman"/>
          <w:vertAlign w:val="baseline"/>
        </w:rPr>
      </w:pPr>
    </w:p>
    <w:p w14:paraId="681CE379">
      <w:pPr>
        <w:pStyle w:val="2"/>
        <w:spacing w:before="80" w:line="279" w:lineRule="auto"/>
        <w:ind w:firstLine="562" w:firstLineChars="200"/>
        <w:rPr>
          <w:rFonts w:ascii="Times New Roman" w:hAnsi="Times New Roman" w:eastAsia="宋体" w:cs="Times New Roman"/>
          <w:b/>
          <w:bCs/>
          <w:color w:val="auto"/>
          <w:sz w:val="28"/>
          <w:szCs w:val="28"/>
          <w:vertAlign w:val="baseline"/>
        </w:rPr>
      </w:pPr>
      <w:r>
        <w:rPr>
          <w:rFonts w:ascii="Times New Roman" w:hAnsi="Times New Roman" w:eastAsia="宋体" w:cs="Times New Roman"/>
          <w:b/>
          <w:bCs/>
          <w:color w:val="auto"/>
          <w:sz w:val="28"/>
          <w:szCs w:val="28"/>
          <w:vertAlign w:val="baseline"/>
        </w:rPr>
        <w:t xml:space="preserve">Appendix C: </w:t>
      </w:r>
      <w:r>
        <w:rPr>
          <w:rFonts w:hint="eastAsia" w:ascii="Times New Roman" w:hAnsi="Times New Roman" w:eastAsia="宋体" w:cs="Times New Roman"/>
          <w:b/>
          <w:bCs/>
          <w:color w:val="auto"/>
          <w:sz w:val="28"/>
          <w:szCs w:val="28"/>
          <w:vertAlign w:val="baseline"/>
        </w:rPr>
        <w:t>Supplementary Analysis Results and Visualizations</w:t>
      </w:r>
    </w:p>
    <w:p w14:paraId="41B49C40">
      <w:pPr>
        <w:spacing w:after="0" w:line="279" w:lineRule="auto"/>
        <w:ind w:firstLine="442" w:firstLineChars="200"/>
        <w:jc w:val="both"/>
        <w:rPr>
          <w:rFonts w:ascii="Times New Roman" w:hAnsi="Times New Roman" w:eastAsia="宋体" w:cs="Times New Roman"/>
          <w:b/>
          <w:bCs/>
          <w:vertAlign w:val="baseline"/>
        </w:rPr>
      </w:pPr>
      <w:r>
        <w:rPr>
          <w:rFonts w:ascii="Times New Roman" w:hAnsi="Times New Roman" w:eastAsia="宋体" w:cs="Times New Roman"/>
          <w:b/>
          <w:bCs/>
          <w:vertAlign w:val="baseline"/>
        </w:rPr>
        <w:t xml:space="preserve">C.1 </w:t>
      </w:r>
      <w:r>
        <w:rPr>
          <w:rFonts w:hint="eastAsia" w:ascii="Times New Roman" w:hAnsi="Times New Roman" w:eastAsia="宋体" w:cs="Times New Roman"/>
          <w:b/>
          <w:bCs/>
          <w:vertAlign w:val="baseline"/>
        </w:rPr>
        <w:t>Baseline Results of Traditional Bibliometric Analysis</w:t>
      </w:r>
    </w:p>
    <w:p w14:paraId="374F7F29">
      <w:pPr>
        <w:spacing w:after="0" w:line="279" w:lineRule="auto"/>
        <w:ind w:firstLine="440" w:firstLineChars="200"/>
        <w:jc w:val="both"/>
        <w:rPr>
          <w:rFonts w:ascii="Times New Roman" w:hAnsi="Times New Roman" w:eastAsia="宋体" w:cs="Times New Roman"/>
          <w:vertAlign w:val="baseline"/>
        </w:rPr>
      </w:pPr>
      <w:r>
        <w:rPr>
          <w:rFonts w:hint="eastAsia" w:ascii="Times New Roman" w:hAnsi="Times New Roman" w:eastAsia="宋体" w:cs="Times New Roman"/>
          <w:vertAlign w:val="baseline"/>
        </w:rPr>
        <w:t>Figures C1 and C2 serve as baseline analyses without critical modifications, presenting mainstream research frontiers, intellectual foundations and hot topics in the field, providing a comparative background for the critical analysis in the main text.</w:t>
      </w:r>
    </w:p>
    <w:p w14:paraId="34334784">
      <w:pPr>
        <w:spacing w:after="0" w:line="279" w:lineRule="auto"/>
        <w:ind w:firstLine="440" w:firstLineChars="200"/>
        <w:jc w:val="center"/>
        <w:rPr>
          <w:rFonts w:ascii="Times New Roman" w:hAnsi="Times New Roman" w:eastAsia="宋体" w:cs="Times New Roman"/>
          <w:vertAlign w:val="baseline"/>
        </w:rPr>
      </w:pPr>
      <w:r>
        <w:rPr>
          <w:rFonts w:hint="eastAsia" w:ascii="Times New Roman" w:hAnsi="Times New Roman" w:eastAsia="宋体" w:cs="Times New Roman"/>
          <w:vertAlign w:val="baseline"/>
        </w:rPr>
        <w:drawing>
          <wp:inline distT="0" distB="0" distL="114300" distR="114300">
            <wp:extent cx="3684270" cy="3227705"/>
            <wp:effectExtent l="0" t="0" r="11430" b="10795"/>
            <wp:docPr id="4" name="图片 4" descr="传统共被引网络聚类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传统共被引网络聚类图"/>
                    <pic:cNvPicPr>
                      <a:picLocks noChangeAspect="1"/>
                    </pic:cNvPicPr>
                  </pic:nvPicPr>
                  <pic:blipFill>
                    <a:blip r:embed="rId7"/>
                    <a:srcRect l="3002" t="8729" r="2821" b="8765"/>
                    <a:stretch>
                      <a:fillRect/>
                    </a:stretch>
                  </pic:blipFill>
                  <pic:spPr>
                    <a:xfrm>
                      <a:off x="0" y="0"/>
                      <a:ext cx="3684270" cy="3227705"/>
                    </a:xfrm>
                    <a:prstGeom prst="rect">
                      <a:avLst/>
                    </a:prstGeom>
                  </pic:spPr>
                </pic:pic>
              </a:graphicData>
            </a:graphic>
          </wp:inline>
        </w:drawing>
      </w:r>
    </w:p>
    <w:p w14:paraId="2F5849B7">
      <w:pPr>
        <w:spacing w:after="0" w:line="279" w:lineRule="auto"/>
        <w:ind w:firstLine="361" w:firstLineChars="200"/>
        <w:jc w:val="center"/>
        <w:rPr>
          <w:rFonts w:hint="eastAsia" w:ascii="Times New Roman" w:hAnsi="Times New Roman" w:eastAsia="宋体" w:cs="Times New Roman"/>
          <w:b/>
          <w:bCs/>
          <w:sz w:val="18"/>
          <w:szCs w:val="18"/>
          <w:vertAlign w:val="baseline"/>
        </w:rPr>
      </w:pPr>
      <w:r>
        <w:rPr>
          <w:rFonts w:hint="eastAsia" w:ascii="Times New Roman" w:hAnsi="Times New Roman" w:eastAsia="宋体" w:cs="Times New Roman"/>
          <w:b/>
          <w:bCs/>
          <w:sz w:val="18"/>
          <w:szCs w:val="18"/>
          <w:vertAlign w:val="baseline"/>
        </w:rPr>
        <w:t>Figure C1 Traditional Co-Citation Network Clustering Map</w:t>
      </w:r>
    </w:p>
    <w:p w14:paraId="370A21EC">
      <w:pPr>
        <w:spacing w:after="0" w:line="279" w:lineRule="auto"/>
        <w:ind w:firstLine="440" w:firstLineChars="200"/>
        <w:jc w:val="center"/>
        <w:rPr>
          <w:rFonts w:ascii="Times New Roman" w:hAnsi="Times New Roman" w:eastAsia="宋体" w:cs="Times New Roman"/>
          <w:vertAlign w:val="baseline"/>
        </w:rPr>
      </w:pPr>
      <w:r>
        <w:rPr>
          <w:rFonts w:hint="eastAsia" w:ascii="Times New Roman" w:hAnsi="Times New Roman" w:eastAsia="宋体" w:cs="Times New Roman"/>
          <w:vertAlign w:val="baseline"/>
        </w:rPr>
        <w:drawing>
          <wp:inline distT="0" distB="0" distL="114300" distR="114300">
            <wp:extent cx="3700145" cy="3636645"/>
            <wp:effectExtent l="0" t="0" r="14605" b="1905"/>
            <wp:docPr id="5" name="图片 5" descr="高频关键词共现网络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高频关键词共现网络图"/>
                    <pic:cNvPicPr>
                      <a:picLocks noChangeAspect="1"/>
                    </pic:cNvPicPr>
                  </pic:nvPicPr>
                  <pic:blipFill>
                    <a:blip r:embed="rId8"/>
                    <a:srcRect l="3307" t="3686" r="2360" b="3600"/>
                    <a:stretch>
                      <a:fillRect/>
                    </a:stretch>
                  </pic:blipFill>
                  <pic:spPr>
                    <a:xfrm>
                      <a:off x="0" y="0"/>
                      <a:ext cx="3700145" cy="3636645"/>
                    </a:xfrm>
                    <a:prstGeom prst="rect">
                      <a:avLst/>
                    </a:prstGeom>
                  </pic:spPr>
                </pic:pic>
              </a:graphicData>
            </a:graphic>
          </wp:inline>
        </w:drawing>
      </w:r>
    </w:p>
    <w:p w14:paraId="777F44AD">
      <w:pPr>
        <w:spacing w:after="0" w:line="279" w:lineRule="auto"/>
        <w:ind w:firstLine="361" w:firstLineChars="200"/>
        <w:jc w:val="center"/>
        <w:rPr>
          <w:rFonts w:ascii="Times New Roman" w:hAnsi="Times New Roman" w:eastAsia="宋体" w:cs="Times New Roman"/>
          <w:b/>
          <w:bCs/>
          <w:sz w:val="18"/>
          <w:szCs w:val="18"/>
          <w:vertAlign w:val="baseline"/>
        </w:rPr>
      </w:pPr>
      <w:r>
        <w:rPr>
          <w:rFonts w:hint="eastAsia" w:ascii="Times New Roman" w:hAnsi="Times New Roman" w:eastAsia="宋体" w:cs="Times New Roman"/>
          <w:b/>
          <w:bCs/>
          <w:sz w:val="18"/>
          <w:szCs w:val="18"/>
          <w:vertAlign w:val="baseline"/>
        </w:rPr>
        <w:t>Figure C2 High-Frequency Keyword Co-Occurrence Network Map</w:t>
      </w:r>
    </w:p>
    <w:p w14:paraId="0425D4A7">
      <w:pPr>
        <w:spacing w:after="0" w:line="279" w:lineRule="auto"/>
        <w:ind w:firstLine="442" w:firstLineChars="200"/>
        <w:jc w:val="both"/>
        <w:rPr>
          <w:rFonts w:ascii="Times New Roman" w:hAnsi="Times New Roman" w:eastAsia="宋体" w:cs="Times New Roman"/>
          <w:b/>
          <w:bCs/>
          <w:vertAlign w:val="baseline"/>
        </w:rPr>
      </w:pPr>
      <w:r>
        <w:rPr>
          <w:rFonts w:ascii="Times New Roman" w:hAnsi="Times New Roman" w:eastAsia="宋体" w:cs="Times New Roman"/>
          <w:b/>
          <w:bCs/>
          <w:vertAlign w:val="baseline"/>
        </w:rPr>
        <w:t xml:space="preserve">C.2 </w:t>
      </w:r>
      <w:r>
        <w:rPr>
          <w:rFonts w:hint="eastAsia" w:ascii="Times New Roman" w:hAnsi="Times New Roman" w:eastAsia="宋体" w:cs="Times New Roman"/>
          <w:b/>
          <w:bCs/>
          <w:vertAlign w:val="baseline"/>
        </w:rPr>
        <w:t>Heatmap of Algorithmic Bias</w:t>
      </w:r>
    </w:p>
    <w:p w14:paraId="7FCE1870">
      <w:pPr>
        <w:spacing w:after="0" w:line="279" w:lineRule="auto"/>
        <w:ind w:firstLine="442" w:firstLineChars="200"/>
        <w:jc w:val="both"/>
        <w:rPr>
          <w:rFonts w:ascii="Times New Roman" w:hAnsi="Times New Roman" w:eastAsia="宋体" w:cs="Times New Roman"/>
          <w:vertAlign w:val="baseline"/>
        </w:rPr>
      </w:pPr>
      <w:r>
        <w:rPr>
          <w:rFonts w:hint="eastAsia" w:ascii="Times New Roman" w:hAnsi="Times New Roman" w:eastAsia="宋体" w:cs="Times New Roman"/>
          <w:b/>
          <w:bCs/>
          <w:vertAlign w:val="baseline"/>
        </w:rPr>
        <w:t xml:space="preserve">Figure C3 </w:t>
      </w:r>
      <w:r>
        <w:rPr>
          <w:rFonts w:hint="eastAsia" w:ascii="Times New Roman" w:hAnsi="Times New Roman" w:eastAsia="宋体" w:cs="Times New Roman"/>
          <w:b w:val="0"/>
          <w:bCs w:val="0"/>
          <w:vertAlign w:val="baseline"/>
        </w:rPr>
        <w:t xml:space="preserve">uses UNESCO regions as rows and major academic platforms (WoS, Scopus, Google Scholar) as columns. The color intensity of each cell represents the average relative frequency of papers by scholars from that region appearing in </w:t>
      </w:r>
      <w:r>
        <w:rPr>
          <w:rFonts w:hint="default" w:ascii="Times New Roman" w:hAnsi="Times New Roman" w:eastAsia="宋体" w:cs="Times New Roman"/>
          <w:b w:val="0"/>
          <w:bCs w:val="0"/>
          <w:vertAlign w:val="baseline"/>
          <w:lang w:val="en-US" w:eastAsia="zh-CN"/>
        </w:rPr>
        <w:t>“</w:t>
      </w:r>
      <w:r>
        <w:rPr>
          <w:rFonts w:hint="eastAsia" w:ascii="Times New Roman" w:hAnsi="Times New Roman" w:eastAsia="宋体" w:cs="Times New Roman"/>
          <w:b w:val="0"/>
          <w:bCs w:val="0"/>
          <w:vertAlign w:val="baseline"/>
        </w:rPr>
        <w:t>recommended</w:t>
      </w:r>
      <w:r>
        <w:rPr>
          <w:rFonts w:hint="default" w:ascii="Times New Roman" w:hAnsi="Times New Roman" w:eastAsia="宋体" w:cs="Times New Roman"/>
          <w:b w:val="0"/>
          <w:bCs w:val="0"/>
          <w:vertAlign w:val="baseline"/>
          <w:lang w:val="en-US" w:eastAsia="zh-CN"/>
        </w:rPr>
        <w:t>”</w:t>
      </w:r>
      <w:r>
        <w:rPr>
          <w:rFonts w:hint="eastAsia" w:ascii="Times New Roman" w:hAnsi="Times New Roman" w:eastAsia="宋体" w:cs="Times New Roman"/>
          <w:b w:val="0"/>
          <w:bCs w:val="0"/>
          <w:vertAlign w:val="baseline"/>
        </w:rPr>
        <w:t xml:space="preserve"> or </w:t>
      </w:r>
      <w:r>
        <w:rPr>
          <w:rFonts w:hint="default" w:ascii="Times New Roman" w:hAnsi="Times New Roman" w:eastAsia="宋体" w:cs="Times New Roman"/>
          <w:b w:val="0"/>
          <w:bCs w:val="0"/>
          <w:vertAlign w:val="baseline"/>
          <w:lang w:val="en-US" w:eastAsia="zh-CN"/>
        </w:rPr>
        <w:t>“</w:t>
      </w:r>
      <w:r>
        <w:rPr>
          <w:rFonts w:hint="eastAsia" w:ascii="Times New Roman" w:hAnsi="Times New Roman" w:eastAsia="宋体" w:cs="Times New Roman"/>
          <w:b w:val="0"/>
          <w:bCs w:val="0"/>
          <w:vertAlign w:val="baseline"/>
        </w:rPr>
        <w:t>related</w:t>
      </w:r>
      <w:r>
        <w:rPr>
          <w:rFonts w:hint="default" w:ascii="Times New Roman" w:hAnsi="Times New Roman" w:eastAsia="宋体" w:cs="Times New Roman"/>
          <w:b w:val="0"/>
          <w:bCs w:val="0"/>
          <w:vertAlign w:val="baseline"/>
          <w:lang w:val="en-US" w:eastAsia="zh-CN"/>
        </w:rPr>
        <w:t>”</w:t>
      </w:r>
      <w:r>
        <w:rPr>
          <w:rFonts w:hint="eastAsia" w:ascii="Times New Roman" w:hAnsi="Times New Roman" w:eastAsia="宋体" w:cs="Times New Roman"/>
          <w:b w:val="0"/>
          <w:bCs w:val="0"/>
          <w:vertAlign w:val="baseline"/>
        </w:rPr>
        <w:t xml:space="preserve"> results on the platform (standardized with Europe and North America as the baseline of 1.0). Darker colors indicate over-representation, while lighter colors indicate under-representation, directly revealing geographical bias in </w:t>
      </w:r>
      <w:r>
        <w:rPr>
          <w:rFonts w:hint="default" w:ascii="Times New Roman" w:hAnsi="Times New Roman" w:eastAsia="宋体" w:cs="Times New Roman"/>
          <w:b w:val="0"/>
          <w:bCs w:val="0"/>
          <w:vertAlign w:val="baseline"/>
          <w:lang w:val="en-US" w:eastAsia="zh-CN"/>
        </w:rPr>
        <w:t>“</w:t>
      </w:r>
      <w:r>
        <w:rPr>
          <w:rFonts w:hint="eastAsia" w:ascii="Times New Roman" w:hAnsi="Times New Roman" w:eastAsia="宋体" w:cs="Times New Roman"/>
          <w:b w:val="0"/>
          <w:bCs w:val="0"/>
          <w:vertAlign w:val="baseline"/>
        </w:rPr>
        <w:t>algorithmic visibility</w:t>
      </w:r>
      <w:r>
        <w:rPr>
          <w:rFonts w:hint="default" w:ascii="Times New Roman" w:hAnsi="Times New Roman" w:eastAsia="宋体" w:cs="Times New Roman"/>
          <w:b w:val="0"/>
          <w:bCs w:val="0"/>
          <w:vertAlign w:val="baseline"/>
          <w:lang w:val="en-US" w:eastAsia="zh-CN"/>
        </w:rPr>
        <w:t>”</w:t>
      </w:r>
      <w:r>
        <w:rPr>
          <w:rFonts w:hint="eastAsia" w:ascii="Times New Roman" w:hAnsi="Times New Roman" w:eastAsia="宋体" w:cs="Times New Roman"/>
          <w:b w:val="0"/>
          <w:bCs w:val="0"/>
          <w:vertAlign w:val="baseline"/>
        </w:rPr>
        <w:t>.</w:t>
      </w:r>
    </w:p>
    <w:p w14:paraId="7DA484E8">
      <w:pPr>
        <w:spacing w:after="0" w:line="279" w:lineRule="auto"/>
        <w:ind w:firstLine="440" w:firstLineChars="200"/>
        <w:jc w:val="center"/>
        <w:rPr>
          <w:rFonts w:ascii="Times New Roman" w:hAnsi="Times New Roman" w:eastAsia="宋体" w:cs="Times New Roman"/>
          <w:vertAlign w:val="baseline"/>
        </w:rPr>
      </w:pPr>
      <w:r>
        <w:rPr>
          <w:rFonts w:hint="eastAsia" w:ascii="Times New Roman" w:hAnsi="Times New Roman" w:eastAsia="宋体" w:cs="Times New Roman"/>
          <w:vertAlign w:val="baseline"/>
        </w:rPr>
        <w:drawing>
          <wp:inline distT="0" distB="0" distL="114300" distR="114300">
            <wp:extent cx="5031740" cy="3285490"/>
            <wp:effectExtent l="0" t="0" r="0" b="0"/>
            <wp:docPr id="6" name="图片 6" descr="Figure C3_Platform Recommendation Visibility Heat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Figure C3_Platform Recommendation Visibility Heatmap"/>
                    <pic:cNvPicPr>
                      <a:picLocks noChangeAspect="1"/>
                    </pic:cNvPicPr>
                  </pic:nvPicPr>
                  <pic:blipFill>
                    <a:blip r:embed="rId9"/>
                    <a:srcRect l="1085" t="6374" r="3376" b="9276"/>
                    <a:stretch>
                      <a:fillRect/>
                    </a:stretch>
                  </pic:blipFill>
                  <pic:spPr>
                    <a:xfrm>
                      <a:off x="0" y="0"/>
                      <a:ext cx="5031740" cy="3285490"/>
                    </a:xfrm>
                    <a:prstGeom prst="rect">
                      <a:avLst/>
                    </a:prstGeom>
                  </pic:spPr>
                </pic:pic>
              </a:graphicData>
            </a:graphic>
          </wp:inline>
        </w:drawing>
      </w:r>
    </w:p>
    <w:p w14:paraId="11CE1775">
      <w:pPr>
        <w:spacing w:after="0" w:line="279" w:lineRule="auto"/>
        <w:ind w:firstLine="361" w:firstLineChars="200"/>
        <w:jc w:val="center"/>
        <w:rPr>
          <w:rFonts w:hint="default" w:ascii="Times New Roman" w:hAnsi="Times New Roman" w:eastAsia="宋体" w:cs="Times New Roman"/>
          <w:b/>
          <w:bCs/>
          <w:sz w:val="18"/>
          <w:szCs w:val="18"/>
          <w:vertAlign w:val="baseline"/>
          <w:lang w:val="en-US" w:eastAsia="zh-CN"/>
        </w:rPr>
      </w:pPr>
      <w:r>
        <w:rPr>
          <w:rFonts w:ascii="Times New Roman" w:hAnsi="Times New Roman" w:eastAsia="宋体" w:cs="Times New Roman"/>
          <w:b/>
          <w:bCs/>
          <w:sz w:val="18"/>
          <w:szCs w:val="18"/>
          <w:vertAlign w:val="baseline"/>
        </w:rPr>
        <w:t xml:space="preserve">Figure C3 </w:t>
      </w:r>
      <w:r>
        <w:rPr>
          <w:rFonts w:hint="eastAsia" w:ascii="Times New Roman" w:hAnsi="Times New Roman" w:eastAsia="宋体" w:cs="Times New Roman"/>
          <w:b/>
          <w:bCs/>
          <w:sz w:val="18"/>
          <w:szCs w:val="18"/>
          <w:vertAlign w:val="baseline"/>
        </w:rPr>
        <w:t>Heatmap</w:t>
      </w:r>
      <w:r>
        <w:rPr>
          <w:rFonts w:hint="eastAsia" w:ascii="Times New Roman" w:hAnsi="Times New Roman" w:eastAsia="宋体" w:cs="Times New Roman"/>
          <w:b/>
          <w:bCs/>
          <w:sz w:val="18"/>
          <w:szCs w:val="18"/>
          <w:vertAlign w:val="baseline"/>
          <w:lang w:val="en-US" w:eastAsia="zh-CN"/>
        </w:rPr>
        <w:t xml:space="preserve"> of </w:t>
      </w:r>
      <w:r>
        <w:rPr>
          <w:rFonts w:hint="eastAsia" w:ascii="Times New Roman" w:hAnsi="Times New Roman" w:eastAsia="宋体" w:cs="Times New Roman"/>
          <w:b/>
          <w:bCs/>
          <w:sz w:val="18"/>
          <w:szCs w:val="18"/>
          <w:vertAlign w:val="baseline"/>
        </w:rPr>
        <w:t xml:space="preserve">Platform Recommendation Visibility </w:t>
      </w:r>
      <w:r>
        <w:rPr>
          <w:rFonts w:hint="eastAsia" w:ascii="Times New Roman" w:hAnsi="Times New Roman" w:eastAsia="宋体" w:cs="Times New Roman"/>
          <w:b/>
          <w:bCs/>
          <w:sz w:val="18"/>
          <w:szCs w:val="18"/>
          <w:vertAlign w:val="baseline"/>
          <w:lang w:val="en-US" w:eastAsia="zh-CN"/>
        </w:rPr>
        <w:t>by UNESCO Region (1992-2024)</w:t>
      </w:r>
    </w:p>
    <w:p w14:paraId="4D6D3364">
      <w:pPr>
        <w:spacing w:after="0" w:line="279" w:lineRule="auto"/>
        <w:ind w:firstLine="440" w:firstLineChars="200"/>
        <w:jc w:val="both"/>
        <w:rPr>
          <w:rFonts w:ascii="Times New Roman" w:hAnsi="Times New Roman" w:eastAsia="宋体" w:cs="Times New Roman"/>
          <w:vertAlign w:val="baseline"/>
        </w:rPr>
      </w:pPr>
      <w:r>
        <w:rPr>
          <w:rFonts w:hint="eastAsia" w:ascii="Times New Roman" w:hAnsi="Times New Roman" w:eastAsia="宋体" w:cs="Times New Roman"/>
          <w:vertAlign w:val="baseline"/>
        </w:rPr>
        <w:t>Note: 1. Baseline value: visibility frequency of Europe and North America = 1.0 (marked with "*"); 2. Relative visibility frequency = actual visibility frequency of the region / baseline value; 3. Data source: algorithmic ethnography "interface walkthrough" records (n=312 search paths) and recommendation tracking results (see Appendix A.3 for details); 4. Meaning of color intensity: light blue = severe under-visibility, dark orange = baseline visibility, directly reflecting geographical bias in algorithmic visibility.</w:t>
      </w:r>
    </w:p>
    <w:p w14:paraId="7B906ECD">
      <w:pPr>
        <w:spacing w:after="0" w:line="279" w:lineRule="auto"/>
        <w:ind w:firstLine="442" w:firstLineChars="200"/>
        <w:jc w:val="both"/>
        <w:rPr>
          <w:rFonts w:ascii="Times New Roman" w:hAnsi="Times New Roman" w:eastAsia="宋体" w:cs="Times New Roman"/>
          <w:b/>
          <w:bCs/>
          <w:vertAlign w:val="baseline"/>
        </w:rPr>
      </w:pPr>
      <w:r>
        <w:rPr>
          <w:rFonts w:ascii="Times New Roman" w:hAnsi="Times New Roman" w:eastAsia="宋体" w:cs="Times New Roman"/>
          <w:b/>
          <w:bCs/>
          <w:vertAlign w:val="baseline"/>
        </w:rPr>
        <w:t xml:space="preserve">C.3 </w:t>
      </w:r>
      <w:r>
        <w:rPr>
          <w:rFonts w:hint="eastAsia" w:ascii="Times New Roman" w:hAnsi="Times New Roman" w:eastAsia="宋体" w:cs="Times New Roman"/>
          <w:b/>
          <w:bCs/>
          <w:vertAlign w:val="baseline"/>
        </w:rPr>
        <w:t xml:space="preserve">Timeline of Semantic Drift of the </w:t>
      </w:r>
      <w:r>
        <w:rPr>
          <w:rFonts w:hint="default" w:ascii="Times New Roman" w:hAnsi="Times New Roman" w:eastAsia="宋体" w:cs="Times New Roman"/>
          <w:b/>
          <w:bCs/>
          <w:vertAlign w:val="baseline"/>
          <w:lang w:val="en-US" w:eastAsia="zh-CN"/>
        </w:rPr>
        <w:t>“</w:t>
      </w:r>
      <w:r>
        <w:rPr>
          <w:rFonts w:hint="eastAsia" w:ascii="Times New Roman" w:hAnsi="Times New Roman" w:eastAsia="宋体" w:cs="Times New Roman"/>
          <w:b/>
          <w:bCs/>
          <w:vertAlign w:val="baseline"/>
        </w:rPr>
        <w:t>Sustainability</w:t>
      </w:r>
      <w:r>
        <w:rPr>
          <w:rFonts w:hint="default" w:ascii="Times New Roman" w:hAnsi="Times New Roman" w:eastAsia="宋体" w:cs="Times New Roman"/>
          <w:b/>
          <w:bCs/>
          <w:vertAlign w:val="baseline"/>
          <w:lang w:val="en-US" w:eastAsia="zh-CN"/>
        </w:rPr>
        <w:t>”</w:t>
      </w:r>
      <w:r>
        <w:rPr>
          <w:rFonts w:hint="eastAsia" w:ascii="Times New Roman" w:hAnsi="Times New Roman" w:eastAsia="宋体" w:cs="Times New Roman"/>
          <w:b/>
          <w:bCs/>
          <w:vertAlign w:val="baseline"/>
        </w:rPr>
        <w:t xml:space="preserve"> Concept</w:t>
      </w:r>
    </w:p>
    <w:p w14:paraId="208C8B02">
      <w:pPr>
        <w:spacing w:after="0" w:line="279" w:lineRule="auto"/>
        <w:ind w:firstLine="442" w:firstLineChars="200"/>
        <w:jc w:val="both"/>
        <w:rPr>
          <w:rFonts w:ascii="Times New Roman" w:hAnsi="Times New Roman" w:eastAsia="宋体" w:cs="Times New Roman"/>
          <w:vertAlign w:val="baseline"/>
        </w:rPr>
      </w:pPr>
      <w:r>
        <w:rPr>
          <w:rFonts w:hint="eastAsia" w:ascii="Times New Roman" w:hAnsi="Times New Roman" w:eastAsia="宋体" w:cs="Times New Roman"/>
          <w:b/>
          <w:bCs/>
          <w:vertAlign w:val="baseline"/>
        </w:rPr>
        <w:t xml:space="preserve">Figure C4 </w:t>
      </w:r>
      <w:r>
        <w:rPr>
          <w:rFonts w:hint="eastAsia" w:ascii="Times New Roman" w:hAnsi="Times New Roman" w:eastAsia="宋体" w:cs="Times New Roman"/>
          <w:b w:val="0"/>
          <w:bCs w:val="0"/>
          <w:vertAlign w:val="baseline"/>
        </w:rPr>
        <w:t xml:space="preserve">shows changes in high-frequency keyword clusters co-occurring with </w:t>
      </w:r>
      <w:r>
        <w:rPr>
          <w:rFonts w:hint="default" w:ascii="Times New Roman" w:hAnsi="Times New Roman" w:eastAsia="宋体" w:cs="Times New Roman"/>
          <w:b w:val="0"/>
          <w:bCs w:val="0"/>
          <w:vertAlign w:val="baseline"/>
          <w:lang w:val="en-US" w:eastAsia="zh-CN"/>
        </w:rPr>
        <w:t>“</w:t>
      </w:r>
      <w:r>
        <w:rPr>
          <w:rFonts w:hint="eastAsia" w:ascii="Times New Roman" w:hAnsi="Times New Roman" w:eastAsia="宋体" w:cs="Times New Roman"/>
          <w:b w:val="0"/>
          <w:bCs w:val="0"/>
          <w:vertAlign w:val="baseline"/>
        </w:rPr>
        <w:t>sustainability</w:t>
      </w:r>
      <w:r>
        <w:rPr>
          <w:rFonts w:hint="default" w:ascii="Times New Roman" w:hAnsi="Times New Roman" w:eastAsia="宋体" w:cs="Times New Roman"/>
          <w:b w:val="0"/>
          <w:bCs w:val="0"/>
          <w:vertAlign w:val="baseline"/>
          <w:lang w:val="en-US" w:eastAsia="zh-CN"/>
        </w:rPr>
        <w:t>”</w:t>
      </w:r>
      <w:r>
        <w:rPr>
          <w:rFonts w:hint="eastAsia" w:ascii="Times New Roman" w:hAnsi="Times New Roman" w:eastAsia="宋体" w:cs="Times New Roman"/>
          <w:b w:val="0"/>
          <w:bCs w:val="0"/>
          <w:vertAlign w:val="baseline"/>
        </w:rPr>
        <w:t xml:space="preserve"> and their connection strength in 5-year time slices. It directly reveals how early scattered associations (e.g., strong links with </w:t>
      </w:r>
      <w:r>
        <w:rPr>
          <w:rFonts w:hint="default" w:ascii="Times New Roman" w:hAnsi="Times New Roman" w:eastAsia="宋体" w:cs="Times New Roman"/>
          <w:b w:val="0"/>
          <w:bCs w:val="0"/>
          <w:vertAlign w:val="baseline"/>
          <w:lang w:val="en-US" w:eastAsia="zh-CN"/>
        </w:rPr>
        <w:t>“</w:t>
      </w:r>
      <w:r>
        <w:rPr>
          <w:rFonts w:hint="eastAsia" w:ascii="Times New Roman" w:hAnsi="Times New Roman" w:eastAsia="宋体" w:cs="Times New Roman"/>
          <w:b w:val="0"/>
          <w:bCs w:val="0"/>
          <w:vertAlign w:val="baseline"/>
        </w:rPr>
        <w:t>community</w:t>
      </w:r>
      <w:r>
        <w:rPr>
          <w:rFonts w:hint="default" w:ascii="Times New Roman" w:hAnsi="Times New Roman" w:eastAsia="宋体" w:cs="Times New Roman"/>
          <w:b w:val="0"/>
          <w:bCs w:val="0"/>
          <w:vertAlign w:val="baseline"/>
          <w:lang w:val="en-US" w:eastAsia="zh-CN"/>
        </w:rPr>
        <w:t>”</w:t>
      </w:r>
      <w:r>
        <w:rPr>
          <w:rFonts w:hint="eastAsia" w:ascii="Times New Roman" w:hAnsi="Times New Roman" w:eastAsia="宋体" w:cs="Times New Roman"/>
          <w:b w:val="0"/>
          <w:bCs w:val="0"/>
          <w:vertAlign w:val="baseline"/>
        </w:rPr>
        <w:t xml:space="preserve"> and </w:t>
      </w:r>
      <w:r>
        <w:rPr>
          <w:rFonts w:hint="default" w:ascii="Times New Roman" w:hAnsi="Times New Roman" w:eastAsia="宋体" w:cs="Times New Roman"/>
          <w:b w:val="0"/>
          <w:bCs w:val="0"/>
          <w:vertAlign w:val="baseline"/>
          <w:lang w:val="en-US" w:eastAsia="zh-CN"/>
        </w:rPr>
        <w:t>“</w:t>
      </w:r>
      <w:r>
        <w:rPr>
          <w:rFonts w:hint="eastAsia" w:ascii="Times New Roman" w:hAnsi="Times New Roman" w:eastAsia="宋体" w:cs="Times New Roman"/>
          <w:b w:val="0"/>
          <w:bCs w:val="0"/>
          <w:vertAlign w:val="baseline"/>
        </w:rPr>
        <w:t>ecology</w:t>
      </w:r>
      <w:r>
        <w:rPr>
          <w:rFonts w:hint="default" w:ascii="Times New Roman" w:hAnsi="Times New Roman" w:eastAsia="宋体" w:cs="Times New Roman"/>
          <w:b w:val="0"/>
          <w:bCs w:val="0"/>
          <w:vertAlign w:val="baseline"/>
          <w:lang w:val="en-US" w:eastAsia="zh-CN"/>
        </w:rPr>
        <w:t>”</w:t>
      </w:r>
      <w:r>
        <w:rPr>
          <w:rFonts w:hint="eastAsia" w:ascii="Times New Roman" w:hAnsi="Times New Roman" w:eastAsia="宋体" w:cs="Times New Roman"/>
          <w:b w:val="0"/>
          <w:bCs w:val="0"/>
          <w:vertAlign w:val="baseline"/>
        </w:rPr>
        <w:t xml:space="preserve">) were gradually dominated by later, more concentrated keyword clusters related to management and economics (e.g., </w:t>
      </w:r>
      <w:r>
        <w:rPr>
          <w:rFonts w:hint="default" w:ascii="Times New Roman" w:hAnsi="Times New Roman" w:eastAsia="宋体" w:cs="Times New Roman"/>
          <w:b w:val="0"/>
          <w:bCs w:val="0"/>
          <w:vertAlign w:val="baseline"/>
          <w:lang w:val="en-US" w:eastAsia="zh-CN"/>
        </w:rPr>
        <w:t>“</w:t>
      </w:r>
      <w:r>
        <w:rPr>
          <w:rFonts w:hint="eastAsia" w:ascii="Times New Roman" w:hAnsi="Times New Roman" w:eastAsia="宋体" w:cs="Times New Roman"/>
          <w:b w:val="0"/>
          <w:bCs w:val="0"/>
          <w:vertAlign w:val="baseline"/>
        </w:rPr>
        <w:t>management</w:t>
      </w:r>
      <w:r>
        <w:rPr>
          <w:rFonts w:hint="default" w:ascii="Times New Roman" w:hAnsi="Times New Roman" w:eastAsia="宋体" w:cs="Times New Roman"/>
          <w:b w:val="0"/>
          <w:bCs w:val="0"/>
          <w:vertAlign w:val="baseline"/>
          <w:lang w:val="en-US" w:eastAsia="zh-CN"/>
        </w:rPr>
        <w:t>”</w:t>
      </w:r>
      <w:r>
        <w:rPr>
          <w:rFonts w:hint="eastAsia" w:ascii="Times New Roman" w:hAnsi="Times New Roman" w:eastAsia="宋体" w:cs="Times New Roman"/>
          <w:b w:val="0"/>
          <w:bCs w:val="0"/>
          <w:vertAlign w:val="baseline"/>
        </w:rPr>
        <w:t xml:space="preserve">, </w:t>
      </w:r>
      <w:r>
        <w:rPr>
          <w:rFonts w:hint="default" w:ascii="Times New Roman" w:hAnsi="Times New Roman" w:eastAsia="宋体" w:cs="Times New Roman"/>
          <w:b w:val="0"/>
          <w:bCs w:val="0"/>
          <w:vertAlign w:val="baseline"/>
          <w:lang w:val="en-US" w:eastAsia="zh-CN"/>
        </w:rPr>
        <w:t>“</w:t>
      </w:r>
      <w:r>
        <w:rPr>
          <w:rFonts w:hint="eastAsia" w:ascii="Times New Roman" w:hAnsi="Times New Roman" w:eastAsia="宋体" w:cs="Times New Roman"/>
          <w:b w:val="0"/>
          <w:bCs w:val="0"/>
          <w:vertAlign w:val="baseline"/>
        </w:rPr>
        <w:t>economic growth</w:t>
      </w:r>
      <w:r>
        <w:rPr>
          <w:rFonts w:hint="default" w:ascii="Times New Roman" w:hAnsi="Times New Roman" w:eastAsia="宋体" w:cs="Times New Roman"/>
          <w:b w:val="0"/>
          <w:bCs w:val="0"/>
          <w:vertAlign w:val="baseline"/>
          <w:lang w:val="en-US" w:eastAsia="zh-CN"/>
        </w:rPr>
        <w:t>”</w:t>
      </w:r>
      <w:r>
        <w:rPr>
          <w:rFonts w:hint="eastAsia" w:ascii="Times New Roman" w:hAnsi="Times New Roman" w:eastAsia="宋体" w:cs="Times New Roman"/>
          <w:b w:val="0"/>
          <w:bCs w:val="0"/>
          <w:vertAlign w:val="baseline"/>
        </w:rPr>
        <w:t xml:space="preserve">, </w:t>
      </w:r>
      <w:r>
        <w:rPr>
          <w:rFonts w:hint="default" w:ascii="Times New Roman" w:hAnsi="Times New Roman" w:eastAsia="宋体" w:cs="Times New Roman"/>
          <w:b w:val="0"/>
          <w:bCs w:val="0"/>
          <w:vertAlign w:val="baseline"/>
          <w:lang w:val="en-US" w:eastAsia="zh-CN"/>
        </w:rPr>
        <w:t>“</w:t>
      </w:r>
      <w:r>
        <w:rPr>
          <w:rFonts w:hint="eastAsia" w:ascii="Times New Roman" w:hAnsi="Times New Roman" w:eastAsia="宋体" w:cs="Times New Roman"/>
          <w:b w:val="0"/>
          <w:bCs w:val="0"/>
          <w:vertAlign w:val="baseline"/>
        </w:rPr>
        <w:t>destination branding</w:t>
      </w:r>
      <w:r>
        <w:rPr>
          <w:rFonts w:hint="default" w:ascii="Times New Roman" w:hAnsi="Times New Roman" w:eastAsia="宋体" w:cs="Times New Roman"/>
          <w:b w:val="0"/>
          <w:bCs w:val="0"/>
          <w:vertAlign w:val="baseline"/>
          <w:lang w:val="en-US" w:eastAsia="zh-CN"/>
        </w:rPr>
        <w:t>”</w:t>
      </w:r>
      <w:r>
        <w:rPr>
          <w:rFonts w:hint="eastAsia" w:ascii="Times New Roman" w:hAnsi="Times New Roman" w:eastAsia="宋体" w:cs="Times New Roman"/>
          <w:b w:val="0"/>
          <w:bCs w:val="0"/>
          <w:vertAlign w:val="baseline"/>
        </w:rPr>
        <w:t>).</w:t>
      </w:r>
    </w:p>
    <w:p w14:paraId="4FC32521">
      <w:pPr>
        <w:spacing w:after="0" w:line="279" w:lineRule="auto"/>
        <w:ind w:firstLine="440" w:firstLineChars="200"/>
        <w:jc w:val="center"/>
        <w:rPr>
          <w:rFonts w:ascii="Times New Roman" w:hAnsi="Times New Roman" w:eastAsia="宋体" w:cs="Times New Roman"/>
          <w:vertAlign w:val="baseline"/>
        </w:rPr>
      </w:pPr>
      <w:r>
        <w:rPr>
          <w:vertAlign w:val="baseline"/>
        </w:rPr>
        <w:drawing>
          <wp:inline distT="0" distB="0" distL="114300" distR="114300">
            <wp:extent cx="5268595" cy="1478280"/>
            <wp:effectExtent l="0" t="0" r="8255" b="762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10"/>
                    <a:stretch>
                      <a:fillRect/>
                    </a:stretch>
                  </pic:blipFill>
                  <pic:spPr>
                    <a:xfrm>
                      <a:off x="0" y="0"/>
                      <a:ext cx="5268595" cy="1478280"/>
                    </a:xfrm>
                    <a:prstGeom prst="rect">
                      <a:avLst/>
                    </a:prstGeom>
                    <a:noFill/>
                    <a:ln>
                      <a:noFill/>
                    </a:ln>
                  </pic:spPr>
                </pic:pic>
              </a:graphicData>
            </a:graphic>
          </wp:inline>
        </w:drawing>
      </w:r>
    </w:p>
    <w:p w14:paraId="0374C388">
      <w:pPr>
        <w:spacing w:after="0" w:line="279" w:lineRule="auto"/>
        <w:ind w:firstLine="361" w:firstLineChars="200"/>
        <w:jc w:val="center"/>
        <w:rPr>
          <w:rFonts w:ascii="Times New Roman" w:hAnsi="Times New Roman" w:eastAsia="宋体" w:cs="Times New Roman"/>
          <w:b/>
          <w:bCs/>
          <w:sz w:val="18"/>
          <w:szCs w:val="18"/>
          <w:vertAlign w:val="baseline"/>
        </w:rPr>
      </w:pPr>
      <w:r>
        <w:rPr>
          <w:rFonts w:hint="eastAsia" w:ascii="Times New Roman" w:hAnsi="Times New Roman" w:eastAsia="宋体" w:cs="Times New Roman"/>
          <w:b/>
          <w:bCs/>
          <w:sz w:val="18"/>
          <w:szCs w:val="18"/>
          <w:vertAlign w:val="baseline"/>
        </w:rPr>
        <w:t xml:space="preserve">Timeline of Evolution of </w:t>
      </w:r>
      <w:r>
        <w:rPr>
          <w:rFonts w:hint="default" w:ascii="Times New Roman" w:hAnsi="Times New Roman" w:eastAsia="宋体" w:cs="Times New Roman"/>
          <w:b/>
          <w:bCs/>
          <w:sz w:val="18"/>
          <w:szCs w:val="18"/>
          <w:vertAlign w:val="baseline"/>
          <w:lang w:val="en-US" w:eastAsia="zh-CN"/>
        </w:rPr>
        <w:t>“</w:t>
      </w:r>
      <w:r>
        <w:rPr>
          <w:rFonts w:hint="eastAsia" w:ascii="Times New Roman" w:hAnsi="Times New Roman" w:eastAsia="宋体" w:cs="Times New Roman"/>
          <w:b/>
          <w:bCs/>
          <w:sz w:val="18"/>
          <w:szCs w:val="18"/>
          <w:vertAlign w:val="baseline"/>
        </w:rPr>
        <w:t>Sustainability</w:t>
      </w:r>
      <w:r>
        <w:rPr>
          <w:rFonts w:hint="default" w:ascii="Times New Roman" w:hAnsi="Times New Roman" w:eastAsia="宋体" w:cs="Times New Roman"/>
          <w:b/>
          <w:bCs/>
          <w:sz w:val="18"/>
          <w:szCs w:val="18"/>
          <w:vertAlign w:val="baseline"/>
          <w:lang w:val="en-US" w:eastAsia="zh-CN"/>
        </w:rPr>
        <w:t>”</w:t>
      </w:r>
      <w:r>
        <w:rPr>
          <w:rFonts w:hint="eastAsia" w:ascii="Times New Roman" w:hAnsi="Times New Roman" w:eastAsia="宋体" w:cs="Times New Roman"/>
          <w:b/>
          <w:bCs/>
          <w:sz w:val="18"/>
          <w:szCs w:val="18"/>
          <w:vertAlign w:val="baseline"/>
        </w:rPr>
        <w:t xml:space="preserve"> Keyword Co-Occurrence Network</w:t>
      </w:r>
    </w:p>
    <w:p w14:paraId="0C1FCE5E">
      <w:pPr>
        <w:spacing w:after="0" w:line="279" w:lineRule="auto"/>
        <w:ind w:firstLine="442" w:firstLineChars="200"/>
        <w:jc w:val="both"/>
        <w:rPr>
          <w:rFonts w:ascii="Times New Roman" w:hAnsi="Times New Roman" w:eastAsia="宋体" w:cs="Times New Roman"/>
          <w:b/>
          <w:bCs/>
          <w:vertAlign w:val="baseline"/>
        </w:rPr>
      </w:pPr>
      <w:r>
        <w:rPr>
          <w:rFonts w:ascii="Times New Roman" w:hAnsi="Times New Roman" w:eastAsia="宋体" w:cs="Times New Roman"/>
          <w:b/>
          <w:bCs/>
          <w:vertAlign w:val="baseline"/>
        </w:rPr>
        <w:t xml:space="preserve">C.4 </w:t>
      </w:r>
      <w:r>
        <w:rPr>
          <w:rFonts w:hint="eastAsia" w:ascii="Times New Roman" w:hAnsi="Times New Roman" w:eastAsia="宋体" w:cs="Times New Roman"/>
          <w:b/>
          <w:bCs/>
          <w:vertAlign w:val="baseline"/>
        </w:rPr>
        <w:t>Counterfactual Network Comparison Atlas</w:t>
      </w:r>
    </w:p>
    <w:p w14:paraId="066F2BCC">
      <w:pPr>
        <w:spacing w:after="0" w:line="279" w:lineRule="auto"/>
        <w:ind w:firstLine="440" w:firstLineChars="200"/>
        <w:jc w:val="both"/>
        <w:rPr>
          <w:rFonts w:ascii="Times New Roman" w:hAnsi="Times New Roman" w:eastAsia="宋体" w:cs="Times New Roman"/>
          <w:b w:val="0"/>
          <w:bCs w:val="0"/>
          <w:vertAlign w:val="baseline"/>
        </w:rPr>
      </w:pPr>
      <w:r>
        <w:rPr>
          <w:rFonts w:hint="eastAsia" w:ascii="Times New Roman" w:hAnsi="Times New Roman" w:eastAsia="宋体" w:cs="Times New Roman"/>
          <w:b w:val="0"/>
          <w:bCs w:val="0"/>
          <w:vertAlign w:val="baseline"/>
        </w:rPr>
        <w:t xml:space="preserve">Figure C5 atlas presents the global topology of three networks side by side: </w:t>
      </w:r>
      <w:r>
        <w:rPr>
          <w:rFonts w:hint="eastAsia" w:ascii="Times New Roman" w:hAnsi="Times New Roman" w:eastAsia="宋体" w:cs="Times New Roman"/>
          <w:b/>
          <w:bCs/>
          <w:vertAlign w:val="baseline"/>
        </w:rPr>
        <w:t>Network A</w:t>
      </w:r>
      <w:r>
        <w:rPr>
          <w:rFonts w:hint="eastAsia" w:ascii="Times New Roman" w:hAnsi="Times New Roman" w:eastAsia="宋体" w:cs="Times New Roman"/>
          <w:b w:val="0"/>
          <w:bCs w:val="0"/>
          <w:vertAlign w:val="baseline"/>
        </w:rPr>
        <w:t xml:space="preserve"> is the real weighted network (node size = traditional PageRank); </w:t>
      </w:r>
      <w:r>
        <w:rPr>
          <w:rFonts w:hint="eastAsia" w:ascii="Times New Roman" w:hAnsi="Times New Roman" w:eastAsia="宋体" w:cs="Times New Roman"/>
          <w:b/>
          <w:bCs/>
          <w:vertAlign w:val="baseline"/>
        </w:rPr>
        <w:t>Network B</w:t>
      </w:r>
      <w:r>
        <w:rPr>
          <w:rFonts w:hint="eastAsia" w:ascii="Times New Roman" w:hAnsi="Times New Roman" w:eastAsia="宋体" w:cs="Times New Roman"/>
          <w:b w:val="0"/>
          <w:bCs w:val="0"/>
          <w:vertAlign w:val="baseline"/>
        </w:rPr>
        <w:t xml:space="preserve"> is counterfactual network S1 (removal of journal impact factor weights); </w:t>
      </w:r>
      <w:r>
        <w:rPr>
          <w:rFonts w:hint="eastAsia" w:ascii="Times New Roman" w:hAnsi="Times New Roman" w:eastAsia="宋体" w:cs="Times New Roman"/>
          <w:b/>
          <w:bCs/>
          <w:vertAlign w:val="baseline"/>
        </w:rPr>
        <w:t>Network C</w:t>
      </w:r>
      <w:r>
        <w:rPr>
          <w:rFonts w:hint="eastAsia" w:ascii="Times New Roman" w:hAnsi="Times New Roman" w:eastAsia="宋体" w:cs="Times New Roman"/>
          <w:b w:val="0"/>
          <w:bCs w:val="0"/>
          <w:vertAlign w:val="baseline"/>
        </w:rPr>
        <w:t xml:space="preserve"> is counterfactual network S2 (enhanced weights for non-English journals).</w:t>
      </w:r>
    </w:p>
    <w:p w14:paraId="4A940847">
      <w:pPr>
        <w:spacing w:after="0" w:line="279" w:lineRule="auto"/>
        <w:ind w:firstLine="440" w:firstLineChars="200"/>
        <w:jc w:val="center"/>
        <w:rPr>
          <w:rFonts w:ascii="Times New Roman" w:hAnsi="Times New Roman" w:eastAsia="宋体" w:cs="Times New Roman"/>
          <w:vertAlign w:val="baseline"/>
        </w:rPr>
      </w:pPr>
      <w:r>
        <w:rPr>
          <w:rFonts w:hint="eastAsia" w:ascii="Times New Roman" w:hAnsi="Times New Roman" w:eastAsia="宋体" w:cs="Times New Roman"/>
          <w:vertAlign w:val="baseline"/>
        </w:rPr>
        <w:drawing>
          <wp:inline distT="0" distB="0" distL="114300" distR="114300">
            <wp:extent cx="4394835" cy="3990340"/>
            <wp:effectExtent l="0" t="0" r="5715" b="10160"/>
            <wp:docPr id="14" name="图片 14" descr="Figure C5 (反事实网络对比图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Figure C5 (反事实网络对比图集)"/>
                    <pic:cNvPicPr>
                      <a:picLocks noChangeAspect="1"/>
                    </pic:cNvPicPr>
                  </pic:nvPicPr>
                  <pic:blipFill>
                    <a:blip r:embed="rId11"/>
                    <a:stretch>
                      <a:fillRect/>
                    </a:stretch>
                  </pic:blipFill>
                  <pic:spPr>
                    <a:xfrm>
                      <a:off x="0" y="0"/>
                      <a:ext cx="4394835" cy="3990340"/>
                    </a:xfrm>
                    <a:prstGeom prst="rect">
                      <a:avLst/>
                    </a:prstGeom>
                  </pic:spPr>
                </pic:pic>
              </a:graphicData>
            </a:graphic>
          </wp:inline>
        </w:drawing>
      </w:r>
    </w:p>
    <w:p w14:paraId="30315D14">
      <w:pPr>
        <w:spacing w:after="0" w:line="279" w:lineRule="auto"/>
        <w:ind w:firstLine="361" w:firstLineChars="200"/>
        <w:jc w:val="center"/>
        <w:rPr>
          <w:rFonts w:ascii="Times New Roman" w:hAnsi="Times New Roman" w:eastAsia="宋体" w:cs="Times New Roman"/>
          <w:b/>
          <w:bCs/>
          <w:sz w:val="18"/>
          <w:szCs w:val="18"/>
          <w:vertAlign w:val="baseline"/>
        </w:rPr>
      </w:pPr>
      <w:r>
        <w:rPr>
          <w:rFonts w:ascii="Times New Roman" w:hAnsi="Times New Roman" w:eastAsia="宋体" w:cs="Times New Roman"/>
          <w:b/>
          <w:bCs/>
          <w:sz w:val="18"/>
          <w:szCs w:val="18"/>
          <w:vertAlign w:val="baseline"/>
        </w:rPr>
        <w:t xml:space="preserve">Figure C5 </w:t>
      </w:r>
      <w:r>
        <w:rPr>
          <w:rFonts w:hint="eastAsia" w:ascii="Times New Roman" w:hAnsi="Times New Roman" w:eastAsia="宋体" w:cs="Times New Roman"/>
          <w:b/>
          <w:bCs/>
          <w:sz w:val="18"/>
          <w:szCs w:val="18"/>
          <w:vertAlign w:val="baseline"/>
        </w:rPr>
        <w:t>Counterfactual Network Comparison Atlas</w:t>
      </w:r>
    </w:p>
    <w:p w14:paraId="2ECF780F">
      <w:pPr>
        <w:spacing w:after="0" w:line="279" w:lineRule="auto"/>
        <w:ind w:firstLine="440" w:firstLineChars="200"/>
        <w:jc w:val="both"/>
        <w:rPr>
          <w:rFonts w:ascii="Times New Roman" w:hAnsi="Times New Roman" w:eastAsia="宋体" w:cs="Times New Roman"/>
          <w:vertAlign w:val="baseline"/>
        </w:rPr>
      </w:pPr>
      <w:r>
        <w:rPr>
          <w:rFonts w:hint="eastAsia" w:ascii="Times New Roman" w:hAnsi="Times New Roman" w:eastAsia="宋体" w:cs="Times New Roman"/>
          <w:vertAlign w:val="baseline"/>
        </w:rPr>
        <w:t xml:space="preserve">All networks use identical node coordinates with only node sizes varying. The atlas clearly shows how the composition of the network </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core</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 xml:space="preserve"> shifts significantly under different weighting rules.</w:t>
      </w:r>
    </w:p>
    <w:p w14:paraId="2176B92E">
      <w:pPr>
        <w:pStyle w:val="2"/>
        <w:spacing w:before="80" w:line="279" w:lineRule="auto"/>
        <w:ind w:firstLine="562" w:firstLineChars="200"/>
        <w:rPr>
          <w:rFonts w:ascii="Times New Roman" w:hAnsi="Times New Roman" w:eastAsia="宋体" w:cs="Times New Roman"/>
          <w:b/>
          <w:bCs/>
          <w:color w:val="auto"/>
          <w:sz w:val="28"/>
          <w:szCs w:val="28"/>
          <w:vertAlign w:val="baseline"/>
        </w:rPr>
      </w:pPr>
      <w:r>
        <w:rPr>
          <w:rFonts w:ascii="Times New Roman" w:hAnsi="Times New Roman" w:eastAsia="宋体" w:cs="Times New Roman"/>
          <w:b/>
          <w:bCs/>
          <w:color w:val="auto"/>
          <w:sz w:val="28"/>
          <w:szCs w:val="28"/>
          <w:vertAlign w:val="baseline"/>
        </w:rPr>
        <w:t xml:space="preserve">Appendix D: </w:t>
      </w:r>
      <w:r>
        <w:rPr>
          <w:rFonts w:hint="eastAsia" w:ascii="Times New Roman" w:hAnsi="Times New Roman" w:eastAsia="宋体" w:cs="Times New Roman"/>
          <w:b/>
          <w:bCs/>
          <w:color w:val="auto"/>
          <w:sz w:val="28"/>
          <w:szCs w:val="28"/>
          <w:vertAlign w:val="baseline"/>
        </w:rPr>
        <w:t>Reflexive Statement and Ethical Documentation</w:t>
      </w:r>
    </w:p>
    <w:p w14:paraId="0DC8B657">
      <w:pPr>
        <w:spacing w:after="0" w:line="279" w:lineRule="auto"/>
        <w:ind w:firstLine="442" w:firstLineChars="200"/>
        <w:jc w:val="both"/>
        <w:rPr>
          <w:rFonts w:ascii="Times New Roman" w:hAnsi="Times New Roman" w:eastAsia="宋体" w:cs="Times New Roman"/>
          <w:b/>
          <w:bCs/>
          <w:vertAlign w:val="baseline"/>
        </w:rPr>
      </w:pPr>
      <w:r>
        <w:rPr>
          <w:rFonts w:ascii="Times New Roman" w:hAnsi="Times New Roman" w:eastAsia="宋体" w:cs="Times New Roman"/>
          <w:b/>
          <w:bCs/>
          <w:vertAlign w:val="baseline"/>
        </w:rPr>
        <w:t xml:space="preserve">D.1 </w:t>
      </w:r>
      <w:r>
        <w:rPr>
          <w:rFonts w:hint="eastAsia" w:ascii="Times New Roman" w:hAnsi="Times New Roman" w:eastAsia="宋体" w:cs="Times New Roman"/>
          <w:b/>
          <w:bCs/>
          <w:vertAlign w:val="baseline"/>
        </w:rPr>
        <w:t>Researcher Positionality Statement</w:t>
      </w:r>
    </w:p>
    <w:p w14:paraId="62AACD09">
      <w:pPr>
        <w:spacing w:after="0" w:line="279" w:lineRule="auto"/>
        <w:ind w:firstLine="440" w:firstLineChars="200"/>
        <w:jc w:val="both"/>
        <w:rPr>
          <w:rFonts w:ascii="Times New Roman" w:hAnsi="Times New Roman" w:eastAsia="宋体" w:cs="Times New Roman"/>
          <w:vertAlign w:val="baseline"/>
        </w:rPr>
      </w:pPr>
      <w:r>
        <w:rPr>
          <w:rFonts w:hint="eastAsia" w:ascii="Times New Roman" w:hAnsi="Times New Roman" w:eastAsia="宋体" w:cs="Times New Roman"/>
          <w:vertAlign w:val="baseline"/>
        </w:rPr>
        <w:t xml:space="preserve">All members of the research team are affiliated with research institutions in China, a country positioned in the </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semi-periphery</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 xml:space="preserve"> within the global knowledge system. We are proficient in English for international publication and rely heavily on Western-dominated databases such as WoS and Scopus for literature review and academic evaluation. This positionality grants us a unique dual perspective: on the one hand, we personally experience the pressure and exclusion imposed by the global academic hierarchy, with an inherent critical sensitivity to “algorithmic colonialism”; on the other hand, we are also participants and potential beneficiaries of the current system, and our critique may be unconsciously constrained by our academic training and survival strategies. To manage potential biases, we adopt the following measures: (1) team discussion and cross-validation during data coding and interpretation; (2) explicitly limiting our analysis to revealing structural mechanisms and avoiding speaking on behalf of Global South scholars; (3) repeatedly reflecting on and declaring this positional contradiction in the paper. We acknowledge that scholars from more marginal positions in the Global South may hold deeper or different understandings of algorithmic violence.</w:t>
      </w:r>
    </w:p>
    <w:p w14:paraId="76404004">
      <w:pPr>
        <w:spacing w:after="0" w:line="279" w:lineRule="auto"/>
        <w:ind w:firstLine="442" w:firstLineChars="200"/>
        <w:jc w:val="both"/>
        <w:rPr>
          <w:rFonts w:ascii="Times New Roman" w:hAnsi="Times New Roman" w:eastAsia="宋体" w:cs="Times New Roman"/>
          <w:b/>
          <w:bCs/>
          <w:vertAlign w:val="baseline"/>
        </w:rPr>
      </w:pPr>
      <w:r>
        <w:rPr>
          <w:rFonts w:ascii="Times New Roman" w:hAnsi="Times New Roman" w:eastAsia="宋体" w:cs="Times New Roman"/>
          <w:b/>
          <w:bCs/>
          <w:vertAlign w:val="baseline"/>
        </w:rPr>
        <w:t xml:space="preserve">D.2 </w:t>
      </w:r>
      <w:r>
        <w:rPr>
          <w:rFonts w:hint="eastAsia" w:ascii="Times New Roman" w:hAnsi="Times New Roman" w:eastAsia="宋体" w:cs="Times New Roman"/>
          <w:b/>
          <w:bCs/>
          <w:vertAlign w:val="baseline"/>
        </w:rPr>
        <w:t>Ethical Statement on Algorithmic Research</w:t>
      </w:r>
    </w:p>
    <w:p w14:paraId="4D88BC5E">
      <w:pPr>
        <w:spacing w:after="0" w:line="279" w:lineRule="auto"/>
        <w:ind w:firstLine="440" w:firstLineChars="200"/>
        <w:jc w:val="both"/>
        <w:rPr>
          <w:rFonts w:ascii="Times New Roman" w:hAnsi="Times New Roman" w:eastAsia="宋体" w:cs="Times New Roman"/>
          <w:vertAlign w:val="baseline"/>
        </w:rPr>
      </w:pPr>
      <w:r>
        <w:rPr>
          <w:rFonts w:hint="eastAsia" w:ascii="Times New Roman" w:hAnsi="Times New Roman" w:eastAsia="宋体" w:cs="Times New Roman"/>
          <w:vertAlign w:val="baseline"/>
        </w:rPr>
        <w:t>All data in this study are metadata publicly provided by academic platforms (titles, authors, abstracts, references, etc.). Data collection complies with each platform</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s robots.txt protocol and terms of service, without any brute-force scraping. All analyses are conducted at the aggregate level, involving no processing of personally identifiable information, and no attempt to track or analyze individual scholars</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 xml:space="preserve"> behavioral patterns. However, we recognize that this study constitutes a form of </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meta-surveillance</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 surveillance of the surveillance system (academic databases). This raises a recursive ethical question: are we reinforcing the paradigm of quantitative scrutiny of academic activities in the name of critique? To mitigate this risk, we uphold the following: (1) the critical target is always structural power and technical design, not individuals; (2) full transparency of all analytical methods for community oversight; (3) emphasis on the importance of qualitative, contextualized knowledge in research conclusions, opposing the hegemony of quantitative indicators.</w:t>
      </w:r>
    </w:p>
    <w:p w14:paraId="3A848BE2">
      <w:pPr>
        <w:spacing w:after="0" w:line="279" w:lineRule="auto"/>
        <w:ind w:firstLine="442" w:firstLineChars="200"/>
        <w:jc w:val="both"/>
        <w:rPr>
          <w:rFonts w:ascii="Times New Roman" w:hAnsi="Times New Roman" w:eastAsia="宋体" w:cs="Times New Roman"/>
          <w:b/>
          <w:bCs/>
          <w:vertAlign w:val="baseline"/>
        </w:rPr>
      </w:pPr>
      <w:r>
        <w:rPr>
          <w:rFonts w:ascii="Times New Roman" w:hAnsi="Times New Roman" w:eastAsia="宋体" w:cs="Times New Roman"/>
          <w:b/>
          <w:bCs/>
          <w:vertAlign w:val="baseline"/>
        </w:rPr>
        <w:t xml:space="preserve">D.3 </w:t>
      </w:r>
      <w:r>
        <w:rPr>
          <w:rFonts w:hint="eastAsia" w:ascii="Times New Roman" w:hAnsi="Times New Roman" w:eastAsia="宋体" w:cs="Times New Roman"/>
          <w:b/>
          <w:bCs/>
          <w:vertAlign w:val="baseline"/>
        </w:rPr>
        <w:t>Reflective Notes on Methodological Paradox</w:t>
      </w:r>
    </w:p>
    <w:p w14:paraId="11AF43C8">
      <w:pPr>
        <w:spacing w:after="0" w:line="279" w:lineRule="auto"/>
        <w:ind w:firstLine="440" w:firstLineChars="200"/>
        <w:jc w:val="both"/>
        <w:rPr>
          <w:rFonts w:ascii="Times New Roman" w:hAnsi="Times New Roman" w:eastAsia="宋体" w:cs="Times New Roman"/>
          <w:vertAlign w:val="baseline"/>
        </w:rPr>
      </w:pPr>
      <w:r>
        <w:rPr>
          <w:rFonts w:hint="eastAsia" w:ascii="Times New Roman" w:hAnsi="Times New Roman" w:eastAsia="宋体" w:cs="Times New Roman"/>
          <w:vertAlign w:val="baseline"/>
        </w:rPr>
        <w:t xml:space="preserve">This study is embedded in a fundamental methodological paradox: we employ software tools originating and thriving in the Western academic industry, including R, Python, and Gephi, along with bibliometrics—an analytical tradition rooted in Western positivism—to critique the Western-dominated academic knowledge production system. We are, in effect, resisting the empire using its own language and weapons. We recognize that such resistance may be incomplete and may even inadvertently reinforce the very logic it critiques (e.g., by constructing new </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indices</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 xml:space="preserve"> for competition). Our response to this paradox is to abandon a pure, external critical stance and adopt a strategy of </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implosion</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 xml:space="preserve">: operating deep within the system, using its own tools and logic to push them to extremes or create contradictions with its stated commitments (e.g., objectivity, universality), thereby exposing its internal fractures. By making all code publicly available, we aim to place this </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implosive</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 xml:space="preserve"> tool in the hands of the community, for use and adaptation by diverse, potentially more subversive actors.</w:t>
      </w:r>
    </w:p>
    <w:p w14:paraId="17127426">
      <w:pPr>
        <w:pStyle w:val="2"/>
        <w:spacing w:before="80" w:line="279" w:lineRule="auto"/>
        <w:ind w:firstLine="562" w:firstLineChars="200"/>
        <w:rPr>
          <w:rFonts w:ascii="Times New Roman" w:hAnsi="Times New Roman" w:eastAsia="宋体" w:cs="Times New Roman"/>
          <w:b/>
          <w:bCs/>
          <w:color w:val="auto"/>
          <w:sz w:val="28"/>
          <w:szCs w:val="28"/>
          <w:vertAlign w:val="baseline"/>
        </w:rPr>
      </w:pPr>
      <w:r>
        <w:rPr>
          <w:rFonts w:ascii="Times New Roman" w:hAnsi="Times New Roman" w:eastAsia="宋体" w:cs="Times New Roman"/>
          <w:b/>
          <w:bCs/>
          <w:color w:val="auto"/>
          <w:sz w:val="28"/>
          <w:szCs w:val="28"/>
          <w:vertAlign w:val="baseline"/>
        </w:rPr>
        <w:t xml:space="preserve">Appendix E: </w:t>
      </w:r>
      <w:r>
        <w:rPr>
          <w:rFonts w:hint="eastAsia" w:ascii="Times New Roman" w:hAnsi="Times New Roman" w:eastAsia="宋体" w:cs="Times New Roman"/>
          <w:b/>
          <w:bCs/>
          <w:color w:val="auto"/>
          <w:sz w:val="28"/>
          <w:szCs w:val="28"/>
          <w:vertAlign w:val="baseline"/>
        </w:rPr>
        <w:t>Reproducibility Resources</w:t>
      </w:r>
    </w:p>
    <w:p w14:paraId="0028C8C5">
      <w:pPr>
        <w:spacing w:after="0" w:line="279" w:lineRule="auto"/>
        <w:ind w:firstLine="442" w:firstLineChars="200"/>
        <w:jc w:val="both"/>
        <w:rPr>
          <w:rFonts w:ascii="Times New Roman" w:hAnsi="Times New Roman" w:eastAsia="宋体" w:cs="Times New Roman"/>
          <w:b/>
          <w:bCs/>
          <w:vertAlign w:val="baseline"/>
        </w:rPr>
      </w:pPr>
      <w:r>
        <w:rPr>
          <w:rFonts w:ascii="Times New Roman" w:hAnsi="Times New Roman" w:eastAsia="宋体" w:cs="Times New Roman"/>
          <w:b/>
          <w:bCs/>
          <w:vertAlign w:val="baseline"/>
        </w:rPr>
        <w:t xml:space="preserve">E.1 </w:t>
      </w:r>
      <w:r>
        <w:rPr>
          <w:rFonts w:hint="eastAsia" w:ascii="Times New Roman" w:hAnsi="Times New Roman" w:eastAsia="宋体" w:cs="Times New Roman"/>
          <w:b/>
          <w:bCs/>
          <w:vertAlign w:val="baseline"/>
        </w:rPr>
        <w:t>Data Availability Statement</w:t>
      </w:r>
    </w:p>
    <w:p w14:paraId="1319621E">
      <w:pPr>
        <w:spacing w:after="0" w:line="279" w:lineRule="auto"/>
        <w:ind w:firstLine="440"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vertAlign w:val="baseline"/>
        </w:rPr>
        <w:t>Due to copyright agreement restrictions with publishers, we cannot publicly disclose the full-text data of the original literature. However, we provide the following resources to ensure full reproducibility of the study:</w:t>
      </w:r>
    </w:p>
    <w:p w14:paraId="5A17830C">
      <w:pPr>
        <w:numPr>
          <w:ilvl w:val="0"/>
          <w:numId w:val="2"/>
        </w:numPr>
        <w:spacing w:after="0" w:line="279" w:lineRule="auto"/>
        <w:ind w:left="0" w:firstLine="442"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b/>
          <w:bCs/>
          <w:vertAlign w:val="baseline"/>
        </w:rPr>
        <w:t>Anonymized metadata file:</w:t>
      </w:r>
      <w:r>
        <w:rPr>
          <w:rFonts w:hint="eastAsia" w:ascii="Times New Roman" w:hAnsi="Times New Roman" w:eastAsia="宋体" w:cs="Times New Roman"/>
          <w:vertAlign w:val="baseline"/>
        </w:rPr>
        <w:t xml:space="preserve"> We provide a CSV file containing all metadata used in the analysis for the 2,417 sample literature items (including DOI, title, publication year, author, journal, citation count, etc.), with sensitive information that could be used for bulk full-text downloading removed.</w:t>
      </w:r>
      <w:r>
        <w:rPr>
          <w:rFonts w:hint="eastAsia" w:ascii="Times New Roman" w:hAnsi="Times New Roman" w:eastAsia="宋体" w:cs="Times New Roman"/>
          <w:vertAlign w:val="baseline"/>
          <w:lang w:val="en-US" w:eastAsia="zh-CN"/>
        </w:rPr>
        <w:t xml:space="preserve"> </w:t>
      </w:r>
    </w:p>
    <w:p w14:paraId="5925787F">
      <w:pPr>
        <w:numPr>
          <w:ilvl w:val="0"/>
          <w:numId w:val="2"/>
        </w:numPr>
        <w:spacing w:after="0" w:line="279" w:lineRule="auto"/>
        <w:ind w:left="0" w:firstLine="442" w:firstLineChars="200"/>
        <w:jc w:val="both"/>
        <w:rPr>
          <w:rFonts w:ascii="Times New Roman" w:hAnsi="Times New Roman" w:eastAsia="宋体" w:cs="Times New Roman"/>
          <w:vertAlign w:val="baseline"/>
        </w:rPr>
      </w:pPr>
      <w:r>
        <w:rPr>
          <w:rFonts w:hint="eastAsia" w:ascii="Times New Roman" w:hAnsi="Times New Roman" w:eastAsia="宋体" w:cs="Times New Roman"/>
          <w:b/>
          <w:bCs/>
          <w:vertAlign w:val="baseline"/>
        </w:rPr>
        <w:t>Data acquisition and reproduction scripts:</w:t>
      </w:r>
      <w:r>
        <w:rPr>
          <w:rFonts w:hint="eastAsia" w:ascii="Times New Roman" w:hAnsi="Times New Roman" w:eastAsia="宋体" w:cs="Times New Roman"/>
          <w:vertAlign w:val="baseline"/>
        </w:rPr>
        <w:t xml:space="preserve"> We provide complete, well-commented R scripts in the code repository. With valid subscription access, the scripts can reproduce the entire process of literature retrieval, deduplication and screening step-by-step from the Web of Science Core Collection via the official API using the exact search formula provided in this paper, and finally generate the anonymized metadata file mentioned above.</w:t>
      </w:r>
    </w:p>
    <w:p w14:paraId="52F9C7A8">
      <w:pPr>
        <w:spacing w:after="0" w:line="279" w:lineRule="auto"/>
        <w:ind w:firstLine="442" w:firstLineChars="200"/>
        <w:jc w:val="both"/>
        <w:rPr>
          <w:rFonts w:ascii="Times New Roman" w:hAnsi="Times New Roman" w:eastAsia="宋体" w:cs="Times New Roman"/>
          <w:b/>
          <w:bCs/>
          <w:vertAlign w:val="baseline"/>
        </w:rPr>
      </w:pPr>
      <w:r>
        <w:rPr>
          <w:rFonts w:ascii="Times New Roman" w:hAnsi="Times New Roman" w:eastAsia="宋体" w:cs="Times New Roman"/>
          <w:b/>
          <w:bCs/>
          <w:vertAlign w:val="baseline"/>
        </w:rPr>
        <w:t xml:space="preserve">E.2 </w:t>
      </w:r>
      <w:r>
        <w:rPr>
          <w:rFonts w:hint="eastAsia" w:ascii="Times New Roman" w:hAnsi="Times New Roman" w:eastAsia="宋体" w:cs="Times New Roman"/>
          <w:b/>
          <w:bCs/>
          <w:vertAlign w:val="baseline"/>
        </w:rPr>
        <w:t>Code Repository Link and Instructions</w:t>
      </w:r>
    </w:p>
    <w:p w14:paraId="51A90734">
      <w:pPr>
        <w:spacing w:after="0" w:line="279" w:lineRule="auto"/>
        <w:ind w:firstLine="440"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vertAlign w:val="baseline"/>
        </w:rPr>
        <w:t>All analytical code for this study has been open-sourced on GitHub at: https://doi.org/10.5281/zenodo.19563990.</w:t>
      </w:r>
    </w:p>
    <w:p w14:paraId="7B4FC7DD">
      <w:pPr>
        <w:spacing w:after="0" w:line="279" w:lineRule="auto"/>
        <w:ind w:firstLine="440"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vertAlign w:val="baseline"/>
        </w:rPr>
        <w:t>The repository structure is as follows:</w:t>
      </w:r>
    </w:p>
    <w:p w14:paraId="517FA94D">
      <w:pPr>
        <w:numPr>
          <w:ilvl w:val="0"/>
          <w:numId w:val="3"/>
        </w:numPr>
        <w:spacing w:after="0" w:line="279" w:lineRule="auto"/>
        <w:ind w:left="0" w:firstLine="440"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vertAlign w:val="baseline"/>
        </w:rPr>
        <w:t xml:space="preserve">01_Data_clean.py: Processes five WOS TXT files (exported from WOS with </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full records and cited references</w:t>
      </w:r>
      <w:r>
        <w:rPr>
          <w:rFonts w:hint="default" w:ascii="Times New Roman" w:hAnsi="Times New Roman" w:eastAsia="宋体" w:cs="Times New Roman"/>
          <w:vertAlign w:val="baseline"/>
          <w:lang w:val="en-US" w:eastAsia="zh-CN"/>
        </w:rPr>
        <w:t>”</w:t>
      </w:r>
      <w:r>
        <w:rPr>
          <w:rFonts w:hint="eastAsia" w:ascii="Times New Roman" w:hAnsi="Times New Roman" w:eastAsia="宋体" w:cs="Times New Roman"/>
          <w:vertAlign w:val="baseline"/>
        </w:rPr>
        <w:t>) and generates a table containing document IDs, titles, author names, publication years, first author affiliations, reference lists, and other fields.</w:t>
      </w:r>
    </w:p>
    <w:p w14:paraId="6702169A">
      <w:pPr>
        <w:numPr>
          <w:ilvl w:val="0"/>
          <w:numId w:val="3"/>
        </w:numPr>
        <w:spacing w:after="0" w:line="279" w:lineRule="auto"/>
        <w:ind w:left="0" w:firstLine="440"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vertAlign w:val="baseline"/>
        </w:rPr>
        <w:t>02_extract_ID_reference.py: Extracts document IDs and corresponding reference lists to generate node tables (Nodes.csv) and edge tables (Edges.csv) required for Gephi.</w:t>
      </w:r>
    </w:p>
    <w:p w14:paraId="768DFD20">
      <w:pPr>
        <w:numPr>
          <w:ilvl w:val="0"/>
          <w:numId w:val="3"/>
        </w:numPr>
        <w:spacing w:after="0" w:line="279" w:lineRule="auto"/>
        <w:ind w:left="0" w:firstLine="440"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vertAlign w:val="baseline"/>
        </w:rPr>
        <w:t>03_extract_ID_keywords.py: Extracts keywords and generates node files (Keyword_Nodes.csv) and edge files (Keyword_Edges.csv) formatted for Gephi, suitable for high-frequency keyword co-occurrence network analysis.</w:t>
      </w:r>
    </w:p>
    <w:p w14:paraId="5A608E4C">
      <w:pPr>
        <w:numPr>
          <w:ilvl w:val="0"/>
          <w:numId w:val="3"/>
        </w:numPr>
        <w:spacing w:after="0" w:line="279" w:lineRule="auto"/>
        <w:ind w:left="0" w:firstLine="440"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vertAlign w:val="baseline"/>
        </w:rPr>
        <w:t>04_W_geo_calculation.py: Calculates the core values of W_geo (ln) in the 2024 geographic weight factor (W_geo) table based on per capita GNI in Appendix Table A.2-1, following the formula W_geo = 1 / log(GNI_per_capita + 1).</w:t>
      </w:r>
    </w:p>
    <w:p w14:paraId="32EFA2CE">
      <w:pPr>
        <w:numPr>
          <w:ilvl w:val="0"/>
          <w:numId w:val="3"/>
        </w:numPr>
        <w:spacing w:after="0" w:line="279" w:lineRule="auto"/>
        <w:ind w:left="0" w:firstLine="440"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vertAlign w:val="baseline"/>
        </w:rPr>
        <w:t>05_Sensitivity_testing.py: Systematically shows consistency differences in node rankings of the Algorithmic Centrality Index (ACI) under four GNI transformation methods (natural logarithm, common logarithm, reciprocal, square root), quantifying the impact of different weighting designs on ranking results.</w:t>
      </w:r>
    </w:p>
    <w:p w14:paraId="428FA46E">
      <w:pPr>
        <w:numPr>
          <w:ilvl w:val="0"/>
          <w:numId w:val="3"/>
        </w:numPr>
        <w:spacing w:after="0" w:line="279" w:lineRule="auto"/>
        <w:ind w:left="0" w:firstLine="440" w:firstLineChars="200"/>
        <w:jc w:val="both"/>
        <w:rPr>
          <w:rFonts w:hint="eastAsia" w:ascii="Times New Roman" w:hAnsi="Times New Roman" w:eastAsia="宋体" w:cs="Times New Roman"/>
          <w:vertAlign w:val="baseline"/>
        </w:rPr>
      </w:pPr>
      <w:r>
        <w:rPr>
          <w:rFonts w:hint="eastAsia" w:ascii="Times New Roman" w:hAnsi="Times New Roman" w:eastAsia="宋体" w:cs="Times New Roman"/>
          <w:vertAlign w:val="baseline"/>
        </w:rPr>
        <w:t>06_Comparison_Cited_Publications.py: Constructs counterfactual network comparison rules.</w:t>
      </w:r>
    </w:p>
    <w:p w14:paraId="25C7EDDE">
      <w:pPr>
        <w:numPr>
          <w:ilvl w:val="0"/>
          <w:numId w:val="3"/>
        </w:numPr>
        <w:spacing w:after="0" w:line="279" w:lineRule="auto"/>
        <w:ind w:left="0" w:firstLine="440" w:firstLineChars="200"/>
        <w:jc w:val="both"/>
        <w:rPr>
          <w:rFonts w:ascii="Times New Roman" w:hAnsi="Times New Roman" w:eastAsia="宋体" w:cs="Times New Roman"/>
          <w:vertAlign w:val="baseline"/>
        </w:rPr>
      </w:pPr>
      <w:r>
        <w:rPr>
          <w:rFonts w:hint="eastAsia" w:ascii="Times New Roman" w:hAnsi="Times New Roman" w:eastAsia="宋体" w:cs="Times New Roman"/>
          <w:vertAlign w:val="baseline"/>
        </w:rPr>
        <w:t>07_Data source from wos.rar: All TXT data files exported from WOS.</w:t>
      </w:r>
    </w:p>
    <w:p w14:paraId="2FED93E2">
      <w:pPr>
        <w:spacing w:after="0" w:line="279" w:lineRule="auto"/>
        <w:ind w:firstLine="442" w:firstLineChars="200"/>
        <w:jc w:val="both"/>
        <w:rPr>
          <w:rFonts w:ascii="Times New Roman" w:hAnsi="Times New Roman" w:eastAsia="宋体" w:cs="Times New Roman"/>
          <w:b/>
          <w:bCs/>
          <w:vertAlign w:val="baseline"/>
        </w:rPr>
      </w:pPr>
      <w:r>
        <w:rPr>
          <w:rFonts w:ascii="Times New Roman" w:hAnsi="Times New Roman" w:eastAsia="宋体" w:cs="Times New Roman"/>
          <w:b/>
          <w:bCs/>
          <w:vertAlign w:val="baseline"/>
        </w:rPr>
        <w:t xml:space="preserve">E.3 </w:t>
      </w:r>
      <w:r>
        <w:rPr>
          <w:rFonts w:hint="eastAsia" w:ascii="Times New Roman" w:hAnsi="Times New Roman" w:eastAsia="宋体" w:cs="Times New Roman"/>
          <w:b/>
          <w:bCs/>
          <w:vertAlign w:val="baseline"/>
        </w:rPr>
        <w:t>Interactive Visualization Link</w:t>
      </w:r>
    </w:p>
    <w:p w14:paraId="376E3275">
      <w:pPr>
        <w:spacing w:after="0" w:line="279" w:lineRule="auto"/>
        <w:ind w:firstLine="440" w:firstLineChars="200"/>
        <w:jc w:val="both"/>
        <w:rPr>
          <w:rFonts w:ascii="Times New Roman" w:hAnsi="Times New Roman" w:eastAsia="宋体" w:cs="Times New Roman"/>
          <w:vertAlign w:val="baseline"/>
        </w:rPr>
      </w:pPr>
      <w:r>
        <w:rPr>
          <w:rFonts w:hint="eastAsia" w:ascii="Times New Roman" w:hAnsi="Times New Roman" w:eastAsia="宋体" w:cs="Times New Roman"/>
          <w:vertAlign w:val="baseline"/>
        </w:rPr>
        <w:t>For exploratory convenience, we have developed an interactive visualization of the counterfactual network compar</w:t>
      </w:r>
      <w:bookmarkStart w:id="0" w:name="_GoBack"/>
      <w:bookmarkEnd w:id="0"/>
      <w:r>
        <w:rPr>
          <w:rFonts w:hint="eastAsia" w:ascii="Times New Roman" w:hAnsi="Times New Roman" w:eastAsia="宋体" w:cs="Times New Roman"/>
          <w:vertAlign w:val="baseline"/>
        </w:rPr>
        <w:t>ison (core part of Figure C5), hosted on a publicly accessible platform. Readers can zoom and drag the network, click nodes to view document details, and switch between different counterfactual scenarios. Access link:</w:t>
      </w:r>
      <w:r>
        <w:rPr>
          <w:rFonts w:hint="eastAsia" w:ascii="Times New Roman" w:hAnsi="Times New Roman" w:eastAsia="宋体" w:cs="Times New Roman"/>
          <w:vertAlign w:val="baseline"/>
          <w:lang w:val="en-US" w:eastAsia="zh-CN"/>
        </w:rPr>
        <w:t xml:space="preserve"> </w:t>
      </w:r>
      <w:r>
        <w:rPr>
          <w:rFonts w:hint="eastAsia" w:ascii="Times New Roman" w:hAnsi="Times New Roman" w:eastAsia="宋体" w:cs="Times New Roman"/>
          <w:highlight w:val="none"/>
          <w:vertAlign w:val="baseline"/>
        </w:rPr>
        <w:t>https://doi.org/10.5281/zenodo.19563990</w:t>
      </w:r>
      <w:r>
        <w:rPr>
          <w:rFonts w:hint="eastAsia" w:ascii="Times New Roman" w:hAnsi="Times New Roman" w:eastAsia="宋体" w:cs="Times New Roman"/>
          <w:vertAlign w:val="baseline"/>
        </w:rPr>
        <w:t>.</w:t>
      </w:r>
    </w:p>
    <w:p w14:paraId="1A58AC60">
      <w:pPr>
        <w:rPr>
          <w:vertAlign w:val="baseline"/>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auto"/>
    <w:pitch w:val="default"/>
    <w:sig w:usb0="E4002EFF" w:usb1="C200247B" w:usb2="00000009" w:usb3="00000000" w:csb0="200001FF" w:csb1="00000000"/>
  </w:font>
  <w:font w:name="Cambria Math">
    <w:panose1 w:val="02040503050406030204"/>
    <w:charset w:val="00"/>
    <w:family w:val="auto"/>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C968177"/>
    <w:multiLevelType w:val="singleLevel"/>
    <w:tmpl w:val="0C968177"/>
    <w:lvl w:ilvl="0" w:tentative="0">
      <w:start w:val="2"/>
      <w:numFmt w:val="decimal"/>
      <w:suff w:val="space"/>
      <w:lvlText w:val="%1."/>
      <w:lvlJc w:val="left"/>
    </w:lvl>
  </w:abstractNum>
  <w:abstractNum w:abstractNumId="1">
    <w:nsid w:val="15482BDF"/>
    <w:multiLevelType w:val="multilevel"/>
    <w:tmpl w:val="15482BD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
    <w:nsid w:val="376C6D53"/>
    <w:multiLevelType w:val="multilevel"/>
    <w:tmpl w:val="376C6D53"/>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83"/>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90D3FC6"/>
    <w:rsid w:val="098F7951"/>
    <w:rsid w:val="0EDD34DE"/>
    <w:rsid w:val="0EFD670A"/>
    <w:rsid w:val="0FBC30F4"/>
    <w:rsid w:val="14ED01F3"/>
    <w:rsid w:val="16A57B35"/>
    <w:rsid w:val="1F867203"/>
    <w:rsid w:val="21781CB7"/>
    <w:rsid w:val="244A615B"/>
    <w:rsid w:val="26B674D1"/>
    <w:rsid w:val="27220A79"/>
    <w:rsid w:val="2C7F535E"/>
    <w:rsid w:val="2F3D0333"/>
    <w:rsid w:val="36366C5F"/>
    <w:rsid w:val="37252DAB"/>
    <w:rsid w:val="42BF1E77"/>
    <w:rsid w:val="454C1FBF"/>
    <w:rsid w:val="4C7311D9"/>
    <w:rsid w:val="4CB95FB5"/>
    <w:rsid w:val="58C5079C"/>
    <w:rsid w:val="5D8F4F70"/>
    <w:rsid w:val="64243C94"/>
    <w:rsid w:val="64393E88"/>
    <w:rsid w:val="6A297CC8"/>
    <w:rsid w:val="6FE1724C"/>
    <w:rsid w:val="709C4DBC"/>
    <w:rsid w:val="741F22C0"/>
    <w:rsid w:val="74DF40DE"/>
    <w:rsid w:val="76131217"/>
    <w:rsid w:val="7B5639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iPriority="99"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styleId="2">
    <w:name w:val="heading 1"/>
    <w:basedOn w:val="1"/>
    <w:next w:val="1"/>
    <w:qFormat/>
    <w:uiPriority w:val="9"/>
    <w:pPr>
      <w:keepNext/>
      <w:keepLines/>
      <w:spacing w:before="480" w:after="80"/>
      <w:outlineLvl w:val="0"/>
    </w:pPr>
    <w:rPr>
      <w:rFonts w:asciiTheme="majorHAnsi" w:hAnsiTheme="majorHAnsi" w:eastAsiaTheme="majorEastAsia" w:cstheme="majorBidi"/>
      <w:color w:val="2E54A1" w:themeColor="accent1" w:themeShade="BF"/>
      <w:sz w:val="48"/>
      <w:szCs w:val="48"/>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3">
    <w:name w:val="annotation text"/>
    <w:basedOn w:val="1"/>
    <w:semiHidden/>
    <w:unhideWhenUsed/>
    <w:qFormat/>
    <w:uiPriority w:val="99"/>
  </w:style>
  <w:style w:type="character" w:styleId="6">
    <w:name w:val="annotation reference"/>
    <w:basedOn w:val="5"/>
    <w:semiHidden/>
    <w:unhideWhenUsed/>
    <w:qFormat/>
    <w:uiPriority w:val="99"/>
    <w:rPr>
      <w:sz w:val="21"/>
      <w:szCs w:val="21"/>
    </w:rPr>
  </w:style>
  <w:style w:type="paragraph" w:styleId="7">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21</Pages>
  <Words>1191</Words>
  <Characters>7432</Characters>
  <Lines>0</Lines>
  <Paragraphs>0</Paragraphs>
  <TotalTime>31</TotalTime>
  <ScaleCrop>false</ScaleCrop>
  <LinksUpToDate>false</LinksUpToDate>
  <CharactersWithSpaces>8452</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2025-05-12T02:04:00Z</dcterms:created>
  <dc:creator>Dell</dc:creator>
  <cp:lastModifiedBy>宇文孤竹</cp:lastModifiedBy>
  <dcterms:modified xsi:type="dcterms:W3CDTF">2026-04-14T06:55:29Z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6099376089784E97B84DFE7341F95BF9_12</vt:lpwstr>
  </property>
  <property fmtid="{D5CDD505-2E9C-101B-9397-08002B2CF9AE}" pid="4" name="KSOTemplateDocerSaveRecord">
    <vt:lpwstr>eyJoZGlkIjoiMjg2NzM2MDg3ZmMwMmIxYjQwOTM5OWJlMzQxNmZiY2YiLCJ1c2VySWQiOiI0OTE1NTc2MzUifQ==</vt:lpwstr>
  </property>
</Properties>
</file>