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47" w14:textId="7B87C80A" w:rsidR="00A20381" w:rsidRPr="00D57AE6" w:rsidRDefault="00D605DF" w:rsidP="00DC1FCD">
      <w:pPr>
        <w:pStyle w:val="Title"/>
        <w:rPr>
          <w:lang w:val="en-GB"/>
        </w:rPr>
      </w:pPr>
      <w:r w:rsidRPr="00D57AE6">
        <w:rPr>
          <w:lang w:val="en-GB"/>
        </w:rPr>
        <w:t>Too little too late? Continuing Vocational Education and Retirement Timing: Evidence on Potential Pathways</w:t>
      </w:r>
      <w:r w:rsidR="00791937" w:rsidRPr="00D57AE6">
        <w:rPr>
          <w:lang w:val="en-GB"/>
        </w:rPr>
        <w:t> </w:t>
      </w:r>
    </w:p>
    <w:p w14:paraId="192F357A" w14:textId="6B31FF67" w:rsidR="00A20381" w:rsidRPr="00D57AE6" w:rsidRDefault="00791937">
      <w:pPr>
        <w:rPr>
          <w:lang w:val="en-GB"/>
        </w:rPr>
      </w:pPr>
      <w:r w:rsidRPr="00D57AE6">
        <w:rPr>
          <w:lang w:val="en-GB"/>
        </w:rPr>
        <w:t>Jonas Fey</w:t>
      </w:r>
      <w:r w:rsidRPr="00D57AE6">
        <w:rPr>
          <w:vertAlign w:val="superscript"/>
          <w:lang w:val="en-GB"/>
        </w:rPr>
        <w:t>1;</w:t>
      </w:r>
      <w:r w:rsidR="003A7B4C" w:rsidRPr="00D57AE6">
        <w:rPr>
          <w:vertAlign w:val="superscript"/>
          <w:lang w:val="en-GB"/>
        </w:rPr>
        <w:t xml:space="preserve"> </w:t>
      </w:r>
      <w:r w:rsidRPr="00D57AE6">
        <w:rPr>
          <w:vertAlign w:val="superscript"/>
          <w:lang w:val="en-GB"/>
        </w:rPr>
        <w:t>+</w:t>
      </w:r>
    </w:p>
    <w:p w14:paraId="43233920" w14:textId="77777777" w:rsidR="00A20381" w:rsidRPr="00D57AE6" w:rsidRDefault="00791937">
      <w:pPr>
        <w:rPr>
          <w:lang w:val="en-GB"/>
        </w:rPr>
      </w:pPr>
      <w:r w:rsidRPr="00D57AE6">
        <w:rPr>
          <w:lang w:val="en-GB"/>
        </w:rPr>
        <w:t>Manuela Schulz</w:t>
      </w:r>
      <w:r w:rsidRPr="00D57AE6">
        <w:rPr>
          <w:vertAlign w:val="superscript"/>
          <w:lang w:val="en-GB"/>
        </w:rPr>
        <w:t>2</w:t>
      </w:r>
    </w:p>
    <w:p w14:paraId="3953561E" w14:textId="2E28DD3A" w:rsidR="00A20381" w:rsidRPr="00D57AE6" w:rsidRDefault="00791937" w:rsidP="00A01977">
      <w:pPr>
        <w:rPr>
          <w:lang w:val="en-GB"/>
        </w:rPr>
      </w:pPr>
      <w:r w:rsidRPr="00D57AE6">
        <w:rPr>
          <w:vertAlign w:val="superscript"/>
          <w:lang w:val="en-GB"/>
        </w:rPr>
        <w:t xml:space="preserve">1 </w:t>
      </w:r>
      <w:r w:rsidRPr="00D57AE6">
        <w:rPr>
          <w:lang w:val="en-GB"/>
        </w:rPr>
        <w:t xml:space="preserve">German Institute for Adult Education (DIE), Leibniz Centre for Lifelong Learning; </w:t>
      </w:r>
      <w:proofErr w:type="spellStart"/>
      <w:r w:rsidRPr="00D57AE6">
        <w:rPr>
          <w:lang w:val="en-GB"/>
        </w:rPr>
        <w:t>Heinemannstr</w:t>
      </w:r>
      <w:proofErr w:type="spellEnd"/>
      <w:r w:rsidRPr="00D57AE6">
        <w:rPr>
          <w:lang w:val="en-GB"/>
        </w:rPr>
        <w:t xml:space="preserve">. 12 – 14; 53175 Bonn; Germany; ORCID: 0000-0003-0089-3382; </w:t>
      </w:r>
      <w:hyperlink r:id="rId8" w:tooltip="http://Fey@die-bonn.de" w:history="1">
        <w:r w:rsidRPr="00D57AE6">
          <w:rPr>
            <w:rStyle w:val="Hyperlink"/>
            <w:lang w:val="en-GB"/>
          </w:rPr>
          <w:t>Fey@die-bonn.de</w:t>
        </w:r>
      </w:hyperlink>
    </w:p>
    <w:p w14:paraId="4D1BA067" w14:textId="77777777" w:rsidR="00A20381" w:rsidRPr="00D57AE6" w:rsidRDefault="00791937">
      <w:pPr>
        <w:rPr>
          <w:lang w:val="en-GB"/>
        </w:rPr>
      </w:pPr>
      <w:r w:rsidRPr="00D57AE6">
        <w:rPr>
          <w:vertAlign w:val="superscript"/>
          <w:lang w:val="en-GB"/>
        </w:rPr>
        <w:t xml:space="preserve">2 </w:t>
      </w:r>
      <w:r w:rsidRPr="00D57AE6">
        <w:rPr>
          <w:lang w:val="en-GB"/>
        </w:rPr>
        <w:t xml:space="preserve">University of </w:t>
      </w:r>
      <w:proofErr w:type="spellStart"/>
      <w:r w:rsidRPr="00D57AE6">
        <w:rPr>
          <w:lang w:val="en-GB"/>
        </w:rPr>
        <w:t>Vechta</w:t>
      </w:r>
      <w:proofErr w:type="spellEnd"/>
      <w:r w:rsidRPr="00D57AE6">
        <w:rPr>
          <w:lang w:val="en-GB"/>
        </w:rPr>
        <w:t xml:space="preserve">; </w:t>
      </w:r>
      <w:proofErr w:type="spellStart"/>
      <w:r w:rsidRPr="00D57AE6">
        <w:rPr>
          <w:lang w:val="en-GB"/>
        </w:rPr>
        <w:t>Vechta</w:t>
      </w:r>
      <w:proofErr w:type="spellEnd"/>
      <w:r w:rsidRPr="00D57AE6">
        <w:rPr>
          <w:lang w:val="en-GB"/>
        </w:rPr>
        <w:t xml:space="preserve">; Germany; ORCID: 0009-0004-7843-2193; </w:t>
      </w:r>
      <w:hyperlink r:id="rId9" w:tooltip="mailto:manuela.schulz@uni-vechta.de" w:history="1">
        <w:r w:rsidRPr="00D57AE6">
          <w:rPr>
            <w:rStyle w:val="Hyperlink"/>
            <w:lang w:val="en-GB"/>
          </w:rPr>
          <w:t>Manuela.Schulz@uni-vechta.de</w:t>
        </w:r>
      </w:hyperlink>
    </w:p>
    <w:p w14:paraId="37E571A6" w14:textId="0C64B107" w:rsidR="00A20381" w:rsidRPr="00D57AE6" w:rsidRDefault="00791937">
      <w:pPr>
        <w:rPr>
          <w:lang w:val="en-GB"/>
        </w:rPr>
      </w:pPr>
      <w:r w:rsidRPr="00D57AE6">
        <w:rPr>
          <w:vertAlign w:val="superscript"/>
          <w:lang w:val="en-GB"/>
        </w:rPr>
        <w:t>+</w:t>
      </w:r>
      <w:r w:rsidR="003A7B4C" w:rsidRPr="00D57AE6">
        <w:rPr>
          <w:vertAlign w:val="superscript"/>
          <w:lang w:val="en-GB"/>
        </w:rPr>
        <w:t xml:space="preserve"> </w:t>
      </w:r>
      <w:r w:rsidRPr="00D57AE6">
        <w:rPr>
          <w:lang w:val="en-GB"/>
        </w:rPr>
        <w:t>Corresponding Author</w:t>
      </w:r>
    </w:p>
    <w:p w14:paraId="760BA52A" w14:textId="77777777" w:rsidR="00BA6331" w:rsidRPr="00D57AE6" w:rsidRDefault="00896799" w:rsidP="00BA6331">
      <w:pPr>
        <w:pStyle w:val="Heading1"/>
        <w:rPr>
          <w:lang w:val="en-GB"/>
        </w:rPr>
      </w:pPr>
      <w:r w:rsidRPr="00D57AE6">
        <w:rPr>
          <w:lang w:val="en-GB"/>
        </w:rPr>
        <w:t>Data Availability Statement</w:t>
      </w:r>
    </w:p>
    <w:p w14:paraId="669D4840" w14:textId="0A1933DF" w:rsidR="0027072C" w:rsidRPr="00D57AE6" w:rsidRDefault="00670224" w:rsidP="009E2190">
      <w:pPr>
        <w:rPr>
          <w:lang w:val="en-GB"/>
        </w:rPr>
      </w:pPr>
      <w:r w:rsidRPr="00D57AE6">
        <w:rPr>
          <w:lang w:val="en-GB"/>
        </w:rPr>
        <w:t>The data underlying this article were provided by</w:t>
      </w:r>
      <w:r w:rsidR="00FB33F9" w:rsidRPr="00D57AE6">
        <w:rPr>
          <w:lang w:val="en-GB"/>
        </w:rPr>
        <w:t xml:space="preserve"> </w:t>
      </w:r>
      <w:r w:rsidR="006E6214" w:rsidRPr="00D57AE6">
        <w:rPr>
          <w:lang w:val="en-GB"/>
        </w:rPr>
        <w:t xml:space="preserve">the </w:t>
      </w:r>
      <w:r w:rsidR="00FB33F9" w:rsidRPr="00D57AE6">
        <w:rPr>
          <w:lang w:val="en-GB"/>
        </w:rPr>
        <w:t>German Centre of Gerontology</w:t>
      </w:r>
      <w:r w:rsidRPr="00D57AE6">
        <w:rPr>
          <w:lang w:val="en-GB"/>
        </w:rPr>
        <w:t xml:space="preserve"> </w:t>
      </w:r>
      <w:r w:rsidR="00FB33F9" w:rsidRPr="00D57AE6">
        <w:rPr>
          <w:lang w:val="en-GB"/>
        </w:rPr>
        <w:t xml:space="preserve">(DZA) </w:t>
      </w:r>
      <w:r w:rsidRPr="00D57AE6">
        <w:rPr>
          <w:lang w:val="en-GB"/>
        </w:rPr>
        <w:t xml:space="preserve">by permission. </w:t>
      </w:r>
      <w:r w:rsidR="00606DEB" w:rsidRPr="00D57AE6">
        <w:rPr>
          <w:lang w:val="en-GB"/>
        </w:rPr>
        <w:t>The data can be requested via the following link:</w:t>
      </w:r>
    </w:p>
    <w:p w14:paraId="774EEADB" w14:textId="77777777" w:rsidR="0027072C" w:rsidRPr="00D57AE6" w:rsidRDefault="0027072C" w:rsidP="00FB33F9">
      <w:pPr>
        <w:jc w:val="both"/>
        <w:rPr>
          <w:lang w:val="en-GB"/>
        </w:rPr>
      </w:pPr>
      <w:hyperlink r:id="rId10" w:history="1">
        <w:r w:rsidRPr="00D57AE6">
          <w:rPr>
            <w:rStyle w:val="Hyperlink"/>
            <w:lang w:val="en-GB"/>
          </w:rPr>
          <w:t>https://www.dza.de/en/research/fdz/german-ageing-survey/access-to-deas-data</w:t>
        </w:r>
      </w:hyperlink>
      <w:r w:rsidR="00B01015" w:rsidRPr="00D57AE6">
        <w:rPr>
          <w:lang w:val="en-GB"/>
        </w:rPr>
        <w:t>.</w:t>
      </w:r>
    </w:p>
    <w:p w14:paraId="1875BE90" w14:textId="20D43492" w:rsidR="0027072C" w:rsidRPr="00D57AE6" w:rsidRDefault="00636F8B" w:rsidP="00F50230">
      <w:pPr>
        <w:spacing w:line="276" w:lineRule="auto"/>
        <w:jc w:val="both"/>
        <w:rPr>
          <w:rFonts w:cs="Times New Roman"/>
          <w:lang w:val="en-GB"/>
        </w:rPr>
      </w:pPr>
      <w:r w:rsidRPr="00D57AE6">
        <w:rPr>
          <w:lang w:val="en-GB"/>
        </w:rPr>
        <w:t xml:space="preserve">All analyses were conducted using </w:t>
      </w:r>
      <w:r w:rsidRPr="00D57AE6">
        <w:rPr>
          <w:i/>
          <w:iCs/>
          <w:lang w:val="en-GB"/>
        </w:rPr>
        <w:t>Stata 19.5</w:t>
      </w:r>
      <w:r w:rsidRPr="00D57AE6">
        <w:rPr>
          <w:lang w:val="en-GB"/>
        </w:rPr>
        <w:t xml:space="preserve">. </w:t>
      </w:r>
      <w:r w:rsidR="0027072C" w:rsidRPr="00D57AE6">
        <w:rPr>
          <w:rFonts w:cs="Times New Roman"/>
          <w:lang w:val="en-GB"/>
        </w:rPr>
        <w:t>The syntax is available on OSF:</w:t>
      </w:r>
    </w:p>
    <w:p w14:paraId="2E02E10F" w14:textId="5BDF8B0D" w:rsidR="00F71F70" w:rsidRPr="00D57AE6" w:rsidRDefault="00817D6B" w:rsidP="00F50230">
      <w:pPr>
        <w:spacing w:line="276" w:lineRule="auto"/>
        <w:jc w:val="both"/>
        <w:rPr>
          <w:rFonts w:cs="Times New Roman"/>
          <w:lang w:val="en-GB"/>
        </w:rPr>
      </w:pPr>
      <w:hyperlink r:id="rId11" w:history="1">
        <w:r w:rsidRPr="005D700D">
          <w:rPr>
            <w:rStyle w:val="Hyperlink"/>
            <w:rFonts w:cs="Times New Roman"/>
            <w:lang w:val="en-GB"/>
          </w:rPr>
          <w:t>https://osf.io/r8y3k/overview?view_only=29fb9763a75c4cdab79be2ad56d218a3</w:t>
        </w:r>
      </w:hyperlink>
    </w:p>
    <w:p w14:paraId="687118D1" w14:textId="77777777" w:rsidR="0094121D" w:rsidRPr="00D57AE6" w:rsidRDefault="0094121D" w:rsidP="004C3A11">
      <w:pPr>
        <w:pStyle w:val="Heading1"/>
        <w:rPr>
          <w:lang w:val="en-GB"/>
        </w:rPr>
      </w:pPr>
      <w:r w:rsidRPr="00D57AE6">
        <w:rPr>
          <w:lang w:val="en-GB"/>
        </w:rPr>
        <w:t>Statements and Declarations</w:t>
      </w:r>
    </w:p>
    <w:p w14:paraId="55492275" w14:textId="60774AA8" w:rsidR="00670224" w:rsidRDefault="0094121D" w:rsidP="00670224">
      <w:pPr>
        <w:rPr>
          <w:lang w:val="en-GB"/>
        </w:rPr>
      </w:pPr>
      <w:r w:rsidRPr="00D57AE6">
        <w:rPr>
          <w:lang w:val="en-GB"/>
        </w:rPr>
        <w:t>The authors state that there is no conflict of interest.</w:t>
      </w:r>
    </w:p>
    <w:p w14:paraId="53AAAF0B" w14:textId="77777777" w:rsidR="002E54DB" w:rsidRPr="002E54DB" w:rsidRDefault="002E54DB" w:rsidP="002E54DB">
      <w:pPr>
        <w:pStyle w:val="Heading1"/>
        <w:rPr>
          <w:lang w:val="de-CH"/>
        </w:rPr>
      </w:pPr>
      <w:proofErr w:type="spellStart"/>
      <w:r w:rsidRPr="002E54DB">
        <w:rPr>
          <w:lang w:val="de-CH"/>
        </w:rPr>
        <w:t>Acknowledgements</w:t>
      </w:r>
      <w:proofErr w:type="spellEnd"/>
    </w:p>
    <w:p w14:paraId="75A2C3B6" w14:textId="1D8E229D" w:rsidR="002E54DB" w:rsidRPr="00D57AE6" w:rsidRDefault="002E54DB" w:rsidP="009E2190">
      <w:pPr>
        <w:jc w:val="both"/>
        <w:rPr>
          <w:lang w:val="en-GB"/>
        </w:rPr>
      </w:pPr>
      <w:r w:rsidRPr="002E54DB">
        <w:t xml:space="preserve">This </w:t>
      </w:r>
      <w:proofErr w:type="spellStart"/>
      <w:r w:rsidRPr="002E54DB">
        <w:t>manuscript</w:t>
      </w:r>
      <w:proofErr w:type="spellEnd"/>
      <w:r w:rsidRPr="002E54DB">
        <w:t xml:space="preserve"> was </w:t>
      </w:r>
      <w:proofErr w:type="spellStart"/>
      <w:r w:rsidRPr="002E54DB">
        <w:t>produced</w:t>
      </w:r>
      <w:proofErr w:type="spellEnd"/>
      <w:r w:rsidRPr="002E54DB">
        <w:t xml:space="preserve"> in </w:t>
      </w:r>
      <w:proofErr w:type="spellStart"/>
      <w:r w:rsidRPr="002E54DB">
        <w:t>the</w:t>
      </w:r>
      <w:proofErr w:type="spellEnd"/>
      <w:r w:rsidRPr="002E54DB">
        <w:t xml:space="preserve"> </w:t>
      </w:r>
      <w:proofErr w:type="spellStart"/>
      <w:r w:rsidRPr="002E54DB">
        <w:t>context</w:t>
      </w:r>
      <w:proofErr w:type="spellEnd"/>
      <w:r w:rsidRPr="002E54DB">
        <w:t xml:space="preserve"> of </w:t>
      </w:r>
      <w:proofErr w:type="spellStart"/>
      <w:r w:rsidRPr="002E54DB">
        <w:t>the</w:t>
      </w:r>
      <w:proofErr w:type="spellEnd"/>
      <w:r w:rsidRPr="002E54DB">
        <w:t xml:space="preserve"> </w:t>
      </w:r>
      <w:proofErr w:type="spellStart"/>
      <w:r w:rsidRPr="002E54DB">
        <w:t>workshop</w:t>
      </w:r>
      <w:proofErr w:type="spellEnd"/>
      <w:r w:rsidRPr="002E54DB">
        <w:t xml:space="preserve"> ‘</w:t>
      </w:r>
      <w:proofErr w:type="spellStart"/>
      <w:r w:rsidRPr="002E54DB">
        <w:t>Empirical</w:t>
      </w:r>
      <w:proofErr w:type="spellEnd"/>
      <w:r w:rsidRPr="002E54DB">
        <w:t xml:space="preserve"> </w:t>
      </w:r>
      <w:proofErr w:type="spellStart"/>
      <w:r w:rsidRPr="002E54DB">
        <w:t>Analyses</w:t>
      </w:r>
      <w:proofErr w:type="spellEnd"/>
      <w:r w:rsidRPr="002E54DB">
        <w:t xml:space="preserve"> of Education and Learning in Later Life’, </w:t>
      </w:r>
      <w:proofErr w:type="spellStart"/>
      <w:r w:rsidRPr="002E54DB">
        <w:t>which</w:t>
      </w:r>
      <w:proofErr w:type="spellEnd"/>
      <w:r w:rsidRPr="002E54DB">
        <w:t xml:space="preserve"> was </w:t>
      </w:r>
      <w:proofErr w:type="spellStart"/>
      <w:r w:rsidRPr="002E54DB">
        <w:t>held</w:t>
      </w:r>
      <w:proofErr w:type="spellEnd"/>
      <w:r w:rsidRPr="002E54DB">
        <w:t xml:space="preserve"> in March 2026 at </w:t>
      </w:r>
      <w:proofErr w:type="spellStart"/>
      <w:r w:rsidRPr="002E54DB">
        <w:t>the</w:t>
      </w:r>
      <w:proofErr w:type="spellEnd"/>
      <w:r w:rsidRPr="002E54DB">
        <w:t xml:space="preserve"> Catholic University of Applied Sciences in Freiburg </w:t>
      </w:r>
      <w:proofErr w:type="spellStart"/>
      <w:r w:rsidRPr="002E54DB">
        <w:t>by</w:t>
      </w:r>
      <w:proofErr w:type="spellEnd"/>
      <w:r w:rsidRPr="002E54DB">
        <w:t xml:space="preserve"> </w:t>
      </w:r>
      <w:proofErr w:type="spellStart"/>
      <w:r w:rsidRPr="002E54DB">
        <w:t>the</w:t>
      </w:r>
      <w:proofErr w:type="spellEnd"/>
      <w:r w:rsidRPr="002E54DB">
        <w:t xml:space="preserve"> Expert </w:t>
      </w:r>
      <w:proofErr w:type="spellStart"/>
      <w:r w:rsidRPr="002E54DB">
        <w:t>Commission</w:t>
      </w:r>
      <w:proofErr w:type="spellEnd"/>
      <w:r w:rsidRPr="002E54DB">
        <w:t xml:space="preserve"> </w:t>
      </w:r>
      <w:proofErr w:type="spellStart"/>
      <w:r w:rsidRPr="002E54DB">
        <w:t>for</w:t>
      </w:r>
      <w:proofErr w:type="spellEnd"/>
      <w:r w:rsidRPr="002E54DB">
        <w:t xml:space="preserve"> </w:t>
      </w:r>
      <w:proofErr w:type="spellStart"/>
      <w:r w:rsidRPr="002E54DB">
        <w:t>the</w:t>
      </w:r>
      <w:proofErr w:type="spellEnd"/>
      <w:r w:rsidRPr="002E54DB">
        <w:t xml:space="preserve"> </w:t>
      </w:r>
      <w:proofErr w:type="spellStart"/>
      <w:r w:rsidRPr="002E54DB">
        <w:t>Tenth</w:t>
      </w:r>
      <w:proofErr w:type="spellEnd"/>
      <w:r w:rsidRPr="002E54DB">
        <w:t xml:space="preserve"> Government Report on Older People and </w:t>
      </w:r>
      <w:proofErr w:type="spellStart"/>
      <w:r w:rsidRPr="002E54DB">
        <w:t>the</w:t>
      </w:r>
      <w:proofErr w:type="spellEnd"/>
      <w:r w:rsidRPr="002E54DB">
        <w:t xml:space="preserve"> Office of </w:t>
      </w:r>
      <w:proofErr w:type="spellStart"/>
      <w:r w:rsidRPr="002E54DB">
        <w:t>the</w:t>
      </w:r>
      <w:proofErr w:type="spellEnd"/>
      <w:r w:rsidRPr="002E54DB">
        <w:t xml:space="preserve"> Government Reports on Older People, </w:t>
      </w:r>
      <w:proofErr w:type="spellStart"/>
      <w:r w:rsidRPr="002E54DB">
        <w:t>based</w:t>
      </w:r>
      <w:proofErr w:type="spellEnd"/>
      <w:r w:rsidRPr="002E54DB">
        <w:t xml:space="preserve"> at </w:t>
      </w:r>
      <w:proofErr w:type="spellStart"/>
      <w:r w:rsidRPr="002E54DB">
        <w:t>the</w:t>
      </w:r>
      <w:proofErr w:type="spellEnd"/>
      <w:r w:rsidRPr="002E54DB">
        <w:t xml:space="preserve"> German </w:t>
      </w:r>
      <w:proofErr w:type="spellStart"/>
      <w:r w:rsidRPr="002E54DB">
        <w:t>Centre</w:t>
      </w:r>
      <w:proofErr w:type="spellEnd"/>
      <w:r w:rsidRPr="002E54DB">
        <w:t xml:space="preserve"> of </w:t>
      </w:r>
      <w:proofErr w:type="spellStart"/>
      <w:r w:rsidRPr="002E54DB">
        <w:t>Gerontology</w:t>
      </w:r>
      <w:proofErr w:type="spellEnd"/>
      <w:r w:rsidRPr="002E54DB">
        <w:t xml:space="preserve"> (DZA). This </w:t>
      </w:r>
      <w:proofErr w:type="spellStart"/>
      <w:r w:rsidRPr="002E54DB">
        <w:t>workshop</w:t>
      </w:r>
      <w:proofErr w:type="spellEnd"/>
      <w:r w:rsidRPr="002E54DB">
        <w:t xml:space="preserve"> was </w:t>
      </w:r>
      <w:proofErr w:type="spellStart"/>
      <w:r w:rsidRPr="002E54DB">
        <w:t>made</w:t>
      </w:r>
      <w:proofErr w:type="spellEnd"/>
      <w:r w:rsidRPr="002E54DB">
        <w:t xml:space="preserve"> possible </w:t>
      </w:r>
      <w:proofErr w:type="spellStart"/>
      <w:r w:rsidRPr="002E54DB">
        <w:t>by</w:t>
      </w:r>
      <w:proofErr w:type="spellEnd"/>
      <w:r w:rsidRPr="002E54DB">
        <w:t xml:space="preserve"> </w:t>
      </w:r>
      <w:proofErr w:type="spellStart"/>
      <w:r w:rsidRPr="002E54DB">
        <w:t>funding</w:t>
      </w:r>
      <w:proofErr w:type="spellEnd"/>
      <w:r w:rsidRPr="002E54DB">
        <w:t xml:space="preserve"> </w:t>
      </w:r>
      <w:proofErr w:type="spellStart"/>
      <w:r w:rsidRPr="002E54DB">
        <w:t>from</w:t>
      </w:r>
      <w:proofErr w:type="spellEnd"/>
      <w:r w:rsidRPr="002E54DB">
        <w:t xml:space="preserve"> </w:t>
      </w:r>
      <w:proofErr w:type="spellStart"/>
      <w:r w:rsidRPr="002E54DB">
        <w:t>the</w:t>
      </w:r>
      <w:proofErr w:type="spellEnd"/>
      <w:r w:rsidRPr="002E54DB">
        <w:t xml:space="preserve"> Federal Ministry of Education, Family Affairs, Senior Citizens, Women and Youth (BMBFSFJ). </w:t>
      </w:r>
      <w:proofErr w:type="spellStart"/>
      <w:r w:rsidRPr="002E54DB">
        <w:t>We</w:t>
      </w:r>
      <w:proofErr w:type="spellEnd"/>
      <w:r w:rsidRPr="002E54DB">
        <w:t xml:space="preserve"> </w:t>
      </w:r>
      <w:proofErr w:type="spellStart"/>
      <w:r w:rsidRPr="002E54DB">
        <w:t>would</w:t>
      </w:r>
      <w:proofErr w:type="spellEnd"/>
      <w:r w:rsidRPr="002E54DB">
        <w:t xml:space="preserve"> like </w:t>
      </w:r>
      <w:proofErr w:type="spellStart"/>
      <w:r w:rsidRPr="002E54DB">
        <w:t>to</w:t>
      </w:r>
      <w:proofErr w:type="spellEnd"/>
      <w:r w:rsidRPr="002E54DB">
        <w:t xml:space="preserve"> </w:t>
      </w:r>
      <w:proofErr w:type="spellStart"/>
      <w:r w:rsidRPr="002E54DB">
        <w:t>thank</w:t>
      </w:r>
      <w:proofErr w:type="spellEnd"/>
      <w:r w:rsidRPr="002E54DB">
        <w:t xml:space="preserve"> Matthias Kliegel and Cornelia Kricheldorff </w:t>
      </w:r>
      <w:proofErr w:type="spellStart"/>
      <w:r w:rsidRPr="002E54DB">
        <w:t>for</w:t>
      </w:r>
      <w:proofErr w:type="spellEnd"/>
      <w:r w:rsidRPr="002E54DB">
        <w:t xml:space="preserve"> </w:t>
      </w:r>
      <w:proofErr w:type="spellStart"/>
      <w:r w:rsidRPr="002E54DB">
        <w:t>their</w:t>
      </w:r>
      <w:proofErr w:type="spellEnd"/>
      <w:r w:rsidRPr="002E54DB">
        <w:t xml:space="preserve"> </w:t>
      </w:r>
      <w:proofErr w:type="spellStart"/>
      <w:r w:rsidRPr="002E54DB">
        <w:t>helpful</w:t>
      </w:r>
      <w:proofErr w:type="spellEnd"/>
      <w:r w:rsidRPr="002E54DB">
        <w:t xml:space="preserve"> </w:t>
      </w:r>
      <w:proofErr w:type="spellStart"/>
      <w:r w:rsidRPr="002E54DB">
        <w:t>feedback</w:t>
      </w:r>
      <w:proofErr w:type="spellEnd"/>
      <w:r w:rsidRPr="002E54DB">
        <w:t xml:space="preserve"> on </w:t>
      </w:r>
      <w:proofErr w:type="spellStart"/>
      <w:r w:rsidRPr="002E54DB">
        <w:t>earlier</w:t>
      </w:r>
      <w:proofErr w:type="spellEnd"/>
      <w:r w:rsidRPr="002E54DB">
        <w:t xml:space="preserve"> </w:t>
      </w:r>
      <w:proofErr w:type="spellStart"/>
      <w:r w:rsidRPr="002E54DB">
        <w:t>versions</w:t>
      </w:r>
      <w:proofErr w:type="spellEnd"/>
      <w:r w:rsidRPr="002E54DB">
        <w:t xml:space="preserve"> of </w:t>
      </w:r>
      <w:proofErr w:type="spellStart"/>
      <w:r w:rsidRPr="002E54DB">
        <w:t>the</w:t>
      </w:r>
      <w:proofErr w:type="spellEnd"/>
      <w:r w:rsidRPr="002E54DB">
        <w:t xml:space="preserve"> </w:t>
      </w:r>
      <w:proofErr w:type="spellStart"/>
      <w:r w:rsidRPr="002E54DB">
        <w:t>manuscript</w:t>
      </w:r>
      <w:proofErr w:type="spellEnd"/>
      <w:r w:rsidRPr="002E54DB">
        <w:t>.</w:t>
      </w:r>
    </w:p>
    <w:p w14:paraId="2DF682B2" w14:textId="2C600030" w:rsidR="00A01977" w:rsidRPr="004A3750" w:rsidRDefault="00791937">
      <w:pPr>
        <w:pStyle w:val="Heading1"/>
        <w:rPr>
          <w:lang w:val="en-GB"/>
        </w:rPr>
      </w:pPr>
      <w:r w:rsidRPr="002E54DB">
        <w:rPr>
          <w:lang w:val="en-GB"/>
        </w:rPr>
        <w:br w:type="page" w:clear="all"/>
      </w:r>
      <w:r w:rsidR="00A01977" w:rsidRPr="004A3750">
        <w:rPr>
          <w:lang w:val="en-GB"/>
        </w:rPr>
        <w:lastRenderedPageBreak/>
        <w:t>Abstract</w:t>
      </w:r>
    </w:p>
    <w:p w14:paraId="630C5635" w14:textId="6A68EA07" w:rsidR="00A66BE1" w:rsidRPr="004A3750" w:rsidRDefault="00A66BE1" w:rsidP="00A66BE1">
      <w:pPr>
        <w:jc w:val="both"/>
        <w:rPr>
          <w:lang w:val="en-GB"/>
        </w:rPr>
      </w:pPr>
      <w:r w:rsidRPr="004A3750">
        <w:rPr>
          <w:lang w:val="en-GB"/>
        </w:rPr>
        <w:t xml:space="preserve">This paper examines whether participation in continuing vocational education and training (CVET) affects subsequent employment </w:t>
      </w:r>
      <w:r w:rsidR="00A02D3E">
        <w:rPr>
          <w:lang w:val="en-GB"/>
        </w:rPr>
        <w:t>and</w:t>
      </w:r>
      <w:r w:rsidRPr="004A3750">
        <w:rPr>
          <w:lang w:val="en-GB"/>
        </w:rPr>
        <w:t xml:space="preserve"> retirement among older workers in Germany. In addition, the study explores whether potential mechanisms</w:t>
      </w:r>
      <w:r w:rsidR="00905DDB" w:rsidRPr="004A3750">
        <w:rPr>
          <w:lang w:val="en-GB"/>
        </w:rPr>
        <w:t xml:space="preserve"> – </w:t>
      </w:r>
      <w:r w:rsidRPr="004A3750">
        <w:rPr>
          <w:lang w:val="en-GB"/>
        </w:rPr>
        <w:t xml:space="preserve">namely job </w:t>
      </w:r>
      <w:r w:rsidR="00796D5C" w:rsidRPr="004A3750">
        <w:rPr>
          <w:lang w:val="en-GB"/>
        </w:rPr>
        <w:t>burden</w:t>
      </w:r>
      <w:r w:rsidRPr="004A3750">
        <w:rPr>
          <w:lang w:val="en-GB"/>
        </w:rPr>
        <w:t>, person</w:t>
      </w:r>
      <w:r w:rsidR="00796D5C" w:rsidRPr="004A3750">
        <w:rPr>
          <w:lang w:val="en-GB"/>
        </w:rPr>
        <w:t>-</w:t>
      </w:r>
      <w:r w:rsidRPr="004A3750">
        <w:rPr>
          <w:lang w:val="en-GB"/>
        </w:rPr>
        <w:t>job fit, job satisfaction, psychological resources, and social inclusion</w:t>
      </w:r>
      <w:r w:rsidR="007853BA" w:rsidRPr="004A3750">
        <w:rPr>
          <w:lang w:val="en-GB"/>
        </w:rPr>
        <w:t xml:space="preserve"> – </w:t>
      </w:r>
      <w:r w:rsidRPr="004A3750">
        <w:rPr>
          <w:lang w:val="en-GB"/>
        </w:rPr>
        <w:t>are associated with CVET participation. These constructs are operationalised through multiple indicators capturing different dimensions of work and well-being.</w:t>
      </w:r>
    </w:p>
    <w:p w14:paraId="25A59892" w14:textId="77777777" w:rsidR="00C8100E" w:rsidRPr="004A3750" w:rsidRDefault="00C8100E" w:rsidP="00A66BE1">
      <w:pPr>
        <w:jc w:val="both"/>
        <w:rPr>
          <w:lang w:val="en-GB"/>
        </w:rPr>
      </w:pPr>
      <w:r w:rsidRPr="004A3750">
        <w:rPr>
          <w:lang w:val="en-GB"/>
        </w:rPr>
        <w:t>Using data from the German Ageing Survey (DEAS) for individuals aged 50 and above (waves 2017, 2021, and 2023), we apply a propensity score matching approach, specifically radius matching, to estimate the average treatment effect on the treated. Matching is based on age, gender, job status, educational attainment, and health-related quality of life.</w:t>
      </w:r>
    </w:p>
    <w:p w14:paraId="42245675" w14:textId="02A01932" w:rsidR="0034031F" w:rsidRPr="004A3750" w:rsidRDefault="00A66BE1" w:rsidP="009E3416">
      <w:pPr>
        <w:jc w:val="both"/>
        <w:rPr>
          <w:lang w:val="en-GB"/>
        </w:rPr>
      </w:pPr>
      <w:r w:rsidRPr="004A3750">
        <w:rPr>
          <w:lang w:val="en-GB"/>
        </w:rPr>
        <w:t xml:space="preserve">The findings do not provide evidence that participation in CVET increases the likelihood of remaining in employment rather than transitioning into retirement at a later point in time. However, CVET participation is associated with aspects of working </w:t>
      </w:r>
      <w:r w:rsidR="00A13738" w:rsidRPr="004A3750">
        <w:rPr>
          <w:lang w:val="en-GB"/>
        </w:rPr>
        <w:t>motivation</w:t>
      </w:r>
      <w:r w:rsidRPr="004A3750">
        <w:rPr>
          <w:lang w:val="en-GB"/>
        </w:rPr>
        <w:t xml:space="preserve"> and </w:t>
      </w:r>
      <w:r w:rsidR="00A13738" w:rsidRPr="004A3750">
        <w:rPr>
          <w:lang w:val="en-GB"/>
        </w:rPr>
        <w:t>work</w:t>
      </w:r>
      <w:r w:rsidR="009D03E6" w:rsidRPr="004A3750">
        <w:rPr>
          <w:lang w:val="en-GB"/>
        </w:rPr>
        <w:t xml:space="preserve"> </w:t>
      </w:r>
      <w:r w:rsidR="00A13738" w:rsidRPr="004A3750">
        <w:rPr>
          <w:lang w:val="en-GB"/>
        </w:rPr>
        <w:t>ability</w:t>
      </w:r>
      <w:r w:rsidRPr="004A3750">
        <w:rPr>
          <w:lang w:val="en-GB"/>
        </w:rPr>
        <w:t xml:space="preserve">, including certain dimensions of job </w:t>
      </w:r>
      <w:r w:rsidR="00957CB4" w:rsidRPr="004A3750">
        <w:rPr>
          <w:lang w:val="en-GB"/>
        </w:rPr>
        <w:t>burden</w:t>
      </w:r>
      <w:r w:rsidRPr="004A3750">
        <w:rPr>
          <w:lang w:val="en-GB"/>
        </w:rPr>
        <w:t>, social inclusion, and job satisfaction.</w:t>
      </w:r>
      <w:r w:rsidR="001C048F">
        <w:rPr>
          <w:lang w:val="en-GB"/>
        </w:rPr>
        <w:t xml:space="preserve"> </w:t>
      </w:r>
      <w:r w:rsidR="004C2BAD">
        <w:rPr>
          <w:lang w:val="en-GB"/>
        </w:rPr>
        <w:t>This</w:t>
      </w:r>
      <w:r w:rsidR="009E3416" w:rsidRPr="00CD4D5A">
        <w:rPr>
          <w:lang w:val="en-GB"/>
        </w:rPr>
        <w:t xml:space="preserve"> point</w:t>
      </w:r>
      <w:r w:rsidR="0022282C">
        <w:rPr>
          <w:lang w:val="en-GB"/>
        </w:rPr>
        <w:t>s</w:t>
      </w:r>
      <w:r w:rsidR="009E3416" w:rsidRPr="00CD4D5A">
        <w:rPr>
          <w:lang w:val="en-GB"/>
        </w:rPr>
        <w:t xml:space="preserve"> to a potential timing problem. Participation in CVET in later working life may indeed affect dimensions of work experience</w:t>
      </w:r>
      <w:r w:rsidR="009E3416">
        <w:rPr>
          <w:lang w:val="en-GB"/>
        </w:rPr>
        <w:t xml:space="preserve"> and </w:t>
      </w:r>
      <w:r w:rsidR="009E3416" w:rsidRPr="004A3750">
        <w:rPr>
          <w:lang w:val="en-GB"/>
        </w:rPr>
        <w:t>“activate” workers.</w:t>
      </w:r>
      <w:r w:rsidR="009E3416" w:rsidRPr="009E3416">
        <w:rPr>
          <w:lang w:val="en-GB"/>
        </w:rPr>
        <w:t xml:space="preserve"> </w:t>
      </w:r>
      <w:r w:rsidR="009E3416" w:rsidRPr="00D57AE6">
        <w:rPr>
          <w:lang w:val="en-GB"/>
        </w:rPr>
        <w:t xml:space="preserve">Still, </w:t>
      </w:r>
      <w:r w:rsidR="00AF4446">
        <w:rPr>
          <w:lang w:val="en-GB"/>
        </w:rPr>
        <w:t>this</w:t>
      </w:r>
      <w:r w:rsidR="009E3416" w:rsidRPr="00CD4D5A">
        <w:rPr>
          <w:lang w:val="en-GB"/>
        </w:rPr>
        <w:t xml:space="preserve"> occur at a stage when retirement decisions are already largely structured</w:t>
      </w:r>
      <w:r w:rsidR="0034031F" w:rsidRPr="004A3750">
        <w:rPr>
          <w:lang w:val="en-GB"/>
        </w:rPr>
        <w:t>.</w:t>
      </w:r>
    </w:p>
    <w:p w14:paraId="16153F8B" w14:textId="76A37B1D" w:rsidR="00A66BE1" w:rsidRPr="004A3750" w:rsidRDefault="00A66BE1" w:rsidP="00A66BE1">
      <w:pPr>
        <w:jc w:val="both"/>
        <w:rPr>
          <w:lang w:val="en-GB"/>
        </w:rPr>
      </w:pPr>
      <w:r w:rsidRPr="004A3750">
        <w:rPr>
          <w:lang w:val="en-GB"/>
        </w:rPr>
        <w:t>Th</w:t>
      </w:r>
      <w:r w:rsidR="001C048F">
        <w:rPr>
          <w:lang w:val="en-GB"/>
        </w:rPr>
        <w:t xml:space="preserve">is </w:t>
      </w:r>
      <w:r w:rsidRPr="004A3750">
        <w:rPr>
          <w:lang w:val="en-GB"/>
        </w:rPr>
        <w:t>highlight</w:t>
      </w:r>
      <w:r w:rsidR="001C048F">
        <w:rPr>
          <w:lang w:val="en-GB"/>
        </w:rPr>
        <w:t>s</w:t>
      </w:r>
      <w:r w:rsidRPr="004A3750">
        <w:rPr>
          <w:lang w:val="en-GB"/>
        </w:rPr>
        <w:t xml:space="preserve"> the importance of considering broader workplace and individual factors when assessing the role of training in later-life labour market participation. Policy efforts may therefore benefit from complementing training initiatives with measures that address working conditions and social integration in the workplace.</w:t>
      </w:r>
    </w:p>
    <w:p w14:paraId="56F62CBE" w14:textId="77777777" w:rsidR="00A01977" w:rsidRPr="004A3750" w:rsidRDefault="00A01977">
      <w:pPr>
        <w:rPr>
          <w:lang w:val="en-GB"/>
        </w:rPr>
      </w:pPr>
    </w:p>
    <w:p w14:paraId="22316598" w14:textId="77777777" w:rsidR="00A01977" w:rsidRPr="004A3750" w:rsidRDefault="00A01977">
      <w:pPr>
        <w:rPr>
          <w:lang w:val="en-GB"/>
        </w:rPr>
      </w:pPr>
    </w:p>
    <w:p w14:paraId="72946B37" w14:textId="3AB4FFBF" w:rsidR="00A01977" w:rsidRPr="00D57AE6" w:rsidRDefault="00A01977">
      <w:pPr>
        <w:rPr>
          <w:lang w:val="en-GB"/>
        </w:rPr>
      </w:pPr>
      <w:r w:rsidRPr="004A3750">
        <w:rPr>
          <w:lang w:val="en-GB"/>
        </w:rPr>
        <w:t>Keywords:</w:t>
      </w:r>
      <w:r w:rsidR="003857F7" w:rsidRPr="004A3750">
        <w:rPr>
          <w:lang w:val="en-GB"/>
        </w:rPr>
        <w:t xml:space="preserve"> continuing vocational education and training; retirement decision; </w:t>
      </w:r>
      <w:r w:rsidR="006B1843" w:rsidRPr="004A3750">
        <w:rPr>
          <w:lang w:val="en-GB"/>
        </w:rPr>
        <w:t xml:space="preserve">DEAS; Germany; </w:t>
      </w:r>
      <w:r w:rsidR="00417591" w:rsidRPr="004A3750">
        <w:rPr>
          <w:lang w:val="en-GB"/>
        </w:rPr>
        <w:t>work-related factors</w:t>
      </w:r>
      <w:r w:rsidRPr="00D57AE6">
        <w:rPr>
          <w:lang w:val="en-GB"/>
        </w:rPr>
        <w:br w:type="page"/>
      </w:r>
    </w:p>
    <w:p w14:paraId="28B63F73" w14:textId="03173FC8" w:rsidR="00A20381" w:rsidRPr="00D57AE6" w:rsidRDefault="00791937" w:rsidP="0052016F">
      <w:pPr>
        <w:pStyle w:val="Heading1"/>
        <w:spacing w:line="480" w:lineRule="auto"/>
        <w:rPr>
          <w:lang w:val="en-GB"/>
        </w:rPr>
      </w:pPr>
      <w:r w:rsidRPr="00D57AE6">
        <w:rPr>
          <w:lang w:val="en-GB"/>
        </w:rPr>
        <w:lastRenderedPageBreak/>
        <w:t>Background</w:t>
      </w:r>
    </w:p>
    <w:p w14:paraId="6F99E4C7" w14:textId="77777777" w:rsidR="00A20381" w:rsidRPr="00D57AE6" w:rsidRDefault="00791937" w:rsidP="0052016F">
      <w:pPr>
        <w:pStyle w:val="Heading2"/>
        <w:spacing w:line="480" w:lineRule="auto"/>
        <w:rPr>
          <w:bCs/>
          <w:lang w:val="en-GB"/>
        </w:rPr>
      </w:pPr>
      <w:r w:rsidRPr="00D57AE6">
        <w:rPr>
          <w:bCs/>
          <w:lang w:val="en-GB"/>
        </w:rPr>
        <w:t>Retirement and the End of Working Life</w:t>
      </w:r>
    </w:p>
    <w:p w14:paraId="2A6A5145" w14:textId="6D104033" w:rsidR="00A20381" w:rsidRPr="00D57AE6" w:rsidRDefault="00791937" w:rsidP="0052016F">
      <w:pPr>
        <w:spacing w:line="480" w:lineRule="auto"/>
        <w:jc w:val="both"/>
        <w:rPr>
          <w:lang w:val="en-GB"/>
        </w:rPr>
      </w:pPr>
      <w:r w:rsidRPr="00D57AE6">
        <w:rPr>
          <w:lang w:val="en-GB"/>
        </w:rPr>
        <w:t xml:space="preserve">Across Europe and other industrialised societies, demographic change has increased attention to the timing of retirement and the length of working lives. Among the various policy levers discussed in this context, lifelong learning and </w:t>
      </w:r>
      <w:r w:rsidRPr="00D57AE6">
        <w:rPr>
          <w:i/>
          <w:iCs/>
          <w:lang w:val="en-GB"/>
        </w:rPr>
        <w:t>continuing vocational education and training</w:t>
      </w:r>
      <w:r w:rsidRPr="00D57AE6">
        <w:rPr>
          <w:lang w:val="en-GB"/>
        </w:rPr>
        <w:t xml:space="preserve"> (CVET) have received growing attention as potential mechanisms to support longer and more sustainable working lives</w:t>
      </w:r>
      <w:r w:rsidR="00664913" w:rsidRPr="00D57AE6">
        <w:rPr>
          <w:lang w:val="en-GB"/>
        </w:rPr>
        <w:t xml:space="preserve"> </w:t>
      </w:r>
      <w:r w:rsidR="00664913" w:rsidRPr="00D57AE6">
        <w:rPr>
          <w:lang w:val="en-GB"/>
        </w:rPr>
        <w:fldChar w:fldCharType="begin"/>
      </w:r>
      <w:r w:rsidR="004A3D0D">
        <w:rPr>
          <w:lang w:val="en-GB"/>
        </w:rPr>
        <w:instrText xml:space="preserve"> ADDIN ZOTERO_ITEM CSL_CITATION {"citationID":"afm7OYqD","properties":{"unsorted":false,"formattedCitation":"(Cummins &amp; Kunkel, 2015; Lauder, 2020; Naegele et al., 2025)","plainCitation":"(Cummins &amp; Kunkel, 2015; Lauder, 2020; Naegele et al., 2025)","noteIndex":0},"citationItems":[{"id":"hkiRVVPz/ZcjQB1iG","uris":["http://zotero.org/users/19409188/items/SDWDH6NP"],"itemData":{"id":995,"type":"article-journal","container-title":"New Horizons in Adult Education and Human Resource Development","DOI":"10.1002/nha3.20107","ISSN":"19394225","issue":"3","journalAbbreviation":"New Horizons in Adult Education and Human Resource Development","language":"en","license":"http://doi.wiley.com/10.1002/tdm_license_1.1","page":"3-17","source":"DOI.org (Crossref)","title":"A Global Examination of Policies and Practices for Lifelong Learning","volume":"27","author":[{"family":"Cummins","given":"Phyllis"},{"family":"Kunkel","given":"Suzanne"}],"issued":{"date-parts":[["2015",7]]}}},{"id":"hkiRVVPz/QN5EtvDA","uris":["http://zotero.org/users/19409188/items/PTW64JNR"],"itemData":{"id":996,"type":"article-journal","container-title":"Journal of Education and Work","DOI":"10.1080/13639080.2020.1852499","ISSN":"1363-9080, 1469-9435","issue":"7-8","journalAbbreviation":"Journal of Education and Work","language":"en","page":"460-467","source":"DOI.org (Crossref)","title":"The roles of higher education, further education and lifelong learning in the future economy","volume":"33","author":[{"family":"Lauder","given":"Hugh"}],"issued":{"date-parts":[["2020",11,16]]}}},{"id":28413,"uris":["http://zotero.org/groups/6389851/items/5KR66QXG"],"itemData":{"id":28413,"type":"article-journal","abstract":"Continuing vocational education and training (CVET) is essential for prolonging working lives, as it improves the qualifications and skills of older workers, helps to prevent skill mismatches, and increases their employability. Research indicates that access to training throughout life is unequally distributed in society, with certain labour market groups, such as those with higher education and better working conditions, benefiting more. This disparity results in social inequality and long-term negative effects on the employment trajectories of disadvantaged older workers. The impact of internalised ageist stereotypes regarding older workers’ ability to acquire knowledge later in life is underexplored but may significantly affect their motivation to participate in CVET and indirectly influence their labour market participation in later life.","container-title":"KZfSS Kölner Zeitschrift für Soziologie und Sozialpsychologie","DOI":"10.1007/s11577-025-01023-y","ISSN":"1861-891X","journalAbbreviation":"Köln Z Soziol","language":"en","source":"Springer Link","title":"Continuing Vocational Educational Training, Self-Directed Ageism, and Extending Working Lives: Evidence from the German Ageing Survey","title-short":"Continuing Vocational Educational Training, Self-Directed Ageism, and Extending Working Lives","URL":"https://doi.org/10.1007/s11577-025-01023-y","author":[{"family":"Naegele","given":"Laura"},{"family":"Schmitz","given":"Wiebke"},{"family":"Staniczek","given":"Selina"},{"family":"Heß","given":"Moritz"}],"accessed":{"date-parts":[["2025",11,10]]},"issued":{"date-parts":[["2025",10,23]]}}}],"schema":"https://github.com/citation-style-language/schema/raw/master/csl-citation.json"} </w:instrText>
      </w:r>
      <w:r w:rsidR="00664913" w:rsidRPr="00D57AE6">
        <w:rPr>
          <w:lang w:val="en-GB"/>
        </w:rPr>
        <w:fldChar w:fldCharType="separate"/>
      </w:r>
      <w:r w:rsidR="00664913" w:rsidRPr="00D57AE6">
        <w:rPr>
          <w:rFonts w:ascii="Aptos" w:hAnsi="Aptos"/>
          <w:lang w:val="en-GB"/>
        </w:rPr>
        <w:t>(Cummins &amp; Kunkel, 2015; Lauder, 2020; Naegele et al., 2025)</w:t>
      </w:r>
      <w:r w:rsidR="00664913" w:rsidRPr="00D57AE6">
        <w:rPr>
          <w:lang w:val="en-GB"/>
        </w:rPr>
        <w:fldChar w:fldCharType="end"/>
      </w:r>
      <w:r w:rsidRPr="00D57AE6">
        <w:rPr>
          <w:lang w:val="en-GB"/>
        </w:rPr>
        <w:t xml:space="preserve">. </w:t>
      </w:r>
    </w:p>
    <w:p w14:paraId="4BBC8C86" w14:textId="2609FAD2" w:rsidR="00A20381" w:rsidRPr="00D57AE6" w:rsidRDefault="00791937" w:rsidP="0052016F">
      <w:pPr>
        <w:spacing w:line="480" w:lineRule="auto"/>
        <w:jc w:val="both"/>
        <w:rPr>
          <w:lang w:val="en-GB"/>
        </w:rPr>
      </w:pPr>
      <w:r w:rsidRPr="00D57AE6">
        <w:rPr>
          <w:lang w:val="en-GB"/>
        </w:rPr>
        <w:t>In Germany alone, approximately 20 million baby boomers are expected to retire by 2036, placing substantial pressure on labour markets, social security systems, and public finances</w:t>
      </w:r>
      <w:r w:rsidR="007A6EC6" w:rsidRPr="00D57AE6">
        <w:rPr>
          <w:lang w:val="en-GB"/>
        </w:rPr>
        <w:t xml:space="preserve"> </w:t>
      </w:r>
      <w:r w:rsidR="007A6EC6" w:rsidRPr="00D57AE6">
        <w:rPr>
          <w:lang w:val="en-GB"/>
        </w:rPr>
        <w:fldChar w:fldCharType="begin"/>
      </w:r>
      <w:r w:rsidR="001F2956">
        <w:rPr>
          <w:lang w:val="en-GB"/>
        </w:rPr>
        <w:instrText xml:space="preserve"> ADDIN ZOTERO_ITEM CSL_CITATION {"citationID":"ErC6SSzj","properties":{"unsorted":false,"formattedCitation":"(Deschermeier &amp; Sch\\uc0\\u228{}fer, 2024)","plainCitation":"(Deschermeier &amp; Schäfer, 2024)","noteIndex":0},"citationItems":[{"id":28431,"uris":["http://zotero.org/groups/6389851/items/XITSW6HX"],"itemData":{"id":28431,"type":"report","collection-title":"IW-Kurzbericht","number":"78","publisher":"Institut der deutschen Wirtschaft","publisher-place":"Köln/Berlin","title":"Die Babyboomer gehen in Rente","URL":"https://www.iwkoeln.de/fileadmin/user_upload/Studien/Kurzberichte/PDF/2024/IW-Kurzbericht_2024-Babyboomer.pdf","author":[{"family":"Deschermeier","given":"Philipp"},{"family":"Schäfer","given":"Holger"}],"accessed":{"date-parts":[["2025",11,18]]},"issued":{"date-parts":[["2024"]]}}}],"schema":"https://github.com/citation-style-language/schema/raw/master/csl-citation.json"} </w:instrText>
      </w:r>
      <w:r w:rsidR="007A6EC6" w:rsidRPr="00D57AE6">
        <w:rPr>
          <w:lang w:val="en-GB"/>
        </w:rPr>
        <w:fldChar w:fldCharType="separate"/>
      </w:r>
      <w:r w:rsidR="00891A77" w:rsidRPr="00D57AE6">
        <w:rPr>
          <w:rFonts w:ascii="Aptos" w:hAnsi="Aptos" w:cs="Times New Roman"/>
          <w:lang w:val="en-GB"/>
        </w:rPr>
        <w:t>(Deschermeier &amp; Schäfer, 2024)</w:t>
      </w:r>
      <w:r w:rsidR="007A6EC6" w:rsidRPr="00D57AE6">
        <w:rPr>
          <w:lang w:val="en-GB"/>
        </w:rPr>
        <w:fldChar w:fldCharType="end"/>
      </w:r>
      <w:r w:rsidR="00AD6250" w:rsidRPr="00D57AE6">
        <w:rPr>
          <w:lang w:val="en-GB"/>
        </w:rPr>
        <w:t xml:space="preserve">. </w:t>
      </w:r>
      <w:r w:rsidRPr="00D57AE6">
        <w:rPr>
          <w:lang w:val="en-GB"/>
        </w:rPr>
        <w:t xml:space="preserve">As a result, extending working lives has become a central policy objective in many countries. Despite these developments, many older workers still exit the labour market before reaching the statutory retirement age. Although employment among individuals aged 55–64 has increased substantially in recent decades, it remains below the overall employment rate. Recent figures indicate </w:t>
      </w:r>
      <w:r w:rsidR="002E6352" w:rsidRPr="00D57AE6">
        <w:rPr>
          <w:lang w:val="en-GB"/>
        </w:rPr>
        <w:t>an employment rate of 75.2% for those aged 55–64,</w:t>
      </w:r>
      <w:r w:rsidRPr="00D57AE6">
        <w:rPr>
          <w:lang w:val="en-GB"/>
        </w:rPr>
        <w:t xml:space="preserve"> compared with 81.3% for the working-age population as a whole</w:t>
      </w:r>
      <w:r w:rsidR="00592555" w:rsidRPr="00D57AE6">
        <w:rPr>
          <w:lang w:val="en-GB"/>
        </w:rPr>
        <w:t xml:space="preserve"> </w:t>
      </w:r>
      <w:r w:rsidR="00240B20" w:rsidRPr="00D57AE6">
        <w:rPr>
          <w:lang w:val="en-GB"/>
        </w:rPr>
        <w:fldChar w:fldCharType="begin"/>
      </w:r>
      <w:r w:rsidR="001F2956">
        <w:rPr>
          <w:lang w:val="en-GB"/>
        </w:rPr>
        <w:instrText xml:space="preserve"> ADDIN ZOTERO_ITEM CSL_CITATION {"citationID":"6zItQetn","properties":{"unsorted":false,"formattedCitation":"(Eurostat, 2024)","plainCitation":"(Eurostat, 2024)","noteIndex":0},"citationItems":[{"id":29242,"uris":["http://zotero.org/groups/6389851/items/TGGYJSDP"],"itemData":{"id":29242,"type":"dataset","DOI":"https://doi.org/10.2908/LFSI_EMP_A","title":"Employment and activity by sex and age - annual data","author":[{"family":"Eurostat","given":""}],"issued":{"date-parts":[["2024"]]}}}],"schema":"https://github.com/citation-style-language/schema/raw/master/csl-citation.json"} </w:instrText>
      </w:r>
      <w:r w:rsidR="00240B20" w:rsidRPr="00D57AE6">
        <w:rPr>
          <w:lang w:val="en-GB"/>
        </w:rPr>
        <w:fldChar w:fldCharType="separate"/>
      </w:r>
      <w:r w:rsidR="00891A77" w:rsidRPr="00D57AE6">
        <w:rPr>
          <w:rFonts w:ascii="Aptos" w:hAnsi="Aptos"/>
          <w:lang w:val="en-GB"/>
        </w:rPr>
        <w:t>(Eurostat, 2024)</w:t>
      </w:r>
      <w:r w:rsidR="00240B20" w:rsidRPr="00D57AE6">
        <w:rPr>
          <w:lang w:val="en-GB"/>
        </w:rPr>
        <w:fldChar w:fldCharType="end"/>
      </w:r>
      <w:r w:rsidR="00B414C7" w:rsidRPr="00D57AE6">
        <w:rPr>
          <w:lang w:val="en-GB"/>
        </w:rPr>
        <w:t>.</w:t>
      </w:r>
    </w:p>
    <w:p w14:paraId="1B67BCF6" w14:textId="5DA173FB" w:rsidR="00A20381" w:rsidRPr="00D57AE6" w:rsidRDefault="00791937" w:rsidP="0052016F">
      <w:pPr>
        <w:spacing w:line="480" w:lineRule="auto"/>
        <w:jc w:val="both"/>
        <w:rPr>
          <w:lang w:val="en-GB"/>
        </w:rPr>
      </w:pPr>
      <w:r w:rsidRPr="00D57AE6">
        <w:rPr>
          <w:lang w:val="en-GB"/>
        </w:rPr>
        <w:t xml:space="preserve">Survey evidence indicates that many employees would prefer to retire before the age of 65; for example, </w:t>
      </w:r>
      <w:r w:rsidR="00E41C9F">
        <w:rPr>
          <w:lang w:val="en-GB"/>
        </w:rPr>
        <w:t xml:space="preserve">only </w:t>
      </w:r>
      <w:r w:rsidRPr="00D57AE6">
        <w:rPr>
          <w:lang w:val="en-GB"/>
        </w:rPr>
        <w:t xml:space="preserve">about </w:t>
      </w:r>
      <w:r w:rsidR="005C682A">
        <w:rPr>
          <w:lang w:val="en-GB"/>
        </w:rPr>
        <w:t>25</w:t>
      </w:r>
      <w:r w:rsidRPr="00D57AE6">
        <w:rPr>
          <w:lang w:val="en-GB"/>
        </w:rPr>
        <w:t>% report that they would wish to work until that age</w:t>
      </w:r>
      <w:r w:rsidR="009469D2">
        <w:rPr>
          <w:lang w:val="en-GB"/>
        </w:rPr>
        <w:t xml:space="preserve"> </w:t>
      </w:r>
      <w:r w:rsidR="00AD6250" w:rsidRPr="00D57AE6">
        <w:rPr>
          <w:lang w:val="en-GB"/>
        </w:rPr>
        <w:t xml:space="preserve"> </w:t>
      </w:r>
      <w:r w:rsidR="00AD6250" w:rsidRPr="00D57AE6">
        <w:rPr>
          <w:lang w:val="en-GB"/>
        </w:rPr>
        <w:fldChar w:fldCharType="begin"/>
      </w:r>
      <w:r w:rsidR="009469D2">
        <w:rPr>
          <w:lang w:val="en-GB"/>
        </w:rPr>
        <w:instrText xml:space="preserve"> ADDIN ZOTERO_ITEM CSL_CITATION {"citationID":"WOiRTRfz","properties":{"unsorted":false,"formattedCitation":"(Garthe &amp; Hasselhorn, 2023)","plainCitation":"(Garthe &amp; Hasselhorn, 2023)","noteIndex":0},"citationItems":[{"id":28146,"uris":["http://zotero.org/users/10596418/items/RI4DLM8T"],"itemData":{"id":28146,"type":"article-journal","abstract":"Im Kontext politischer Bemühungen, ältere Beschäftigte in Deutschland länger im Erwerbsleben zu halten, wird untersucht, wie lange diese noch erwerbstätig sein wollen und können und wie sich tatsächliche Veränderungen von Arbeitsbedingungen auf ihre Erwerbsperspektive auswirken.","container-title":"Zentralblatt für Arbeitsmedizin, Arbeitsschutz und Ergonomie","DOI":"10.1007/s40664-022-00490-w","ISSN":"2198-0713","issue":"2","journalAbbreviation":"Zbl Arbeitsmed","language":"de","page":"49-63","source":"Springer Link","title":"Wollen und können ältere Beschäftigte länger erwerbstätig bleiben, wenn sich ihre Arbeit verbessert?","volume":"73","author":[{"family":"Garthe","given":"Nina"},{"family":"Hasselhorn","given":"Hans Martin"}],"issued":{"date-parts":[["2023",3,1]]}}}],"schema":"https://github.com/citation-style-language/schema/raw/master/csl-citation.json"} </w:instrText>
      </w:r>
      <w:r w:rsidR="00AD6250" w:rsidRPr="00D57AE6">
        <w:rPr>
          <w:lang w:val="en-GB"/>
        </w:rPr>
        <w:fldChar w:fldCharType="separate"/>
      </w:r>
      <w:r w:rsidR="009469D2" w:rsidRPr="009469D2">
        <w:rPr>
          <w:rFonts w:ascii="Aptos" w:hAnsi="Aptos"/>
        </w:rPr>
        <w:t>(Garthe &amp; Hasselhorn, 2023)</w:t>
      </w:r>
      <w:r w:rsidR="00AD6250" w:rsidRPr="00D57AE6">
        <w:rPr>
          <w:lang w:val="en-GB"/>
        </w:rPr>
        <w:fldChar w:fldCharType="end"/>
      </w:r>
      <w:r w:rsidRPr="00D57AE6">
        <w:rPr>
          <w:lang w:val="en-GB"/>
        </w:rPr>
        <w:t>. At the same time, when asked how long they could continue working given their health and working conditions, respondents typically report a later age</w:t>
      </w:r>
      <w:r w:rsidR="00701D0C" w:rsidRPr="00D57AE6">
        <w:rPr>
          <w:lang w:val="en-GB"/>
        </w:rPr>
        <w:t xml:space="preserve"> </w:t>
      </w:r>
      <w:r w:rsidR="002E6352" w:rsidRPr="00D57AE6">
        <w:rPr>
          <w:lang w:val="en-GB"/>
        </w:rPr>
        <w:t xml:space="preserve">at which they could continue working </w:t>
      </w:r>
      <w:r w:rsidR="00AD6250" w:rsidRPr="00D57AE6">
        <w:rPr>
          <w:lang w:val="en-GB"/>
        </w:rPr>
        <w:fldChar w:fldCharType="begin"/>
      </w:r>
      <w:r w:rsidR="00A734B7">
        <w:rPr>
          <w:lang w:val="en-GB"/>
        </w:rPr>
        <w:instrText xml:space="preserve"> ADDIN ZOTERO_ITEM CSL_CITATION {"citationID":"19lUukFO","properties":{"unsorted":false,"formattedCitation":"(Garthe &amp; Hasselhorn, 2023)","plainCitation":"(Garthe &amp; Hasselhorn, 2023)","noteIndex":0},"citationItems":[{"id":28146,"uris":["http://zotero.org/users/10596418/items/RI4DLM8T"],"itemData":{"id":28146,"type":"article-journal","abstract":"Im Kontext politischer Bemühungen, ältere Beschäftigte in Deutschland länger im Erwerbsleben zu halten, wird untersucht, wie lange diese noch erwerbstätig sein wollen und können und wie sich tatsächliche Veränderungen von Arbeitsbedingungen auf ihre Erwerbsperspektive auswirken.","container-title":"Zentralblatt für Arbeitsmedizin, Arbeitsschutz und Ergonomie","DOI":"10.1007/s40664-022-00490-w","ISSN":"2198-0713","issue":"2","journalAbbreviation":"Zbl Arbeitsmed","language":"de","page":"49-63","source":"Springer Link","title":"Wollen und können ältere Beschäftigte länger erwerbstätig bleiben, wenn sich ihre Arbeit verbessert?","volume":"73","author":[{"family":"Garthe","given":"Nina"},{"family":"Hasselhorn","given":"Hans Martin"}],"issued":{"date-parts":[["2023",3,1]]}}}],"schema":"https://github.com/citation-style-language/schema/raw/master/csl-citation.json"} </w:instrText>
      </w:r>
      <w:r w:rsidR="00AD6250" w:rsidRPr="00D57AE6">
        <w:rPr>
          <w:lang w:val="en-GB"/>
        </w:rPr>
        <w:fldChar w:fldCharType="separate"/>
      </w:r>
      <w:r w:rsidR="00A734B7" w:rsidRPr="00A734B7">
        <w:rPr>
          <w:rFonts w:ascii="Aptos" w:hAnsi="Aptos"/>
        </w:rPr>
        <w:t>(Garthe &amp; Hasselhorn, 2023)</w:t>
      </w:r>
      <w:r w:rsidR="00AD6250" w:rsidRPr="00D57AE6">
        <w:rPr>
          <w:lang w:val="en-GB"/>
        </w:rPr>
        <w:fldChar w:fldCharType="end"/>
      </w:r>
      <w:r w:rsidR="00AD6250" w:rsidRPr="00D57AE6">
        <w:rPr>
          <w:lang w:val="en-GB"/>
        </w:rPr>
        <w:t>.</w:t>
      </w:r>
      <w:r w:rsidRPr="00D57AE6">
        <w:rPr>
          <w:lang w:val="en-GB"/>
        </w:rPr>
        <w:t xml:space="preserve"> Depending </w:t>
      </w:r>
      <w:r w:rsidRPr="00D57AE6">
        <w:rPr>
          <w:lang w:val="en-GB"/>
        </w:rPr>
        <w:lastRenderedPageBreak/>
        <w:t xml:space="preserve">on the occupational context, the gap between </w:t>
      </w:r>
      <w:r w:rsidR="002E6352" w:rsidRPr="00D57AE6">
        <w:rPr>
          <w:lang w:val="en-GB"/>
        </w:rPr>
        <w:t>the preferred and perceived feasible retirement ages ranges from 2 to 6</w:t>
      </w:r>
      <w:r w:rsidRPr="00D57AE6">
        <w:rPr>
          <w:lang w:val="en-GB"/>
        </w:rPr>
        <w:t xml:space="preserve"> years. The age at which individuals expect to retire typically falls between these two values, suggesting that retirement timing reflects a compromise between preferences and perceived ability to </w:t>
      </w:r>
      <w:r w:rsidR="002E6352" w:rsidRPr="00D57AE6">
        <w:rPr>
          <w:lang w:val="en-GB"/>
        </w:rPr>
        <w:t>continue working</w:t>
      </w:r>
      <w:r w:rsidRPr="00D57AE6">
        <w:rPr>
          <w:lang w:val="en-GB"/>
        </w:rPr>
        <w:t>.</w:t>
      </w:r>
    </w:p>
    <w:p w14:paraId="3548E217" w14:textId="77777777" w:rsidR="00A20381" w:rsidRPr="00D57AE6" w:rsidRDefault="00791937" w:rsidP="0052016F">
      <w:pPr>
        <w:pStyle w:val="Heading2"/>
        <w:spacing w:line="480" w:lineRule="auto"/>
        <w:rPr>
          <w:lang w:val="en-GB"/>
        </w:rPr>
      </w:pPr>
      <w:r w:rsidRPr="00D57AE6">
        <w:rPr>
          <w:lang w:val="en-GB"/>
        </w:rPr>
        <w:t>Influences on Retirement Decisions</w:t>
      </w:r>
    </w:p>
    <w:p w14:paraId="4816637F" w14:textId="1C5ECABD" w:rsidR="00A20381" w:rsidRPr="00D57AE6" w:rsidRDefault="00791937" w:rsidP="0052016F">
      <w:pPr>
        <w:spacing w:line="480" w:lineRule="auto"/>
        <w:jc w:val="both"/>
        <w:rPr>
          <w:lang w:val="en-GB"/>
        </w:rPr>
      </w:pPr>
      <w:r w:rsidRPr="00D57AE6">
        <w:rPr>
          <w:lang w:val="en-GB"/>
        </w:rPr>
        <w:t>Extending working lives is often justified by both societal and individual benefits</w:t>
      </w:r>
      <w:r w:rsidR="009B5065" w:rsidRPr="00D57AE6">
        <w:rPr>
          <w:lang w:val="en-GB"/>
        </w:rPr>
        <w:t xml:space="preserve">. </w:t>
      </w:r>
      <w:r w:rsidRPr="00D57AE6">
        <w:rPr>
          <w:lang w:val="en-GB"/>
        </w:rPr>
        <w:t>At the societal level, longer labour force participation can mitigate demographic pressures on labour markets and pension systems</w:t>
      </w:r>
      <w:r w:rsidR="009B5065" w:rsidRPr="00D57AE6">
        <w:rPr>
          <w:lang w:val="en-GB"/>
        </w:rPr>
        <w:t xml:space="preserve"> </w:t>
      </w:r>
      <w:r w:rsidR="009B5065" w:rsidRPr="00D57AE6">
        <w:rPr>
          <w:lang w:val="en-GB"/>
        </w:rPr>
        <w:fldChar w:fldCharType="begin"/>
      </w:r>
      <w:r w:rsidR="004A3D0D">
        <w:rPr>
          <w:lang w:val="en-GB"/>
        </w:rPr>
        <w:instrText xml:space="preserve"> ADDIN ZOTERO_ITEM CSL_CITATION {"citationID":"b1lIlDdj","properties":{"unsorted":false,"formattedCitation":"(Kuitto &amp; Helmdag, 2021; Laaksonen, 2021)","plainCitation":"(Kuitto &amp; Helmdag, 2021; Laaksonen, 2021)","noteIndex":0},"citationItems":[{"id":"hkiRVVPz/n7tSVUan","uris":["http://zotero.org/users/19409188/items/2XUNGSGB"],"itemData":{"id":997,"type":"article-journal","abstract":"Abstract\n            This study investigates how policies shape retirement and labour market participation of older workers and thus help extending working lives. It employs a time</w:instrText>
      </w:r>
      <w:r w:rsidR="004A3D0D">
        <w:rPr>
          <w:rFonts w:ascii="Cambria Math" w:hAnsi="Cambria Math" w:cs="Cambria Math"/>
          <w:lang w:val="en-GB"/>
        </w:rPr>
        <w:instrText>‐</w:instrText>
      </w:r>
      <w:r w:rsidR="004A3D0D">
        <w:rPr>
          <w:lang w:val="en-GB"/>
        </w:rPr>
        <w:instrText>series</w:instrText>
      </w:r>
      <w:r w:rsidR="004A3D0D">
        <w:rPr>
          <w:rFonts w:ascii="Aptos" w:hAnsi="Aptos" w:cs="Aptos"/>
          <w:lang w:val="en-GB"/>
        </w:rPr>
        <w:instrText>–</w:instrText>
      </w:r>
      <w:r w:rsidR="004A3D0D">
        <w:rPr>
          <w:lang w:val="en-GB"/>
        </w:rPr>
        <w:instrText>cross</w:instrText>
      </w:r>
      <w:r w:rsidR="004A3D0D">
        <w:rPr>
          <w:rFonts w:ascii="Cambria Math" w:hAnsi="Cambria Math" w:cs="Cambria Math"/>
          <w:lang w:val="en-GB"/>
        </w:rPr>
        <w:instrText>‐</w:instrText>
      </w:r>
      <w:r w:rsidR="004A3D0D">
        <w:rPr>
          <w:lang w:val="en-GB"/>
        </w:rPr>
        <w:instrText>section analysis of the effects of macro</w:instrText>
      </w:r>
      <w:r w:rsidR="004A3D0D">
        <w:rPr>
          <w:rFonts w:ascii="Cambria Math" w:hAnsi="Cambria Math" w:cs="Cambria Math"/>
          <w:lang w:val="en-GB"/>
        </w:rPr>
        <w:instrText>‐</w:instrText>
      </w:r>
      <w:r w:rsidR="004A3D0D">
        <w:rPr>
          <w:lang w:val="en-GB"/>
        </w:rPr>
        <w:instrText>level institutional pull, push and retention factors on effective retirement age and employment rate of older workers in 15 OECD countries from 1992 to 2010. The comparative approach reveals that public pension system rules that have been geared towards postponing retirement in many countries in past decades, indeed, are significant determinants of lengthening working lives. In particular, statutory retirement age and financial disincentives for early retirement proof important. Institutional effects differ by gender, though. Furthermore, the results point to the importance of social policies supporting labour market participation throughout the life</w:instrText>
      </w:r>
      <w:r w:rsidR="004A3D0D">
        <w:rPr>
          <w:rFonts w:ascii="Cambria Math" w:hAnsi="Cambria Math" w:cs="Cambria Math"/>
          <w:lang w:val="en-GB"/>
        </w:rPr>
        <w:instrText>‐</w:instrText>
      </w:r>
      <w:r w:rsidR="004A3D0D">
        <w:rPr>
          <w:lang w:val="en-GB"/>
        </w:rPr>
        <w:instrText xml:space="preserve">course: social investment in human capital and public services clearly supports extending working lives.","container-title":"Social Policy &amp; Administration","DOI":"10.1111/spol.12717","ISSN":"0144-5596, 1467-9515","issue":"3","journalAbbreviation":"Soc Policy Adm","language":"en","page":"423-439","source":"DOI.org (Crossref)","title":"Extending working lives: How policies shape retirement and labour market participation of older workers","title-short":"Extending working lives","volume":"55","author":[{"family":"Kuitto","given":"Kati"},{"family":"Helmdag","given":"Jan"}],"issued":{"date-parts":[["2021",5]]}}},{"id":"hkiRVVPz/0qvFLZxu","uris":["http://zotero.org/users/19409188/items/2PQL4JYN"],"itemData":{"id":999,"type":"article-journal","container-title":"Scandinavian Journal of Work, Environment &amp; Health","DOI":"10.5271/sjweh.3941","ISSN":"0355-3140, 1795-990X","issue":"1","journalAbbreviation":"Scand J Work Environ Health","language":"en","page":"1-3","source":"DOI.org (Crossref)","title":"Increasing labor force participation in older age requires investments in work ability","volume":"47","author":[{"family":"Laaksonen","given":"Mikko"}],"issued":{"date-parts":[["2021",1,1]]}}}],"schema":"https://github.com/citation-style-language/schema/raw/master/csl-citation.json"} </w:instrText>
      </w:r>
      <w:r w:rsidR="009B5065" w:rsidRPr="00D57AE6">
        <w:rPr>
          <w:lang w:val="en-GB"/>
        </w:rPr>
        <w:fldChar w:fldCharType="separate"/>
      </w:r>
      <w:r w:rsidR="009B5065" w:rsidRPr="00D57AE6">
        <w:rPr>
          <w:rFonts w:ascii="Aptos" w:hAnsi="Aptos"/>
          <w:lang w:val="en-GB"/>
        </w:rPr>
        <w:t>(Kuitto &amp; Helmdag, 2021; Laaksonen, 2021)</w:t>
      </w:r>
      <w:r w:rsidR="009B5065" w:rsidRPr="00D57AE6">
        <w:rPr>
          <w:lang w:val="en-GB"/>
        </w:rPr>
        <w:fldChar w:fldCharType="end"/>
      </w:r>
      <w:r w:rsidRPr="00D57AE6">
        <w:rPr>
          <w:lang w:val="en-GB"/>
        </w:rPr>
        <w:t>. For individuals, continued employment may provide financial security, social participation, and psychological well-being</w:t>
      </w:r>
      <w:r w:rsidR="009B5065" w:rsidRPr="00D57AE6">
        <w:rPr>
          <w:lang w:val="en-GB"/>
        </w:rPr>
        <w:t xml:space="preserve"> </w:t>
      </w:r>
      <w:r w:rsidR="009B5065" w:rsidRPr="00D57AE6">
        <w:rPr>
          <w:lang w:val="en-GB"/>
        </w:rPr>
        <w:fldChar w:fldCharType="begin"/>
      </w:r>
      <w:r w:rsidR="004A3D0D">
        <w:rPr>
          <w:lang w:val="en-GB"/>
        </w:rPr>
        <w:instrText xml:space="preserve"> ADDIN ZOTERO_ITEM CSL_CITATION {"citationID":"v6qsvBJB","properties":{"unsorted":false,"formattedCitation":"(Baxter et al., 2021; Driver &amp; Henshon, 2020)","plainCitation":"(Baxter et al., 2021; Driver &amp; Henshon, 2020)","noteIndex":0},"citationItems":[{"id":"hkiRVVPz/bFSRV943","uris":["http://zotero.org/users/19409188/items/ZWFNLE6J"],"itemData":{"id":1002,"type":"article-journal","abstract":"Abstract\n            \n              Background\n              Work, rather than unemployment, is recognised as being good for health, but there may be an age when the benefits are outweighed by adverse impacts. As countries around the world increase their typical retirement age, the potential effect on population health and health inequalities requires scrutiny.\n            \n            \n              Methods\n              We carried out a systematic review of literature published since 2011 from developed countries on the health effects of employment in those over 64</w:instrText>
      </w:r>
      <w:r w:rsidR="004A3D0D">
        <w:rPr>
          <w:rFonts w:ascii="Arial" w:hAnsi="Arial" w:cs="Arial"/>
          <w:lang w:val="en-GB"/>
        </w:rPr>
        <w:instrText> </w:instrText>
      </w:r>
      <w:r w:rsidR="004A3D0D">
        <w:rPr>
          <w:lang w:val="en-GB"/>
        </w:rPr>
        <w:instrText xml:space="preserve">years of age. We completed a narrative synthesis and used harvest plots to map the direction and volume of evidence for the outcomes reported. We followed the Preferred Reporting Items for Systematic Reviews (PRISMA) checklist in our methods and reporting.\n            \n            \n              Results\n              We identified seventeen relevant studies, which were of cohort or cross-sectional design. The results indicate evidence of beneficial or neutral effects from extended working on overall health status and physical health for many employees, and mixed effects on mental health. The benefits reported however, are most likely to be for males, those working part-time or reducing to part-time, and employees in jobs which are not low quality or low reward.\n            \n            \n              Conclusions\n              Extending working life (particularly part time) may have benefits or a neutral effect for some, but adverse effects for others in high demand or low reward jobs. There is the potential for widening health inequalities between those who can choose to reduce their working hours, and those who need to continue working full time for financial reasons. There is a lack of evidence for effects on quality of life, and a dearth of interventions enabling older workers to extend their healthy working life.","container-title":"BMC Public Health","DOI":"10.1186/s12889-021-11423-2","ISSN":"1471-2458","issue":"1","journalAbbreviation":"BMC Public Health","language":"en","page":"1356","source":"DOI.org (Crossref)","title":"Is working in later life good for your health? A systematic review of health outcomes resulting from extended working lives","title-short":"Is working in later life good for your health?","volume":"21","author":[{"family":"Baxter","given":"Susan"},{"family":"Blank","given":"Lindsay"},{"family":"Cantrell","given":"Anna"},{"family":"Goyder","given":"Elizabeth"}],"issued":{"date-parts":[["2021",12]]}}},{"id":"hkiRVVPz/PauhkG4K","uris":["http://zotero.org/users/19409188/items/VIUTMSRW"],"itemData":{"id":1001,"type":"article-journal","container-title":"SSRN Electronic Journal","DOI":"10.2139/ssrn.3646467","ISSN":"1556-5068","journalAbbreviation":"SSRN Journal","language":"en","source":"DOI.org (Crossref)","title":"Working Longer Solves (Almost) Everything: The Correlation between Employment, Social Engagement and Longevity","title-short":"Working Longer Solves (Almost) Everything","URL":"https://www.ssrn.com/abstract=3646467","author":[{"family":"Driver","given":"Tim"},{"family":"Henshon","given":"Amanda"}],"accessed":{"date-parts":[["2026",4,2]]},"issued":{"date-parts":[["2020"]]}}}],"schema":"https://github.com/citation-style-language/schema/raw/master/csl-citation.json"} </w:instrText>
      </w:r>
      <w:r w:rsidR="009B5065" w:rsidRPr="00D57AE6">
        <w:rPr>
          <w:lang w:val="en-GB"/>
        </w:rPr>
        <w:fldChar w:fldCharType="separate"/>
      </w:r>
      <w:r w:rsidR="009B5065" w:rsidRPr="00D57AE6">
        <w:rPr>
          <w:rFonts w:ascii="Aptos" w:hAnsi="Aptos"/>
          <w:lang w:val="en-GB"/>
        </w:rPr>
        <w:t>(Baxter et al., 2021; Driver &amp; Henshon, 2020)</w:t>
      </w:r>
      <w:r w:rsidR="009B5065" w:rsidRPr="00D57AE6">
        <w:rPr>
          <w:lang w:val="en-GB"/>
        </w:rPr>
        <w:fldChar w:fldCharType="end"/>
      </w:r>
      <w:r w:rsidRPr="00D57AE6">
        <w:rPr>
          <w:lang w:val="en-GB"/>
        </w:rPr>
        <w:t>.</w:t>
      </w:r>
    </w:p>
    <w:p w14:paraId="3044D012" w14:textId="2E60C4E2" w:rsidR="00A20381" w:rsidRPr="00D57AE6" w:rsidRDefault="00791937" w:rsidP="0052016F">
      <w:pPr>
        <w:spacing w:line="480" w:lineRule="auto"/>
        <w:jc w:val="both"/>
        <w:rPr>
          <w:lang w:val="en-GB"/>
        </w:rPr>
      </w:pPr>
      <w:r w:rsidRPr="00D57AE6">
        <w:rPr>
          <w:lang w:val="en-GB"/>
        </w:rPr>
        <w:t>However, policies aimed at extending working lives cannot rely on raising statutory retirement ages. Instead, they must address the factors that shape individuals’ willingness and ability to remain in employment. Research indicates that working conditions play a central role in this process</w:t>
      </w:r>
      <w:r w:rsidR="00445AC8" w:rsidRPr="00D57AE6">
        <w:rPr>
          <w:lang w:val="en-GB"/>
        </w:rPr>
        <w:t xml:space="preserve">. When asked under which circumstances they would consider extending their working lives, many employees report that they would be willing to do so if working conditions improved </w:t>
      </w:r>
      <w:r w:rsidR="00445AC8" w:rsidRPr="00D57AE6">
        <w:rPr>
          <w:lang w:val="en-GB"/>
        </w:rPr>
        <w:fldChar w:fldCharType="begin"/>
      </w:r>
      <w:r w:rsidR="004A3D0D">
        <w:rPr>
          <w:lang w:val="en-GB"/>
        </w:rPr>
        <w:instrText xml:space="preserve"> ADDIN ZOTERO_ITEM CSL_CITATION {"citationID":"fs68LPGZ","properties":{"unsorted":false,"formattedCitation":"(Garthe &amp; Hasselhorn, 2023; Steng\\uc0\\u229{}rd et al., 2022; Virtanen et al., 2014)","plainCitation":"(Garthe &amp; Hasselhorn, 2023; Stengård et al., 2022; Virtanen et al., 2014)","noteIndex":0},"citationItems":[{"id":28146,"uris":["http://zotero.org/users/10596418/items/RI4DLM8T"],"itemData":{"id":28146,"type":"article-journal","abstract":"Im Kontext politischer Bemühungen, ältere Beschäftigte in Deutschland länger im Erwerbsleben zu halten, wird untersucht, wie lange diese noch erwerbstätig sein wollen und können und wie sich tatsächliche Veränderungen von Arbeitsbedingungen auf ihre Erwerbsperspektive auswirken.","container-title":"Zentralblatt für Arbeitsmedizin, Arbeitsschutz und Ergonomie","DOI":"10.1007/s40664-022-00490-w","ISSN":"2198-0713","issue":"2","journalAbbreviation":"Zbl Arbeitsmed","language":"de","page":"49-63","source":"Springer Link","title":"Wollen und können ältere Beschäftigte länger erwerbstätig bleiben, wenn sich ihre Arbeit verbessert?","volume":"73","author":[{"family":"Garthe","given":"Nina"},{"family":"Hasselhorn","given":"Hans Martin"}],"issued":{"date-parts":[["2023",3,1]]}}},{"id":"hkiRVVPz/yFQyhoXD","uris":["http://zotero.org/users/19409188/items/WUY3CAKL"],"itemData":{"id":"0GloizEw/0RcGdhji","type":"article-journal","abstract":"Abstract\n            \n              Due to an ageing population, governments in European countries are striving to keep older workers longer in the workforce. Remarkably few studies have paid attention to the influence of psychosocial working conditions on timing of retirement for older workers in and beyond normative retirement age. The aim of the present study was to examine whether good psychosocial working conditions contribute to prolonged working lives among older workers (59 years and above). A particular question was whether such conditions increase in importance with age. Seven waves (2006–2018) of the Swedish Longitudinal Occupational Survey of Health (SLOSH) were used (\n              N\n              </w:instrText>
      </w:r>
      <w:r w:rsidR="004A3D0D">
        <w:rPr>
          <w:rFonts w:ascii="Arial" w:hAnsi="Arial" w:cs="Arial"/>
          <w:lang w:val="en-GB"/>
        </w:rPr>
        <w:instrText> </w:instrText>
      </w:r>
      <w:r w:rsidR="004A3D0D">
        <w:rPr>
          <w:lang w:val="en-GB"/>
        </w:rPr>
        <w:instrText>=</w:instrText>
      </w:r>
      <w:r w:rsidR="004A3D0D">
        <w:rPr>
          <w:rFonts w:ascii="Arial" w:hAnsi="Arial" w:cs="Arial"/>
          <w:lang w:val="en-GB"/>
        </w:rPr>
        <w:instrText> </w:instrText>
      </w:r>
      <w:r w:rsidR="004A3D0D">
        <w:rPr>
          <w:lang w:val="en-GB"/>
        </w:rPr>
        <w:instrText>6000, observations</w:instrText>
      </w:r>
      <w:r w:rsidR="004A3D0D">
        <w:rPr>
          <w:rFonts w:ascii="Arial" w:hAnsi="Arial" w:cs="Arial"/>
          <w:lang w:val="en-GB"/>
        </w:rPr>
        <w:instrText> </w:instrText>
      </w:r>
      <w:r w:rsidR="004A3D0D">
        <w:rPr>
          <w:lang w:val="en-GB"/>
        </w:rPr>
        <w:instrText>=</w:instrText>
      </w:r>
      <w:r w:rsidR="004A3D0D">
        <w:rPr>
          <w:rFonts w:ascii="Arial" w:hAnsi="Arial" w:cs="Arial"/>
          <w:lang w:val="en-GB"/>
        </w:rPr>
        <w:instrText> </w:instrText>
      </w:r>
      <w:r w:rsidR="004A3D0D">
        <w:rPr>
          <w:lang w:val="en-GB"/>
        </w:rPr>
        <w:instrText>10,632). Discrete-time event history analyses showed that higher levels of job resources (decision authority [OR 1.13, 95% CI 1.06</w:instrText>
      </w:r>
      <w:r w:rsidR="004A3D0D">
        <w:rPr>
          <w:rFonts w:ascii="Aptos" w:hAnsi="Aptos" w:cs="Aptos"/>
          <w:lang w:val="en-GB"/>
        </w:rPr>
        <w:instrText>–</w:instrText>
      </w:r>
      <w:r w:rsidR="004A3D0D">
        <w:rPr>
          <w:lang w:val="en-GB"/>
        </w:rPr>
        <w:instrText>1.22], skill use [OR 1.17, 95% CI 1.07</w:instrText>
      </w:r>
      <w:r w:rsidR="004A3D0D">
        <w:rPr>
          <w:rFonts w:ascii="Aptos" w:hAnsi="Aptos" w:cs="Aptos"/>
          <w:lang w:val="en-GB"/>
        </w:rPr>
        <w:instrText>–</w:instrText>
      </w:r>
      <w:r w:rsidR="004A3D0D">
        <w:rPr>
          <w:lang w:val="en-GB"/>
        </w:rPr>
        <w:instrText>1.29], learning opportunities [OR 1.22, 95% CI 1.13</w:instrText>
      </w:r>
      <w:r w:rsidR="004A3D0D">
        <w:rPr>
          <w:rFonts w:ascii="Aptos" w:hAnsi="Aptos" w:cs="Aptos"/>
          <w:lang w:val="en-GB"/>
        </w:rPr>
        <w:instrText>–</w:instrText>
      </w:r>
      <w:r w:rsidR="004A3D0D">
        <w:rPr>
          <w:lang w:val="en-GB"/>
        </w:rPr>
        <w:instrText>1.31], social support [OR 1.29 (95% CI 1.16</w:instrText>
      </w:r>
      <w:r w:rsidR="004A3D0D">
        <w:rPr>
          <w:rFonts w:ascii="Aptos" w:hAnsi="Aptos" w:cs="Aptos"/>
          <w:lang w:val="en-GB"/>
        </w:rPr>
        <w:instrText>–</w:instrText>
      </w:r>
      <w:r w:rsidR="004A3D0D">
        <w:rPr>
          <w:lang w:val="en-GB"/>
        </w:rPr>
        <w:instrText>1.42], work-time control [OR 1.07, 95% CI 1.01</w:instrText>
      </w:r>
      <w:r w:rsidR="004A3D0D">
        <w:rPr>
          <w:rFonts w:ascii="Aptos" w:hAnsi="Aptos" w:cs="Aptos"/>
          <w:lang w:val="en-GB"/>
        </w:rPr>
        <w:instrText>–</w:instrText>
      </w:r>
      <w:r w:rsidR="004A3D0D">
        <w:rPr>
          <w:lang w:val="en-GB"/>
        </w:rPr>
        <w:instrText>1.13], and reward [OR 1.40, 95% CI 1.24</w:instrText>
      </w:r>
      <w:r w:rsidR="004A3D0D">
        <w:rPr>
          <w:rFonts w:ascii="Aptos" w:hAnsi="Aptos" w:cs="Aptos"/>
          <w:lang w:val="en-GB"/>
        </w:rPr>
        <w:instrText>–</w:instrText>
      </w:r>
      <w:r w:rsidR="004A3D0D">
        <w:rPr>
          <w:lang w:val="en-GB"/>
        </w:rPr>
        <w:instrText>1.57])</w:instrText>
      </w:r>
      <w:r w:rsidR="004A3D0D">
        <w:rPr>
          <w:rFonts w:ascii="Aptos" w:hAnsi="Aptos" w:cs="Aptos"/>
          <w:lang w:val="en-GB"/>
        </w:rPr>
        <w:instrText>—</w:instrText>
      </w:r>
      <w:r w:rsidR="004A3D0D">
        <w:rPr>
          <w:lang w:val="en-GB"/>
        </w:rPr>
        <w:instrText xml:space="preserve">but not lower levels of job demands (quantitative and emotional demands or effort)—were associated with working longer (continued work two years later). Also, low effort-reward imbalance (OR 0.84 [95% CI 0.73–0.96]) was associated with working longer. In addition, skill use, work-time control, reward, and low effort-reward imbalance increased in importance with age for continued work. These results suggest that providing older workers with control over their work tasks, giving opportunities for learning and using their skills, as well as rewarding and acknowledging their achievements, may keep them in the workforce longer. Especially, job resources may grow in importance with age.","container-title":"European Journal of Ageing","DOI":"10.1007/s10433-021-00672-0","ISSN":"1613-9372, 1613-9380","issue":"3","journalAbbreviation":"Eur J Ageing","language":"en","page":"677-688","source":"DOI.org (Crossref)","title":"Do good psychosocial working conditions prolong working lives? Findings from a prospective study in Sweden","title-short":"Do good psychosocial working conditions prolong working lives?","volume":"19","author":[{"family":"Stengård","given":"Johanna"},{"family":"Leineweber","given":"Constanze"},{"family":"Virtanen","given":"Marianna"},{"family":"Westerlund","given":"Hugo"},{"family":"Wang","given":"Hui-Xin"}],"issued":{"date-parts":[["2022",9]]}}},{"id":"hkiRVVPz/G99lqC1v","uris":["http://zotero.org/users/19409188/items/K9MCGPRY"],"itemData":{"id":"0GloizEw/uYEHLcC2","type":"article-journal","container-title":"PLoS ONE","DOI":"10.1371/journal.pone.0088695","ISSN":"1932-6203","issue":"2","journalAbbreviation":"PLoS ONE","language":"en","page":"e88695","source":"DOI.org (Crossref)","title":"Extending Employment beyond the Pensionable Age: A Cohort Study of the Influence of Chronic Diseases, Health Risk Factors, and Working Conditions","title-short":"Extending Employment beyond the Pensionable Age","volume":"9","author":[{"family":"Virtanen","given":"Marianna"},{"family":"Oksanen","given":"Tuula"},{"family":"Batty","given":"G. David"},{"family":"Ala-Mursula","given":"Leena"},{"family":"Salo","given":"Paula"},{"family":"Elovainio","given":"Marko"},{"family":"Pentti","given":"Jaana"},{"family":"Lybäck","given":"Katinka"},{"family":"Vahtera","given":"Jussi"},{"family":"Kivimäki","given":"Mika"}],"editor":[{"family":"Van Baal","given":"Pieter H. M."}],"issued":{"date-parts":[["2014",2,19]]}}}],"schema":"https://github.com/citation-style-language/schema/raw/master/csl-citation.json"} </w:instrText>
      </w:r>
      <w:r w:rsidR="00445AC8" w:rsidRPr="00D57AE6">
        <w:rPr>
          <w:lang w:val="en-GB"/>
        </w:rPr>
        <w:fldChar w:fldCharType="separate"/>
      </w:r>
      <w:r w:rsidR="00F13B09" w:rsidRPr="00F13B09">
        <w:rPr>
          <w:rFonts w:ascii="Aptos" w:hAnsi="Aptos" w:cs="Times New Roman"/>
        </w:rPr>
        <w:t>(Garthe &amp; Hasselhorn, 2023; Stengård et al., 2022; Virtanen et al., 2014)</w:t>
      </w:r>
      <w:r w:rsidR="00445AC8" w:rsidRPr="00D57AE6">
        <w:rPr>
          <w:lang w:val="en-GB"/>
        </w:rPr>
        <w:fldChar w:fldCharType="end"/>
      </w:r>
      <w:r w:rsidRPr="00D57AE6">
        <w:rPr>
          <w:lang w:val="en-GB"/>
        </w:rPr>
        <w:t>. Frequently mentioned factors include greater autonomy at work, supportive social environments, meaningful job tasks, and adequate remuneration.</w:t>
      </w:r>
    </w:p>
    <w:p w14:paraId="5AEF0347" w14:textId="58E46563" w:rsidR="00A20381" w:rsidRPr="00D57AE6" w:rsidRDefault="00791937" w:rsidP="0052016F">
      <w:pPr>
        <w:spacing w:line="480" w:lineRule="auto"/>
        <w:jc w:val="both"/>
        <w:rPr>
          <w:lang w:val="en-GB"/>
        </w:rPr>
      </w:pPr>
      <w:r w:rsidRPr="00D57AE6">
        <w:rPr>
          <w:lang w:val="en-GB"/>
        </w:rPr>
        <w:t>These insights are increasingly reflected in labour market policy. In Germany, the federal government responded to demographic change and labour shortages with a national skills strategy (</w:t>
      </w:r>
      <w:proofErr w:type="spellStart"/>
      <w:r w:rsidRPr="00D57AE6">
        <w:rPr>
          <w:lang w:val="en-GB"/>
        </w:rPr>
        <w:t>Fachkräftestrategie</w:t>
      </w:r>
      <w:proofErr w:type="spellEnd"/>
      <w:r w:rsidRPr="00D57AE6">
        <w:rPr>
          <w:lang w:val="en-GB"/>
        </w:rPr>
        <w:t>) introduced in 2022</w:t>
      </w:r>
      <w:r w:rsidR="001E4936" w:rsidRPr="00D57AE6">
        <w:rPr>
          <w:lang w:val="en-GB"/>
        </w:rPr>
        <w:t xml:space="preserve"> </w:t>
      </w:r>
      <w:r w:rsidR="001E4936" w:rsidRPr="00D57AE6">
        <w:rPr>
          <w:lang w:val="en-GB"/>
        </w:rPr>
        <w:fldChar w:fldCharType="begin"/>
      </w:r>
      <w:r w:rsidR="001F2956">
        <w:rPr>
          <w:lang w:val="en-GB"/>
        </w:rPr>
        <w:instrText xml:space="preserve"> ADDIN ZOTERO_ITEM CSL_CITATION {"citationID":"GpyetjhL","properties":{"unsorted":false,"formattedCitation":"(BMAS, 2022)","plainCitation":"(BMAS, 2022)","noteIndex":0},"citationItems":[{"id":27341,"uris":["http://zotero.org/users/10596418/items/84M4ARNF"],"itemData":{"id":27341,"type":"document","language":"de","source":"Zotero","title":"Fachkräftestrategie der Bundesregierung","author":[{"family":"BMAS","given":""}],"contributor":[{"family":"Die Bundesregierung","given":""}],"issued":{"date-parts":[["2022"]]}}}],"schema":"https://github.com/citation-style-language/schema/raw/master/csl-citation.json"} </w:instrText>
      </w:r>
      <w:r w:rsidR="001E4936" w:rsidRPr="00D57AE6">
        <w:rPr>
          <w:lang w:val="en-GB"/>
        </w:rPr>
        <w:fldChar w:fldCharType="separate"/>
      </w:r>
      <w:r w:rsidR="00891A77" w:rsidRPr="00D57AE6">
        <w:rPr>
          <w:rFonts w:ascii="Aptos" w:hAnsi="Aptos"/>
          <w:lang w:val="en-GB"/>
        </w:rPr>
        <w:t>(BMAS, 2022)</w:t>
      </w:r>
      <w:r w:rsidR="001E4936" w:rsidRPr="00D57AE6">
        <w:rPr>
          <w:lang w:val="en-GB"/>
        </w:rPr>
        <w:fldChar w:fldCharType="end"/>
      </w:r>
      <w:r w:rsidRPr="00D57AE6">
        <w:rPr>
          <w:lang w:val="en-GB"/>
        </w:rPr>
        <w:t xml:space="preserve">. One of its central goals is to encourage individuals of working age to continuously develop their </w:t>
      </w:r>
      <w:r w:rsidRPr="00D57AE6">
        <w:rPr>
          <w:lang w:val="en-GB"/>
        </w:rPr>
        <w:lastRenderedPageBreak/>
        <w:t xml:space="preserve">professional skills </w:t>
      </w:r>
      <w:r w:rsidR="002E6352" w:rsidRPr="00D57AE6">
        <w:rPr>
          <w:lang w:val="en-GB"/>
        </w:rPr>
        <w:t>to</w:t>
      </w:r>
      <w:r w:rsidRPr="00D57AE6">
        <w:rPr>
          <w:lang w:val="en-GB"/>
        </w:rPr>
        <w:t xml:space="preserve"> remain active in the labour market for longer. The strategy explicitly highlights targeted </w:t>
      </w:r>
      <w:r w:rsidR="00703F48" w:rsidRPr="00D57AE6">
        <w:rPr>
          <w:bCs/>
          <w:lang w:val="en-GB"/>
        </w:rPr>
        <w:t>CVET</w:t>
      </w:r>
      <w:r w:rsidR="00703F48" w:rsidRPr="00D57AE6">
        <w:rPr>
          <w:lang w:val="en-GB"/>
        </w:rPr>
        <w:t xml:space="preserve"> </w:t>
      </w:r>
      <w:r w:rsidRPr="00D57AE6">
        <w:rPr>
          <w:lang w:val="en-GB"/>
        </w:rPr>
        <w:t xml:space="preserve">as a key instrument for retaining workers in employment </w:t>
      </w:r>
      <w:r w:rsidR="001E4936" w:rsidRPr="00D57AE6">
        <w:rPr>
          <w:lang w:val="en-GB"/>
        </w:rPr>
        <w:fldChar w:fldCharType="begin"/>
      </w:r>
      <w:r w:rsidR="001F2956">
        <w:rPr>
          <w:lang w:val="en-GB"/>
        </w:rPr>
        <w:instrText xml:space="preserve"> ADDIN ZOTERO_ITEM CSL_CITATION {"citationID":"VrhrBkAV","properties":{"unsorted":false,"formattedCitation":"(BMAS, 2022, pp. 16\\uc0\\u8211{}18)","plainCitation":"(BMAS, 2022, pp. 16–18)","noteIndex":0},"citationItems":[{"id":27341,"uris":["http://zotero.org/users/10596418/items/84M4ARNF"],"itemData":{"id":27341,"type":"document","language":"de","source":"Zotero","title":"Fachkräftestrategie der Bundesregierung","author":[{"family":"BMAS","given":""}],"contributor":[{"family":"Die Bundesregierung","given":""}],"issued":{"date-parts":[["2022"]]}},"locator":"16-18","label":"page"}],"schema":"https://github.com/citation-style-language/schema/raw/master/csl-citation.json"} </w:instrText>
      </w:r>
      <w:r w:rsidR="001E4936" w:rsidRPr="00D57AE6">
        <w:rPr>
          <w:lang w:val="en-GB"/>
        </w:rPr>
        <w:fldChar w:fldCharType="separate"/>
      </w:r>
      <w:r w:rsidR="00891A77" w:rsidRPr="00D57AE6">
        <w:rPr>
          <w:rFonts w:ascii="Aptos" w:hAnsi="Aptos" w:cs="Times New Roman"/>
          <w:lang w:val="en-GB"/>
        </w:rPr>
        <w:t>(BMAS, 2022, pp. 16–18)</w:t>
      </w:r>
      <w:r w:rsidR="001E4936" w:rsidRPr="00D57AE6">
        <w:rPr>
          <w:lang w:val="en-GB"/>
        </w:rPr>
        <w:fldChar w:fldCharType="end"/>
      </w:r>
      <w:r w:rsidRPr="00D57AE6">
        <w:rPr>
          <w:lang w:val="en-GB"/>
        </w:rPr>
        <w:t>. These efforts build on the National Continuing Education Strategy launched in 2019 by the Federal Ministry of Labour and Social Affairs together with the Federal Ministry of Education and Research and other stakeholders, which aims to establish lifelong learning as a permanent component of professional development.</w:t>
      </w:r>
    </w:p>
    <w:p w14:paraId="06BFE0AA" w14:textId="0DF080D9" w:rsidR="00A20381" w:rsidRPr="00D57AE6" w:rsidRDefault="00791937" w:rsidP="0052016F">
      <w:pPr>
        <w:spacing w:line="480" w:lineRule="auto"/>
        <w:jc w:val="both"/>
        <w:rPr>
          <w:lang w:val="en-GB"/>
        </w:rPr>
      </w:pPr>
      <w:r w:rsidRPr="00D57AE6">
        <w:rPr>
          <w:lang w:val="en-GB"/>
        </w:rPr>
        <w:t xml:space="preserve">Taken together, these developments suggest that extending working lives requires strengthening workers’ resources rather than relying solely on institutional retirement reforms. One important instrument in this context is participation in </w:t>
      </w:r>
      <w:r w:rsidR="00703F48" w:rsidRPr="00D57AE6">
        <w:rPr>
          <w:bCs/>
          <w:lang w:val="en-GB"/>
        </w:rPr>
        <w:t>CVET</w:t>
      </w:r>
      <w:r w:rsidRPr="00D57AE6">
        <w:rPr>
          <w:lang w:val="en-GB"/>
        </w:rPr>
        <w:t>.</w:t>
      </w:r>
    </w:p>
    <w:p w14:paraId="0A1A9D92" w14:textId="77777777" w:rsidR="00A20381" w:rsidRPr="00D57AE6" w:rsidRDefault="00791937" w:rsidP="0052016F">
      <w:pPr>
        <w:pStyle w:val="Heading2"/>
        <w:spacing w:line="480" w:lineRule="auto"/>
        <w:rPr>
          <w:lang w:val="en-GB"/>
        </w:rPr>
      </w:pPr>
      <w:r w:rsidRPr="00D57AE6">
        <w:rPr>
          <w:lang w:val="en-GB"/>
        </w:rPr>
        <w:t>Continuing Vocational Education and Training and Extended Working Lives – what’s known?</w:t>
      </w:r>
    </w:p>
    <w:p w14:paraId="3A1BAC47" w14:textId="73C23478" w:rsidR="00A20381" w:rsidRPr="00D57AE6" w:rsidRDefault="00703F48" w:rsidP="0052016F">
      <w:pPr>
        <w:spacing w:line="480" w:lineRule="auto"/>
        <w:jc w:val="both"/>
        <w:rPr>
          <w:lang w:val="en-GB"/>
        </w:rPr>
      </w:pPr>
      <w:r w:rsidRPr="00D57AE6">
        <w:rPr>
          <w:bCs/>
          <w:lang w:val="en-GB"/>
        </w:rPr>
        <w:t>CVET</w:t>
      </w:r>
      <w:r w:rsidR="00791937" w:rsidRPr="00D57AE6">
        <w:rPr>
          <w:lang w:val="en-GB"/>
        </w:rPr>
        <w:t xml:space="preserve"> refers to structured learning activities that take place after the completion of initial education and training and are intended to maintain or enhance individuals’ skills, knowledge, and competencies throughout their working lives. CVET encompasses a wide range of activities, including employer-provided </w:t>
      </w:r>
      <w:r w:rsidR="00CA5384" w:rsidRPr="00D57AE6">
        <w:rPr>
          <w:lang w:val="en-GB"/>
        </w:rPr>
        <w:t>(re)</w:t>
      </w:r>
      <w:r w:rsidR="00791937" w:rsidRPr="00D57AE6">
        <w:rPr>
          <w:lang w:val="en-GB"/>
        </w:rPr>
        <w:t>training programs, professional courses, workshops, and other forms of skill development</w:t>
      </w:r>
      <w:r w:rsidR="00445AC8" w:rsidRPr="00D57AE6">
        <w:rPr>
          <w:lang w:val="en-GB"/>
        </w:rPr>
        <w:t xml:space="preserve"> </w:t>
      </w:r>
      <w:r w:rsidR="00445AC8" w:rsidRPr="00D57AE6">
        <w:rPr>
          <w:lang w:val="en-GB"/>
        </w:rPr>
        <w:fldChar w:fldCharType="begin"/>
      </w:r>
      <w:r w:rsidR="004A3D0D">
        <w:rPr>
          <w:lang w:val="en-GB"/>
        </w:rPr>
        <w:instrText xml:space="preserve"> ADDIN ZOTERO_ITEM CSL_CITATION {"citationID":"1VKiPhE2","properties":{"unsorted":false,"formattedCitation":"(Friedman, 2023)","plainCitation":"(Friedman, 2023)","noteIndex":0},"citationItems":[{"id":"hkiRVVPz/P4cYXsLZ","uris":["http://zotero.org/users/19409188/items/NJ6KAMJ7"],"itemData":{"id":1008,"type":"article-journal","container-title":"International Journal of Lifelong Education","DOI":"10.1080/02601370.2023.2267770","ISSN":"0260-1370, 1464-519X","issue":"6","journalAbbreviation":"International Journal of Lifelong Education","language":"en","page":"588-602","source":"DOI.org (Crossref)","title":"Continuing professional development as lifelong learning and education","volume":"42","author":[{"family":"Friedman","given":"Andrew L."}],"issued":{"date-parts":[["2023",11,2]]}}}],"schema":"https://github.com/citation-style-language/schema/raw/master/csl-citation.json"} </w:instrText>
      </w:r>
      <w:r w:rsidR="00445AC8" w:rsidRPr="00D57AE6">
        <w:rPr>
          <w:lang w:val="en-GB"/>
        </w:rPr>
        <w:fldChar w:fldCharType="separate"/>
      </w:r>
      <w:r w:rsidR="00445AC8" w:rsidRPr="00D57AE6">
        <w:rPr>
          <w:rFonts w:ascii="Aptos" w:hAnsi="Aptos"/>
          <w:lang w:val="en-GB"/>
        </w:rPr>
        <w:t>(Friedman, 2023)</w:t>
      </w:r>
      <w:r w:rsidR="00445AC8" w:rsidRPr="00D57AE6">
        <w:rPr>
          <w:lang w:val="en-GB"/>
        </w:rPr>
        <w:fldChar w:fldCharType="end"/>
      </w:r>
      <w:r w:rsidR="00791937" w:rsidRPr="00D57AE6">
        <w:rPr>
          <w:lang w:val="en-GB"/>
        </w:rPr>
        <w:t>.</w:t>
      </w:r>
    </w:p>
    <w:p w14:paraId="4E7929F9" w14:textId="04037754" w:rsidR="00A20381" w:rsidRPr="00D57AE6" w:rsidRDefault="00791937" w:rsidP="0052016F">
      <w:pPr>
        <w:spacing w:line="480" w:lineRule="auto"/>
        <w:jc w:val="both"/>
        <w:rPr>
          <w:lang w:val="en-GB"/>
        </w:rPr>
      </w:pPr>
      <w:r w:rsidRPr="00D57AE6">
        <w:rPr>
          <w:lang w:val="en-GB"/>
        </w:rPr>
        <w:t>Participation in CVET varies across the life course and is unequally distributed across social groups</w:t>
      </w:r>
      <w:r w:rsidR="00AD6250" w:rsidRPr="00D57AE6">
        <w:rPr>
          <w:lang w:val="en-GB"/>
        </w:rPr>
        <w:t xml:space="preserve"> </w:t>
      </w:r>
      <w:r w:rsidR="00AD6250" w:rsidRPr="00D57AE6">
        <w:rPr>
          <w:lang w:val="en-GB"/>
        </w:rPr>
        <w:fldChar w:fldCharType="begin"/>
      </w:r>
      <w:r w:rsidR="0091115C">
        <w:rPr>
          <w:lang w:val="en-GB"/>
        </w:rPr>
        <w:instrText xml:space="preserve"> ADDIN ZOTERO_ITEM CSL_CITATION {"citationID":"QBXm52uu","properties":{"unsorted":false,"formattedCitation":"(Lee &amp; Desjardins, 2019)","plainCitation":"(Lee &amp; Desjardins, 2019)","noteIndex":0},"citationItems":[{"id":29248,"uris":["http://zotero.org/groups/6389851/items/LYPPX8SY"],"itemData":{"id":29248,"type":"article-journal","container-title":"International Journal of Lifelong Education","DOI":"10.1080/02601370.2019.1618402","ISSN":"0260-1370, 1464-519X","issue":"3","journalAbbreviation":"International Journal of Lifelong Education","language":"en","page":"339-359","source":"DOI.org (Crossref)","title":"Inequality in adult learning and education participation: the effects of social origins and social inequality","title-short":"Inequality in adult learning and education participation","volume":"38","author":[{"family":"Lee","given":"Jeongwoo"},{"family":"Desjardins","given":"Richard"}],"issued":{"date-parts":[["2019",5,4]]}}}],"schema":"https://github.com/citation-style-language/schema/raw/master/csl-citation.json"} </w:instrText>
      </w:r>
      <w:r w:rsidR="00AD6250" w:rsidRPr="00D57AE6">
        <w:rPr>
          <w:lang w:val="en-GB"/>
        </w:rPr>
        <w:fldChar w:fldCharType="separate"/>
      </w:r>
      <w:r w:rsidR="0091115C" w:rsidRPr="0091115C">
        <w:rPr>
          <w:rFonts w:ascii="Aptos" w:hAnsi="Aptos"/>
        </w:rPr>
        <w:t>(Lee &amp; Desjardins, 2019)</w:t>
      </w:r>
      <w:r w:rsidR="00AD6250" w:rsidRPr="00D57AE6">
        <w:rPr>
          <w:lang w:val="en-GB"/>
        </w:rPr>
        <w:fldChar w:fldCharType="end"/>
      </w:r>
      <w:r w:rsidRPr="00D57AE6">
        <w:rPr>
          <w:lang w:val="en-GB"/>
        </w:rPr>
        <w:t xml:space="preserve">. Younger and </w:t>
      </w:r>
      <w:r w:rsidR="002E6352" w:rsidRPr="00D57AE6">
        <w:rPr>
          <w:lang w:val="en-GB"/>
        </w:rPr>
        <w:t>more highly educated workers typically have greater access to training opportunities, whereas</w:t>
      </w:r>
      <w:r w:rsidRPr="00D57AE6">
        <w:rPr>
          <w:lang w:val="en-GB"/>
        </w:rPr>
        <w:t xml:space="preserve"> older employees, workers in smaller firms, or individuals with lower levels of education participate less frequently</w:t>
      </w:r>
      <w:r w:rsidR="006D2946" w:rsidRPr="00D57AE6">
        <w:rPr>
          <w:lang w:val="en-GB"/>
        </w:rPr>
        <w:t xml:space="preserve"> </w:t>
      </w:r>
      <w:r w:rsidR="006D2946" w:rsidRPr="00D57AE6">
        <w:rPr>
          <w:lang w:val="en-GB"/>
        </w:rPr>
        <w:fldChar w:fldCharType="begin"/>
      </w:r>
      <w:r w:rsidR="004A3D0D">
        <w:rPr>
          <w:lang w:val="en-GB"/>
        </w:rPr>
        <w:instrText xml:space="preserve"> ADDIN ZOTERO_ITEM CSL_CITATION {"citationID":"5KlWnBHY","properties":{"unsorted":false,"formattedCitation":"(Lischewski et al., 2020)","plainCitation":"(Lischewski et al., 2020)","noteIndex":0},"citationItems":[{"id":"hkiRVVPz/8B0sZ6wE","uris":["http://zotero.org/users/19409188/items/JMC6V4CU"],"itemData":{"id":1010,"type":"article-journal","abstract":"Participation in further education is a central success factor for economic growth and societal as well as individual development. This is especially true today because in most industrialized countries, labor markets and work processes are changing rapidly. Data on further education, however, show that not everybody participates and that different social groups participate to different degrees. Activities in continuous vocational education and training (CVET) are mainly differentiated as formal, non-formal and informal CVET, whereby further differences between offers of non-formal and informal CVET are seldom elaborated. Furthermore, reasons for participation or non-participation are often neglected. In this study, we therefore analyze and compare predictors for participation in both forms of CVET, namely, non-formal and informal. To learn more about the reasons for participation, we focus on the individual perspective of employees (invidual factors, job-related factors, and learning biography) and additionally integrate institutional characteristics (workplace and company-based characteristics). The results mainly show that non-formal CVET is still strongly influenced by institutional settings. In the case of informal CVET, on the other hand, the learning biography plays a central role.","container-title":"Frontiers in Psychology","DOI":"10.3389/fpsyg.2020.534485","ISSN":"1664-1078","journalAbbreviation":"Front. Psychol.","page":"534485","source":"DOI.org (Crossref)","title":"What Influences Participation in Non-formal and Informal Modes of Continuous Vocational Education and Training? An Analysis of Individual and Institutional Influencing Factors","title-short":"What Influences Participation in Non-formal and Informal Modes of Continuous Vocational Education and Training?","volume":"11","author":[{"family":"Lischewski","given":"Julia"},{"family":"Seeber","given":"Susan"},{"family":"Wuttke","given":"Eveline"},{"family":"Rosemann","given":"Therese"}],"issued":{"date-parts":[["2020",12,3]]}}}],"schema":"https://github.com/citation-style-language/schema/raw/master/csl-citation.json"} </w:instrText>
      </w:r>
      <w:r w:rsidR="006D2946" w:rsidRPr="00D57AE6">
        <w:rPr>
          <w:lang w:val="en-GB"/>
        </w:rPr>
        <w:fldChar w:fldCharType="separate"/>
      </w:r>
      <w:r w:rsidR="006D2946" w:rsidRPr="00D57AE6">
        <w:rPr>
          <w:rFonts w:ascii="Aptos" w:hAnsi="Aptos"/>
          <w:lang w:val="en-GB"/>
        </w:rPr>
        <w:t>(Lischewski et al., 2020)</w:t>
      </w:r>
      <w:r w:rsidR="006D2946" w:rsidRPr="00D57AE6">
        <w:rPr>
          <w:lang w:val="en-GB"/>
        </w:rPr>
        <w:fldChar w:fldCharType="end"/>
      </w:r>
      <w:r w:rsidRPr="00D57AE6">
        <w:rPr>
          <w:lang w:val="en-GB"/>
        </w:rPr>
        <w:t>. Nevertheless, participation rates among older workers remain substantial in many countries</w:t>
      </w:r>
      <w:r w:rsidR="006D2946" w:rsidRPr="00D57AE6">
        <w:rPr>
          <w:lang w:val="en-GB"/>
        </w:rPr>
        <w:t xml:space="preserve"> </w:t>
      </w:r>
      <w:r w:rsidR="006D2946" w:rsidRPr="00D57AE6">
        <w:rPr>
          <w:lang w:val="en-GB"/>
        </w:rPr>
        <w:fldChar w:fldCharType="begin"/>
      </w:r>
      <w:r w:rsidR="004A3D0D">
        <w:rPr>
          <w:lang w:val="en-GB"/>
        </w:rPr>
        <w:instrText xml:space="preserve"> ADDIN ZOTERO_ITEM CSL_CITATION {"citationID":"AZKbOv3p","properties":{"unsorted":false,"formattedCitation":"(Tikkanen &amp; Nissinen, 2016; Turek &amp; Henkens, 2021)","plainCitation":"(Tikkanen &amp; Nissinen, 2016; Turek &amp; Henkens, 2021)","noteIndex":0},"citationItems":[{"id":"hkiRVVPz/k8dddcaV","uris":["http://zotero.org/users/19409188/items/PJCMSL84"],"itemData":{"id":1012,"type":"article-journal","container-title":"International Journal of Lifelong Education","DOI":"10.1080/02601370.2016.1165749","ISSN":"0260-1370, 1464-519X","issue":"3","journalAbbreviation":"International Journal of Lifelong Education","language":"en","page":"216-234","source":"DOI.org (Crossref)","title":"Participation in job-related lifelong learning among well-educated employees in the Nordic countries","volume":"35","author":[{"family":"Tikkanen","given":"Tarja"},{"family":"Nissinen","given":"Kari"}],"issued":{"date-parts":[["2016",5,3]]}}},{"id":"hkiRVVPz/dvhtNIwP","uris":["http://zotero.org/users/19409188/items/9RHRRCZJ"],"itemData":{"id":1014,"type":"article-journal","container-title":"Advances in Life Course Research","DOI":"10.1016/j.alcr.2020.100396","ISSN":"15694909","journalAbbreviation":"Advances in Life Course Research","language":"en","page":"100396","source":"DOI.org (Crossref)","title":"Participation in training at older ages: A European perspective on path dependency in life course trajectories","title-short":"Participation in training at older ages","volume":"48","author":[{"family":"Turek","given":"Konrad"},{"family":"Henkens","given":"Kène"}],"issued":{"date-parts":[["2021",6]]}}}],"schema":"https://github.com/citation-style-language/schema/raw/master/csl-citation.json"} </w:instrText>
      </w:r>
      <w:r w:rsidR="006D2946" w:rsidRPr="00D57AE6">
        <w:rPr>
          <w:lang w:val="en-GB"/>
        </w:rPr>
        <w:fldChar w:fldCharType="separate"/>
      </w:r>
      <w:r w:rsidR="006D2946" w:rsidRPr="00D57AE6">
        <w:rPr>
          <w:rFonts w:ascii="Aptos" w:hAnsi="Aptos"/>
          <w:lang w:val="en-GB"/>
        </w:rPr>
        <w:t xml:space="preserve">(Tikkanen &amp; Nissinen, 2016; Turek &amp; </w:t>
      </w:r>
      <w:r w:rsidR="006D2946" w:rsidRPr="00D57AE6">
        <w:rPr>
          <w:rFonts w:ascii="Aptos" w:hAnsi="Aptos"/>
          <w:lang w:val="en-GB"/>
        </w:rPr>
        <w:lastRenderedPageBreak/>
        <w:t>Henkens, 2021)</w:t>
      </w:r>
      <w:r w:rsidR="006D2946" w:rsidRPr="00D57AE6">
        <w:rPr>
          <w:lang w:val="en-GB"/>
        </w:rPr>
        <w:fldChar w:fldCharType="end"/>
      </w:r>
      <w:r w:rsidR="0054735F">
        <w:rPr>
          <w:lang w:val="en-GB"/>
        </w:rPr>
        <w:t>.</w:t>
      </w:r>
      <w:r w:rsidR="00A626B7">
        <w:rPr>
          <w:lang w:val="en-GB"/>
        </w:rPr>
        <w:t xml:space="preserve"> </w:t>
      </w:r>
      <w:r w:rsidR="0054735F">
        <w:rPr>
          <w:lang w:val="en-GB"/>
        </w:rPr>
        <w:t xml:space="preserve">This </w:t>
      </w:r>
      <w:r w:rsidR="00A626B7" w:rsidRPr="00A626B7">
        <w:rPr>
          <w:lang w:val="en-GB"/>
        </w:rPr>
        <w:t xml:space="preserve">raises the question of whether </w:t>
      </w:r>
      <w:r w:rsidRPr="00D57AE6">
        <w:rPr>
          <w:lang w:val="en-GB"/>
        </w:rPr>
        <w:t>CVET could represent a meaningful mechanism for influencing late-career trajectories.</w:t>
      </w:r>
    </w:p>
    <w:p w14:paraId="1985BF29" w14:textId="6C4260FC" w:rsidR="00A20381" w:rsidRPr="00D57AE6" w:rsidRDefault="00791937" w:rsidP="0052016F">
      <w:pPr>
        <w:spacing w:line="480" w:lineRule="auto"/>
        <w:jc w:val="both"/>
        <w:rPr>
          <w:lang w:val="en-GB"/>
        </w:rPr>
      </w:pPr>
      <w:r w:rsidRPr="00D57AE6">
        <w:rPr>
          <w:lang w:val="en-GB"/>
        </w:rPr>
        <w:t xml:space="preserve">Empirical findings on the relationship between </w:t>
      </w:r>
      <w:r w:rsidR="00703F48" w:rsidRPr="00D57AE6">
        <w:rPr>
          <w:bCs/>
          <w:lang w:val="en-GB"/>
        </w:rPr>
        <w:t>CVET</w:t>
      </w:r>
      <w:r w:rsidR="00703F48" w:rsidRPr="00D57AE6">
        <w:rPr>
          <w:lang w:val="en-GB"/>
        </w:rPr>
        <w:t xml:space="preserve"> </w:t>
      </w:r>
      <w:r w:rsidRPr="00D57AE6">
        <w:rPr>
          <w:lang w:val="en-GB"/>
        </w:rPr>
        <w:t xml:space="preserve">participation and retirement timing remain mixed. Some studies have found no significant association between training participation and later retirement. For example, research using Swedish register data </w:t>
      </w:r>
      <w:r w:rsidR="00613FA6" w:rsidRPr="00D57AE6">
        <w:rPr>
          <w:lang w:val="en-GB"/>
        </w:rPr>
        <w:t>found no</w:t>
      </w:r>
      <w:r w:rsidRPr="00D57AE6">
        <w:rPr>
          <w:lang w:val="en-GB"/>
        </w:rPr>
        <w:t xml:space="preserve"> positive effect of training on the timing of retirement</w:t>
      </w:r>
      <w:r w:rsidR="00AD6250" w:rsidRPr="00D57AE6">
        <w:rPr>
          <w:lang w:val="en-GB"/>
        </w:rPr>
        <w:t xml:space="preserve"> </w:t>
      </w:r>
      <w:r w:rsidR="00AD6250" w:rsidRPr="00D57AE6">
        <w:rPr>
          <w:lang w:val="en-GB"/>
        </w:rPr>
        <w:fldChar w:fldCharType="begin"/>
      </w:r>
      <w:r w:rsidR="001F2956">
        <w:rPr>
          <w:lang w:val="en-GB"/>
        </w:rPr>
        <w:instrText xml:space="preserve"> ADDIN ZOTERO_ITEM CSL_CITATION {"citationID":"IrnClama","properties":{"unsorted":false,"formattedCitation":"(Stenberg et al., 2012)","plainCitation":"(Stenberg et al., 2012)","noteIndex":0},"citationItems":[{"id":29118,"uris":["http://zotero.org/groups/6389851/items/YHNSJ6HW"],"itemData":{"id":29118,"type":"article-journal","abstract":"We examine whether adult education delays retirement to potentially increase labour force participation among the elderly, a mechanism suggested in the OECD strategy for “active ageing” and the “Lisbon strategy” of the EU. Using register data from Sweden, we analyse transcripts from adult education for the period 1979–2004 and annual earnings 1982–2004. We match samples of treated individuals, in adult education 1986–1989, and untreated on the propensity score. The timing of exit from the workforce is assessed by non-parametric estimation of survival rates in the labour force. The results indicate no effects of adult education on the timing of retirement.","container-title":"Journal of Population Economics","DOI":"10.1007/s00148-010-0350-8","ISSN":"1432-1475","issue":"2","journalAbbreviation":"J Popul Econ","language":"en","page":"677-696","source":"Springer Link","title":"Can adult education delay retirement from the labour market?","volume":"25","author":[{"family":"Stenberg","given":"Anders"},{"family":"Luna","given":"Xavier","non-dropping-particle":"de"},{"family":"Westerlund","given":"Olle"}],"issued":{"date-parts":[["2012",4,1]]}}}],"schema":"https://github.com/citation-style-language/schema/raw/master/csl-citation.json"} </w:instrText>
      </w:r>
      <w:r w:rsidR="00AD6250" w:rsidRPr="00D57AE6">
        <w:rPr>
          <w:lang w:val="en-GB"/>
        </w:rPr>
        <w:fldChar w:fldCharType="separate"/>
      </w:r>
      <w:r w:rsidR="00891A77" w:rsidRPr="00D57AE6">
        <w:rPr>
          <w:rFonts w:ascii="Aptos" w:hAnsi="Aptos"/>
          <w:lang w:val="en-GB"/>
        </w:rPr>
        <w:t>(Stenberg et al., 2012)</w:t>
      </w:r>
      <w:r w:rsidR="00AD6250" w:rsidRPr="00D57AE6">
        <w:rPr>
          <w:lang w:val="en-GB"/>
        </w:rPr>
        <w:fldChar w:fldCharType="end"/>
      </w:r>
      <w:r w:rsidRPr="00D57AE6">
        <w:rPr>
          <w:lang w:val="en-GB"/>
        </w:rPr>
        <w:t xml:space="preserve">. Other studies report modest effects: analysing Danish data, </w:t>
      </w:r>
      <w:r w:rsidR="00AD6250" w:rsidRPr="00D57AE6">
        <w:rPr>
          <w:lang w:val="en-GB"/>
        </w:rPr>
        <w:t xml:space="preserve">authors </w:t>
      </w:r>
      <w:r w:rsidRPr="00D57AE6">
        <w:rPr>
          <w:lang w:val="en-GB"/>
        </w:rPr>
        <w:t>estimated that an additional year of training extends working lives by roughly one month on average</w:t>
      </w:r>
      <w:r w:rsidR="00AD6250" w:rsidRPr="00D57AE6">
        <w:rPr>
          <w:lang w:val="en-GB"/>
        </w:rPr>
        <w:t xml:space="preserve"> </w:t>
      </w:r>
      <w:r w:rsidR="00AD6250" w:rsidRPr="00D57AE6">
        <w:rPr>
          <w:lang w:val="en-GB"/>
        </w:rPr>
        <w:fldChar w:fldCharType="begin"/>
      </w:r>
      <w:r w:rsidR="001F2956">
        <w:rPr>
          <w:lang w:val="en-GB"/>
        </w:rPr>
        <w:instrText xml:space="preserve"> ADDIN ZOTERO_ITEM CSL_CITATION {"citationID":"o2RRPFdG","properties":{"unsorted":false,"formattedCitation":"(Kristensen, 2012)","plainCitation":"(Kristensen, 2012)","noteIndex":0},"citationItems":[{"id":29123,"uris":["http://zotero.org/groups/6389851/items/7HNHT2W9"],"itemData":{"id":29123,"type":"report","abstract":"Training and Retirement* This paper presents results on the effect of formal life-long learning on the decision to retire early. Specifically, I estimate an Option Value model based on individual employer-employee longitudinal data including comprehensive government co-sponsored training records dating back more than 30 years. Human capital theory predicts that the amount of training and the length of working life will be positively correlated in order to recoup investment and yield a higher return. Significant upper bound effects of training in prolonging working life are found for certain types of training and certain groups of workers. However, out-of-sample simulations indicate that on average one year of training only adds up to one month to the career length. This means that training in itself is not enough to substantially prolong careers and increase the workforce.","collection-title":"IZA Discussion Papers","language":"en","number":"6301","publisher-place":"Bonn","source":"DOI.org (Crossref)","title":"Training and Retirement","URL":"https://www.ssrn.com/abstract=1999329","author":[{"family":"Kristensen","given":"Nicolai"}],"accessed":{"date-parts":[["2026",2,2]]},"issued":{"date-parts":[["2012"]]}}}],"schema":"https://github.com/citation-style-language/schema/raw/master/csl-citation.json"} </w:instrText>
      </w:r>
      <w:r w:rsidR="00AD6250" w:rsidRPr="00D57AE6">
        <w:rPr>
          <w:lang w:val="en-GB"/>
        </w:rPr>
        <w:fldChar w:fldCharType="separate"/>
      </w:r>
      <w:r w:rsidR="00891A77" w:rsidRPr="00D57AE6">
        <w:rPr>
          <w:rFonts w:ascii="Aptos" w:hAnsi="Aptos"/>
          <w:lang w:val="en-GB"/>
        </w:rPr>
        <w:t>(Kristensen, 2012)</w:t>
      </w:r>
      <w:r w:rsidR="00AD6250" w:rsidRPr="00D57AE6">
        <w:rPr>
          <w:lang w:val="en-GB"/>
        </w:rPr>
        <w:fldChar w:fldCharType="end"/>
      </w:r>
      <w:r w:rsidRPr="00D57AE6">
        <w:rPr>
          <w:lang w:val="en-GB"/>
        </w:rPr>
        <w:t xml:space="preserve">. Using Dutch data, </w:t>
      </w:r>
      <w:r w:rsidR="00613FA6" w:rsidRPr="00D57AE6">
        <w:rPr>
          <w:lang w:val="en-GB"/>
        </w:rPr>
        <w:t>it was</w:t>
      </w:r>
      <w:r w:rsidRPr="00D57AE6">
        <w:rPr>
          <w:lang w:val="en-GB"/>
        </w:rPr>
        <w:t xml:space="preserve"> found that </w:t>
      </w:r>
      <w:r w:rsidR="006E6214" w:rsidRPr="00D57AE6">
        <w:rPr>
          <w:lang w:val="en-GB"/>
        </w:rPr>
        <w:t xml:space="preserve">participation in training was associated with a </w:t>
      </w:r>
      <w:r w:rsidRPr="00D57AE6">
        <w:rPr>
          <w:lang w:val="en-GB"/>
        </w:rPr>
        <w:t>later expected retirement</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{"citationID":"puFxyyRZ","properties":{"unsorted":false,"formattedCitation":"(de Grip et al., 2020)","plainCitation":"(de Grip et al., 2020)","noteIndex":0},"citationItems":[{"id":29082,"uris":["http://zotero.org/groups/6389851/items/SQJFIPU4"],"itemData":{"id":29082,"type":"article-journal","abstract":"This article contributes to research on older workers' sustainable employment by investigating the relation between training and expected retirement age. Past research has produced inconsistent findings, partly because studies rarely distinguish between the effects of training opportunities and actual training participation. To address this limitation, we examine the incremental effect of training opportunities over and above actual training participation. Grounded in social exchange theory, we argue that the effect of training opportunities on expected retirement age depends on employees' positive reciprocity orientation. Using matched employer–employee data (880 employees matched to 284 employers) our findings show that training opportunities associate with expected retirement age over and above employees' actual training participation, but only for employees with strong positive reciprocity beliefs. Moreover, a supplementary analysis showed that the strengthening effect of positive reciprocity only holds for organizations that are financially healthy. These findings are consistent with the idea that positive reciprocators will only avoid early retirement as a response to training opportunities when it is seen as a credible gesture to facilitate employees' future employability.","collection-title":"Sustainable Careers across the Lifespan: A Contemporary Perspective","container-title":"Journal of Vocational Behavior","DOI":"10.1016/j.jvb.2019.103332","ISSN":"0001-8791","journalAbbreviation":"Journal of Vocational Behavior","page":"103332","source":"ScienceDirect","title":"Train to retain: Training opportunities, positive reciprocity, and expected retirement age","title-short":"Train to retain","volume":"117","author":[{"family":"Grip","given":"Andries","non-dropping-particle":"de"},{"family":"Fouarge","given":"Didier"},{"family":"Montizaan","given":"Raymond"},{"family":"Schreurs","given":"Bert"}],"issued":{"date-parts":[["2020",3,1]]}}}],"schema":"https://github.com/citation-style-language/schema/raw/master/csl-citation.json"} </w:instrText>
      </w:r>
      <w:r w:rsidR="00613FA6" w:rsidRPr="00D57AE6">
        <w:rPr>
          <w:lang w:val="en-GB"/>
        </w:rPr>
        <w:fldChar w:fldCharType="separate"/>
      </w:r>
      <w:r w:rsidR="00891A77" w:rsidRPr="00D57AE6">
        <w:rPr>
          <w:rFonts w:ascii="Aptos" w:hAnsi="Aptos"/>
          <w:lang w:val="en-GB"/>
        </w:rPr>
        <w:t>(de Grip et al., 2020)</w:t>
      </w:r>
      <w:r w:rsidR="00613FA6" w:rsidRPr="00D57AE6">
        <w:rPr>
          <w:lang w:val="en-GB"/>
        </w:rPr>
        <w:fldChar w:fldCharType="end"/>
      </w:r>
      <w:r w:rsidR="006E6214" w:rsidRPr="00D57AE6">
        <w:rPr>
          <w:rStyle w:val="CommentReference"/>
          <w:sz w:val="24"/>
          <w:szCs w:val="24"/>
          <w:lang w:val="en-GB"/>
        </w:rPr>
        <w:t>. In contrast, other</w:t>
      </w:r>
      <w:r w:rsidRPr="00D57AE6">
        <w:rPr>
          <w:lang w:val="en-GB"/>
        </w:rPr>
        <w:t xml:space="preserve"> analyses based on similar datasets did not detect a significant relationship</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{"citationID":"SFrmQySy","properties":{"unsorted":false,"formattedCitation":"(Van Solinge &amp; Henkens, 2014)","plainCitation":"(Van Solinge &amp; Henkens, 2014)","noteIndex":0},"citationItems":[{"id":29120,"uris":["http://zotero.org/groups/6389851/items/83HSZFTL"],"itemData":{"id":29120,"type":"article-journal","abstract":"This article examines work-related factors and their impact on the retirement decision-making process. We particularly focus on organisational human resources policies and normative climate regarding retirement. Organisations create opportunities and conditions for career extension via their personnel instruments. The normative climate may encourage or discourage retirement. We use a ten-year follow-up study among 1,458 older employees in the Netherlands aged 50–59 at baseline. Results reveal that older workers are sensitive to social approval earned from their co-workers and supervisor. A social climate that supports working up to higher ages is an important requisite for reducing the attractiveness of the early retirement option. Retirement intentions, formed in the years prior to retirement, are shaped by workplace norms and supervisors' attitudes. Results indicate that in order to delay retirement, policy initiatives cannot be reduced to altering financial restrictions surrounding retirement but need to address the forces at the organisational level that channel workers out of employment.","container-title":"Ageing &amp; Society","DOI":"10.1017/S0144686X13000330","ISSN":"0144-686X, 1469-1779","issue":"9","language":"en","page":"1551-1574","source":"Cambridge University Press","title":"Work-related factors as predictors in the retirement decision-making process of older workers in the Netherlands","volume":"34","author":[{"family":"Van Solinge","given":"Hanna"},{"family":"Henkens","given":"Kène"}],"issued":{"date-parts":[["2014",10]]}}}],"schema":"https://github.com/citation-style-language/schema/raw/master/csl-citation.json"} </w:instrText>
      </w:r>
      <w:r w:rsidR="00613FA6" w:rsidRPr="00D57AE6">
        <w:rPr>
          <w:lang w:val="en-GB"/>
        </w:rPr>
        <w:fldChar w:fldCharType="separate"/>
      </w:r>
      <w:r w:rsidR="00891A77" w:rsidRPr="00D57AE6">
        <w:rPr>
          <w:rFonts w:ascii="Aptos" w:hAnsi="Aptos"/>
          <w:lang w:val="en-GB"/>
        </w:rPr>
        <w:t>(Van Solinge &amp; Henkens, 2014)</w:t>
      </w:r>
      <w:r w:rsidR="00613FA6" w:rsidRPr="00D57AE6">
        <w:rPr>
          <w:lang w:val="en-GB"/>
        </w:rPr>
        <w:fldChar w:fldCharType="end"/>
      </w:r>
      <w:r w:rsidR="00613FA6" w:rsidRPr="00D57AE6">
        <w:rPr>
          <w:lang w:val="en-GB"/>
        </w:rPr>
        <w:t>.</w:t>
      </w:r>
    </w:p>
    <w:p w14:paraId="3B0334C7" w14:textId="2DC5B7A6" w:rsidR="00A20381" w:rsidRPr="00D57AE6" w:rsidRDefault="00791937" w:rsidP="0052016F">
      <w:pPr>
        <w:spacing w:line="480" w:lineRule="auto"/>
        <w:jc w:val="both"/>
        <w:rPr>
          <w:lang w:val="en-GB"/>
        </w:rPr>
      </w:pPr>
      <w:r w:rsidRPr="00D57AE6">
        <w:rPr>
          <w:lang w:val="en-GB"/>
        </w:rPr>
        <w:t xml:space="preserve">More recent studies provide somewhat more supportive evidence, although the findings remain heterogeneous. </w:t>
      </w:r>
      <w:r w:rsidR="00613FA6" w:rsidRPr="00D57AE6">
        <w:rPr>
          <w:lang w:val="en-GB"/>
        </w:rPr>
        <w:t>D</w:t>
      </w:r>
      <w:r w:rsidRPr="00D57AE6">
        <w:rPr>
          <w:lang w:val="en-GB"/>
        </w:rPr>
        <w:t xml:space="preserve">ata from the SHARE survey </w:t>
      </w:r>
      <w:r w:rsidR="00613FA6" w:rsidRPr="00D57AE6">
        <w:rPr>
          <w:lang w:val="en-GB"/>
        </w:rPr>
        <w:t>showed</w:t>
      </w:r>
      <w:r w:rsidRPr="00D57AE6">
        <w:rPr>
          <w:lang w:val="en-GB"/>
        </w:rPr>
        <w:t xml:space="preserve"> a positive association between training participation and continued employment among older workers</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{"citationID":"8LgZUhcE","properties":{"unsorted":false,"formattedCitation":"(Belloni et al., 2015)","plainCitation":"(Belloni et al., 2015)","noteIndex":0},"citationItems":[{"id":28227,"uris":["http://zotero.org/groups/6389851/items/LK8D9WRS"],"itemData":{"id":28227,"type":"chapter","container-title":"Ageing in Europe - Supporting Policies for an Inclusive Society","ISBN":"978-3-11-044441-4","language":"eng","page":"257-265","publisher":"De Gruyter","publisher-place":"Berlin/Boston","source":"K10plus ISBN","title":"Does training help retaining older workers into employment? Evidence from the SHARE survey","container-author":[{"family":"Börsch-Supan","given":"Axel"},{"family":"Kneip","given":"Thorsten"},{"family":"Litwin","given":"Howard"},{"family":"Myck","given":"Michał"}],"author":[{"family":"Belloni","given":"Michele"},{"family":"Brugiavini","given":"Agar"},{"family":"Meschi","given":"Elena"},{"family":"Pasini","given":"Giacomo"}],"issued":{"date-parts":[["2015"]]}}}],"schema":"https://github.com/citation-style-language/schema/raw/master/csl-citation.json"} </w:instrText>
      </w:r>
      <w:r w:rsidR="00613FA6" w:rsidRPr="00D57AE6">
        <w:rPr>
          <w:lang w:val="en-GB"/>
        </w:rPr>
        <w:fldChar w:fldCharType="separate"/>
      </w:r>
      <w:r w:rsidR="00891A77" w:rsidRPr="00D57AE6">
        <w:rPr>
          <w:rFonts w:ascii="Aptos" w:hAnsi="Aptos"/>
          <w:lang w:val="en-GB"/>
        </w:rPr>
        <w:t>(Belloni et al., 2015)</w:t>
      </w:r>
      <w:r w:rsidR="00613FA6" w:rsidRPr="00D57AE6">
        <w:rPr>
          <w:lang w:val="en-GB"/>
        </w:rPr>
        <w:fldChar w:fldCharType="end"/>
      </w:r>
      <w:r w:rsidRPr="00D57AE6">
        <w:rPr>
          <w:lang w:val="en-GB"/>
        </w:rPr>
        <w:t>. Evidence from Germany suggests that training may be particularly beneficial for specific subgroups: participation in training increases employment probabilities among low-educated men aged 50 and above</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{"citationID":"vuJ4U8U8","properties":{"unsorted":false,"formattedCitation":"(Backhaus, 2023)","plainCitation":"(Backhaus, 2023)","noteIndex":0},"citationItems":[{"id":28430,"uris":["http://zotero.org/groups/6389851/items/GYV4NU5G"],"itemData":{"id":28430,"type":"report","collection-title":"IZA Discussion Papers","number":"15875","publisher":"Institute of Labor Economics","publisher-place":"Bonn","title":"Training in Late Careers: A Structural Approach","URL":"https://www.econstor.eu/bitstream/10419/272502/1/dp15875.pdf","author":[{"family":"Backhaus","given":"Teresa"}],"accessed":{"date-parts":[["2025",11,18]]},"issued":{"date-parts":[["2023"]]}}}],"schema":"https://github.com/citation-style-language/schema/raw/master/csl-citation.json"} </w:instrText>
      </w:r>
      <w:r w:rsidR="00613FA6" w:rsidRPr="00D57AE6">
        <w:rPr>
          <w:lang w:val="en-GB"/>
        </w:rPr>
        <w:fldChar w:fldCharType="separate"/>
      </w:r>
      <w:r w:rsidR="00891A77" w:rsidRPr="00D57AE6">
        <w:rPr>
          <w:rFonts w:ascii="Aptos" w:hAnsi="Aptos"/>
          <w:lang w:val="en-GB"/>
        </w:rPr>
        <w:t>(Backhaus, 2023)</w:t>
      </w:r>
      <w:r w:rsidR="00613FA6" w:rsidRPr="00D57AE6">
        <w:rPr>
          <w:lang w:val="en-GB"/>
        </w:rPr>
        <w:fldChar w:fldCharType="end"/>
      </w:r>
      <w:r w:rsidRPr="00D57AE6">
        <w:rPr>
          <w:lang w:val="en-GB"/>
        </w:rPr>
        <w:t>. Analyses based on Swedish data further indicate that participation in skills development is positively associated with expected retirement age</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{"citationID":"1IFeLBrI","properties":{"unsorted":false,"formattedCitation":"(Seeberg et al., 2025)","plainCitation":"(Seeberg et al., 2025)","noteIndex":0},"citationItems":[{"id":29222,"uris":["http://zotero.org/groups/6389851/items/DAE35DIY"],"itemData":{"id":29222,"type":"article-journal","abstract":"IntroductionEurope’s aging population calls for ways to prolong working life. Skills development initiatives could potentially improve work ability and extend working lives and may thus be key to address this challenge. However, the role of skills development in relation to work ability and retirement age is still not fully understood.AimThis study aims to investigate the association of skills development with work ability and expected retirement age among senior workers.MethodsIn 2022, all State employees in Denmark aged 55</w:instrText>
      </w:r>
      <w:r w:rsidR="001F2956">
        <w:rPr>
          <w:rFonts w:ascii="Arial" w:hAnsi="Arial" w:cs="Arial"/>
          <w:lang w:val="en-GB"/>
        </w:rPr>
        <w:instrText> </w:instrText>
      </w:r>
      <w:r w:rsidR="001F2956">
        <w:rPr>
          <w:lang w:val="en-GB"/>
        </w:rPr>
        <w:instrText>years or above (n =</w:instrText>
      </w:r>
      <w:r w:rsidR="001F2956">
        <w:rPr>
          <w:rFonts w:ascii="Arial" w:hAnsi="Arial" w:cs="Arial"/>
          <w:lang w:val="en-GB"/>
        </w:rPr>
        <w:instrText> </w:instrText>
      </w:r>
      <w:r w:rsidR="001F2956">
        <w:rPr>
          <w:lang w:val="en-GB"/>
        </w:rPr>
        <w:instrText>53,673) received a web-based questionnaire, of which 42% were included in the analyses (n</w:instrText>
      </w:r>
      <w:r w:rsidR="001F2956">
        <w:rPr>
          <w:rFonts w:ascii="Arial" w:hAnsi="Arial" w:cs="Arial"/>
          <w:lang w:val="en-GB"/>
        </w:rPr>
        <w:instrText> </w:instrText>
      </w:r>
      <w:r w:rsidR="001F2956">
        <w:rPr>
          <w:lang w:val="en-GB"/>
        </w:rPr>
        <w:instrText>=</w:instrText>
      </w:r>
      <w:r w:rsidR="001F2956">
        <w:rPr>
          <w:rFonts w:ascii="Arial" w:hAnsi="Arial" w:cs="Arial"/>
          <w:lang w:val="en-GB"/>
        </w:rPr>
        <w:instrText> </w:instrText>
      </w:r>
      <w:r w:rsidR="001F2956">
        <w:rPr>
          <w:lang w:val="en-GB"/>
        </w:rPr>
        <w:instrText>22,544). The questionnaire included questions about participation in skills development initiatives over the past 2</w:instrText>
      </w:r>
      <w:r w:rsidR="001F2956">
        <w:rPr>
          <w:rFonts w:ascii="Arial" w:hAnsi="Arial" w:cs="Arial"/>
          <w:lang w:val="en-GB"/>
        </w:rPr>
        <w:instrText> </w:instrText>
      </w:r>
      <w:r w:rsidR="001F2956">
        <w:rPr>
          <w:lang w:val="en-GB"/>
        </w:rPr>
        <w:instrText>years, lifestyle and work environment, including work ability and expected retirement age. We employed Generalized Linear Models (GLMs), weighted for Union, sex and age, with multivariate adjustment to examine associations of participation in (1) courses, (2) formal education, and (3) other forms of skills development on work ability and expected retirement age.ResultsFormal education showed associations with expected retirement age with a between-group difference of 0.68</w:instrText>
      </w:r>
      <w:r w:rsidR="001F2956">
        <w:rPr>
          <w:rFonts w:ascii="Arial" w:hAnsi="Arial" w:cs="Arial"/>
          <w:lang w:val="en-GB"/>
        </w:rPr>
        <w:instrText> </w:instrText>
      </w:r>
      <w:r w:rsidR="001F2956">
        <w:rPr>
          <w:lang w:val="en-GB"/>
        </w:rPr>
        <w:instrText>years Confidence Interval (CI) (0.54 to 0.82). Conversely, other forms of skills development (peer-to-peer training or self-study) were most positively associated with work ability in specific models with a between-group difference of 0.20</w:instrText>
      </w:r>
      <w:r w:rsidR="001F2956">
        <w:rPr>
          <w:rFonts w:ascii="Arial" w:hAnsi="Arial" w:cs="Arial"/>
          <w:lang w:val="en-GB"/>
        </w:rPr>
        <w:instrText> </w:instrText>
      </w:r>
      <w:r w:rsidR="001F2956">
        <w:rPr>
          <w:lang w:val="en-GB"/>
        </w:rPr>
        <w:instrText xml:space="preserve">years CI (0.16 to 0.24).ConclusionOur findings suggest that participation in skills development is positively associated with work ability and expected retirement age. These findings underscore the need for targeted skills development programs, which may enhance workforce sustainability and help workers prolong their working life.","container-title":"Frontiers in Public Health","ISSN":"2296-2565","journalAbbreviation":"Frontiers in Public Health","title":"Participation in and use of skills development for work ability and expected retirement age: a cross-sectional study among senior workers","URL":"https://www.frontiersin.org/journals/public-health/articles/10.3389/fpubh.2025.1511204","volume":"Volume 13 - 2025","author":[{"family":"Seeberg","given":"Karina Glies Vincents"},{"family":"Skovlund","given":"Sebastian Venge"},{"family":"Sundstrup","given":"Emil"},{"family":"Mortensen","given":"Ole Steen"},{"family":"Andersen","given":"Lars Louis"}],"issued":{"date-parts":[["2025"]]}}}],"schema":"https://github.com/citation-style-language/schema/raw/master/csl-citation.json"} </w:instrText>
      </w:r>
      <w:r w:rsidR="00613FA6" w:rsidRPr="00D57AE6">
        <w:rPr>
          <w:lang w:val="en-GB"/>
        </w:rPr>
        <w:fldChar w:fldCharType="separate"/>
      </w:r>
      <w:r w:rsidR="00891A77" w:rsidRPr="00D57AE6">
        <w:rPr>
          <w:rFonts w:ascii="Aptos" w:hAnsi="Aptos"/>
          <w:lang w:val="en-GB"/>
        </w:rPr>
        <w:t>(Seeberg et al., 2025)</w:t>
      </w:r>
      <w:r w:rsidR="00613FA6" w:rsidRPr="00D57AE6">
        <w:rPr>
          <w:lang w:val="en-GB"/>
        </w:rPr>
        <w:fldChar w:fldCharType="end"/>
      </w:r>
      <w:r w:rsidR="00613FA6" w:rsidRPr="00D57AE6">
        <w:rPr>
          <w:lang w:val="en-GB"/>
        </w:rPr>
        <w:t xml:space="preserve">. </w:t>
      </w:r>
      <w:r w:rsidRPr="00D57AE6">
        <w:rPr>
          <w:lang w:val="en-GB"/>
        </w:rPr>
        <w:t>Similarly, previous analyses using data from the German Ageing Survey (DEAS) between 2014 and 2021 suggest cautiously positive, though not unequivocal, relationships between training participation and extended labour market participation</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{"citationID":"8RmVuROC","properties":{"unsorted":false,"formattedCitation":"(Naegele et al., 2025)","plainCitation":"(Naegele et al., 2025)","noteIndex":0},"citationItems":[{"id":28413,"uris":["http://zotero.org/groups/6389851/items/5KR66QXG"],"itemData":{"id":28413,"type":"article-journal","abstract":"Continuing vocational education and training (CVET) is essential for prolonging working lives, as it improves the qualifications and skills of older workers, helps to prevent skill mismatches, and increases their employability. Research indicates that access to training throughout life is unequally distributed in society, with certain labour market groups, such as those with higher education and better working conditions, benefiting more. This disparity results in social inequality and long-term negative effects on the employment trajectories of disadvantaged older workers. The impact of internalised ageist stereotypes regarding older workers’ ability to acquire knowledge later in life is underexplored but may significantly affect their motivation to participate in CVET and indirectly influence their labour market participation in later life.","container-title":"KZfSS Kölner Zeitschrift für Soziologie und Sozialpsychologie","DOI":"10.1007/s11577-025-01023-y","ISSN":"1861-891X","journalAbbreviation":"Köln Z Soziol","language":"en","source":"Springer Link","title":"Continuing Vocational Educational Training, Self-Directed Ageism, and Extending Working Lives: Evidence from the German Ageing Survey","title-short":"Continuing Vocational Educational Training, Self-Directed Ageism, and Extending Working Lives","URL":"https://doi.org/10.1007/s11577-025-01023-y","author":[{"family":"Naegele","given":"Laura"},{"family":"Schmitz","given":"Wiebke"},{"family":"Staniczek","given":"Selina"},{"family":"Heß","given":"Moritz"}],"accessed":{"date-parts":[["2025",11,10]]},"issued":{"date-parts":[["2025",10,23]]}}}],"schema":"https://github.com/citation-style-language/schema/raw/master/csl-citation.json"} </w:instrText>
      </w:r>
      <w:r w:rsidR="00613FA6" w:rsidRPr="00D57AE6">
        <w:rPr>
          <w:lang w:val="en-GB"/>
        </w:rPr>
        <w:fldChar w:fldCharType="separate"/>
      </w:r>
      <w:r w:rsidR="00891A77" w:rsidRPr="00D57AE6">
        <w:rPr>
          <w:rFonts w:ascii="Aptos" w:hAnsi="Aptos"/>
          <w:lang w:val="en-GB"/>
        </w:rPr>
        <w:t>(Naegele et al., 2025)</w:t>
      </w:r>
      <w:r w:rsidR="00613FA6" w:rsidRPr="00D57AE6">
        <w:rPr>
          <w:lang w:val="en-GB"/>
        </w:rPr>
        <w:fldChar w:fldCharType="end"/>
      </w:r>
      <w:r w:rsidR="00613FA6" w:rsidRPr="00D57AE6">
        <w:rPr>
          <w:lang w:val="en-GB"/>
        </w:rPr>
        <w:t>.</w:t>
      </w:r>
    </w:p>
    <w:p w14:paraId="050C8891" w14:textId="77777777" w:rsidR="00A20381" w:rsidRPr="00D57AE6" w:rsidRDefault="00791937" w:rsidP="0052016F">
      <w:pPr>
        <w:spacing w:line="480" w:lineRule="auto"/>
        <w:jc w:val="both"/>
        <w:rPr>
          <w:lang w:val="en-GB"/>
        </w:rPr>
      </w:pPr>
      <w:r w:rsidRPr="00D57AE6">
        <w:rPr>
          <w:lang w:val="en-GB"/>
        </w:rPr>
        <w:lastRenderedPageBreak/>
        <w:t>Taken together, these findings suggest that while CVET is widely regarded as a promising tool for extending working lives, the empirical evidence remains inconclusive.</w:t>
      </w:r>
    </w:p>
    <w:p w14:paraId="4CDFE716" w14:textId="151672EA" w:rsidR="00A20381" w:rsidRPr="00D57AE6" w:rsidRDefault="00791937" w:rsidP="0052016F">
      <w:pPr>
        <w:spacing w:line="480" w:lineRule="auto"/>
        <w:jc w:val="both"/>
        <w:rPr>
          <w:lang w:val="en-GB"/>
        </w:rPr>
      </w:pPr>
      <w:r w:rsidRPr="00D57AE6">
        <w:rPr>
          <w:lang w:val="en-GB"/>
        </w:rPr>
        <w:t xml:space="preserve">Empirical evidence on the mechanisms through which </w:t>
      </w:r>
      <w:r w:rsidR="00703F48" w:rsidRPr="00D57AE6">
        <w:rPr>
          <w:bCs/>
          <w:lang w:val="en-GB"/>
        </w:rPr>
        <w:t>CVET</w:t>
      </w:r>
      <w:r w:rsidRPr="00D57AE6">
        <w:rPr>
          <w:lang w:val="en-GB"/>
        </w:rPr>
        <w:t xml:space="preserve"> might influence labour market participation in later life remains particularly limited</w:t>
      </w:r>
      <w:r w:rsidR="00421976">
        <w:rPr>
          <w:lang w:val="en-GB"/>
        </w:rPr>
        <w:t>.</w:t>
      </w:r>
      <w:r w:rsidRPr="00D57AE6">
        <w:rPr>
          <w:lang w:val="en-GB"/>
        </w:rPr>
        <w:t xml:space="preserve"> </w:t>
      </w:r>
      <w:r w:rsidR="00421976">
        <w:rPr>
          <w:lang w:val="en-GB"/>
        </w:rPr>
        <w:t>T</w:t>
      </w:r>
      <w:r w:rsidRPr="00D57AE6">
        <w:rPr>
          <w:lang w:val="en-GB"/>
        </w:rPr>
        <w:t>he present paper therefore focuses on this link</w:t>
      </w:r>
      <w:r w:rsidR="00480C47">
        <w:rPr>
          <w:lang w:val="en-GB"/>
        </w:rPr>
        <w:t xml:space="preserve">, aiming to address </w:t>
      </w:r>
      <w:r w:rsidR="009B5FD4">
        <w:rPr>
          <w:lang w:val="en-GB"/>
        </w:rPr>
        <w:t xml:space="preserve">knowledge </w:t>
      </w:r>
      <w:r w:rsidR="00480C47">
        <w:rPr>
          <w:lang w:val="en-GB"/>
        </w:rPr>
        <w:t>gaps</w:t>
      </w:r>
      <w:r w:rsidRPr="00D57AE6">
        <w:rPr>
          <w:lang w:val="en-GB"/>
        </w:rPr>
        <w:t xml:space="preserve">. </w:t>
      </w:r>
      <w:proofErr w:type="gramStart"/>
      <w:r w:rsidRPr="00D57AE6">
        <w:rPr>
          <w:lang w:val="en-GB"/>
        </w:rPr>
        <w:t>In particular, few</w:t>
      </w:r>
      <w:proofErr w:type="gramEnd"/>
      <w:r w:rsidRPr="00D57AE6">
        <w:rPr>
          <w:lang w:val="en-GB"/>
        </w:rPr>
        <w:t xml:space="preserve"> studies have explicitly tested mediation processes that may explain how participation in training translates into prolonged employment or delayed retirement. Existing research provides only fragmented insights into potential mechanisms. For instance, a recent study from China shows that mindfulness at work mediates the relationship between crafting practices and work well-being among older workers, highlighting the importance of psychological processes in shaping late-career outcomes</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{"citationID":"m4PBdSGt","properties":{"unsorted":false,"formattedCitation":"(Xin et al., 2025)","plainCitation":"(Xin et al., 2025)","noteIndex":0},"citationItems":[{"id":28889,"uris":["http://zotero.org/groups/6389851/items/VEYD64E3"],"itemData":{"id":28889,"type":"article-journal","abstract":"The capacity for self-regulation is crucial for older workers to maintain adaptability and well-being under aging-related challenges. Building on recent research suggesting that practices of self-regulation can enhance self-regulatory capacity, our study employs self-regulation theory to investigate how two distinct self-regulatory practices—job crafting (JC) and leisure crafting (LC)—support older workers in enhancing their work well-being through the lens of self-regulatory capacity, specifically mindfulness. Within this theoretical framework, we further explore the combined effects of JC and LC on adaptation to the aging process. A three-wave time-lagged survey was conducted among 227 older Chinese workers from science and technology enterprises. The results from latent structural equation modeling indicate that mindfulness at work mediates the relationship between crafting practices (both JC and LC) and work well-being. Moreover, JC and LC exhibit a compensatory relationship in facilitating mindfulness at work, which in turn promotes the work well-being of older workers. These findings offer a novel perspective grounded in self-regulation theory, highlighting how JC and LC contribute to successful aging by strengthening mindfulness capacity.","container-title":"Work, Aging and Retirement","DOI":"10.1093/workar/waae017","ISSN":"2054-4650","issue":"3","journalAbbreviation":"Work, Aging and Retirement","page":"266-281","title":"Empowering older workers through self-regulation: how job crafting and leisure crafting enhance mindfulness and well-being at work","volume":"11","author":[{"family":"Xin","given":"Xun"},{"family":"Gao","given":"Lili"},{"family":"He","given":"Yuting"}],"issued":{"date-parts":[["2025",7,1]]}}}],"schema":"https://github.com/citation-style-language/schema/raw/master/csl-citation.json"} </w:instrText>
      </w:r>
      <w:r w:rsidR="00613FA6" w:rsidRPr="00D57AE6">
        <w:rPr>
          <w:lang w:val="en-GB"/>
        </w:rPr>
        <w:fldChar w:fldCharType="separate"/>
      </w:r>
      <w:r w:rsidR="00891A77" w:rsidRPr="00D57AE6">
        <w:rPr>
          <w:rFonts w:ascii="Aptos" w:hAnsi="Aptos"/>
          <w:lang w:val="en-GB"/>
        </w:rPr>
        <w:t>(Xin et al., 2025)</w:t>
      </w:r>
      <w:r w:rsidR="00613FA6" w:rsidRPr="00D57AE6">
        <w:rPr>
          <w:lang w:val="en-GB"/>
        </w:rPr>
        <w:fldChar w:fldCharType="end"/>
      </w:r>
      <w:r w:rsidR="00613FA6" w:rsidRPr="00D57AE6">
        <w:rPr>
          <w:lang w:val="en-GB"/>
        </w:rPr>
        <w:t xml:space="preserve">. </w:t>
      </w:r>
      <w:r w:rsidRPr="00D57AE6">
        <w:rPr>
          <w:lang w:val="en-GB"/>
        </w:rPr>
        <w:t>Although this study does not focus directly on training participation, it illustrates how work-related resources may influence employment outcomes through intermediate psychological mechanisms.</w:t>
      </w:r>
    </w:p>
    <w:p w14:paraId="44B10A9D" w14:textId="5C696B0A" w:rsidR="00A20381" w:rsidRPr="00D57AE6" w:rsidRDefault="00613FA6" w:rsidP="0052016F">
      <w:pPr>
        <w:spacing w:line="480" w:lineRule="auto"/>
        <w:jc w:val="both"/>
        <w:rPr>
          <w:lang w:val="en-GB"/>
        </w:rPr>
      </w:pPr>
      <w:r w:rsidRPr="00D57AE6">
        <w:rPr>
          <w:lang w:val="en-GB"/>
        </w:rPr>
        <w:t xml:space="preserve">Further evidence from research on successful ageing at work indicates that behavioural adaptation strategies may also serve as a mediating factor. Based on the selection, optimisation, and compensation (SOC) framework, </w:t>
      </w:r>
      <w:r w:rsidR="002E6352" w:rsidRPr="00D57AE6">
        <w:rPr>
          <w:lang w:val="en-GB"/>
        </w:rPr>
        <w:t xml:space="preserve">these strategies are positively associated with self-assessed job performance and </w:t>
      </w:r>
      <w:r w:rsidR="006E6214" w:rsidRPr="00D57AE6">
        <w:rPr>
          <w:lang w:val="en-GB"/>
        </w:rPr>
        <w:t>partly mediate the relationship</w:t>
      </w:r>
      <w:r w:rsidRPr="00D57AE6">
        <w:rPr>
          <w:lang w:val="en-GB"/>
        </w:rPr>
        <w:t xml:space="preserve"> between human resource practices and job performance </w:t>
      </w:r>
      <w:r w:rsidR="00512282" w:rsidRPr="00D57AE6">
        <w:rPr>
          <w:lang w:val="en-GB"/>
        </w:rPr>
        <w:fldChar w:fldCharType="begin"/>
      </w:r>
      <w:r w:rsidR="001F2956">
        <w:rPr>
          <w:lang w:val="en-GB"/>
        </w:rPr>
        <w:instrText xml:space="preserve"> ADDIN ZOTERO_ITEM CSL_CITATION {"citationID":"rqWcPG3c","properties":{"unsorted":false,"formattedCitation":"(Taneva &amp; Arnold, 2018)","plainCitation":"(Taneva &amp; Arnold, 2018)","noteIndex":0},"citationItems":[{"id":29223,"uris":["http://zotero.org/groups/6389851/items/AJRP2B2F"],"itemData":{"id":29223,"type":"article-journal","abstract":"We develop and test a model of successful aging at work in 2 studies. The first identifies key human resource (HR) practices that late-career workers find valuable, and explores workers’ experiences of them. The second examines the role of those practices along with individual behavioral strategies in successful aging at work, as expressed by a sense of thriving and by 3 dimensions of job performance. We also introduce the new construct of surviving at work, contrasting with thriving. Study 1 reports qualitative data from interviews with 37 older workers (nearly all 55+) and 10 HR managers in the United Kingdom and Bulgarian healthcare and information and communication technology sectors. Study 2 employs quantitative data from 853 U.K. older workers in the same 2 sectors. We find (Study 1) 8 types of HR practices that seem particularly salient to older workers, and which they experience to varying extents. These practices cut across existing typologies, and we recommend them for future research. In Study 2 we find that selection, optimization, and compensation strategies adopted by individuals are directly related to self-rated job performance, and mediate some of the effects of HR practices on job performance. In addition, optimization specifically affects performance via thriving, and to a lesser extent via surviving. The same is true for availability of HR practices. The results demonstrate the importance of both HR practices and individual strategies in fostering successful aging at work, and the important role of thriving in this process.","container-title":"Work, Aging and Retirement","DOI":"10.1093/workar/wax027","ISSN":"2054-4642","issue":"2","journalAbbreviation":"Work, Aging and Retirement","page":"189-212","title":"Thriving, Surviving and Performing in Late Career: A Mixed-Method Study of Pathways to Successful Aging in Organizations","volume":"4","author":[{"family":"Taneva","given":"Stanimira K"},{"family":"Arnold","given":"John"}],"issued":{"date-parts":[["2018",3,9]]}}}],"schema":"https://github.com/citation-style-language/schema/raw/master/csl-citation.json"} </w:instrText>
      </w:r>
      <w:r w:rsidR="00512282" w:rsidRPr="00D57AE6">
        <w:rPr>
          <w:lang w:val="en-GB"/>
        </w:rPr>
        <w:fldChar w:fldCharType="separate"/>
      </w:r>
      <w:r w:rsidR="00512282" w:rsidRPr="00D57AE6">
        <w:rPr>
          <w:rFonts w:ascii="Aptos" w:hAnsi="Aptos"/>
          <w:lang w:val="en-GB"/>
        </w:rPr>
        <w:t>(Taneva &amp; Arnold, 2018)</w:t>
      </w:r>
      <w:r w:rsidR="00512282" w:rsidRPr="00D57AE6">
        <w:rPr>
          <w:lang w:val="en-GB"/>
        </w:rPr>
        <w:fldChar w:fldCharType="end"/>
      </w:r>
      <w:r w:rsidRPr="00D57AE6">
        <w:rPr>
          <w:lang w:val="en-GB"/>
        </w:rPr>
        <w:t xml:space="preserve">. This perspective suggests that workplace resources, including training and development opportunities, can </w:t>
      </w:r>
      <w:r w:rsidR="006E6214" w:rsidRPr="00D57AE6">
        <w:rPr>
          <w:lang w:val="en-GB"/>
        </w:rPr>
        <w:t>help older workers adjust their work strategies and sustain</w:t>
      </w:r>
      <w:r w:rsidRPr="00D57AE6">
        <w:rPr>
          <w:lang w:val="en-GB"/>
        </w:rPr>
        <w:t xml:space="preserve"> performance despite age-related changes.</w:t>
      </w:r>
    </w:p>
    <w:p w14:paraId="56F0F7C9" w14:textId="7A55B35A" w:rsidR="00A20381" w:rsidRPr="00D57AE6" w:rsidRDefault="00791937" w:rsidP="0052016F">
      <w:pPr>
        <w:spacing w:line="480" w:lineRule="auto"/>
        <w:jc w:val="both"/>
        <w:rPr>
          <w:lang w:val="en-GB"/>
        </w:rPr>
      </w:pPr>
      <w:r w:rsidRPr="00D57AE6">
        <w:rPr>
          <w:lang w:val="en-GB"/>
        </w:rPr>
        <w:lastRenderedPageBreak/>
        <w:t xml:space="preserve">Other studies point to potential pathways but do not formally model mediation effects. </w:t>
      </w:r>
      <w:r w:rsidR="00613FA6" w:rsidRPr="00D57AE6">
        <w:rPr>
          <w:lang w:val="en-GB"/>
        </w:rPr>
        <w:t>P</w:t>
      </w:r>
      <w:r w:rsidRPr="00D57AE6">
        <w:rPr>
          <w:lang w:val="en-GB"/>
        </w:rPr>
        <w:t xml:space="preserve">articipation in skills development is positively associated with both work ability and expected retirement age. Formal education is </w:t>
      </w:r>
      <w:r w:rsidR="006E6214" w:rsidRPr="00D57AE6">
        <w:rPr>
          <w:lang w:val="en-GB"/>
        </w:rPr>
        <w:t>associated with a later expected retirement age. In contrast, other</w:t>
      </w:r>
      <w:r w:rsidRPr="00D57AE6">
        <w:rPr>
          <w:lang w:val="en-GB"/>
        </w:rPr>
        <w:t xml:space="preserve"> forms of skills development</w:t>
      </w:r>
      <w:r w:rsidR="00613FA6" w:rsidRPr="00D57AE6">
        <w:rPr>
          <w:lang w:val="en-GB"/>
        </w:rPr>
        <w:t xml:space="preserve">, </w:t>
      </w:r>
      <w:r w:rsidRPr="00D57AE6">
        <w:rPr>
          <w:lang w:val="en-GB"/>
        </w:rPr>
        <w:t>such as peer-to-peer learning or self-directed training</w:t>
      </w:r>
      <w:r w:rsidR="006E6214" w:rsidRPr="00D57AE6">
        <w:rPr>
          <w:lang w:val="en-GB"/>
        </w:rPr>
        <w:t xml:space="preserve">, </w:t>
      </w:r>
      <w:r w:rsidRPr="00D57AE6">
        <w:rPr>
          <w:lang w:val="en-GB"/>
        </w:rPr>
        <w:t>are more strongly related to work ability</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{"citationID":"VJhgDr7q","properties":{"unsorted":false,"formattedCitation":"(Seeberg et al., 2025)","plainCitation":"(Seeberg et al., 2025)","noteIndex":0},"citationItems":[{"id":29222,"uris":["http://zotero.org/groups/6389851/items/DAE35DIY"],"itemData":{"id":29222,"type":"article-journal","abstract":"IntroductionEurope’s aging population calls for ways to prolong working life. Skills development initiatives could potentially improve work ability and extend working lives and may thus be key to address this challenge. However, the role of skills development in relation to work ability and retirement age is still not fully understood.AimThis study aims to investigate the association of skills development with work ability and expected retirement age among senior workers.MethodsIn 2022, all State employees in Denmark aged 55</w:instrText>
      </w:r>
      <w:r w:rsidR="001F2956">
        <w:rPr>
          <w:rFonts w:ascii="Arial" w:hAnsi="Arial" w:cs="Arial"/>
          <w:lang w:val="en-GB"/>
        </w:rPr>
        <w:instrText> </w:instrText>
      </w:r>
      <w:r w:rsidR="001F2956">
        <w:rPr>
          <w:lang w:val="en-GB"/>
        </w:rPr>
        <w:instrText>years or above (n =</w:instrText>
      </w:r>
      <w:r w:rsidR="001F2956">
        <w:rPr>
          <w:rFonts w:ascii="Arial" w:hAnsi="Arial" w:cs="Arial"/>
          <w:lang w:val="en-GB"/>
        </w:rPr>
        <w:instrText> </w:instrText>
      </w:r>
      <w:r w:rsidR="001F2956">
        <w:rPr>
          <w:lang w:val="en-GB"/>
        </w:rPr>
        <w:instrText>53,673) received a web-based questionnaire, of which 42% were included in the analyses (n</w:instrText>
      </w:r>
      <w:r w:rsidR="001F2956">
        <w:rPr>
          <w:rFonts w:ascii="Arial" w:hAnsi="Arial" w:cs="Arial"/>
          <w:lang w:val="en-GB"/>
        </w:rPr>
        <w:instrText> </w:instrText>
      </w:r>
      <w:r w:rsidR="001F2956">
        <w:rPr>
          <w:lang w:val="en-GB"/>
        </w:rPr>
        <w:instrText>=</w:instrText>
      </w:r>
      <w:r w:rsidR="001F2956">
        <w:rPr>
          <w:rFonts w:ascii="Arial" w:hAnsi="Arial" w:cs="Arial"/>
          <w:lang w:val="en-GB"/>
        </w:rPr>
        <w:instrText> </w:instrText>
      </w:r>
      <w:r w:rsidR="001F2956">
        <w:rPr>
          <w:lang w:val="en-GB"/>
        </w:rPr>
        <w:instrText>22,544). The questionnaire included questions about participation in skills development initiatives over the past 2</w:instrText>
      </w:r>
      <w:r w:rsidR="001F2956">
        <w:rPr>
          <w:rFonts w:ascii="Arial" w:hAnsi="Arial" w:cs="Arial"/>
          <w:lang w:val="en-GB"/>
        </w:rPr>
        <w:instrText> </w:instrText>
      </w:r>
      <w:r w:rsidR="001F2956">
        <w:rPr>
          <w:lang w:val="en-GB"/>
        </w:rPr>
        <w:instrText>years, lifestyle and work environment, including work ability and expected retirement age. We employed Generalized Linear Models (GLMs), weighted for Union, sex and age, with multivariate adjustment to examine associations of participation in (1) courses, (2) formal education, and (3) other forms of skills development on work ability and expected retirement age.ResultsFormal education showed associations with expected retirement age with a between-group difference of 0.68</w:instrText>
      </w:r>
      <w:r w:rsidR="001F2956">
        <w:rPr>
          <w:rFonts w:ascii="Arial" w:hAnsi="Arial" w:cs="Arial"/>
          <w:lang w:val="en-GB"/>
        </w:rPr>
        <w:instrText> </w:instrText>
      </w:r>
      <w:r w:rsidR="001F2956">
        <w:rPr>
          <w:lang w:val="en-GB"/>
        </w:rPr>
        <w:instrText>years Confidence Interval (CI) (0.54 to 0.82). Conversely, other forms of skills development (peer-to-peer training or self-study) were most positively associated with work ability in specific models with a between-group difference of 0.20</w:instrText>
      </w:r>
      <w:r w:rsidR="001F2956">
        <w:rPr>
          <w:rFonts w:ascii="Arial" w:hAnsi="Arial" w:cs="Arial"/>
          <w:lang w:val="en-GB"/>
        </w:rPr>
        <w:instrText> </w:instrText>
      </w:r>
      <w:r w:rsidR="001F2956">
        <w:rPr>
          <w:lang w:val="en-GB"/>
        </w:rPr>
        <w:instrText xml:space="preserve">years CI (0.16 to 0.24).ConclusionOur findings suggest that participation in skills development is positively associated with work ability and expected retirement age. These findings underscore the need for targeted skills development programs, which may enhance workforce sustainability and help workers prolong their working life.","container-title":"Frontiers in Public Health","ISSN":"2296-2565","journalAbbreviation":"Frontiers in Public Health","title":"Participation in and use of skills development for work ability and expected retirement age: a cross-sectional study among senior workers","URL":"https://www.frontiersin.org/journals/public-health/articles/10.3389/fpubh.2025.1511204","volume":"Volume 13 - 2025","author":[{"family":"Seeberg","given":"Karina Glies Vincents"},{"family":"Skovlund","given":"Sebastian Venge"},{"family":"Sundstrup","given":"Emil"},{"family":"Mortensen","given":"Ole Steen"},{"family":"Andersen","given":"Lars Louis"}],"issued":{"date-parts":[["2025"]]}}}],"schema":"https://github.com/citation-style-language/schema/raw/master/csl-citation.json"} </w:instrText>
      </w:r>
      <w:r w:rsidR="00613FA6" w:rsidRPr="00D57AE6">
        <w:rPr>
          <w:lang w:val="en-GB"/>
        </w:rPr>
        <w:fldChar w:fldCharType="separate"/>
      </w:r>
      <w:r w:rsidR="00891A77" w:rsidRPr="00D57AE6">
        <w:rPr>
          <w:rFonts w:ascii="Aptos" w:hAnsi="Aptos"/>
          <w:lang w:val="en-GB"/>
        </w:rPr>
        <w:t>(Seeberg et al., 2025)</w:t>
      </w:r>
      <w:r w:rsidR="00613FA6" w:rsidRPr="00D57AE6">
        <w:rPr>
          <w:lang w:val="en-GB"/>
        </w:rPr>
        <w:fldChar w:fldCharType="end"/>
      </w:r>
      <w:r w:rsidRPr="00D57AE6">
        <w:rPr>
          <w:lang w:val="en-GB"/>
        </w:rPr>
        <w:t>. These findings suggest that skill development may contribute to extended working lives by maintaining workers’ capacity to meet job demands, but the causal pathways remain largely unexplored.</w:t>
      </w:r>
    </w:p>
    <w:p w14:paraId="755EB02F" w14:textId="182FE8E6" w:rsidR="00A20381" w:rsidRPr="00D57AE6" w:rsidRDefault="00791937" w:rsidP="0052016F">
      <w:pPr>
        <w:spacing w:line="480" w:lineRule="auto"/>
        <w:jc w:val="both"/>
        <w:rPr>
          <w:lang w:val="en-GB"/>
        </w:rPr>
      </w:pPr>
      <w:r w:rsidRPr="00D57AE6">
        <w:rPr>
          <w:lang w:val="en-GB"/>
        </w:rPr>
        <w:t xml:space="preserve">Insights into possible mechanisms can also be drawn from adjacent research on workplace practices and retirement intentions. </w:t>
      </w:r>
      <w:r w:rsidR="00613FA6" w:rsidRPr="00D57AE6">
        <w:rPr>
          <w:lang w:val="en-GB"/>
        </w:rPr>
        <w:t>A</w:t>
      </w:r>
      <w:r w:rsidRPr="00D57AE6">
        <w:rPr>
          <w:lang w:val="en-GB"/>
        </w:rPr>
        <w:t>ge-inclusive human resource practices are indirectly associated with lower retirement intentions among older employees through reduced job insecurity</w:t>
      </w:r>
      <w:r w:rsidR="00613FA6" w:rsidRPr="00D57AE6">
        <w:rPr>
          <w:lang w:val="en-GB"/>
        </w:rPr>
        <w:t xml:space="preserve"> </w:t>
      </w:r>
      <w:r w:rsidR="00613FA6" w:rsidRPr="00D57AE6">
        <w:rPr>
          <w:lang w:val="en-GB"/>
        </w:rPr>
        <w:fldChar w:fldCharType="begin"/>
      </w:r>
      <w:r w:rsidR="001F2956">
        <w:rPr>
          <w:lang w:val="en-GB"/>
        </w:rPr>
        <w:instrText xml:space="preserve"> ADDIN ZOTERO_ITEM CSL_CITATION {"citationID":"MDGQsHrW","properties":{"unsorted":false,"formattedCitation":"(Fasbender et al., 2026)","plainCitation":"(Fasbender et al., 2026)","noteIndex":0},"citationItems":[{"id":29228,"uris":["http://zotero.org/groups/6389851/items/44QL6DFY"],"itemData":{"id":29228,"type":"article-journal","abstract":"ABSTRACT To decide about retirement, employees assess and react to their work environment, including age-inclusive HR practices. Age-inclusive HR practices ensure equal access to key HR functions for all employees?regardless of age, for example, training and development for all age groups, unlike age-specific HR practices, which target older workers exclusively, for example, development opportunities for older workers. In this study, we uncover why age-inclusive HR practices are effective in retaining older employees. Using a conservation of resources theory approach, we explain that age-inclusive HR practices can enhance older employees' employability (i.e., perceived ability to realize job opportunities within and between employers) and reduce their job insecurity (i.e., perceived risk of a decline in job quality, including working conditions, career prospects, and salary). Employability, conversely, weakens employees' retirement intentions, while job insecurity strengthens these intentions. We use a three-wave design with 758 older employees and path analysis, controlling for age-specific HR practices, to demonstrate the unique effect of age-inclusive HR practices on employees' retirement intentions. Findings showed that age-inclusive HR practices (beyond age-specific HR practices) were indirectly linked to employees' retirement intentions via job insecurity but not employability, emphasizing their importance for resource loss prevention as a means for older employees' retention.","container-title":"Human Resource Management","DOI":"10.1002/hrm.70036","ISSN":"0090-4848","issue":"2","journalAbbreviation":"Human Resource Management","page":"473-491","publisher":"John Wiley &amp; Sons, Ltd","title":"Age-Inclusive HR Practices as Resource Passageways: Explaining Retirement Intentions Through Employability and Job Insecurity","volume":"65","author":[{"family":"Fasbender","given":"Ulrike"},{"family":"Froidevaux","given":"Ariane"},{"family":"Klehe","given":"Ute-Christine"}],"issued":{"date-parts":[["2026",3,1]]}}}],"schema":"https://github.com/citation-style-language/schema/raw/master/csl-citation.json"} </w:instrText>
      </w:r>
      <w:r w:rsidR="00613FA6" w:rsidRPr="00D57AE6">
        <w:rPr>
          <w:lang w:val="en-GB"/>
        </w:rPr>
        <w:fldChar w:fldCharType="separate"/>
      </w:r>
      <w:r w:rsidR="00891A77" w:rsidRPr="00D57AE6">
        <w:rPr>
          <w:rFonts w:ascii="Aptos" w:hAnsi="Aptos"/>
          <w:lang w:val="en-GB"/>
        </w:rPr>
        <w:t>(Fasbender et al., 2026)</w:t>
      </w:r>
      <w:r w:rsidR="00613FA6" w:rsidRPr="00D57AE6">
        <w:rPr>
          <w:lang w:val="en-GB"/>
        </w:rPr>
        <w:fldChar w:fldCharType="end"/>
      </w:r>
      <w:r w:rsidRPr="00D57AE6">
        <w:rPr>
          <w:lang w:val="en-GB"/>
        </w:rPr>
        <w:t xml:space="preserve">. </w:t>
      </w:r>
    </w:p>
    <w:p w14:paraId="4C99F6EE" w14:textId="77777777" w:rsidR="00A20381" w:rsidRPr="00D57AE6" w:rsidRDefault="00791937" w:rsidP="0052016F">
      <w:pPr>
        <w:spacing w:line="480" w:lineRule="auto"/>
        <w:jc w:val="both"/>
        <w:rPr>
          <w:lang w:val="en-GB"/>
        </w:rPr>
      </w:pPr>
      <w:r w:rsidRPr="00D57AE6">
        <w:rPr>
          <w:lang w:val="en-GB"/>
        </w:rPr>
        <w:t>Taken together, these studies suggest several potential pathways linking training and extended working lives, including maintaining work ability, strengthening psychological resources and adaptive strategies, and reducing perceived employment risks. However, empirical studies that directly examine the mechanisms through which CVET participation affects retirement-related outcomes remain scarce. This lack of evidence is particularly striking given the prominent role attributed to lifelong learning in policies aimed at extending working lives. The present study addresses this gap by examining the mechanisms through which participation in CVET may influence retirement intentions and labour market participation in later life.</w:t>
      </w:r>
    </w:p>
    <w:p w14:paraId="49A2EC0A" w14:textId="142DFA40" w:rsidR="00A20381" w:rsidRPr="00D57AE6" w:rsidRDefault="00791937" w:rsidP="0052016F">
      <w:pPr>
        <w:pStyle w:val="Heading2"/>
        <w:spacing w:line="480" w:lineRule="auto"/>
        <w:rPr>
          <w:lang w:val="en-GB"/>
        </w:rPr>
      </w:pPr>
      <w:r w:rsidRPr="00D57AE6">
        <w:rPr>
          <w:lang w:val="en-GB"/>
        </w:rPr>
        <w:lastRenderedPageBreak/>
        <w:t>Mechanisms</w:t>
      </w:r>
      <w:r w:rsidR="00576BCD" w:rsidRPr="00D57AE6">
        <w:rPr>
          <w:lang w:val="en-GB"/>
        </w:rPr>
        <w:t xml:space="preserve"> and Hypotheses</w:t>
      </w:r>
    </w:p>
    <w:p w14:paraId="3FFFDA1E" w14:textId="0EBBC5E2" w:rsidR="00A20381" w:rsidRPr="00D57AE6" w:rsidRDefault="00791937" w:rsidP="0052016F">
      <w:pPr>
        <w:spacing w:line="480" w:lineRule="auto"/>
        <w:jc w:val="both"/>
        <w:rPr>
          <w:lang w:val="en-GB"/>
        </w:rPr>
      </w:pPr>
      <w:r w:rsidRPr="00D57AE6">
        <w:rPr>
          <w:lang w:val="en-GB"/>
        </w:rPr>
        <w:t xml:space="preserve">A useful framework for understanding the processes linking CVET and </w:t>
      </w:r>
      <w:r w:rsidR="006A2D88" w:rsidRPr="00D57AE6">
        <w:rPr>
          <w:lang w:val="en-GB"/>
        </w:rPr>
        <w:t xml:space="preserve">retirement decisions </w:t>
      </w:r>
      <w:r w:rsidRPr="00D57AE6">
        <w:rPr>
          <w:lang w:val="en-GB"/>
        </w:rPr>
        <w:t xml:space="preserve">is </w:t>
      </w:r>
      <w:r w:rsidR="006E6214" w:rsidRPr="00D57AE6">
        <w:rPr>
          <w:lang w:val="en-GB"/>
        </w:rPr>
        <w:t xml:space="preserve">the </w:t>
      </w:r>
      <w:proofErr w:type="spellStart"/>
      <w:r w:rsidR="006E6214" w:rsidRPr="00D57AE6">
        <w:rPr>
          <w:lang w:val="en-GB"/>
        </w:rPr>
        <w:t>lidA</w:t>
      </w:r>
      <w:proofErr w:type="spellEnd"/>
      <w:r w:rsidR="006E6214" w:rsidRPr="00D57AE6">
        <w:rPr>
          <w:lang w:val="en-GB"/>
        </w:rPr>
        <w:t xml:space="preserve"> model developed by Peter and </w:t>
      </w:r>
      <w:proofErr w:type="spellStart"/>
      <w:r w:rsidR="006E6214" w:rsidRPr="00D57AE6">
        <w:rPr>
          <w:lang w:val="en-GB"/>
        </w:rPr>
        <w:t>Hasselhorn</w:t>
      </w:r>
      <w:proofErr w:type="spellEnd"/>
      <w:r w:rsidR="006E6214" w:rsidRPr="00D57AE6">
        <w:rPr>
          <w:lang w:val="en-GB"/>
        </w:rPr>
        <w:t xml:space="preserve"> (201</w:t>
      </w:r>
      <w:r w:rsidR="0085129C" w:rsidRPr="00D57AE6">
        <w:rPr>
          <w:lang w:val="en-GB"/>
        </w:rPr>
        <w:t>3</w:t>
      </w:r>
      <w:r w:rsidR="006E6214" w:rsidRPr="00D57AE6">
        <w:rPr>
          <w:lang w:val="en-GB"/>
        </w:rPr>
        <w:t>)</w:t>
      </w:r>
      <w:r w:rsidRPr="00D57AE6">
        <w:rPr>
          <w:lang w:val="en-GB"/>
        </w:rPr>
        <w:t xml:space="preserve">. According to this model, early withdrawal from employment ultimately depends on two key mechanisms: work ability and motivation to continue working. Labour force participation in later life is therefore understood as the outcome of a complex process shaped by work characteristics, socioeconomic status, lifestyle, and health, with </w:t>
      </w:r>
      <w:r w:rsidRPr="00D57AE6">
        <w:rPr>
          <w:i/>
          <w:iCs/>
          <w:lang w:val="en-GB"/>
        </w:rPr>
        <w:t>work ability</w:t>
      </w:r>
      <w:r w:rsidRPr="00D57AE6">
        <w:rPr>
          <w:lang w:val="en-GB"/>
        </w:rPr>
        <w:t xml:space="preserve"> and </w:t>
      </w:r>
      <w:r w:rsidRPr="00D57AE6">
        <w:rPr>
          <w:i/>
          <w:iCs/>
          <w:lang w:val="en-GB"/>
        </w:rPr>
        <w:t>motivation</w:t>
      </w:r>
      <w:r w:rsidRPr="00D57AE6">
        <w:rPr>
          <w:lang w:val="en-GB"/>
        </w:rPr>
        <w:t xml:space="preserve"> acting as central mediating mechanisms</w:t>
      </w:r>
      <w:r w:rsidR="0085129C" w:rsidRPr="00D57AE6">
        <w:rPr>
          <w:lang w:val="en-GB"/>
        </w:rPr>
        <w:t xml:space="preserve"> </w:t>
      </w:r>
      <w:r w:rsidR="0085129C" w:rsidRPr="00D57AE6">
        <w:rPr>
          <w:lang w:val="en-GB"/>
        </w:rPr>
        <w:fldChar w:fldCharType="begin"/>
      </w:r>
      <w:r w:rsidR="001F2956">
        <w:rPr>
          <w:lang w:val="en-GB"/>
        </w:rPr>
        <w:instrText xml:space="preserve"> ADDIN ZOTERO_ITEM CSL_CITATION {"citationID":"nQaIwpIf","properties":{"unsorted":false,"formattedCitation":"(Peter &amp; Hasselhorn, 2013)","plainCitation":"(Peter &amp; Hasselhorn, 2013)","noteIndex":0},"citationItems":[{"id":28896,"uris":["http://zotero.org/groups/6389851/items/2IZPTTIG"],"itemData":{"id":28896,"type":"article-journal","container-title":"Bundesgesundheitsblatt - Gesundheitsforschung - Gesundheitsschutz","DOI":"10.1007/s00103-012-1615-z","ISSN":"1436-9990, 1437-1588","issue":"3","journalAbbreviation":"Bundesgesundheitsbl.","language":"de","license":"http://www.springer.com/tdm","page":"415-421","source":"DOI.org (Crossref)","title":"Arbeit, Alter, Gesundheit und Erwerbsteilhabe: Ein Modell","title-short":"Arbeit, Alter, Gesundheit und Erwerbsteilhabe","volume":"56","author":[{"family":"Peter","given":"R."},{"family":"Hasselhorn","given":"H.M."}],"issued":{"date-parts":[["2013",3]]}}}],"schema":"https://github.com/citation-style-language/schema/raw/master/csl-citation.json"} </w:instrText>
      </w:r>
      <w:r w:rsidR="0085129C" w:rsidRPr="00D57AE6">
        <w:rPr>
          <w:lang w:val="en-GB"/>
        </w:rPr>
        <w:fldChar w:fldCharType="separate"/>
      </w:r>
      <w:r w:rsidR="0085129C" w:rsidRPr="00D57AE6">
        <w:rPr>
          <w:rFonts w:ascii="Aptos" w:hAnsi="Aptos"/>
          <w:lang w:val="en-GB"/>
        </w:rPr>
        <w:t>(Peter &amp; Hasselhorn, 2013)</w:t>
      </w:r>
      <w:r w:rsidR="0085129C" w:rsidRPr="00D57AE6">
        <w:rPr>
          <w:lang w:val="en-GB"/>
        </w:rPr>
        <w:fldChar w:fldCharType="end"/>
      </w:r>
      <w:r w:rsidRPr="00D57AE6">
        <w:rPr>
          <w:lang w:val="en-GB"/>
        </w:rPr>
        <w:t xml:space="preserve">. </w:t>
      </w:r>
      <w:r w:rsidR="0085129C" w:rsidRPr="00D57AE6">
        <w:rPr>
          <w:lang w:val="en-GB"/>
        </w:rPr>
        <w:t xml:space="preserve">Our assumptions build on this model, particularly on the mechanisms of motivation and work ability through which factors are assumed to influence labour market participation in later life. However, rather than adopting the model unchanged, we refine it to fit our research context. In an adjusted version, we propose five specific pathways through which </w:t>
      </w:r>
      <w:r w:rsidR="006A2D88" w:rsidRPr="00D57AE6">
        <w:rPr>
          <w:bCs/>
          <w:lang w:val="en-GB"/>
        </w:rPr>
        <w:t>CVET</w:t>
      </w:r>
      <w:r w:rsidR="006A2D88" w:rsidRPr="00D57AE6">
        <w:rPr>
          <w:lang w:val="en-GB"/>
        </w:rPr>
        <w:t xml:space="preserve"> </w:t>
      </w:r>
      <w:r w:rsidR="0085129C" w:rsidRPr="00D57AE6">
        <w:rPr>
          <w:lang w:val="en-GB"/>
        </w:rPr>
        <w:t xml:space="preserve">may affect labour market participation in later life </w:t>
      </w:r>
      <w:r w:rsidR="00C16BA6" w:rsidRPr="00D57AE6">
        <w:rPr>
          <w:lang w:val="en-GB"/>
        </w:rPr>
        <w:t>(</w:t>
      </w:r>
      <w:r w:rsidR="00C16BA6" w:rsidRPr="00352F60">
        <w:rPr>
          <w:lang w:val="en-GB"/>
        </w:rPr>
        <w:t xml:space="preserve">see Fig. </w:t>
      </w:r>
      <w:r w:rsidR="0085129C" w:rsidRPr="00352F60">
        <w:rPr>
          <w:lang w:val="en-GB"/>
        </w:rPr>
        <w:t>1</w:t>
      </w:r>
      <w:r w:rsidR="00C16BA6" w:rsidRPr="00352F60">
        <w:rPr>
          <w:lang w:val="en-GB"/>
        </w:rPr>
        <w:t>)</w:t>
      </w:r>
      <w:r w:rsidRPr="00352F60">
        <w:rPr>
          <w:lang w:val="en-GB"/>
        </w:rPr>
        <w:t>.</w:t>
      </w:r>
    </w:p>
    <w:p w14:paraId="4D296888" w14:textId="5BBCD030" w:rsidR="00A20381" w:rsidRPr="00D57AE6" w:rsidRDefault="00CB57F2" w:rsidP="0052016F">
      <w:pPr>
        <w:spacing w:line="480" w:lineRule="auto"/>
        <w:jc w:val="both"/>
        <w:rPr>
          <w:lang w:val="en-GB"/>
        </w:rPr>
      </w:pPr>
      <w:r w:rsidRPr="00D57AE6">
        <w:rPr>
          <w:lang w:val="en-GB"/>
        </w:rPr>
        <w:t>Two mechanisms primarily relate to work</w:t>
      </w:r>
      <w:r w:rsidR="009D03E6">
        <w:rPr>
          <w:lang w:val="en-GB"/>
        </w:rPr>
        <w:t xml:space="preserve"> </w:t>
      </w:r>
      <w:r w:rsidRPr="00D57AE6">
        <w:rPr>
          <w:lang w:val="en-GB"/>
        </w:rPr>
        <w:t xml:space="preserve">ability. First, training can improve the alignment between individual capabilities and job demands. By maintaining or updating knowledge and skills, CVET helps workers adapt to technological and organisational changes and prevents situations where employees feel overstrained or underchallenged at work. A </w:t>
      </w:r>
      <w:r w:rsidR="002E6352" w:rsidRPr="00D57AE6">
        <w:rPr>
          <w:lang w:val="en-GB"/>
        </w:rPr>
        <w:t>better-perceived person-job fit may enable older workers to remain</w:t>
      </w:r>
      <w:r w:rsidRPr="00D57AE6">
        <w:rPr>
          <w:lang w:val="en-GB"/>
        </w:rPr>
        <w:t xml:space="preserve"> productive and confident in their roles. Empirical evidence indicates that training programmes can boost performance and productivity, especially when they are tailored to the learning needs of older employees</w:t>
      </w:r>
      <w:r w:rsidR="001A4CD6" w:rsidRPr="00D57AE6">
        <w:rPr>
          <w:lang w:val="en-GB"/>
        </w:rPr>
        <w:t xml:space="preserve"> </w:t>
      </w:r>
      <w:r w:rsidR="001A4CD6" w:rsidRPr="00D57AE6">
        <w:rPr>
          <w:lang w:val="en-GB"/>
        </w:rPr>
        <w:fldChar w:fldCharType="begin"/>
      </w:r>
      <w:r w:rsidR="001F2956">
        <w:rPr>
          <w:lang w:val="en-GB"/>
        </w:rPr>
        <w:instrText xml:space="preserve"> ADDIN ZOTERO_ITEM CSL_CITATION {"citationID":"8R3C3BoH","properties":{"unsorted":false,"formattedCitation":"(de Grip et al., 2020; Zwick, 2015)","plainCitation":"(de Grip et al., 2020; Zwick, 2015)","noteIndex":0},"citationItems":[{"id":29082,"uris":["http://zotero.org/groups/6389851/items/SQJFIPU4"],"itemData":{"id":29082,"type":"article-journal","abstract":"This article contributes to research on older workers' sustainable employment by investigating the relation between training and expected retirement age. Past research has produced inconsistent findings, partly because studies rarely distinguish between the effects of training opportunities and actual training participation. To address this limitation, we examine the incremental effect of training opportunities over and above actual training participation. Grounded in social exchange theory, we argue that the effect of training opportunities on expected retirement age depends on employees' positive reciprocity orientation. Using matched employer–employee data (880 employees matched to 284 employers) our findings show that training opportunities associate with expected retirement age over and above employees' actual training participation, but only for employees with strong positive reciprocity beliefs. Moreover, a supplementary analysis showed that the strengthening effect of positive reciprocity only holds for organizations that are financially healthy. These findings are consistent with the idea that positive reciprocators will only avoid early retirement as a response to training opportunities when it is seen as a credible gesture to facilitate employees' future employability.","collection-title":"Sustainable Careers across the Lifespan: A Contemporary Perspective","container-title":"Journal of Vocational Behavior","DOI":"10.1016/j.jvb.2019.103332","ISSN":"0001-8791","journalAbbreviation":"Journal of Vocational Behavior","page":"103332","source":"ScienceDirect","title":"Train to retain: Training opportunities, positive reciprocity, and expected retirement age","title-short":"Train to retain","volume":"117","author":[{"family":"Grip","given":"Andries","non-dropping-particle":"de"},{"family":"Fouarge","given":"Didier"},{"family":"Montizaan","given":"Raymond"},{"family":"Schreurs","given":"Bert"}],"issued":{"date-parts":[["2020",3,1]]}}},{"id":29080,"uris":["http://zotero.org/groups/6389851/items/QM476J2I"],"itemData":{"id":29080,"type":"article-journal","abstract":"– Employees older than 55 years of age have a much lower share in training than other employees. The purpose of this paper is to propose that one of the reasons for this phenomenon that has not been taken into account so far is that their training is less effective.  – This paper shows that training of older employees indeed is less effective in the self-assessment of training participants. Training effectiveness is measured with respect to key dimensions such as career development, earnings, adoption of new skills, flexibility or job security. Besides age a broad range of explanatory variables is included as covariates in a large linked employer-employee data set.  – The paper finds that main reason for the differences in training effectiveness during the life cycle is that firms do not take into account differences in training motivation. Older employees get higher returns from informal and directly relevant training and from training contents that can be mainly tackled by crystallised abilities. Training incidence in the more effective training forms is, however, not higher for older employees. Given that other decisive variables on self-assessed effectiveness such as training duration, financing and initiative are not sensitive to age, the wrong allocation of training contents and training forms therefore is the critical explanation for the lower effectiveness of training.  – This paper therefore shows to human resource managers why old employees rate training effectiveness lower and indicates what can be done in order to improve training effectiveness of old employees. It uses a large and detailed data set entailing more than 6,000 employees from about 150 establishments.","container-title":"International Journal of Manpower","DOI":"10.1108/IJM-09-2012-0138","ISSN":"0143-7720","issue":"2","journalAbbreviation":"International Journal of Manpower","page":"136-150","source":"Silverchair","title":"Training older employees: what is effective?","title-short":"Training older employees","volume":"36","author":[{"family":"Zwick","given":"Thomas"}],"issued":{"date-parts":[["2015",5,5]]}}}],"schema":"https://github.com/citation-style-language/schema/raw/master/csl-citation.json"} </w:instrText>
      </w:r>
      <w:r w:rsidR="001A4CD6" w:rsidRPr="00D57AE6">
        <w:rPr>
          <w:lang w:val="en-GB"/>
        </w:rPr>
        <w:fldChar w:fldCharType="separate"/>
      </w:r>
      <w:r w:rsidR="001A4CD6" w:rsidRPr="00D57AE6">
        <w:rPr>
          <w:rFonts w:ascii="Aptos" w:hAnsi="Aptos"/>
          <w:lang w:val="en-GB"/>
        </w:rPr>
        <w:t>(de Grip et al., 2020; Zwick, 2015)</w:t>
      </w:r>
      <w:r w:rsidR="001A4CD6" w:rsidRPr="00D57AE6">
        <w:rPr>
          <w:lang w:val="en-GB"/>
        </w:rPr>
        <w:fldChar w:fldCharType="end"/>
      </w:r>
      <w:r w:rsidRPr="00D57AE6">
        <w:rPr>
          <w:lang w:val="en-GB"/>
        </w:rPr>
        <w:t xml:space="preserve">. </w:t>
      </w:r>
    </w:p>
    <w:p w14:paraId="489BFC20" w14:textId="1719A6EF" w:rsidR="00A20381" w:rsidRPr="00D57AE6" w:rsidRDefault="00791937" w:rsidP="0052016F">
      <w:pPr>
        <w:spacing w:line="480" w:lineRule="auto"/>
        <w:jc w:val="both"/>
        <w:rPr>
          <w:lang w:val="en-GB"/>
        </w:rPr>
      </w:pPr>
      <w:r w:rsidRPr="00D57AE6">
        <w:rPr>
          <w:lang w:val="en-GB"/>
        </w:rPr>
        <w:t xml:space="preserve">Second, training may influence the experience of work-related </w:t>
      </w:r>
      <w:r w:rsidR="00A0103A" w:rsidRPr="00D57AE6">
        <w:rPr>
          <w:lang w:val="en-GB"/>
        </w:rPr>
        <w:t>burden</w:t>
      </w:r>
      <w:r w:rsidRPr="00D57AE6">
        <w:rPr>
          <w:lang w:val="en-GB"/>
        </w:rPr>
        <w:t xml:space="preserve">. High job demands, time pressure, or increasing technological requirements can create stress </w:t>
      </w:r>
      <w:r w:rsidRPr="00D57AE6">
        <w:rPr>
          <w:lang w:val="en-GB"/>
        </w:rPr>
        <w:lastRenderedPageBreak/>
        <w:t>and contribute to earlier labour market exit</w:t>
      </w:r>
      <w:r w:rsidR="0085129C" w:rsidRPr="00D57AE6">
        <w:rPr>
          <w:lang w:val="en-GB"/>
        </w:rPr>
        <w:t xml:space="preserve"> </w:t>
      </w:r>
      <w:r w:rsidR="0085129C" w:rsidRPr="00D57AE6">
        <w:rPr>
          <w:lang w:val="en-GB"/>
        </w:rPr>
        <w:fldChar w:fldCharType="begin"/>
      </w:r>
      <w:r w:rsidR="004A3D0D">
        <w:rPr>
          <w:lang w:val="en-GB"/>
        </w:rPr>
        <w:instrText xml:space="preserve"> ADDIN ZOTERO_ITEM CSL_CITATION {"citationID":"AgArS4v5","properties":{"unsorted":false,"formattedCitation":"(d\\uc0\\u8217{}Errico et al., 2021)","plainCitation":"(d’Errico et al., 2021)","noteIndex":0},"citationItems":[{"id":"hkiRVVPz/IqrPerMZ","uris":["http://zotero.org/users/19409188/items/7UXCGTEH"],"itemData":{"id":1016,"type":"article-journal","abstract":"Abstract\n            \n              Objectives\n              We would assess the possible impact of a range of physical and psychosocial working conditions on early exit from paid employment (i.e., before retirement age) in a representative employee population in Germany.\n            \n            \n              Methods\n              We analysed a cohort from the German Study on Mental Health at Work (S-MGA) with a baseline of 2351 employees in 2011/12, sampled randomly from the register of integrated employment biographies (IEB) at the Institute for Employment Research (IAB). Follow-up ended mid-2015. Early Exit comprised episodes of either pensioning, long-term sickness absence or unemployment</w:instrText>
      </w:r>
      <w:r w:rsidR="004A3D0D">
        <w:rPr>
          <w:rFonts w:ascii="Arial" w:hAnsi="Arial" w:cs="Arial"/>
          <w:lang w:val="en-GB"/>
        </w:rPr>
        <w:instrText> </w:instrText>
      </w:r>
      <w:r w:rsidR="004A3D0D">
        <w:rPr>
          <w:rFonts w:ascii="Aptos" w:hAnsi="Aptos" w:cs="Aptos"/>
          <w:lang w:val="en-GB"/>
        </w:rPr>
        <w:instrText>≥</w:instrText>
      </w:r>
      <w:r w:rsidR="004A3D0D">
        <w:rPr>
          <w:rFonts w:ascii="Arial" w:hAnsi="Arial" w:cs="Arial"/>
          <w:lang w:val="en-GB"/>
        </w:rPr>
        <w:instrText> </w:instrText>
      </w:r>
      <w:r w:rsidR="004A3D0D">
        <w:rPr>
          <w:lang w:val="en-GB"/>
        </w:rPr>
        <w:instrText>18</w:instrText>
      </w:r>
      <w:r w:rsidR="004A3D0D">
        <w:rPr>
          <w:rFonts w:ascii="Aptos" w:hAnsi="Aptos" w:cs="Aptos"/>
          <w:lang w:val="en-GB"/>
        </w:rPr>
        <w:instrText> </w:instrText>
      </w:r>
      <w:r w:rsidR="004A3D0D">
        <w:rPr>
          <w:lang w:val="en-GB"/>
        </w:rPr>
        <w:instrText>months. Total follow-up years were 8.422. Working conditions were partly assessed by the Copenhagen Psychosocial Questionnaire (COPSOQ). Through Cox regressions, associations of baseline working conditions with time to event of exit were estimated</w:instrText>
      </w:r>
      <w:r w:rsidR="004A3D0D">
        <w:rPr>
          <w:rFonts w:ascii="Aptos" w:hAnsi="Aptos" w:cs="Aptos"/>
          <w:lang w:val="en-GB"/>
        </w:rPr>
        <w:instrText>—</w:instrText>
      </w:r>
      <w:r w:rsidR="004A3D0D">
        <w:rPr>
          <w:lang w:val="en-GB"/>
        </w:rPr>
        <w:instrText>adjusting for baseline age, gender, poverty, fixed-term contract and socioeconomic position.\n            \n            \n              Results\n              In multiple regressions, awkward body postures (HR</w:instrText>
      </w:r>
      <w:r w:rsidR="004A3D0D">
        <w:rPr>
          <w:rFonts w:ascii="Arial" w:hAnsi="Arial" w:cs="Arial"/>
          <w:lang w:val="en-GB"/>
        </w:rPr>
        <w:instrText> </w:instrText>
      </w:r>
      <w:r w:rsidR="004A3D0D">
        <w:rPr>
          <w:lang w:val="en-GB"/>
        </w:rPr>
        <w:instrText>=</w:instrText>
      </w:r>
      <w:r w:rsidR="004A3D0D">
        <w:rPr>
          <w:rFonts w:ascii="Arial" w:hAnsi="Arial" w:cs="Arial"/>
          <w:lang w:val="en-GB"/>
        </w:rPr>
        <w:instrText> </w:instrText>
      </w:r>
      <w:r w:rsidR="004A3D0D">
        <w:rPr>
          <w:lang w:val="en-GB"/>
        </w:rPr>
        <w:instrText>1.24; 95% CI</w:instrText>
      </w:r>
      <w:r w:rsidR="004A3D0D">
        <w:rPr>
          <w:rFonts w:ascii="Arial" w:hAnsi="Arial" w:cs="Arial"/>
          <w:lang w:val="en-GB"/>
        </w:rPr>
        <w:instrText> </w:instrText>
      </w:r>
      <w:r w:rsidR="004A3D0D">
        <w:rPr>
          <w:lang w:val="en-GB"/>
        </w:rPr>
        <w:instrText>=</w:instrText>
      </w:r>
      <w:r w:rsidR="004A3D0D">
        <w:rPr>
          <w:rFonts w:ascii="Arial" w:hAnsi="Arial" w:cs="Arial"/>
          <w:lang w:val="en-GB"/>
        </w:rPr>
        <w:instrText> </w:instrText>
      </w:r>
      <w:r w:rsidR="004A3D0D">
        <w:rPr>
          <w:lang w:val="en-GB"/>
        </w:rPr>
        <w:instrText>1.07</w:instrText>
      </w:r>
      <w:r w:rsidR="004A3D0D">
        <w:rPr>
          <w:rFonts w:ascii="Aptos" w:hAnsi="Aptos" w:cs="Aptos"/>
          <w:lang w:val="en-GB"/>
        </w:rPr>
        <w:instrText>–</w:instrText>
      </w:r>
      <w:r w:rsidR="004A3D0D">
        <w:rPr>
          <w:lang w:val="en-GB"/>
        </w:rPr>
        <w:instrText>1.44), heavy lifting (1.17; 1.00</w:instrText>
      </w:r>
      <w:r w:rsidR="004A3D0D">
        <w:rPr>
          <w:rFonts w:ascii="Aptos" w:hAnsi="Aptos" w:cs="Aptos"/>
          <w:lang w:val="en-GB"/>
        </w:rPr>
        <w:instrText>–</w:instrText>
      </w:r>
      <w:r w:rsidR="004A3D0D">
        <w:rPr>
          <w:lang w:val="en-GB"/>
        </w:rPr>
        <w:instrText>1.37) and high work pace (1.41; 1.16</w:instrText>
      </w:r>
      <w:r w:rsidR="004A3D0D">
        <w:rPr>
          <w:rFonts w:ascii="Aptos" w:hAnsi="Aptos" w:cs="Aptos"/>
          <w:lang w:val="en-GB"/>
        </w:rPr>
        <w:instrText>–</w:instrText>
      </w:r>
      <w:r w:rsidR="004A3D0D">
        <w:rPr>
          <w:lang w:val="en-GB"/>
        </w:rPr>
        <w:instrText>1.72) were associated with exit. The estimated attributable fraction of exit for being exposed to less than optimal work environment was 25%. Regarding specific exit routes, repetitive movements (1.25; 1.03</w:instrText>
      </w:r>
      <w:r w:rsidR="004A3D0D">
        <w:rPr>
          <w:rFonts w:ascii="Aptos" w:hAnsi="Aptos" w:cs="Aptos"/>
          <w:lang w:val="en-GB"/>
        </w:rPr>
        <w:instrText>–</w:instrText>
      </w:r>
      <w:r w:rsidR="004A3D0D">
        <w:rPr>
          <w:lang w:val="en-GB"/>
        </w:rPr>
        <w:instrText>1.53) increased the risk for the long-term sickness absence; work pace (1.86; 1.22</w:instrText>
      </w:r>
      <w:r w:rsidR="004A3D0D">
        <w:rPr>
          <w:rFonts w:ascii="Aptos" w:hAnsi="Aptos" w:cs="Aptos"/>
          <w:lang w:val="en-GB"/>
        </w:rPr>
        <w:instrText>–</w:instrText>
      </w:r>
      <w:r w:rsidR="004A3D0D">
        <w:rPr>
          <w:lang w:val="en-GB"/>
        </w:rPr>
        <w:instrText>2.86) and role clarity (0.55; 0.31</w:instrText>
      </w:r>
      <w:r w:rsidR="004A3D0D">
        <w:rPr>
          <w:rFonts w:ascii="Aptos" w:hAnsi="Aptos" w:cs="Aptos"/>
          <w:lang w:val="en-GB"/>
        </w:rPr>
        <w:instrText>–</w:instrText>
      </w:r>
      <w:r w:rsidR="004A3D0D">
        <w:rPr>
          <w:lang w:val="en-GB"/>
        </w:rPr>
        <w:instrText>1.00) were associated to unemployment; and control over working time (0.72; 0.56</w:instrText>
      </w:r>
      <w:r w:rsidR="004A3D0D">
        <w:rPr>
          <w:rFonts w:ascii="Aptos" w:hAnsi="Aptos" w:cs="Aptos"/>
          <w:lang w:val="en-GB"/>
        </w:rPr>
        <w:instrText>–</w:instrText>
      </w:r>
      <w:r w:rsidR="004A3D0D">
        <w:rPr>
          <w:lang w:val="en-GB"/>
        </w:rPr>
        <w:instrText xml:space="preserve">0.95) decreased the risk of the early retirement.\n            \n            \n              Conclusions\n              Work environment seems to be important for subsequent early exit from work. Physical and psychosocial demands seem to be associated to exit to a stronger extent than resources at work.","container-title":"International Archives of Occupational and Environmental Health","DOI":"10.1007/s00420-020-01566-x","ISSN":"0340-0131, 1432-1246","issue":"1","journalAbbreviation":"Int Arch Occup Environ Health","language":"en","page":"117-138","source":"DOI.org (Crossref)","title":"Working conditions as risk factors for early exit from work—in a cohort of 2351 employees in Germany","volume":"94","author":[{"family":"Errico","given":"Angelo","non-dropping-particle":"d’"},{"family":"Burr","given":"Hermann"},{"family":"Pattloch","given":"Dagmar"},{"family":"Kersten","given":"Norbert"},{"family":"Rose","given":"Uwe"}],"issued":{"date-parts":[["2021",1]]}}}],"schema":"https://github.com/citation-style-language/schema/raw/master/csl-citation.json"} </w:instrText>
      </w:r>
      <w:r w:rsidR="0085129C" w:rsidRPr="00D57AE6">
        <w:rPr>
          <w:lang w:val="en-GB"/>
        </w:rPr>
        <w:fldChar w:fldCharType="separate"/>
      </w:r>
      <w:r w:rsidR="0085129C" w:rsidRPr="00D57AE6">
        <w:rPr>
          <w:rFonts w:ascii="Aptos" w:hAnsi="Aptos" w:cs="Times New Roman"/>
          <w:lang w:val="en-GB"/>
        </w:rPr>
        <w:t>(d’Errico et al., 2021)</w:t>
      </w:r>
      <w:r w:rsidR="0085129C" w:rsidRPr="00D57AE6">
        <w:rPr>
          <w:lang w:val="en-GB"/>
        </w:rPr>
        <w:fldChar w:fldCharType="end"/>
      </w:r>
      <w:r w:rsidRPr="00D57AE6">
        <w:rPr>
          <w:lang w:val="en-GB"/>
        </w:rPr>
        <w:t xml:space="preserve">. Participation in CVET may mitigate such </w:t>
      </w:r>
      <w:r w:rsidR="00A0103A" w:rsidRPr="00D57AE6">
        <w:rPr>
          <w:lang w:val="en-GB"/>
        </w:rPr>
        <w:t>burden</w:t>
      </w:r>
      <w:r w:rsidRPr="00D57AE6">
        <w:rPr>
          <w:lang w:val="en-GB"/>
        </w:rPr>
        <w:t xml:space="preserve"> by helping employees cope with changing job requirements and by strengthening their sense of control over their work. Through this pathway, training may support extended working lives by enabling workers to manage demanding work environments more effectively.</w:t>
      </w:r>
    </w:p>
    <w:p w14:paraId="26B16214" w14:textId="22BF2983" w:rsidR="00A20381" w:rsidRPr="00D57AE6" w:rsidRDefault="00791937" w:rsidP="0052016F">
      <w:pPr>
        <w:spacing w:line="480" w:lineRule="auto"/>
        <w:jc w:val="both"/>
        <w:rPr>
          <w:lang w:val="en-GB"/>
        </w:rPr>
      </w:pPr>
      <w:r w:rsidRPr="00D57AE6">
        <w:rPr>
          <w:lang w:val="en-GB"/>
        </w:rPr>
        <w:t>Three further mechanisms primarily operate through work motivation. First, CVET may shape job satisfaction and attitudes toward work. By enabling employees to handle evolving job demands and to take on more meaningful or engaging tasks, training can improve satisfaction with specific aspects of work and strengthen employees’ willingness to remain in employment</w:t>
      </w:r>
      <w:r w:rsidR="0085129C" w:rsidRPr="00D57AE6">
        <w:rPr>
          <w:lang w:val="en-GB"/>
        </w:rPr>
        <w:t xml:space="preserve"> </w:t>
      </w:r>
      <w:r w:rsidR="0085129C" w:rsidRPr="00D57AE6">
        <w:rPr>
          <w:lang w:val="en-GB"/>
        </w:rPr>
        <w:fldChar w:fldCharType="begin"/>
      </w:r>
      <w:r w:rsidR="004A3D0D">
        <w:rPr>
          <w:lang w:val="en-GB"/>
        </w:rPr>
        <w:instrText xml:space="preserve"> ADDIN ZOTERO_ITEM CSL_CITATION {"citationID":"6h17BSI1","properties":{"unsorted":false,"formattedCitation":"(Nauman et al., 2021)","plainCitation":"(Nauman et al., 2021)","noteIndex":0},"citationItems":[{"id":"hkiRVVPz/T7AAnlsJ","uris":["http://zotero.org/users/19409188/items/2FH8GVAG"],"itemData":{"id":1018,"type":"article-journal","container-title":"International Journal of Training Research","DOI":"10.1080/14480220.2020.1864444","ISSN":"1448-0220, 2204-0544","issue":"1","journalAbbreviation":"International Journal of Training Research","language":"en","page":"61-76","source":"DOI.org (Crossref)","title":"How training at work influences employees’ job satisfaction: roles of affective commitment and job performance","title-short":"How training at work influences employees’ job satisfaction","volume":"19","author":[{"family":"Nauman","given":"Shazia"},{"family":"Bhatti","given":"Sabeen"},{"family":"Jalil","given":"Faryal"},{"family":"Bint E Riaz","given":"Madiha"}],"issued":{"date-parts":[["2021",1,2]]}}}],"schema":"https://github.com/citation-style-language/schema/raw/master/csl-citation.json"} </w:instrText>
      </w:r>
      <w:r w:rsidR="0085129C" w:rsidRPr="00D57AE6">
        <w:rPr>
          <w:lang w:val="en-GB"/>
        </w:rPr>
        <w:fldChar w:fldCharType="separate"/>
      </w:r>
      <w:r w:rsidR="0085129C" w:rsidRPr="00D57AE6">
        <w:rPr>
          <w:rFonts w:ascii="Aptos" w:hAnsi="Aptos"/>
          <w:lang w:val="en-GB"/>
        </w:rPr>
        <w:t>(Nauman et al., 2021)</w:t>
      </w:r>
      <w:r w:rsidR="0085129C" w:rsidRPr="00D57AE6">
        <w:rPr>
          <w:lang w:val="en-GB"/>
        </w:rPr>
        <w:fldChar w:fldCharType="end"/>
      </w:r>
      <w:r w:rsidRPr="00D57AE6">
        <w:rPr>
          <w:lang w:val="en-GB"/>
        </w:rPr>
        <w:t>.</w:t>
      </w:r>
      <w:r w:rsidR="0085129C" w:rsidRPr="00D57AE6">
        <w:rPr>
          <w:lang w:val="en-GB"/>
        </w:rPr>
        <w:t xml:space="preserve"> </w:t>
      </w:r>
      <w:r w:rsidRPr="00D57AE6">
        <w:rPr>
          <w:lang w:val="en-GB"/>
        </w:rPr>
        <w:t xml:space="preserve">Second, </w:t>
      </w:r>
      <w:r w:rsidR="002E6352" w:rsidRPr="00D57AE6">
        <w:rPr>
          <w:lang w:val="en-GB"/>
        </w:rPr>
        <w:t>participation in training</w:t>
      </w:r>
      <w:r w:rsidRPr="00D57AE6">
        <w:rPr>
          <w:lang w:val="en-GB"/>
        </w:rPr>
        <w:t xml:space="preserve"> may influence psychological resources, such as self-efficacy and self-worth. Human capital theory suggests that investments in training increase the value of workers’ skills for both employees and employers</w:t>
      </w:r>
      <w:r w:rsidR="000B060D" w:rsidRPr="00D57AE6">
        <w:rPr>
          <w:lang w:val="en-GB"/>
        </w:rPr>
        <w:t xml:space="preserve"> </w:t>
      </w:r>
      <w:r w:rsidR="000B060D" w:rsidRPr="00D57AE6">
        <w:rPr>
          <w:lang w:val="en-GB"/>
        </w:rPr>
        <w:fldChar w:fldCharType="begin"/>
      </w:r>
      <w:r w:rsidR="004A3D0D">
        <w:rPr>
          <w:lang w:val="en-GB"/>
        </w:rPr>
        <w:instrText xml:space="preserve"> ADDIN ZOTERO_ITEM CSL_CITATION {"citationID":"XjRwbAP8","properties":{"unsorted":false,"formattedCitation":"(Luthans et al., 2010; Ma et al., 2024)","plainCitation":"(Luthans et al., 2010; Ma et al., 2024)","noteIndex":0},"citationItems":[{"id":"hkiRVVPz/9xrnQrpK","uris":["http://zotero.org/users/19409188/items/9KHWYNI7"],"itemData":{"id":1020,"type":"article-journal","abstract":"Abstract\n            Recently, theory and research have supported psychological capital (PsyCap) as an emerging core construct linked to positive outcomes at the individual and organizational level. However, to date, little attention has been given to PsyCap development through training interventions; nor have there been attempts to determine empirically if such PsyCap development has a causal impact on participants' performance. To fill these gaps we first conducted a pilot test of the PsyCap intervention (PCI) model with a randomized control group design. Next, we conducted a follow</w:instrText>
      </w:r>
      <w:r w:rsidR="004A3D0D">
        <w:rPr>
          <w:rFonts w:ascii="Cambria Math" w:hAnsi="Cambria Math" w:cs="Cambria Math"/>
          <w:lang w:val="en-GB"/>
        </w:rPr>
        <w:instrText>‐</w:instrText>
      </w:r>
      <w:r w:rsidR="004A3D0D">
        <w:rPr>
          <w:lang w:val="en-GB"/>
        </w:rPr>
        <w:instrText>up study with a cross section of practicing managers to determine if following the training guidelines of the PCI caused the participants' performance to improve. Results provide beginning empirical evidence that short training interventions such as PCI not only may be used to develop participants' psychological capital, but can also lead to an improvement in their on</w:instrText>
      </w:r>
      <w:r w:rsidR="004A3D0D">
        <w:rPr>
          <w:rFonts w:ascii="Cambria Math" w:hAnsi="Cambria Math" w:cs="Cambria Math"/>
          <w:lang w:val="en-GB"/>
        </w:rPr>
        <w:instrText>‐</w:instrText>
      </w:r>
      <w:r w:rsidR="004A3D0D">
        <w:rPr>
          <w:lang w:val="en-GB"/>
        </w:rPr>
        <w:instrText>the</w:instrText>
      </w:r>
      <w:r w:rsidR="004A3D0D">
        <w:rPr>
          <w:rFonts w:ascii="Cambria Math" w:hAnsi="Cambria Math" w:cs="Cambria Math"/>
          <w:lang w:val="en-GB"/>
        </w:rPr>
        <w:instrText>‐</w:instrText>
      </w:r>
      <w:r w:rsidR="004A3D0D">
        <w:rPr>
          <w:lang w:val="en-GB"/>
        </w:rPr>
        <w:instrText xml:space="preserve">job performance. The implications these findings have for human resource development and performance management conclude the article.","container-title":"Human Resource Development Quarterly","DOI":"10.1002/hrdq.20034","ISSN":"1044-8004, 1532-1096","issue":"1","journalAbbreviation":"Human Resource Dev Quarterly","language":"en","page":"41-67","source":"DOI.org (Crossref)","title":"The development and resulting performance impact of positive psychological capital","volume":"21","author":[{"family":"Luthans","given":"Fred"},{"family":"Avey","given":"James B."},{"family":"Avolio","given":"Bruce J."},{"family":"Peterson","given":"Suzanne J."}],"issued":{"date-parts":[["2010",3]]}}},{"id":"hkiRVVPz/Yn6WkZlk","uris":["http://zotero.org/users/19409188/items/59KAFEE3"],"itemData":{"id":1019,"type":"article-journal","container-title":"Journal of Political Economy Macroeconomics","DOI":"10.1086/728667","ISSN":"2832-9341, 2832-935X","issue":"1","journalAbbreviation":"Journal of Political Economy Macroeconomics","language":"en","page":"107-148","source":"DOI.org (Crossref)","title":"Human Capital Investment and Development: The Role of On-the-Job Training","title-short":"Human Capital Investment and Development","volume":"2","author":[{"family":"Ma","given":"Xiao"},{"family":"Nakab","given":"Alejandro"},{"family":"Vidart","given":"Daniela"}],"issued":{"date-parts":[["2024",3,1]]}}}],"schema":"https://github.com/citation-style-language/schema/raw/master/csl-citation.json"} </w:instrText>
      </w:r>
      <w:r w:rsidR="000B060D" w:rsidRPr="00D57AE6">
        <w:rPr>
          <w:lang w:val="en-GB"/>
        </w:rPr>
        <w:fldChar w:fldCharType="separate"/>
      </w:r>
      <w:r w:rsidR="000B060D" w:rsidRPr="00D57AE6">
        <w:rPr>
          <w:rFonts w:ascii="Aptos" w:hAnsi="Aptos"/>
          <w:lang w:val="en-GB"/>
        </w:rPr>
        <w:t>(Luthans et al., 2010; Ma et al., 2024)</w:t>
      </w:r>
      <w:r w:rsidR="000B060D" w:rsidRPr="00D57AE6">
        <w:rPr>
          <w:lang w:val="en-GB"/>
        </w:rPr>
        <w:fldChar w:fldCharType="end"/>
      </w:r>
      <w:r w:rsidRPr="00D57AE6">
        <w:rPr>
          <w:lang w:val="en-GB"/>
        </w:rPr>
        <w:t>. For workers, acquiring new competencies may strengthen perceptions of mastery and professional relevance, thereby enhancing confidence in their ability to meet current and future job demands.</w:t>
      </w:r>
      <w:r w:rsidR="000B060D" w:rsidRPr="00D57AE6">
        <w:rPr>
          <w:lang w:val="en-GB"/>
        </w:rPr>
        <w:t xml:space="preserve"> </w:t>
      </w:r>
      <w:r w:rsidRPr="00D57AE6">
        <w:rPr>
          <w:lang w:val="en-GB"/>
        </w:rPr>
        <w:t xml:space="preserve">Third, training may affect social integration in the workplace. Participation in training can signal organisational support and appreciation, which may strengthen commitment and </w:t>
      </w:r>
      <w:r w:rsidR="002E6352" w:rsidRPr="00D57AE6">
        <w:rPr>
          <w:lang w:val="en-GB"/>
        </w:rPr>
        <w:t>motivation to work</w:t>
      </w:r>
      <w:r w:rsidRPr="00D57AE6">
        <w:rPr>
          <w:lang w:val="en-GB"/>
        </w:rPr>
        <w:t>. According to social exchange theory, employees may reciprocate such investments with greater engagement and loyalty</w:t>
      </w:r>
      <w:r w:rsidR="00CB57F2" w:rsidRPr="00D57AE6">
        <w:rPr>
          <w:lang w:val="en-GB"/>
        </w:rPr>
        <w:t xml:space="preserve"> </w:t>
      </w:r>
      <w:r w:rsidR="00CB57F2" w:rsidRPr="00D57AE6">
        <w:rPr>
          <w:lang w:val="en-GB"/>
        </w:rPr>
        <w:fldChar w:fldCharType="begin"/>
      </w:r>
      <w:r w:rsidR="001F2956">
        <w:rPr>
          <w:lang w:val="en-GB"/>
        </w:rPr>
        <w:instrText xml:space="preserve"> ADDIN ZOTERO_ITEM CSL_CITATION {"citationID":"LllRA4A8","properties":{"unsorted":false,"formattedCitation":"(Blau, 1964)","plainCitation":"(Blau, 1964)","noteIndex":0},"citationItems":[{"id":29142,"uris":["http://zotero.org/groups/6389851/items/7PLVSLC2"],"itemData":{"id":29142,"type":"article-journal","container-title":"Sociological Inquiry","DOI":"10.1111/j.1475-682X.1964.tb00583.x","ISSN":"0038-0245, 1475-682X","issue":"2","journalAbbreviation":"Sociological Inquiry","language":"en","page":"193-206","source":"DOI.org (Crossref)","title":"Justice in Social Exchange","volume":"34","author":[{"family":"Blau","given":"Peter M."}],"issued":{"date-parts":[["1964",4]]}}}],"schema":"https://github.com/citation-style-language/schema/raw/master/csl-citation.json"} </w:instrText>
      </w:r>
      <w:r w:rsidR="00CB57F2" w:rsidRPr="00D57AE6">
        <w:rPr>
          <w:lang w:val="en-GB"/>
        </w:rPr>
        <w:fldChar w:fldCharType="separate"/>
      </w:r>
      <w:r w:rsidR="00891A77" w:rsidRPr="00D57AE6">
        <w:rPr>
          <w:rFonts w:ascii="Aptos" w:hAnsi="Aptos"/>
          <w:lang w:val="en-GB"/>
        </w:rPr>
        <w:t>(Blau, 1964)</w:t>
      </w:r>
      <w:r w:rsidR="00CB57F2" w:rsidRPr="00D57AE6">
        <w:rPr>
          <w:lang w:val="en-GB"/>
        </w:rPr>
        <w:fldChar w:fldCharType="end"/>
      </w:r>
      <w:r w:rsidRPr="00D57AE6">
        <w:rPr>
          <w:lang w:val="en-GB"/>
        </w:rPr>
        <w:t>. Training may also facilitate collaboration and knowledge sharing, increasing social recognition and the likelihood of being consulted for advice. In addition, socioemotional selectivity theory suggests that older workers increasingly prioritise emotionally meaningful experiences and positive social interactions</w:t>
      </w:r>
      <w:r w:rsidR="00CB57F2" w:rsidRPr="00D57AE6">
        <w:rPr>
          <w:lang w:val="en-GB"/>
        </w:rPr>
        <w:t xml:space="preserve"> </w:t>
      </w:r>
      <w:r w:rsidR="00CB57F2" w:rsidRPr="00D57AE6">
        <w:rPr>
          <w:lang w:val="en-GB"/>
        </w:rPr>
        <w:fldChar w:fldCharType="begin"/>
      </w:r>
      <w:r w:rsidR="001F2956">
        <w:rPr>
          <w:lang w:val="en-GB"/>
        </w:rPr>
        <w:instrText xml:space="preserve"> ADDIN ZOTERO_ITEM CSL_CITATION {"citationID":"Z3feDZ6u","properties":{"unsorted":false,"formattedCitation":"(Carstensen et al., 1999)","plainCitation":"(Carstensen et al., 1999)","noteIndex":0},"citationItems":[{"id":29232,"uris":["http://zotero.org/groups/6389851/items/K5DVUSTN"],"itemData":{"id":29232,"type":"article-journal","container-title":"American psychologist","issue":"3","note":"ISBN: 1935-990X","page":"165","publisher":"American Psychological Association","title":"Taking time seriously: a theory of socioemotional selectivity.","volume":"54","author":[{"family":"Carstensen","given":"Laura L."},{"family":"Isaacowitz","given":"Derek M."},{"family":"Charles","given":"Susan T."}],"issued":{"date-parts":[["1999"]]}}}],"schema":"https://github.com/citation-style-language/schema/raw/master/csl-citation.json"} </w:instrText>
      </w:r>
      <w:r w:rsidR="00CB57F2" w:rsidRPr="00D57AE6">
        <w:rPr>
          <w:lang w:val="en-GB"/>
        </w:rPr>
        <w:fldChar w:fldCharType="separate"/>
      </w:r>
      <w:r w:rsidR="00891A77" w:rsidRPr="00D57AE6">
        <w:rPr>
          <w:rFonts w:ascii="Aptos" w:hAnsi="Aptos"/>
          <w:lang w:val="en-GB"/>
        </w:rPr>
        <w:t xml:space="preserve">(Carstensen et al., </w:t>
      </w:r>
      <w:r w:rsidR="00891A77" w:rsidRPr="00D57AE6">
        <w:rPr>
          <w:rFonts w:ascii="Aptos" w:hAnsi="Aptos"/>
          <w:lang w:val="en-GB"/>
        </w:rPr>
        <w:lastRenderedPageBreak/>
        <w:t>1999)</w:t>
      </w:r>
      <w:r w:rsidR="00CB57F2" w:rsidRPr="00D57AE6">
        <w:rPr>
          <w:lang w:val="en-GB"/>
        </w:rPr>
        <w:fldChar w:fldCharType="end"/>
      </w:r>
      <w:r w:rsidRPr="00D57AE6">
        <w:rPr>
          <w:lang w:val="en-GB"/>
        </w:rPr>
        <w:t>. In this context, supportive relationships and a positive work climate may become particularly important sources of motivation in later working life.</w:t>
      </w:r>
    </w:p>
    <w:p w14:paraId="7E0C6637" w14:textId="293C7DD7" w:rsidR="00A20381" w:rsidRPr="00D57AE6" w:rsidRDefault="00791937" w:rsidP="0052016F">
      <w:pPr>
        <w:spacing w:line="480" w:lineRule="auto"/>
        <w:jc w:val="both"/>
        <w:rPr>
          <w:lang w:val="en-GB"/>
        </w:rPr>
      </w:pPr>
      <w:r w:rsidRPr="00D57AE6">
        <w:rPr>
          <w:lang w:val="en-GB"/>
        </w:rPr>
        <w:t xml:space="preserve">Taken together, these mechanisms suggest that CVET may influence labour market participation in later life through multiple pathways, including improved person-job fit, reduced work-related </w:t>
      </w:r>
      <w:r w:rsidR="002543A1" w:rsidRPr="00D57AE6">
        <w:rPr>
          <w:lang w:val="en-GB"/>
        </w:rPr>
        <w:t>burden</w:t>
      </w:r>
      <w:r w:rsidRPr="00D57AE6">
        <w:rPr>
          <w:lang w:val="en-GB"/>
        </w:rPr>
        <w:t>, increased job satisfaction, strengthened psychological resources, and enhanced social integration at work.</w:t>
      </w:r>
    </w:p>
    <w:p w14:paraId="08DEF70C" w14:textId="4E538301" w:rsidR="00943BF6" w:rsidRDefault="00943BF6" w:rsidP="0052016F">
      <w:pPr>
        <w:pStyle w:val="Caption"/>
        <w:keepNext/>
        <w:spacing w:line="480" w:lineRule="auto"/>
        <w:rPr>
          <w:lang w:val="en-GB"/>
        </w:rPr>
      </w:pPr>
      <w:r w:rsidRPr="00D57AE6">
        <w:rPr>
          <w:lang w:val="en-GB"/>
        </w:rPr>
        <w:t xml:space="preserve">Figure </w:t>
      </w:r>
      <w:r w:rsidR="00AF459A" w:rsidRPr="00D57AE6">
        <w:rPr>
          <w:lang w:val="en-GB"/>
        </w:rPr>
        <w:fldChar w:fldCharType="begin"/>
      </w:r>
      <w:r w:rsidR="00AF459A" w:rsidRPr="00D57AE6">
        <w:rPr>
          <w:lang w:val="en-GB"/>
        </w:rPr>
        <w:instrText xml:space="preserve"> SEQ Figure \* ARABIC </w:instrText>
      </w:r>
      <w:r w:rsidR="00AF459A" w:rsidRPr="00D57AE6">
        <w:rPr>
          <w:lang w:val="en-GB"/>
        </w:rPr>
        <w:fldChar w:fldCharType="separate"/>
      </w:r>
      <w:r w:rsidR="00C15E72" w:rsidRPr="00D57AE6">
        <w:rPr>
          <w:noProof/>
          <w:lang w:val="en-GB"/>
        </w:rPr>
        <w:t>1</w:t>
      </w:r>
      <w:r w:rsidR="00AF459A" w:rsidRPr="00D57AE6">
        <w:rPr>
          <w:lang w:val="en-GB"/>
        </w:rPr>
        <w:fldChar w:fldCharType="end"/>
      </w:r>
      <w:r w:rsidR="00CA1542" w:rsidRPr="00D57AE6">
        <w:rPr>
          <w:lang w:val="en-GB"/>
        </w:rPr>
        <w:t xml:space="preserve">: Theory </w:t>
      </w:r>
      <w:r w:rsidR="00971E50">
        <w:rPr>
          <w:lang w:val="en-GB"/>
        </w:rPr>
        <w:t>M</w:t>
      </w:r>
      <w:r w:rsidR="00CA1542" w:rsidRPr="00D57AE6">
        <w:rPr>
          <w:lang w:val="en-GB"/>
        </w:rPr>
        <w:t xml:space="preserve">odel </w:t>
      </w:r>
      <w:r w:rsidR="00052251" w:rsidRPr="00D57AE6">
        <w:rPr>
          <w:lang w:val="en-GB"/>
        </w:rPr>
        <w:t xml:space="preserve">and </w:t>
      </w:r>
      <w:r w:rsidR="00971E50">
        <w:rPr>
          <w:lang w:val="en-GB"/>
        </w:rPr>
        <w:t>H</w:t>
      </w:r>
      <w:r w:rsidR="00052251" w:rsidRPr="00D57AE6">
        <w:rPr>
          <w:lang w:val="en-GB"/>
        </w:rPr>
        <w:t>ypotheses</w:t>
      </w:r>
    </w:p>
    <w:p w14:paraId="0FA62A16" w14:textId="1B3CF563" w:rsidR="005C41BF" w:rsidRPr="005C41BF" w:rsidRDefault="003070E4" w:rsidP="005C41BF">
      <w:pPr>
        <w:rPr>
          <w:lang w:val="en-GB"/>
        </w:rPr>
      </w:pPr>
      <w:r>
        <w:rPr>
          <w:noProof/>
          <w:lang w:val="en-GB"/>
        </w:rPr>
        <w:drawing>
          <wp:inline distT="0" distB="0" distL="0" distR="0" wp14:anchorId="5FFC40F3" wp14:editId="75D47E9B">
            <wp:extent cx="5698490" cy="2950663"/>
            <wp:effectExtent l="0" t="0" r="0" b="2540"/>
            <wp:docPr id="14955342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8986" cy="2961276"/>
                    </a:xfrm>
                    <a:prstGeom prst="rect">
                      <a:avLst/>
                    </a:prstGeom>
                    <a:noFill/>
                  </pic:spPr>
                </pic:pic>
              </a:graphicData>
            </a:graphic>
          </wp:inline>
        </w:drawing>
      </w:r>
    </w:p>
    <w:p w14:paraId="4EA8A7F8" w14:textId="657B28BA" w:rsidR="000B060D" w:rsidRPr="00D57AE6" w:rsidRDefault="000B060D" w:rsidP="0052016F">
      <w:pPr>
        <w:spacing w:line="480" w:lineRule="auto"/>
        <w:jc w:val="both"/>
        <w:rPr>
          <w:lang w:val="en-GB"/>
        </w:rPr>
      </w:pPr>
      <w:r w:rsidRPr="00D57AE6">
        <w:rPr>
          <w:lang w:val="en-GB"/>
        </w:rPr>
        <w:t>In summary, the proposed model and its underlying pathways lead to the following hypotheses</w:t>
      </w:r>
      <w:r w:rsidR="002E6352" w:rsidRPr="00D57AE6">
        <w:rPr>
          <w:lang w:val="en-GB"/>
        </w:rPr>
        <w:t>.</w:t>
      </w:r>
    </w:p>
    <w:p w14:paraId="2CA80593" w14:textId="7B913B50" w:rsidR="00A20381" w:rsidRPr="00D57AE6" w:rsidRDefault="00791937" w:rsidP="0052016F">
      <w:pPr>
        <w:spacing w:line="480" w:lineRule="auto"/>
        <w:jc w:val="both"/>
        <w:rPr>
          <w:lang w:val="en-GB"/>
        </w:rPr>
      </w:pPr>
      <w:r w:rsidRPr="00D57AE6">
        <w:rPr>
          <w:b/>
          <w:bCs/>
          <w:lang w:val="en-GB"/>
        </w:rPr>
        <w:t>H1:</w:t>
      </w:r>
      <w:r w:rsidRPr="00D57AE6">
        <w:rPr>
          <w:lang w:val="en-GB"/>
        </w:rPr>
        <w:t xml:space="preserve"> Participation in </w:t>
      </w:r>
      <w:r w:rsidR="006A2D88" w:rsidRPr="00D57AE6">
        <w:rPr>
          <w:bCs/>
          <w:lang w:val="en-GB"/>
        </w:rPr>
        <w:t>CVET</w:t>
      </w:r>
      <w:r w:rsidR="006A2D88" w:rsidRPr="00D57AE6">
        <w:rPr>
          <w:lang w:val="en-GB"/>
        </w:rPr>
        <w:t xml:space="preserve"> </w:t>
      </w:r>
      <w:r w:rsidRPr="00D57AE6">
        <w:rPr>
          <w:lang w:val="en-GB"/>
        </w:rPr>
        <w:t>is associated with a later expected retirement age.</w:t>
      </w:r>
    </w:p>
    <w:p w14:paraId="292E2CE1" w14:textId="758BB08E" w:rsidR="008A71CF" w:rsidRPr="00D57AE6" w:rsidRDefault="00791937" w:rsidP="0052016F">
      <w:pPr>
        <w:spacing w:line="480" w:lineRule="auto"/>
        <w:jc w:val="both"/>
        <w:rPr>
          <w:lang w:val="en-GB"/>
        </w:rPr>
      </w:pPr>
      <w:r w:rsidRPr="00D57AE6">
        <w:rPr>
          <w:b/>
          <w:bCs/>
          <w:lang w:val="en-GB"/>
        </w:rPr>
        <w:t>H2</w:t>
      </w:r>
      <w:r w:rsidRPr="00D57AE6">
        <w:rPr>
          <w:lang w:val="en-GB"/>
        </w:rPr>
        <w:t xml:space="preserve">: </w:t>
      </w:r>
      <w:r w:rsidR="008A71CF" w:rsidRPr="00D57AE6">
        <w:rPr>
          <w:lang w:val="en-GB"/>
        </w:rPr>
        <w:t xml:space="preserve">Participation in </w:t>
      </w:r>
      <w:r w:rsidR="006A2D88" w:rsidRPr="00D57AE6">
        <w:rPr>
          <w:bCs/>
          <w:lang w:val="en-GB"/>
        </w:rPr>
        <w:t>CVET</w:t>
      </w:r>
      <w:r w:rsidR="006A2D88" w:rsidRPr="00D57AE6">
        <w:rPr>
          <w:lang w:val="en-GB"/>
        </w:rPr>
        <w:t xml:space="preserve"> </w:t>
      </w:r>
      <w:r w:rsidR="008A71CF" w:rsidRPr="00D57AE6">
        <w:rPr>
          <w:lang w:val="en-GB"/>
        </w:rPr>
        <w:t>is</w:t>
      </w:r>
      <w:r w:rsidR="00CC3C00" w:rsidRPr="00D57AE6">
        <w:rPr>
          <w:lang w:val="en-GB"/>
        </w:rPr>
        <w:t xml:space="preserve"> positively</w:t>
      </w:r>
      <w:r w:rsidR="008A71CF" w:rsidRPr="00D57AE6">
        <w:rPr>
          <w:lang w:val="en-GB"/>
        </w:rPr>
        <w:t xml:space="preserve"> associated with </w:t>
      </w:r>
      <w:r w:rsidR="00CC3C00" w:rsidRPr="00D57AE6">
        <w:rPr>
          <w:lang w:val="en-GB"/>
        </w:rPr>
        <w:t xml:space="preserve">factors which are assigned to </w:t>
      </w:r>
      <w:r w:rsidR="007E66A1" w:rsidRPr="00D57AE6">
        <w:rPr>
          <w:lang w:val="en-GB"/>
        </w:rPr>
        <w:t>higher work</w:t>
      </w:r>
      <w:r w:rsidR="009D03E6">
        <w:rPr>
          <w:lang w:val="en-GB"/>
        </w:rPr>
        <w:t xml:space="preserve"> </w:t>
      </w:r>
      <w:r w:rsidR="007E66A1" w:rsidRPr="00D57AE6">
        <w:rPr>
          <w:lang w:val="en-GB"/>
        </w:rPr>
        <w:t>ability</w:t>
      </w:r>
      <w:r w:rsidR="00C830B9" w:rsidRPr="00D57AE6">
        <w:rPr>
          <w:lang w:val="en-GB"/>
        </w:rPr>
        <w:t>.</w:t>
      </w:r>
    </w:p>
    <w:p w14:paraId="474B3B71" w14:textId="7883439F" w:rsidR="00C830B9" w:rsidRPr="00D57AE6" w:rsidRDefault="00C830B9" w:rsidP="0052016F">
      <w:pPr>
        <w:spacing w:line="480" w:lineRule="auto"/>
        <w:jc w:val="both"/>
        <w:rPr>
          <w:lang w:val="en-GB"/>
        </w:rPr>
      </w:pPr>
      <w:r w:rsidRPr="00D57AE6">
        <w:rPr>
          <w:b/>
          <w:bCs/>
          <w:lang w:val="en-GB"/>
        </w:rPr>
        <w:t xml:space="preserve">H3: </w:t>
      </w:r>
      <w:r w:rsidRPr="00D57AE6">
        <w:rPr>
          <w:lang w:val="en-GB"/>
        </w:rPr>
        <w:t xml:space="preserve">Participation </w:t>
      </w:r>
      <w:r w:rsidR="006A2D88" w:rsidRPr="00D57AE6">
        <w:rPr>
          <w:bCs/>
          <w:lang w:val="en-GB"/>
        </w:rPr>
        <w:t>CVET</w:t>
      </w:r>
      <w:r w:rsidR="006A2D88" w:rsidRPr="00D57AE6">
        <w:rPr>
          <w:lang w:val="en-GB"/>
        </w:rPr>
        <w:t xml:space="preserve"> </w:t>
      </w:r>
      <w:r w:rsidRPr="00D57AE6">
        <w:rPr>
          <w:lang w:val="en-GB"/>
        </w:rPr>
        <w:t>is positively associated with factors which are assigned to higher work motivation.</w:t>
      </w:r>
    </w:p>
    <w:p w14:paraId="44EAAA00" w14:textId="0B011FBD" w:rsidR="00A20381" w:rsidRPr="00D57AE6" w:rsidRDefault="00C830B9" w:rsidP="0052016F">
      <w:pPr>
        <w:spacing w:line="480" w:lineRule="auto"/>
        <w:jc w:val="both"/>
        <w:rPr>
          <w:lang w:val="en-GB"/>
        </w:rPr>
      </w:pPr>
      <w:r w:rsidRPr="00D57AE6">
        <w:rPr>
          <w:b/>
          <w:bCs/>
          <w:lang w:val="en-GB"/>
        </w:rPr>
        <w:lastRenderedPageBreak/>
        <w:t xml:space="preserve">H4: </w:t>
      </w:r>
      <w:r w:rsidR="00791937" w:rsidRPr="00D57AE6">
        <w:rPr>
          <w:lang w:val="en-GB"/>
        </w:rPr>
        <w:t>The association between CVET participation and retirement timing is partly mediated by perceived work</w:t>
      </w:r>
      <w:r w:rsidR="009D03E6">
        <w:rPr>
          <w:lang w:val="en-GB"/>
        </w:rPr>
        <w:t xml:space="preserve"> </w:t>
      </w:r>
      <w:r w:rsidR="00791937" w:rsidRPr="00D57AE6">
        <w:rPr>
          <w:lang w:val="en-GB"/>
        </w:rPr>
        <w:t>ability.</w:t>
      </w:r>
    </w:p>
    <w:p w14:paraId="7988946B" w14:textId="5E42D233" w:rsidR="00A20381" w:rsidRPr="00D57AE6" w:rsidRDefault="00791937" w:rsidP="0052016F">
      <w:pPr>
        <w:spacing w:line="480" w:lineRule="auto"/>
        <w:jc w:val="both"/>
        <w:rPr>
          <w:lang w:val="en-GB"/>
        </w:rPr>
      </w:pPr>
      <w:r w:rsidRPr="00D57AE6">
        <w:rPr>
          <w:b/>
          <w:bCs/>
          <w:lang w:val="en-GB"/>
        </w:rPr>
        <w:t>H</w:t>
      </w:r>
      <w:r w:rsidR="00C830B9" w:rsidRPr="00D57AE6">
        <w:rPr>
          <w:b/>
          <w:bCs/>
          <w:lang w:val="en-GB"/>
        </w:rPr>
        <w:t>5</w:t>
      </w:r>
      <w:r w:rsidRPr="00D57AE6">
        <w:rPr>
          <w:b/>
          <w:bCs/>
          <w:lang w:val="en-GB"/>
        </w:rPr>
        <w:t>:</w:t>
      </w:r>
      <w:r w:rsidRPr="00D57AE6">
        <w:rPr>
          <w:lang w:val="en-GB"/>
        </w:rPr>
        <w:t xml:space="preserve"> The relationship between CVET and retirement timing is partly mediated by aspects of work motivation.</w:t>
      </w:r>
    </w:p>
    <w:p w14:paraId="07B2C596" w14:textId="77777777" w:rsidR="00A20381" w:rsidRPr="00D57AE6" w:rsidRDefault="00791937" w:rsidP="0052016F">
      <w:pPr>
        <w:pStyle w:val="Heading1"/>
        <w:spacing w:line="480" w:lineRule="auto"/>
        <w:rPr>
          <w:lang w:val="en-GB"/>
        </w:rPr>
      </w:pPr>
      <w:r w:rsidRPr="00D57AE6">
        <w:rPr>
          <w:lang w:val="en-GB"/>
        </w:rPr>
        <w:t>Methods</w:t>
      </w:r>
    </w:p>
    <w:p w14:paraId="2F4D1A99" w14:textId="77777777" w:rsidR="00A20381" w:rsidRPr="00D57AE6" w:rsidRDefault="00791937" w:rsidP="0052016F">
      <w:pPr>
        <w:pStyle w:val="Heading2"/>
        <w:spacing w:line="480" w:lineRule="auto"/>
        <w:rPr>
          <w:lang w:val="en-GB"/>
        </w:rPr>
      </w:pPr>
      <w:r w:rsidRPr="00D57AE6">
        <w:rPr>
          <w:lang w:val="en-GB"/>
        </w:rPr>
        <w:t>Data</w:t>
      </w:r>
    </w:p>
    <w:p w14:paraId="3C022ABC" w14:textId="28276300" w:rsidR="00A20381" w:rsidRPr="00D57AE6" w:rsidRDefault="00791937" w:rsidP="0052016F">
      <w:pPr>
        <w:spacing w:line="480" w:lineRule="auto"/>
        <w:jc w:val="both"/>
        <w:rPr>
          <w:lang w:val="en-GB"/>
        </w:rPr>
      </w:pPr>
      <w:r w:rsidRPr="00D57AE6">
        <w:rPr>
          <w:lang w:val="en-GB"/>
        </w:rPr>
        <w:t>To test the proposed hypotheses, we use data from the German Ageing Survey (DEAS), a nationally representative longitudinal study conducted by the German Centre of Gerontology (DZA</w:t>
      </w:r>
      <w:r w:rsidR="001B7FB7">
        <w:rPr>
          <w:lang w:val="en-GB"/>
        </w:rPr>
        <w:t>;</w:t>
      </w:r>
      <w:r w:rsidRPr="00D57AE6">
        <w:rPr>
          <w:lang w:val="en-GB"/>
        </w:rPr>
        <w:t xml:space="preserve"> </w:t>
      </w:r>
      <w:r w:rsidR="00C35F27" w:rsidRPr="00D57AE6">
        <w:rPr>
          <w:lang w:val="en-GB"/>
        </w:rPr>
        <w:fldChar w:fldCharType="begin"/>
      </w:r>
      <w:r w:rsidR="00A734B7">
        <w:rPr>
          <w:lang w:val="en-GB"/>
        </w:rPr>
        <w:instrText xml:space="preserve"> ADDIN ZOTERO_ITEM CSL_CITATION {"citationID":"MgtsJdD1","properties":{"unsorted":false,"formattedCitation":"(Simonson et al., 2025; Stuth et al., 2025)","plainCitation":"(Simonson et al., 2025; Stuth et al., 2025)","dontUpdate":true,"noteIndex":0},"citationItems":[{"id":29218,"uris":["http://zotero.org/groups/6389851/items/D9MBNF3T"],"itemData":{"id":29218,"type":"dataset","abstract":"The German Ageing Survey (DEAS) is a long-term study by the German Center for Gerontology (DZA) on changes in the life situations and aging trajectories of people in the second half of life, funded by the German Federal Ministry for Family Affairs, Senior Citizens, Women and Youth (BMFSFJ). It is based on nationally representative cross-sectional and longitudinal surveys of several thousand participants aged 40 and older.\nThe last regular survey of the German Ageing Survey was conducted between in 2023.\nCurrently, results are available from 1996, 2002, 2008, 2011, 2014, 2017, 2020, 2020/21 as well as 2023. In each of the years 1996, 2002, 2008 and 2014, a sample representative for Germany of the population aged 40 to 85 living in private households was drawn from population registers and their further development was subsequently examined. Due to the Covid-19-pandemic, it was not possible to survey a new sample on their objective and subjective living conditions in 2020 as planned. Instead, a brief written survey was conducted in the summer of 2020 and the regular DEAS survey was conducted in the winter of 2020/21, but these surveys only targeted respondents who had previously participated in DEAS. In 2021, a refresher sample of 40-46-year olds has been drawn and interviewed with a written questionnaire. In 2023, a regular panel wave was conducted in either CAPI- or CATI-mode. Due to its cohort-sequential longitudinal design, its breadth of topics, its national representativeness with a comparatively high number of cases, and the already long observation period of more than 20 years, the DEAS represents a unique data source in Germany for interdisciplinary research on the life situations and life courses as well as the subjective views and life plans of aging and old people.","DOI":"10.5156/DEAS.1996-2023.M.001","language":"de","license":"Creative Commons Attribution Non Commercial No Derivatives 4.0 International, Die Nutzungsrechte liegen beim Deutschen Zentrum für Altersfragen (DZA), Berlin. CC BY-NC-ND 4.0, The rights of use are held by the German Centre for Gerontology (DZA), Berlin","publisher":"German   Centre of Gerontology","source":"DOI.org (Datacite)","title":"Scientific Use Files German Ageing Survey (SUFs DEAS) 1996-2023, Version 1.0Scientific Use Files Deutscher Alterssurvey (SUFs DEAS) 1996-2023, Version 1.0","URL":"https://www.dza.de/forschung/fdz/deutscher-alterssurvey/deas-dokumentation/doi-deas/doi-105156/deas1996-2023m001","version":"1.0","author":[{"family":"Simonson","given":"Julia"},{"family":"Wünsche","given":"Jenna"},{"family":"Bünning","given":"Mareike"},{"family":"Svenja","given":"Spuling"},{"family":"Weinhardt","given":"Michael"},{"family":"Ehrlich","given":"Ulrike"},{"family":"Huxhold","given":"Oliver"},{"family":"Kelle","given":"Nadiya"},{"family":"Lozano","given":"Alberto"},{"family":"Stuth","given":"Stefan"},{"family":"Hameister","given":"Nicole"},{"family":"Tesch-Römer","given":"Clemens"}],"contributor":[{"literal":"Project Team German Ageing Survey"}],"accessed":{"date-parts":[["2026",3,10]]},"issued":{"date-parts":[["2025"]]}}},{"id":29217,"uris":["http://zotero.org/groups/6389851/items/2AKWGFZU"],"itemData":{"id":29217,"type":"report","abstract":"Diese Variablendokumentation bietet eine übersichtliche Darstellung aller erhobenen Variablen, Skalen und nutzerfreundlichen Konstruktvariablen – sowohl auf Deutsch als auch auf Englisch. Durch die thematische Zuordnung der Variablen sind die verwendeten Skalen und Konstrukte strukturiert dokumentiert. Dies erleichtert sowohl Neueinsteiger:innen als auch erfahrenen Nutzer:innen den Zugang zu den Daten und den Vergleich der Variablen im Längsschnitt.","DOI":"10.5156/DEAS.1996-2023.D.001","language":"de","license":"Creative Commons Attribution Non Commercial No Derivatives 4.0 International, Die Nutzungsrechte liegen beim Deutschen Zentrum für Altersfragen (DZA), Berlin. CC BY-NC-ND 4.0","note":"medium: application/pdf\nversion: 1.0","publisher":"German   Centre of Gerontology","source":"DOI.org (Datacite)","title":"Deutscher Alterssurvey (DEAS): Documentation of instruments and variables 1996-2023","title-short":"Deutscher Alterssurvey (DEAS)","URL":"https://www.dza.de/forschung/fdz/deutscher-alterssurvey/deas-dokumentation/doi-deas/doi-105156/deas1996-2023d001","author":[{"family":"Stuth","given":"Stefan"},{"family":"Hameister","given":"Nicole"},{"family":"Schwichtenberg","given":"Beate"},{"family":"Erdmann-Linge","given":"Anke"},{"family":"Engstler","given":"Heribert"},{"family":"Lozano","given":"Alberto"},{"family":"Luitjens","given":"Maren"},{"family":"Klaus","given":"Daniela"},{"family":"Kortmann","given":"Lisa"}],"accessed":{"date-parts":[["2026",3,10]]},"issued":{"date-parts":[["2025"]]}}}],"schema":"https://github.com/citation-style-language/schema/raw/master/csl-citation.json"} </w:instrText>
      </w:r>
      <w:r w:rsidR="00C35F27" w:rsidRPr="00D57AE6">
        <w:rPr>
          <w:lang w:val="en-GB"/>
        </w:rPr>
        <w:fldChar w:fldCharType="separate"/>
      </w:r>
      <w:r w:rsidR="00891A77" w:rsidRPr="00D57AE6">
        <w:rPr>
          <w:rFonts w:ascii="Aptos" w:hAnsi="Aptos"/>
          <w:lang w:val="en-GB"/>
        </w:rPr>
        <w:t>Simonson et al., 2025; Stuth et al., 2025)</w:t>
      </w:r>
      <w:r w:rsidR="00C35F27" w:rsidRPr="00D57AE6">
        <w:rPr>
          <w:lang w:val="en-GB"/>
        </w:rPr>
        <w:fldChar w:fldCharType="end"/>
      </w:r>
      <w:r w:rsidRPr="00D57AE6">
        <w:rPr>
          <w:lang w:val="en-GB"/>
        </w:rPr>
        <w:t xml:space="preserve">. The DEAS is one of the most important surveys on </w:t>
      </w:r>
      <w:r w:rsidR="002E6352" w:rsidRPr="00D57AE6">
        <w:rPr>
          <w:lang w:val="en-GB"/>
        </w:rPr>
        <w:t>ageing</w:t>
      </w:r>
      <w:r w:rsidRPr="00D57AE6">
        <w:rPr>
          <w:lang w:val="en-GB"/>
        </w:rPr>
        <w:t xml:space="preserve"> in Germany and includes individuals aged 40 years and older living in private households. </w:t>
      </w:r>
      <w:r w:rsidR="000B060D" w:rsidRPr="00D57AE6">
        <w:rPr>
          <w:lang w:val="en-GB"/>
        </w:rPr>
        <w:t xml:space="preserve">Since its start in 1996, eight regular survey waves have been conducted, supplemented by an additional short survey during the COVID-19 pandemic. The data follow a longitudinal panel structure with repeated observations of the same individuals at irregular intervals, allowing key variables to be measured across multiple time points and enabling </w:t>
      </w:r>
      <w:r w:rsidR="002E6352" w:rsidRPr="00D57AE6">
        <w:rPr>
          <w:lang w:val="en-GB"/>
        </w:rPr>
        <w:t>analysis of temporal dynamics</w:t>
      </w:r>
      <w:r w:rsidR="000B060D" w:rsidRPr="00D57AE6">
        <w:rPr>
          <w:lang w:val="en-GB"/>
        </w:rPr>
        <w:t>.</w:t>
      </w:r>
    </w:p>
    <w:p w14:paraId="3A2E4F41" w14:textId="0395822B" w:rsidR="00A20381" w:rsidRPr="00D57AE6" w:rsidRDefault="00791937" w:rsidP="0052016F">
      <w:pPr>
        <w:spacing w:line="480" w:lineRule="auto"/>
        <w:jc w:val="both"/>
        <w:rPr>
          <w:lang w:val="en-GB"/>
        </w:rPr>
      </w:pPr>
      <w:r w:rsidRPr="00D57AE6">
        <w:rPr>
          <w:lang w:val="en-GB"/>
        </w:rPr>
        <w:t>For the present analyses, we restrict the sample to respondents who participated in all three waves in 2017, 2021, and 2023 (n = 3,822). We further exclude respondents who were younger than 50 years in 2017 (n = 235), as the study focuses on employment dynamics in later working life. In addition, we retain only individuals who were employed in 2017 (n = 1,310). Finally, two cases were excluded because respondents reported being retired in 2021 but employed again in 2023, resulting in inconsistent employment trajectories. The final analytical sample</w:t>
      </w:r>
      <w:r w:rsidR="002E6352" w:rsidRPr="00D57AE6">
        <w:rPr>
          <w:lang w:val="en-GB"/>
        </w:rPr>
        <w:t>, therefore,</w:t>
      </w:r>
      <w:r w:rsidRPr="00D57AE6">
        <w:rPr>
          <w:lang w:val="en-GB"/>
        </w:rPr>
        <w:t xml:space="preserve"> consists of 1,308 individuals.</w:t>
      </w:r>
    </w:p>
    <w:p w14:paraId="1CAB52F8" w14:textId="492DCDA9" w:rsidR="00A20381" w:rsidRPr="00D57AE6" w:rsidRDefault="00791937" w:rsidP="0052016F">
      <w:pPr>
        <w:pStyle w:val="Heading3"/>
        <w:spacing w:line="480" w:lineRule="auto"/>
        <w:rPr>
          <w:lang w:val="en-GB"/>
        </w:rPr>
      </w:pPr>
      <w:r w:rsidRPr="00D57AE6">
        <w:rPr>
          <w:lang w:val="en-GB"/>
        </w:rPr>
        <w:lastRenderedPageBreak/>
        <w:t>Outcome</w:t>
      </w:r>
      <w:r w:rsidR="0051514D" w:rsidRPr="00D57AE6">
        <w:rPr>
          <w:lang w:val="en-GB"/>
        </w:rPr>
        <w:t xml:space="preserve"> Variable</w:t>
      </w:r>
    </w:p>
    <w:p w14:paraId="739ABF8B" w14:textId="71F78023" w:rsidR="00A20381" w:rsidRPr="00D57AE6" w:rsidRDefault="00791937" w:rsidP="0052016F">
      <w:pPr>
        <w:spacing w:line="480" w:lineRule="auto"/>
        <w:jc w:val="both"/>
        <w:rPr>
          <w:lang w:val="en-GB"/>
        </w:rPr>
      </w:pPr>
      <w:r w:rsidRPr="00D57AE6">
        <w:rPr>
          <w:lang w:val="en-GB"/>
        </w:rPr>
        <w:t xml:space="preserve">Employment status was determined based on the </w:t>
      </w:r>
      <w:r w:rsidR="002E6352" w:rsidRPr="00D57AE6">
        <w:rPr>
          <w:lang w:val="en-GB"/>
        </w:rPr>
        <w:t>2023 survey</w:t>
      </w:r>
      <w:r w:rsidRPr="00D57AE6">
        <w:rPr>
          <w:lang w:val="en-GB"/>
        </w:rPr>
        <w:t xml:space="preserve">. </w:t>
      </w:r>
      <w:r w:rsidR="000B060D" w:rsidRPr="00D57AE6">
        <w:rPr>
          <w:lang w:val="en-GB"/>
        </w:rPr>
        <w:t>P</w:t>
      </w:r>
      <w:r w:rsidRPr="00D57AE6">
        <w:rPr>
          <w:lang w:val="en-GB"/>
        </w:rPr>
        <w:t>ersons</w:t>
      </w:r>
      <w:r w:rsidR="000B060D" w:rsidRPr="00D57AE6">
        <w:rPr>
          <w:lang w:val="en-GB"/>
        </w:rPr>
        <w:t xml:space="preserve"> who were</w:t>
      </w:r>
      <w:r w:rsidRPr="00D57AE6">
        <w:rPr>
          <w:lang w:val="en-GB"/>
        </w:rPr>
        <w:t xml:space="preserve"> not employed</w:t>
      </w:r>
      <w:r w:rsidR="002E6352" w:rsidRPr="00D57AE6">
        <w:rPr>
          <w:lang w:val="en-GB"/>
        </w:rPr>
        <w:t xml:space="preserve"> for reasons other</w:t>
      </w:r>
      <w:r w:rsidR="000B060D" w:rsidRPr="00D57AE6">
        <w:rPr>
          <w:lang w:val="en-GB"/>
        </w:rPr>
        <w:t xml:space="preserve"> than retirement</w:t>
      </w:r>
      <w:r w:rsidRPr="00D57AE6">
        <w:rPr>
          <w:lang w:val="en-GB"/>
        </w:rPr>
        <w:t xml:space="preserve"> were categorised as “missing”, resulting in a binary variable of "</w:t>
      </w:r>
      <w:r w:rsidRPr="0016015A">
        <w:rPr>
          <w:i/>
          <w:iCs/>
          <w:lang w:val="en-GB"/>
        </w:rPr>
        <w:t>retired</w:t>
      </w:r>
      <w:r w:rsidRPr="00D57AE6">
        <w:rPr>
          <w:lang w:val="en-GB"/>
        </w:rPr>
        <w:t>" or "</w:t>
      </w:r>
      <w:r w:rsidRPr="0016015A">
        <w:rPr>
          <w:i/>
          <w:iCs/>
          <w:lang w:val="en-GB"/>
        </w:rPr>
        <w:t>actively employed</w:t>
      </w:r>
      <w:r w:rsidRPr="00D57AE6">
        <w:rPr>
          <w:lang w:val="en-GB"/>
        </w:rPr>
        <w:t xml:space="preserve">". </w:t>
      </w:r>
    </w:p>
    <w:p w14:paraId="12B33454" w14:textId="35FB3BE9" w:rsidR="00A20381" w:rsidRPr="00D57AE6" w:rsidRDefault="00791937" w:rsidP="0052016F">
      <w:pPr>
        <w:pStyle w:val="Heading3"/>
        <w:spacing w:line="480" w:lineRule="auto"/>
        <w:rPr>
          <w:lang w:val="en-GB"/>
        </w:rPr>
      </w:pPr>
      <w:r w:rsidRPr="00D57AE6">
        <w:rPr>
          <w:lang w:val="en-GB"/>
        </w:rPr>
        <w:t>Treatment</w:t>
      </w:r>
      <w:r w:rsidR="0051514D" w:rsidRPr="00D57AE6">
        <w:rPr>
          <w:lang w:val="en-GB"/>
        </w:rPr>
        <w:t xml:space="preserve"> Variable</w:t>
      </w:r>
    </w:p>
    <w:p w14:paraId="7FEB45AA" w14:textId="1835E35E" w:rsidR="00A20381" w:rsidRPr="00D57AE6" w:rsidRDefault="00791937" w:rsidP="0052016F">
      <w:pPr>
        <w:spacing w:line="480" w:lineRule="auto"/>
        <w:jc w:val="both"/>
        <w:rPr>
          <w:lang w:val="en-GB"/>
        </w:rPr>
      </w:pPr>
      <w:r w:rsidRPr="00D57AE6">
        <w:rPr>
          <w:lang w:val="en-GB"/>
        </w:rPr>
        <w:t xml:space="preserve">Participation in </w:t>
      </w:r>
      <w:r w:rsidR="000B060D" w:rsidRPr="00D57AE6">
        <w:rPr>
          <w:lang w:val="en-GB"/>
        </w:rPr>
        <w:t>CVET</w:t>
      </w:r>
      <w:r w:rsidRPr="00D57AE6">
        <w:rPr>
          <w:lang w:val="en-GB"/>
        </w:rPr>
        <w:t xml:space="preserve"> was measured retrospectively since the last survey. The following question was asked: “Did you attend any training, courses, seminars, or events to provide occupational training or vocational retraining?” This information was taken from the 2017 and 2021 surveys, covering the period from 2014 to 2021.</w:t>
      </w:r>
    </w:p>
    <w:p w14:paraId="7FDC9213" w14:textId="6487B63C" w:rsidR="00A20381" w:rsidRPr="00D57AE6" w:rsidRDefault="00791937" w:rsidP="0052016F">
      <w:pPr>
        <w:pStyle w:val="Heading3"/>
        <w:spacing w:line="480" w:lineRule="auto"/>
        <w:rPr>
          <w:lang w:val="en-GB"/>
        </w:rPr>
      </w:pPr>
      <w:r w:rsidRPr="00D57AE6">
        <w:rPr>
          <w:lang w:val="en-GB"/>
        </w:rPr>
        <w:t>Control</w:t>
      </w:r>
      <w:r w:rsidR="009B6700">
        <w:rPr>
          <w:lang w:val="en-GB"/>
        </w:rPr>
        <w:t>/Matching</w:t>
      </w:r>
      <w:r w:rsidRPr="00D57AE6">
        <w:rPr>
          <w:lang w:val="en-GB"/>
        </w:rPr>
        <w:t xml:space="preserve"> Variables</w:t>
      </w:r>
    </w:p>
    <w:p w14:paraId="4BDCE4E7" w14:textId="664B5453" w:rsidR="00A20381" w:rsidRPr="004E0243" w:rsidRDefault="00736B0F" w:rsidP="0052016F">
      <w:pPr>
        <w:spacing w:line="480" w:lineRule="auto"/>
        <w:jc w:val="both"/>
        <w:rPr>
          <w:lang w:val="en-GB"/>
        </w:rPr>
      </w:pPr>
      <w:r w:rsidRPr="004E0243">
        <w:rPr>
          <w:lang w:val="en-GB"/>
        </w:rPr>
        <w:t xml:space="preserve">As they are known to influence participation in </w:t>
      </w:r>
      <w:r w:rsidR="004E0243" w:rsidRPr="004E0243">
        <w:rPr>
          <w:lang w:val="en-GB"/>
        </w:rPr>
        <w:t>CVET following</w:t>
      </w:r>
      <w:r w:rsidR="00791937" w:rsidRPr="004E0243">
        <w:rPr>
          <w:lang w:val="en-GB"/>
        </w:rPr>
        <w:t xml:space="preserve"> control variables</w:t>
      </w:r>
      <w:r w:rsidR="004E0243" w:rsidRPr="004E0243">
        <w:rPr>
          <w:lang w:val="en-GB"/>
        </w:rPr>
        <w:t xml:space="preserve"> were used:</w:t>
      </w:r>
      <w:r w:rsidR="002E6352" w:rsidRPr="004E0243">
        <w:rPr>
          <w:lang w:val="en-GB"/>
        </w:rPr>
        <w:t xml:space="preserve"> gender (binary), level of education by ISCED (Internationally Standard Classification of Education; low and medium, high)</w:t>
      </w:r>
      <w:r w:rsidR="00D30788" w:rsidRPr="004E0243">
        <w:rPr>
          <w:rStyle w:val="FootnoteReference"/>
          <w:lang w:val="en-GB"/>
        </w:rPr>
        <w:t xml:space="preserve"> </w:t>
      </w:r>
      <w:r w:rsidR="00D30788" w:rsidRPr="004E0243">
        <w:rPr>
          <w:rStyle w:val="FootnoteReference"/>
          <w:lang w:val="en-GB"/>
        </w:rPr>
        <w:footnoteReference w:id="1"/>
      </w:r>
      <w:r w:rsidR="002E6352" w:rsidRPr="004E0243">
        <w:rPr>
          <w:lang w:val="en-GB"/>
        </w:rPr>
        <w:t>, age (in years), job status (ISEI08), and health-related quality of life were</w:t>
      </w:r>
      <w:r w:rsidR="00791937" w:rsidRPr="004E0243">
        <w:rPr>
          <w:lang w:val="en-GB"/>
        </w:rPr>
        <w:t xml:space="preserve"> used. The latter was measured using self-reports of ten daily activities on a scale from </w:t>
      </w:r>
      <w:r w:rsidR="00791937" w:rsidRPr="004E0243">
        <w:rPr>
          <w:i/>
          <w:iCs/>
          <w:lang w:val="en-GB"/>
        </w:rPr>
        <w:t>1 = yes, limited a lot</w:t>
      </w:r>
      <w:r w:rsidR="00791937" w:rsidRPr="004E0243">
        <w:rPr>
          <w:lang w:val="en-GB"/>
        </w:rPr>
        <w:t xml:space="preserve"> to </w:t>
      </w:r>
      <w:r w:rsidR="00791937" w:rsidRPr="004E0243">
        <w:rPr>
          <w:i/>
          <w:iCs/>
          <w:lang w:val="en-GB"/>
        </w:rPr>
        <w:t>3 = no, not limited at all</w:t>
      </w:r>
      <w:r w:rsidR="00791937" w:rsidRPr="004E0243">
        <w:rPr>
          <w:lang w:val="en-GB"/>
        </w:rPr>
        <w:t xml:space="preserve">. The sum of these items </w:t>
      </w:r>
      <w:r w:rsidR="002E6352" w:rsidRPr="004E0243">
        <w:rPr>
          <w:lang w:val="en-GB"/>
        </w:rPr>
        <w:t>was</w:t>
      </w:r>
      <w:r w:rsidR="00791937" w:rsidRPr="004E0243">
        <w:rPr>
          <w:lang w:val="en-GB"/>
        </w:rPr>
        <w:t xml:space="preserve"> transformed into a 0</w:t>
      </w:r>
      <w:r w:rsidR="002109BF" w:rsidRPr="004E0243">
        <w:rPr>
          <w:lang w:val="en-GB"/>
        </w:rPr>
        <w:t>–</w:t>
      </w:r>
      <w:r w:rsidR="00791937" w:rsidRPr="004E0243">
        <w:rPr>
          <w:lang w:val="en-GB"/>
        </w:rPr>
        <w:t>100 scale. Higher values represent better physical functioning. All information about the control variables came from the 2017 survey.</w:t>
      </w:r>
    </w:p>
    <w:p w14:paraId="1399B20A" w14:textId="77777777" w:rsidR="00A20381" w:rsidRPr="00D57AE6" w:rsidRDefault="00791937" w:rsidP="0052016F">
      <w:pPr>
        <w:pStyle w:val="Heading3"/>
        <w:spacing w:line="480" w:lineRule="auto"/>
        <w:rPr>
          <w:lang w:val="en-GB"/>
        </w:rPr>
      </w:pPr>
      <w:r w:rsidRPr="00D57AE6">
        <w:rPr>
          <w:lang w:val="en-GB"/>
        </w:rPr>
        <w:lastRenderedPageBreak/>
        <w:t>Mediator Variables</w:t>
      </w:r>
    </w:p>
    <w:p w14:paraId="0A4FD58B" w14:textId="73D54A80" w:rsidR="00A20381" w:rsidRPr="00D57AE6" w:rsidRDefault="00791937" w:rsidP="0052016F">
      <w:pPr>
        <w:spacing w:line="480" w:lineRule="auto"/>
        <w:jc w:val="both"/>
        <w:rPr>
          <w:lang w:val="en-GB"/>
        </w:rPr>
      </w:pPr>
      <w:r w:rsidRPr="00D57AE6">
        <w:rPr>
          <w:lang w:val="en-GB"/>
        </w:rPr>
        <w:t xml:space="preserve">To operationalise the mediating mechanisms, we drew on items that capture five theoretically derived domains: job </w:t>
      </w:r>
      <w:r w:rsidR="002543A1" w:rsidRPr="00D57AE6">
        <w:rPr>
          <w:lang w:val="en-GB"/>
        </w:rPr>
        <w:t>burden</w:t>
      </w:r>
      <w:r w:rsidRPr="00D57AE6">
        <w:rPr>
          <w:lang w:val="en-GB"/>
        </w:rPr>
        <w:t>, perceived person-job fit, job satisfaction, psychological resources, and social inclusion. All variables were retrieved from the 2021 survey and were recoded so that higher values consistently represent higher levels of the underlying construct.</w:t>
      </w:r>
    </w:p>
    <w:p w14:paraId="33BFF9E8" w14:textId="311E89C3" w:rsidR="00A20381" w:rsidRPr="00D57AE6" w:rsidRDefault="00791937" w:rsidP="0052016F">
      <w:pPr>
        <w:spacing w:line="480" w:lineRule="auto"/>
        <w:jc w:val="both"/>
        <w:rPr>
          <w:lang w:val="en-GB"/>
        </w:rPr>
      </w:pPr>
      <w:r w:rsidRPr="00D57AE6">
        <w:rPr>
          <w:lang w:val="en-GB"/>
        </w:rPr>
        <w:t>Job burden was measured using four indicators of perceived work burdens: physically demanding tasks, adverse working conditions, stress at work, and new job demands. Respondents indicated how burdensome these aspects of their work were on a five-point scale</w:t>
      </w:r>
      <w:r w:rsidR="002D4F18" w:rsidRPr="00D57AE6">
        <w:rPr>
          <w:lang w:val="en-GB"/>
        </w:rPr>
        <w:t xml:space="preserve"> from </w:t>
      </w:r>
      <w:r w:rsidR="002D4F18" w:rsidRPr="00D57AE6">
        <w:rPr>
          <w:i/>
          <w:iCs/>
          <w:lang w:val="en-GB"/>
        </w:rPr>
        <w:t>1 = very stressed</w:t>
      </w:r>
      <w:r w:rsidR="002D4F18" w:rsidRPr="00D57AE6">
        <w:rPr>
          <w:lang w:val="en-GB"/>
        </w:rPr>
        <w:t xml:space="preserve"> to </w:t>
      </w:r>
      <w:r w:rsidR="002D4F18" w:rsidRPr="00D57AE6">
        <w:rPr>
          <w:i/>
          <w:iCs/>
          <w:lang w:val="en-GB"/>
        </w:rPr>
        <w:t xml:space="preserve">5 = </w:t>
      </w:r>
      <w:r w:rsidR="0012557E" w:rsidRPr="00D57AE6">
        <w:rPr>
          <w:i/>
          <w:iCs/>
          <w:lang w:val="en-GB"/>
        </w:rPr>
        <w:t>not at all stressed</w:t>
      </w:r>
      <w:r w:rsidRPr="00D57AE6">
        <w:rPr>
          <w:lang w:val="en-GB"/>
        </w:rPr>
        <w:t xml:space="preserve">. </w:t>
      </w:r>
      <w:r w:rsidR="00BB73E0" w:rsidRPr="00D57AE6">
        <w:rPr>
          <w:lang w:val="en-GB"/>
        </w:rPr>
        <w:t>Items were recoded so that higher values indicate greater burden.</w:t>
      </w:r>
    </w:p>
    <w:p w14:paraId="2F72C8AB" w14:textId="0399C87E" w:rsidR="00A20381" w:rsidRPr="00D57AE6" w:rsidRDefault="00791937" w:rsidP="0052016F">
      <w:pPr>
        <w:spacing w:line="480" w:lineRule="auto"/>
        <w:jc w:val="both"/>
        <w:rPr>
          <w:lang w:val="en-GB"/>
        </w:rPr>
      </w:pPr>
      <w:r w:rsidRPr="00D57AE6">
        <w:rPr>
          <w:lang w:val="en-GB"/>
        </w:rPr>
        <w:t xml:space="preserve">Perceived person-job fit was assessed using respondents’ evaluation of whether their qualifications matched the demands of their current job. Participants were asked whether, given the requirements of their daily work and their qualifications, they felt </w:t>
      </w:r>
      <w:r w:rsidRPr="00D57AE6">
        <w:rPr>
          <w:i/>
          <w:iCs/>
          <w:lang w:val="en-GB"/>
        </w:rPr>
        <w:t>underchallenged, appropriately challenged,</w:t>
      </w:r>
      <w:r w:rsidRPr="00D57AE6">
        <w:rPr>
          <w:lang w:val="en-GB"/>
        </w:rPr>
        <w:t xml:space="preserve"> or </w:t>
      </w:r>
      <w:r w:rsidRPr="00D57AE6">
        <w:rPr>
          <w:i/>
          <w:iCs/>
          <w:lang w:val="en-GB"/>
        </w:rPr>
        <w:t>overchallenged</w:t>
      </w:r>
      <w:r w:rsidRPr="00D57AE6">
        <w:rPr>
          <w:lang w:val="en-GB"/>
        </w:rPr>
        <w:t>. From this item</w:t>
      </w:r>
      <w:r w:rsidR="002E6352" w:rsidRPr="00D57AE6">
        <w:rPr>
          <w:lang w:val="en-GB"/>
        </w:rPr>
        <w:t>,</w:t>
      </w:r>
      <w:r w:rsidRPr="00D57AE6">
        <w:rPr>
          <w:lang w:val="en-GB"/>
        </w:rPr>
        <w:t xml:space="preserve"> we derived two dummy variables capturing perceived underchallenge and perceived overchallenge, respectively.</w:t>
      </w:r>
    </w:p>
    <w:p w14:paraId="61891E49" w14:textId="417DC250" w:rsidR="00A20381" w:rsidRPr="00D57AE6" w:rsidRDefault="00791937" w:rsidP="0052016F">
      <w:pPr>
        <w:spacing w:line="480" w:lineRule="auto"/>
        <w:jc w:val="both"/>
        <w:rPr>
          <w:lang w:val="en-GB"/>
        </w:rPr>
      </w:pPr>
      <w:r w:rsidRPr="00D57AE6">
        <w:rPr>
          <w:lang w:val="en-GB"/>
        </w:rPr>
        <w:t xml:space="preserve">Job satisfaction was measured using five items assessing satisfaction with different aspects of the current job: income, type of task, working hours, opportunities for development or promotion, and overall job satisfaction. Responses were recorded on a five-point scale ranging from </w:t>
      </w:r>
      <w:r w:rsidRPr="00D57AE6">
        <w:rPr>
          <w:i/>
          <w:iCs/>
          <w:lang w:val="en-GB"/>
        </w:rPr>
        <w:t>1 = very satisfied</w:t>
      </w:r>
      <w:r w:rsidRPr="00D57AE6">
        <w:rPr>
          <w:lang w:val="en-GB"/>
        </w:rPr>
        <w:t xml:space="preserve"> to </w:t>
      </w:r>
      <w:r w:rsidRPr="00D57AE6">
        <w:rPr>
          <w:i/>
          <w:iCs/>
          <w:lang w:val="en-GB"/>
        </w:rPr>
        <w:t>5 = very dissatisfied</w:t>
      </w:r>
      <w:r w:rsidRPr="00D57AE6">
        <w:rPr>
          <w:lang w:val="en-GB"/>
        </w:rPr>
        <w:t xml:space="preserve">, with an additional category </w:t>
      </w:r>
      <w:r w:rsidRPr="00D57AE6">
        <w:rPr>
          <w:i/>
          <w:iCs/>
          <w:lang w:val="en-GB"/>
        </w:rPr>
        <w:t>“does not apply”.</w:t>
      </w:r>
      <w:r w:rsidRPr="00D57AE6">
        <w:rPr>
          <w:lang w:val="en-GB"/>
        </w:rPr>
        <w:t xml:space="preserve"> Items were </w:t>
      </w:r>
      <w:r w:rsidR="002E6352" w:rsidRPr="00D57AE6">
        <w:rPr>
          <w:lang w:val="en-GB"/>
        </w:rPr>
        <w:t>also recoded</w:t>
      </w:r>
      <w:r w:rsidR="00BB73E0" w:rsidRPr="00D57AE6">
        <w:rPr>
          <w:lang w:val="en-GB"/>
        </w:rPr>
        <w:t xml:space="preserve"> </w:t>
      </w:r>
      <w:r w:rsidRPr="00D57AE6">
        <w:rPr>
          <w:lang w:val="en-GB"/>
        </w:rPr>
        <w:t>so that higher values indicate greater satisfaction.</w:t>
      </w:r>
    </w:p>
    <w:p w14:paraId="31A29062" w14:textId="77777777" w:rsidR="00A20381" w:rsidRPr="00D57AE6" w:rsidRDefault="00791937" w:rsidP="0052016F">
      <w:pPr>
        <w:spacing w:line="480" w:lineRule="auto"/>
        <w:jc w:val="both"/>
        <w:rPr>
          <w:lang w:val="en-GB"/>
        </w:rPr>
      </w:pPr>
      <w:r w:rsidRPr="00D57AE6">
        <w:rPr>
          <w:lang w:val="en-GB"/>
        </w:rPr>
        <w:lastRenderedPageBreak/>
        <w:t xml:space="preserve">Psychological resources were operationalised using two established constructs. Self-efficacy was measured using five items that assessed individuals’ confidence in their ability to handle difficulties and achieve goals (e.g., “If a problem arises, I can solve it on my own”). Self-esteem was measured using 10 items assessing global self-evaluations (e.g., “On the whole, I am satisfied with myself”). Responses for both constructs were recorded on four-point agreement scales ranging from </w:t>
      </w:r>
      <w:r w:rsidRPr="00D57AE6">
        <w:rPr>
          <w:i/>
          <w:iCs/>
          <w:lang w:val="en-GB"/>
        </w:rPr>
        <w:t>1 = strongly agree</w:t>
      </w:r>
      <w:r w:rsidRPr="00D57AE6">
        <w:rPr>
          <w:lang w:val="en-GB"/>
        </w:rPr>
        <w:t xml:space="preserve"> to </w:t>
      </w:r>
      <w:r w:rsidRPr="00D57AE6">
        <w:rPr>
          <w:i/>
          <w:iCs/>
          <w:lang w:val="en-GB"/>
        </w:rPr>
        <w:t>4 = strongly disagree</w:t>
      </w:r>
      <w:r w:rsidRPr="00D57AE6">
        <w:rPr>
          <w:lang w:val="en-GB"/>
        </w:rPr>
        <w:t>. Items were recoded as necessary so that higher values correspond to higher levels of the construct. For each scale, we computed the mean score of at least three valid items, with higher values indicating higher self-efficacy and self-esteem, respectively.</w:t>
      </w:r>
    </w:p>
    <w:p w14:paraId="72E9C973" w14:textId="280DBC3B" w:rsidR="00A20381" w:rsidRPr="00D57AE6" w:rsidRDefault="00791937" w:rsidP="0052016F">
      <w:pPr>
        <w:spacing w:line="480" w:lineRule="auto"/>
        <w:jc w:val="both"/>
        <w:rPr>
          <w:lang w:val="en-GB"/>
        </w:rPr>
      </w:pPr>
      <w:r w:rsidRPr="00D57AE6">
        <w:rPr>
          <w:lang w:val="en-GB"/>
        </w:rPr>
        <w:t>Finally, social inclusion was captured using two indicators. First, respondents reported how often in the past 12 months others had asked them for advice when making important decisions</w:t>
      </w:r>
      <w:r w:rsidR="00864AAC" w:rsidRPr="00D57AE6">
        <w:rPr>
          <w:lang w:val="en-GB"/>
        </w:rPr>
        <w:t xml:space="preserve"> (not necessarily job-related)</w:t>
      </w:r>
      <w:r w:rsidRPr="00D57AE6">
        <w:rPr>
          <w:lang w:val="en-GB"/>
        </w:rPr>
        <w:t xml:space="preserve">, with response options ranging from </w:t>
      </w:r>
      <w:r w:rsidRPr="00D57AE6">
        <w:rPr>
          <w:i/>
          <w:iCs/>
          <w:lang w:val="en-GB"/>
        </w:rPr>
        <w:t>1 = often</w:t>
      </w:r>
      <w:r w:rsidRPr="00D57AE6">
        <w:rPr>
          <w:lang w:val="en-GB"/>
        </w:rPr>
        <w:t xml:space="preserve"> to </w:t>
      </w:r>
      <w:r w:rsidRPr="00D57AE6">
        <w:rPr>
          <w:i/>
          <w:iCs/>
          <w:lang w:val="en-GB"/>
        </w:rPr>
        <w:t>4 = never</w:t>
      </w:r>
      <w:r w:rsidRPr="00D57AE6">
        <w:rPr>
          <w:lang w:val="en-GB"/>
        </w:rPr>
        <w:t xml:space="preserve">. This item was recoded so that higher values indicate more frequent requests for advice. Second, we included an item measuring satisfaction with colleagues and the workplace climate, </w:t>
      </w:r>
      <w:r w:rsidR="00864AAC" w:rsidRPr="00D57AE6">
        <w:rPr>
          <w:lang w:val="en-GB"/>
        </w:rPr>
        <w:t>which was assessed using</w:t>
      </w:r>
      <w:r w:rsidRPr="00D57AE6">
        <w:rPr>
          <w:lang w:val="en-GB"/>
        </w:rPr>
        <w:t xml:space="preserve"> the same five-point satisfaction scale described above. Responses were recoded so that higher values indicate higher satisfaction</w:t>
      </w:r>
      <w:r w:rsidR="00B24EA7" w:rsidRPr="00D57AE6">
        <w:rPr>
          <w:lang w:val="en-GB"/>
        </w:rPr>
        <w:t>.</w:t>
      </w:r>
    </w:p>
    <w:p w14:paraId="2EADA73A" w14:textId="4A21D9F0" w:rsidR="00A20381" w:rsidRDefault="00791937" w:rsidP="0052016F">
      <w:pPr>
        <w:pStyle w:val="Heading3"/>
        <w:spacing w:line="480" w:lineRule="auto"/>
        <w:rPr>
          <w:lang w:val="en-GB"/>
        </w:rPr>
      </w:pPr>
      <w:r w:rsidRPr="009B6700">
        <w:rPr>
          <w:lang w:val="en-GB"/>
        </w:rPr>
        <w:t>Descriptive</w:t>
      </w:r>
      <w:r w:rsidR="00EC77A8" w:rsidRPr="009B6700">
        <w:rPr>
          <w:lang w:val="en-GB"/>
        </w:rPr>
        <w:t>s</w:t>
      </w:r>
    </w:p>
    <w:p w14:paraId="5BBAE7B4" w14:textId="1E8E9224" w:rsidR="00997B19" w:rsidRDefault="00997B19" w:rsidP="0052016F">
      <w:pPr>
        <w:pStyle w:val="Caption"/>
        <w:keepNext/>
        <w:spacing w:line="480" w:lineRule="auto"/>
        <w:rPr>
          <w:b w:val="0"/>
          <w:bCs w:val="0"/>
          <w:color w:val="auto"/>
          <w:sz w:val="24"/>
          <w:szCs w:val="24"/>
          <w:lang w:val="en-GB"/>
        </w:rPr>
      </w:pPr>
      <w:r w:rsidRPr="00997B19">
        <w:rPr>
          <w:b w:val="0"/>
          <w:bCs w:val="0"/>
          <w:color w:val="auto"/>
          <w:sz w:val="24"/>
          <w:szCs w:val="24"/>
          <w:lang w:val="en-GB"/>
        </w:rPr>
        <w:t>The table</w:t>
      </w:r>
      <w:r>
        <w:rPr>
          <w:b w:val="0"/>
          <w:bCs w:val="0"/>
          <w:color w:val="auto"/>
          <w:sz w:val="24"/>
          <w:szCs w:val="24"/>
          <w:lang w:val="en-GB"/>
        </w:rPr>
        <w:t>s</w:t>
      </w:r>
      <w:r w:rsidRPr="00997B19">
        <w:rPr>
          <w:b w:val="0"/>
          <w:bCs w:val="0"/>
          <w:color w:val="auto"/>
          <w:sz w:val="24"/>
          <w:szCs w:val="24"/>
          <w:lang w:val="en-GB"/>
        </w:rPr>
        <w:t xml:space="preserve"> </w:t>
      </w:r>
      <w:r w:rsidRPr="009B6700">
        <w:rPr>
          <w:b w:val="0"/>
          <w:bCs w:val="0"/>
          <w:color w:val="auto"/>
          <w:sz w:val="24"/>
          <w:szCs w:val="24"/>
          <w:lang w:val="en-GB"/>
        </w:rPr>
        <w:t>below (Tab. 1 and Tab. 2)</w:t>
      </w:r>
      <w:r w:rsidRPr="00997B19">
        <w:rPr>
          <w:b w:val="0"/>
          <w:bCs w:val="0"/>
          <w:color w:val="auto"/>
          <w:sz w:val="24"/>
          <w:szCs w:val="24"/>
          <w:lang w:val="en-GB"/>
        </w:rPr>
        <w:t xml:space="preserve"> provide a descriptive account of all the variables that were used.</w:t>
      </w:r>
    </w:p>
    <w:p w14:paraId="55861398" w14:textId="2C57CFFD" w:rsidR="00E6189B" w:rsidRPr="00D57AE6" w:rsidRDefault="00E6189B" w:rsidP="00AF7D82">
      <w:pPr>
        <w:pStyle w:val="Caption"/>
        <w:keepNext/>
        <w:spacing w:line="240" w:lineRule="auto"/>
        <w:rPr>
          <w:lang w:val="en-GB"/>
        </w:rPr>
      </w:pPr>
      <w:r w:rsidRPr="00D57AE6">
        <w:rPr>
          <w:lang w:val="en-GB"/>
        </w:rPr>
        <w:t xml:space="preserve">Table </w:t>
      </w:r>
      <w:r w:rsidRPr="00D57AE6">
        <w:rPr>
          <w:lang w:val="en-GB"/>
        </w:rPr>
        <w:fldChar w:fldCharType="begin"/>
      </w:r>
      <w:r w:rsidRPr="00D57AE6">
        <w:rPr>
          <w:lang w:val="en-GB"/>
        </w:rPr>
        <w:instrText xml:space="preserve"> SEQ Table \* ARABIC </w:instrText>
      </w:r>
      <w:r w:rsidRPr="00D57AE6">
        <w:rPr>
          <w:lang w:val="en-GB"/>
        </w:rPr>
        <w:fldChar w:fldCharType="separate"/>
      </w:r>
      <w:r w:rsidR="00E36778" w:rsidRPr="00D57AE6">
        <w:rPr>
          <w:noProof/>
          <w:lang w:val="en-GB"/>
        </w:rPr>
        <w:t>1</w:t>
      </w:r>
      <w:r w:rsidRPr="00D57AE6">
        <w:rPr>
          <w:lang w:val="en-GB"/>
        </w:rPr>
        <w:fldChar w:fldCharType="end"/>
      </w:r>
      <w:r w:rsidRPr="00D57AE6">
        <w:rPr>
          <w:lang w:val="en-GB"/>
        </w:rPr>
        <w:t>:</w:t>
      </w:r>
      <w:r w:rsidR="00A37A7F" w:rsidRPr="00D57AE6">
        <w:rPr>
          <w:lang w:val="en-GB"/>
        </w:rPr>
        <w:t xml:space="preserve"> Descriptives of </w:t>
      </w:r>
      <w:r w:rsidR="00971E50">
        <w:rPr>
          <w:lang w:val="en-GB"/>
        </w:rPr>
        <w:t>C</w:t>
      </w:r>
      <w:r w:rsidR="00D57AE6" w:rsidRPr="00D57AE6">
        <w:rPr>
          <w:lang w:val="en-GB"/>
        </w:rPr>
        <w:t xml:space="preserve">ategorial </w:t>
      </w:r>
      <w:r w:rsidR="00971E50">
        <w:rPr>
          <w:lang w:val="en-GB"/>
        </w:rPr>
        <w:t>V</w:t>
      </w:r>
      <w:r w:rsidR="00D57AE6" w:rsidRPr="00D57AE6">
        <w:rPr>
          <w:lang w:val="en-GB"/>
        </w:rPr>
        <w:t>ariables</w:t>
      </w:r>
    </w:p>
    <w:tbl>
      <w:tblPr>
        <w:tblStyle w:val="TableGrid"/>
        <w:tblW w:w="0" w:type="auto"/>
        <w:tblLook w:val="04A0" w:firstRow="1" w:lastRow="0" w:firstColumn="1" w:lastColumn="0" w:noHBand="0" w:noVBand="1"/>
      </w:tblPr>
      <w:tblGrid>
        <w:gridCol w:w="4538"/>
        <w:gridCol w:w="4488"/>
      </w:tblGrid>
      <w:tr w:rsidR="00ED1633" w:rsidRPr="00D57AE6" w14:paraId="68BA363F" w14:textId="77777777" w:rsidTr="00E6189B">
        <w:tc>
          <w:tcPr>
            <w:tcW w:w="4538" w:type="dxa"/>
            <w:tcBorders>
              <w:top w:val="single" w:sz="0" w:space="0" w:color="000000"/>
              <w:left w:val="nil"/>
              <w:bottom w:val="single" w:sz="0" w:space="0" w:color="000000"/>
              <w:right w:val="nil"/>
            </w:tcBorders>
          </w:tcPr>
          <w:p w14:paraId="62389B9C"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Variables</w:t>
            </w:r>
          </w:p>
        </w:tc>
        <w:tc>
          <w:tcPr>
            <w:tcW w:w="4488" w:type="dxa"/>
            <w:tcBorders>
              <w:top w:val="single" w:sz="0" w:space="0" w:color="000000"/>
              <w:left w:val="nil"/>
              <w:bottom w:val="single" w:sz="0" w:space="0" w:color="000000"/>
              <w:right w:val="nil"/>
            </w:tcBorders>
            <w:vAlign w:val="bottom"/>
          </w:tcPr>
          <w:p w14:paraId="30B69D38" w14:textId="73B6F498" w:rsidR="00ED1633" w:rsidRPr="00D57AE6" w:rsidRDefault="0049260C" w:rsidP="00AF7D82">
            <w:pPr>
              <w:jc w:val="right"/>
              <w:rPr>
                <w:rFonts w:asciiTheme="majorHAnsi" w:hAnsiTheme="majorHAnsi"/>
                <w:b/>
                <w:bCs/>
                <w:sz w:val="20"/>
                <w:szCs w:val="20"/>
                <w:lang w:val="en-GB"/>
              </w:rPr>
            </w:pPr>
            <w:r w:rsidRPr="00D57AE6">
              <w:rPr>
                <w:rFonts w:asciiTheme="majorHAnsi" w:hAnsiTheme="majorHAnsi"/>
                <w:b/>
                <w:bCs/>
                <w:sz w:val="20"/>
                <w:szCs w:val="20"/>
                <w:lang w:val="en-GB"/>
              </w:rPr>
              <w:t>n</w:t>
            </w:r>
            <w:r w:rsidR="00ED1633" w:rsidRPr="00D57AE6">
              <w:rPr>
                <w:rFonts w:asciiTheme="majorHAnsi" w:hAnsiTheme="majorHAnsi"/>
                <w:b/>
                <w:bCs/>
                <w:sz w:val="20"/>
                <w:szCs w:val="20"/>
                <w:lang w:val="en-GB"/>
              </w:rPr>
              <w:t xml:space="preserve"> (%)</w:t>
            </w:r>
          </w:p>
        </w:tc>
      </w:tr>
      <w:tr w:rsidR="00ED1633" w:rsidRPr="00D57AE6" w14:paraId="06F388EF" w14:textId="77777777" w:rsidTr="00E6189B">
        <w:tc>
          <w:tcPr>
            <w:tcW w:w="4538" w:type="dxa"/>
            <w:tcBorders>
              <w:top w:val="nil"/>
              <w:left w:val="nil"/>
              <w:bottom w:val="nil"/>
              <w:right w:val="nil"/>
            </w:tcBorders>
            <w:vAlign w:val="bottom"/>
          </w:tcPr>
          <w:p w14:paraId="1E6E33AE"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Vocational Training</w:t>
            </w:r>
          </w:p>
        </w:tc>
        <w:tc>
          <w:tcPr>
            <w:tcW w:w="4488" w:type="dxa"/>
            <w:tcBorders>
              <w:top w:val="nil"/>
              <w:left w:val="nil"/>
              <w:bottom w:val="nil"/>
              <w:right w:val="nil"/>
            </w:tcBorders>
          </w:tcPr>
          <w:p w14:paraId="04C14EAA" w14:textId="77777777" w:rsidR="00ED1633" w:rsidRPr="00D57AE6" w:rsidRDefault="00ED1633" w:rsidP="00AF7D82">
            <w:pPr>
              <w:rPr>
                <w:rFonts w:asciiTheme="majorHAnsi" w:hAnsiTheme="majorHAnsi"/>
                <w:sz w:val="20"/>
                <w:szCs w:val="20"/>
                <w:lang w:val="en-GB"/>
              </w:rPr>
            </w:pPr>
          </w:p>
        </w:tc>
      </w:tr>
      <w:tr w:rsidR="00ED1633" w:rsidRPr="00D57AE6" w14:paraId="2C917B2F" w14:textId="77777777" w:rsidTr="00E6189B">
        <w:tc>
          <w:tcPr>
            <w:tcW w:w="4538" w:type="dxa"/>
            <w:tcBorders>
              <w:top w:val="nil"/>
              <w:left w:val="nil"/>
              <w:bottom w:val="nil"/>
              <w:right w:val="nil"/>
            </w:tcBorders>
            <w:vAlign w:val="bottom"/>
          </w:tcPr>
          <w:p w14:paraId="47D8DCA4"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lastRenderedPageBreak/>
              <w:t xml:space="preserve">  No</w:t>
            </w:r>
          </w:p>
        </w:tc>
        <w:tc>
          <w:tcPr>
            <w:tcW w:w="4488" w:type="dxa"/>
            <w:tcBorders>
              <w:top w:val="nil"/>
              <w:left w:val="nil"/>
              <w:bottom w:val="nil"/>
              <w:right w:val="nil"/>
            </w:tcBorders>
            <w:vAlign w:val="bottom"/>
          </w:tcPr>
          <w:p w14:paraId="659552AC"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391 (29.89%)</w:t>
            </w:r>
          </w:p>
        </w:tc>
      </w:tr>
      <w:tr w:rsidR="00ED1633" w:rsidRPr="00D57AE6" w14:paraId="3C90A4D8" w14:textId="77777777" w:rsidTr="00E6189B">
        <w:tc>
          <w:tcPr>
            <w:tcW w:w="4538" w:type="dxa"/>
            <w:tcBorders>
              <w:top w:val="nil"/>
              <w:left w:val="nil"/>
              <w:bottom w:val="nil"/>
              <w:right w:val="nil"/>
            </w:tcBorders>
            <w:vAlign w:val="bottom"/>
          </w:tcPr>
          <w:p w14:paraId="642F86B9"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Yes</w:t>
            </w:r>
          </w:p>
        </w:tc>
        <w:tc>
          <w:tcPr>
            <w:tcW w:w="4488" w:type="dxa"/>
            <w:tcBorders>
              <w:top w:val="nil"/>
              <w:left w:val="nil"/>
              <w:bottom w:val="nil"/>
              <w:right w:val="nil"/>
            </w:tcBorders>
            <w:vAlign w:val="bottom"/>
          </w:tcPr>
          <w:p w14:paraId="0E506072"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917 (70.11%)</w:t>
            </w:r>
          </w:p>
        </w:tc>
      </w:tr>
      <w:tr w:rsidR="00ED1633" w:rsidRPr="00D57AE6" w14:paraId="3AC5BD1B" w14:textId="77777777" w:rsidTr="00E6189B">
        <w:tc>
          <w:tcPr>
            <w:tcW w:w="4538" w:type="dxa"/>
            <w:tcBorders>
              <w:top w:val="nil"/>
              <w:left w:val="nil"/>
              <w:bottom w:val="nil"/>
              <w:right w:val="nil"/>
            </w:tcBorders>
            <w:vAlign w:val="bottom"/>
          </w:tcPr>
          <w:p w14:paraId="1410CB7D"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Employment Status</w:t>
            </w:r>
          </w:p>
        </w:tc>
        <w:tc>
          <w:tcPr>
            <w:tcW w:w="4488" w:type="dxa"/>
            <w:tcBorders>
              <w:top w:val="nil"/>
              <w:left w:val="nil"/>
              <w:bottom w:val="nil"/>
              <w:right w:val="nil"/>
            </w:tcBorders>
          </w:tcPr>
          <w:p w14:paraId="635B25CB" w14:textId="77777777" w:rsidR="00ED1633" w:rsidRPr="00D57AE6" w:rsidRDefault="00ED1633" w:rsidP="00AF7D82">
            <w:pPr>
              <w:rPr>
                <w:rFonts w:asciiTheme="majorHAnsi" w:hAnsiTheme="majorHAnsi"/>
                <w:sz w:val="20"/>
                <w:szCs w:val="20"/>
                <w:lang w:val="en-GB"/>
              </w:rPr>
            </w:pPr>
          </w:p>
        </w:tc>
      </w:tr>
      <w:tr w:rsidR="00ED1633" w:rsidRPr="00D57AE6" w14:paraId="17403E2C" w14:textId="77777777" w:rsidTr="00E6189B">
        <w:tc>
          <w:tcPr>
            <w:tcW w:w="4538" w:type="dxa"/>
            <w:tcBorders>
              <w:top w:val="nil"/>
              <w:left w:val="nil"/>
              <w:bottom w:val="nil"/>
              <w:right w:val="nil"/>
            </w:tcBorders>
            <w:vAlign w:val="bottom"/>
          </w:tcPr>
          <w:p w14:paraId="4EF47EE9"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Retirement</w:t>
            </w:r>
          </w:p>
        </w:tc>
        <w:tc>
          <w:tcPr>
            <w:tcW w:w="4488" w:type="dxa"/>
            <w:tcBorders>
              <w:top w:val="nil"/>
              <w:left w:val="nil"/>
              <w:bottom w:val="nil"/>
              <w:right w:val="nil"/>
            </w:tcBorders>
            <w:vAlign w:val="bottom"/>
          </w:tcPr>
          <w:p w14:paraId="14B5A323"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529 (43.11%)</w:t>
            </w:r>
          </w:p>
        </w:tc>
      </w:tr>
      <w:tr w:rsidR="00ED1633" w:rsidRPr="00D57AE6" w14:paraId="45770A55" w14:textId="77777777" w:rsidTr="00E6189B">
        <w:tc>
          <w:tcPr>
            <w:tcW w:w="4538" w:type="dxa"/>
            <w:tcBorders>
              <w:top w:val="nil"/>
              <w:left w:val="nil"/>
              <w:bottom w:val="nil"/>
              <w:right w:val="nil"/>
            </w:tcBorders>
            <w:vAlign w:val="bottom"/>
          </w:tcPr>
          <w:p w14:paraId="169DEA44"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Employed</w:t>
            </w:r>
          </w:p>
        </w:tc>
        <w:tc>
          <w:tcPr>
            <w:tcW w:w="4488" w:type="dxa"/>
            <w:tcBorders>
              <w:top w:val="nil"/>
              <w:left w:val="nil"/>
              <w:bottom w:val="nil"/>
              <w:right w:val="nil"/>
            </w:tcBorders>
            <w:vAlign w:val="bottom"/>
          </w:tcPr>
          <w:p w14:paraId="4330E2BB"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698 (56.89%)</w:t>
            </w:r>
          </w:p>
        </w:tc>
      </w:tr>
      <w:tr w:rsidR="00ED1633" w:rsidRPr="00D57AE6" w14:paraId="23B60948" w14:textId="77777777" w:rsidTr="00E6189B">
        <w:tc>
          <w:tcPr>
            <w:tcW w:w="4538" w:type="dxa"/>
            <w:tcBorders>
              <w:top w:val="nil"/>
              <w:left w:val="nil"/>
              <w:bottom w:val="nil"/>
              <w:right w:val="nil"/>
            </w:tcBorders>
            <w:vAlign w:val="bottom"/>
          </w:tcPr>
          <w:p w14:paraId="02D43606"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Gender</w:t>
            </w:r>
          </w:p>
        </w:tc>
        <w:tc>
          <w:tcPr>
            <w:tcW w:w="4488" w:type="dxa"/>
            <w:tcBorders>
              <w:top w:val="nil"/>
              <w:left w:val="nil"/>
              <w:bottom w:val="nil"/>
              <w:right w:val="nil"/>
            </w:tcBorders>
          </w:tcPr>
          <w:p w14:paraId="2229412C" w14:textId="77777777" w:rsidR="00ED1633" w:rsidRPr="00D57AE6" w:rsidRDefault="00ED1633" w:rsidP="00AF7D82">
            <w:pPr>
              <w:rPr>
                <w:rFonts w:asciiTheme="majorHAnsi" w:hAnsiTheme="majorHAnsi"/>
                <w:sz w:val="20"/>
                <w:szCs w:val="20"/>
                <w:lang w:val="en-GB"/>
              </w:rPr>
            </w:pPr>
          </w:p>
        </w:tc>
      </w:tr>
      <w:tr w:rsidR="00ED1633" w:rsidRPr="00D57AE6" w14:paraId="2A9B2B27" w14:textId="77777777" w:rsidTr="00E6189B">
        <w:tc>
          <w:tcPr>
            <w:tcW w:w="4538" w:type="dxa"/>
            <w:tcBorders>
              <w:top w:val="nil"/>
              <w:left w:val="nil"/>
              <w:bottom w:val="nil"/>
              <w:right w:val="nil"/>
            </w:tcBorders>
            <w:vAlign w:val="bottom"/>
          </w:tcPr>
          <w:p w14:paraId="198EE6E6"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Male</w:t>
            </w:r>
          </w:p>
        </w:tc>
        <w:tc>
          <w:tcPr>
            <w:tcW w:w="4488" w:type="dxa"/>
            <w:tcBorders>
              <w:top w:val="nil"/>
              <w:left w:val="nil"/>
              <w:bottom w:val="nil"/>
              <w:right w:val="nil"/>
            </w:tcBorders>
            <w:vAlign w:val="bottom"/>
          </w:tcPr>
          <w:p w14:paraId="1A3CD3EF"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640 (48.93%)</w:t>
            </w:r>
          </w:p>
        </w:tc>
      </w:tr>
      <w:tr w:rsidR="00ED1633" w:rsidRPr="00D57AE6" w14:paraId="2AE79BB3" w14:textId="77777777" w:rsidTr="00E6189B">
        <w:tc>
          <w:tcPr>
            <w:tcW w:w="4538" w:type="dxa"/>
            <w:tcBorders>
              <w:top w:val="nil"/>
              <w:left w:val="nil"/>
              <w:bottom w:val="nil"/>
              <w:right w:val="nil"/>
            </w:tcBorders>
            <w:vAlign w:val="bottom"/>
          </w:tcPr>
          <w:p w14:paraId="1DD33AE8"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Female</w:t>
            </w:r>
          </w:p>
        </w:tc>
        <w:tc>
          <w:tcPr>
            <w:tcW w:w="4488" w:type="dxa"/>
            <w:tcBorders>
              <w:top w:val="nil"/>
              <w:left w:val="nil"/>
              <w:bottom w:val="nil"/>
              <w:right w:val="nil"/>
            </w:tcBorders>
            <w:vAlign w:val="bottom"/>
          </w:tcPr>
          <w:p w14:paraId="4B87918D"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668 (51.07%)</w:t>
            </w:r>
          </w:p>
        </w:tc>
      </w:tr>
      <w:tr w:rsidR="00ED1633" w:rsidRPr="00D57AE6" w14:paraId="4D005275" w14:textId="77777777" w:rsidTr="00E6189B">
        <w:tc>
          <w:tcPr>
            <w:tcW w:w="4538" w:type="dxa"/>
            <w:tcBorders>
              <w:top w:val="nil"/>
              <w:left w:val="nil"/>
              <w:bottom w:val="nil"/>
              <w:right w:val="nil"/>
            </w:tcBorders>
            <w:vAlign w:val="bottom"/>
          </w:tcPr>
          <w:p w14:paraId="124CF4D4"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Underchallenge</w:t>
            </w:r>
          </w:p>
        </w:tc>
        <w:tc>
          <w:tcPr>
            <w:tcW w:w="4488" w:type="dxa"/>
            <w:tcBorders>
              <w:top w:val="nil"/>
              <w:left w:val="nil"/>
              <w:bottom w:val="nil"/>
              <w:right w:val="nil"/>
            </w:tcBorders>
          </w:tcPr>
          <w:p w14:paraId="2D59117A" w14:textId="77777777" w:rsidR="00ED1633" w:rsidRPr="00D57AE6" w:rsidRDefault="00ED1633" w:rsidP="00AF7D82">
            <w:pPr>
              <w:rPr>
                <w:rFonts w:asciiTheme="majorHAnsi" w:hAnsiTheme="majorHAnsi"/>
                <w:sz w:val="20"/>
                <w:szCs w:val="20"/>
                <w:lang w:val="en-GB"/>
              </w:rPr>
            </w:pPr>
          </w:p>
        </w:tc>
      </w:tr>
      <w:tr w:rsidR="00ED1633" w:rsidRPr="00D57AE6" w14:paraId="50EF9852" w14:textId="77777777" w:rsidTr="00E6189B">
        <w:tc>
          <w:tcPr>
            <w:tcW w:w="4538" w:type="dxa"/>
            <w:tcBorders>
              <w:top w:val="nil"/>
              <w:left w:val="nil"/>
              <w:bottom w:val="nil"/>
              <w:right w:val="nil"/>
            </w:tcBorders>
            <w:vAlign w:val="bottom"/>
          </w:tcPr>
          <w:p w14:paraId="206823E1"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No</w:t>
            </w:r>
          </w:p>
        </w:tc>
        <w:tc>
          <w:tcPr>
            <w:tcW w:w="4488" w:type="dxa"/>
            <w:tcBorders>
              <w:top w:val="nil"/>
              <w:left w:val="nil"/>
              <w:bottom w:val="nil"/>
              <w:right w:val="nil"/>
            </w:tcBorders>
            <w:vAlign w:val="bottom"/>
          </w:tcPr>
          <w:p w14:paraId="56352C41"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827 (89.79%)</w:t>
            </w:r>
          </w:p>
        </w:tc>
      </w:tr>
      <w:tr w:rsidR="00ED1633" w:rsidRPr="00D57AE6" w14:paraId="650A1A0B" w14:textId="77777777" w:rsidTr="00E6189B">
        <w:tc>
          <w:tcPr>
            <w:tcW w:w="4538" w:type="dxa"/>
            <w:tcBorders>
              <w:top w:val="nil"/>
              <w:left w:val="nil"/>
              <w:bottom w:val="nil"/>
              <w:right w:val="nil"/>
            </w:tcBorders>
            <w:vAlign w:val="bottom"/>
          </w:tcPr>
          <w:p w14:paraId="12B37269"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Yes</w:t>
            </w:r>
          </w:p>
        </w:tc>
        <w:tc>
          <w:tcPr>
            <w:tcW w:w="4488" w:type="dxa"/>
            <w:tcBorders>
              <w:top w:val="nil"/>
              <w:left w:val="nil"/>
              <w:bottom w:val="nil"/>
              <w:right w:val="nil"/>
            </w:tcBorders>
            <w:vAlign w:val="bottom"/>
          </w:tcPr>
          <w:p w14:paraId="0938D9D9"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94 (10.21%)</w:t>
            </w:r>
          </w:p>
        </w:tc>
      </w:tr>
      <w:tr w:rsidR="00ED1633" w:rsidRPr="00D57AE6" w14:paraId="068F789E" w14:textId="77777777" w:rsidTr="00E6189B">
        <w:tc>
          <w:tcPr>
            <w:tcW w:w="4538" w:type="dxa"/>
            <w:tcBorders>
              <w:top w:val="nil"/>
              <w:left w:val="nil"/>
              <w:bottom w:val="nil"/>
              <w:right w:val="nil"/>
            </w:tcBorders>
            <w:vAlign w:val="bottom"/>
          </w:tcPr>
          <w:p w14:paraId="4F960B63" w14:textId="77777777" w:rsidR="00ED1633" w:rsidRPr="00D57AE6" w:rsidRDefault="00ED1633" w:rsidP="00AF7D82">
            <w:pPr>
              <w:rPr>
                <w:rFonts w:asciiTheme="majorHAnsi" w:hAnsiTheme="majorHAnsi"/>
                <w:sz w:val="20"/>
                <w:szCs w:val="20"/>
                <w:lang w:val="en-GB"/>
              </w:rPr>
            </w:pPr>
            <w:r w:rsidRPr="00D57AE6">
              <w:rPr>
                <w:rFonts w:asciiTheme="majorHAnsi" w:hAnsiTheme="majorHAnsi"/>
                <w:b/>
                <w:bCs/>
                <w:sz w:val="20"/>
                <w:szCs w:val="20"/>
                <w:lang w:val="en-GB"/>
              </w:rPr>
              <w:t>Overchallenge</w:t>
            </w:r>
          </w:p>
        </w:tc>
        <w:tc>
          <w:tcPr>
            <w:tcW w:w="4488" w:type="dxa"/>
            <w:tcBorders>
              <w:top w:val="nil"/>
              <w:left w:val="nil"/>
              <w:bottom w:val="nil"/>
              <w:right w:val="nil"/>
            </w:tcBorders>
          </w:tcPr>
          <w:p w14:paraId="4A3FA450" w14:textId="77777777" w:rsidR="00ED1633" w:rsidRPr="00D57AE6" w:rsidRDefault="00ED1633" w:rsidP="00AF7D82">
            <w:pPr>
              <w:rPr>
                <w:rFonts w:asciiTheme="majorHAnsi" w:hAnsiTheme="majorHAnsi"/>
                <w:sz w:val="20"/>
                <w:szCs w:val="20"/>
                <w:lang w:val="en-GB"/>
              </w:rPr>
            </w:pPr>
          </w:p>
        </w:tc>
      </w:tr>
      <w:tr w:rsidR="00ED1633" w:rsidRPr="00D57AE6" w14:paraId="4E711F38" w14:textId="77777777" w:rsidTr="00E6189B">
        <w:tc>
          <w:tcPr>
            <w:tcW w:w="4538" w:type="dxa"/>
            <w:tcBorders>
              <w:top w:val="nil"/>
              <w:left w:val="nil"/>
              <w:bottom w:val="nil"/>
              <w:right w:val="nil"/>
            </w:tcBorders>
            <w:vAlign w:val="bottom"/>
          </w:tcPr>
          <w:p w14:paraId="4912F9EC"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No</w:t>
            </w:r>
          </w:p>
        </w:tc>
        <w:tc>
          <w:tcPr>
            <w:tcW w:w="4488" w:type="dxa"/>
            <w:tcBorders>
              <w:top w:val="nil"/>
              <w:left w:val="nil"/>
              <w:bottom w:val="nil"/>
              <w:right w:val="nil"/>
            </w:tcBorders>
            <w:vAlign w:val="bottom"/>
          </w:tcPr>
          <w:p w14:paraId="780AB93C"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892 (96.85%)</w:t>
            </w:r>
          </w:p>
        </w:tc>
      </w:tr>
      <w:tr w:rsidR="00ED1633" w:rsidRPr="00D57AE6" w14:paraId="5ECEEEF5" w14:textId="77777777" w:rsidTr="00E6189B">
        <w:tc>
          <w:tcPr>
            <w:tcW w:w="4538" w:type="dxa"/>
            <w:tcBorders>
              <w:top w:val="nil"/>
              <w:left w:val="nil"/>
              <w:bottom w:val="nil"/>
              <w:right w:val="nil"/>
            </w:tcBorders>
            <w:vAlign w:val="bottom"/>
          </w:tcPr>
          <w:p w14:paraId="64C77AE3"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Yes</w:t>
            </w:r>
          </w:p>
        </w:tc>
        <w:tc>
          <w:tcPr>
            <w:tcW w:w="4488" w:type="dxa"/>
            <w:tcBorders>
              <w:top w:val="nil"/>
              <w:left w:val="nil"/>
              <w:bottom w:val="nil"/>
              <w:right w:val="nil"/>
            </w:tcBorders>
            <w:vAlign w:val="bottom"/>
          </w:tcPr>
          <w:p w14:paraId="53C2449C"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29 (3.15%)</w:t>
            </w:r>
          </w:p>
        </w:tc>
      </w:tr>
      <w:tr w:rsidR="00ED1633" w:rsidRPr="00D57AE6" w14:paraId="28511D61" w14:textId="77777777" w:rsidTr="00E6189B">
        <w:tc>
          <w:tcPr>
            <w:tcW w:w="4538" w:type="dxa"/>
            <w:tcBorders>
              <w:top w:val="nil"/>
              <w:left w:val="nil"/>
              <w:bottom w:val="nil"/>
              <w:right w:val="nil"/>
            </w:tcBorders>
            <w:vAlign w:val="bottom"/>
          </w:tcPr>
          <w:p w14:paraId="43B2287C" w14:textId="77777777" w:rsidR="00ED1633" w:rsidRPr="00D57AE6" w:rsidRDefault="00ED1633" w:rsidP="00AF7D82">
            <w:pPr>
              <w:rPr>
                <w:rFonts w:asciiTheme="majorHAnsi" w:hAnsiTheme="majorHAnsi"/>
                <w:sz w:val="20"/>
                <w:szCs w:val="20"/>
                <w:lang w:val="en-GB"/>
              </w:rPr>
            </w:pPr>
            <w:r w:rsidRPr="00D57AE6">
              <w:rPr>
                <w:rFonts w:asciiTheme="majorHAnsi" w:hAnsiTheme="majorHAnsi"/>
                <w:b/>
                <w:bCs/>
                <w:sz w:val="20"/>
                <w:szCs w:val="20"/>
                <w:lang w:val="en-GB"/>
              </w:rPr>
              <w:t>ISCED</w:t>
            </w:r>
          </w:p>
        </w:tc>
        <w:tc>
          <w:tcPr>
            <w:tcW w:w="4488" w:type="dxa"/>
            <w:tcBorders>
              <w:top w:val="nil"/>
              <w:left w:val="nil"/>
              <w:bottom w:val="nil"/>
              <w:right w:val="nil"/>
            </w:tcBorders>
          </w:tcPr>
          <w:p w14:paraId="24C80413" w14:textId="77777777" w:rsidR="00ED1633" w:rsidRPr="00D57AE6" w:rsidRDefault="00ED1633" w:rsidP="00AF7D82">
            <w:pPr>
              <w:rPr>
                <w:rFonts w:asciiTheme="majorHAnsi" w:hAnsiTheme="majorHAnsi"/>
                <w:sz w:val="20"/>
                <w:szCs w:val="20"/>
                <w:lang w:val="en-GB"/>
              </w:rPr>
            </w:pPr>
          </w:p>
        </w:tc>
      </w:tr>
      <w:tr w:rsidR="00ED1633" w:rsidRPr="00D57AE6" w14:paraId="405E43F7" w14:textId="77777777" w:rsidTr="00E6189B">
        <w:tc>
          <w:tcPr>
            <w:tcW w:w="4538" w:type="dxa"/>
            <w:tcBorders>
              <w:top w:val="nil"/>
              <w:left w:val="nil"/>
              <w:bottom w:val="nil"/>
              <w:right w:val="nil"/>
            </w:tcBorders>
            <w:vAlign w:val="bottom"/>
          </w:tcPr>
          <w:p w14:paraId="4AE0C8DC"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Low and Medium (ISCED 0-4)</w:t>
            </w:r>
          </w:p>
        </w:tc>
        <w:tc>
          <w:tcPr>
            <w:tcW w:w="4488" w:type="dxa"/>
            <w:tcBorders>
              <w:top w:val="nil"/>
              <w:left w:val="nil"/>
              <w:bottom w:val="nil"/>
              <w:right w:val="nil"/>
            </w:tcBorders>
            <w:vAlign w:val="bottom"/>
          </w:tcPr>
          <w:p w14:paraId="2C8689B9"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601 (45.95%)</w:t>
            </w:r>
          </w:p>
        </w:tc>
      </w:tr>
      <w:tr w:rsidR="00ED1633" w:rsidRPr="00D57AE6" w14:paraId="7ACE5D91" w14:textId="77777777" w:rsidTr="00E6189B">
        <w:tc>
          <w:tcPr>
            <w:tcW w:w="4538" w:type="dxa"/>
            <w:tcBorders>
              <w:top w:val="nil"/>
              <w:left w:val="nil"/>
              <w:bottom w:val="nil"/>
              <w:right w:val="nil"/>
            </w:tcBorders>
            <w:vAlign w:val="bottom"/>
          </w:tcPr>
          <w:p w14:paraId="7B6238B0"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High (ISCED 5-6)</w:t>
            </w:r>
          </w:p>
        </w:tc>
        <w:tc>
          <w:tcPr>
            <w:tcW w:w="4488" w:type="dxa"/>
            <w:tcBorders>
              <w:top w:val="nil"/>
              <w:left w:val="nil"/>
              <w:bottom w:val="nil"/>
              <w:right w:val="nil"/>
            </w:tcBorders>
            <w:vAlign w:val="bottom"/>
          </w:tcPr>
          <w:p w14:paraId="0225AF9A"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707 (54.05%)</w:t>
            </w:r>
          </w:p>
        </w:tc>
      </w:tr>
      <w:tr w:rsidR="00ED1633" w:rsidRPr="00D57AE6" w14:paraId="17D7E065" w14:textId="77777777" w:rsidTr="00E6189B">
        <w:tc>
          <w:tcPr>
            <w:tcW w:w="4538" w:type="dxa"/>
            <w:tcBorders>
              <w:top w:val="nil"/>
              <w:left w:val="nil"/>
              <w:bottom w:val="nil"/>
              <w:right w:val="nil"/>
            </w:tcBorders>
            <w:vAlign w:val="bottom"/>
          </w:tcPr>
          <w:p w14:paraId="59E86D7A"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Burden: Phys. Job Demands</w:t>
            </w:r>
          </w:p>
        </w:tc>
        <w:tc>
          <w:tcPr>
            <w:tcW w:w="4488" w:type="dxa"/>
            <w:tcBorders>
              <w:top w:val="nil"/>
              <w:left w:val="nil"/>
              <w:bottom w:val="nil"/>
              <w:right w:val="nil"/>
            </w:tcBorders>
          </w:tcPr>
          <w:p w14:paraId="44BCBE28" w14:textId="77777777" w:rsidR="00ED1633" w:rsidRPr="00D57AE6" w:rsidRDefault="00ED1633" w:rsidP="00AF7D82">
            <w:pPr>
              <w:rPr>
                <w:rFonts w:asciiTheme="majorHAnsi" w:hAnsiTheme="majorHAnsi"/>
                <w:sz w:val="20"/>
                <w:szCs w:val="20"/>
                <w:lang w:val="en-GB"/>
              </w:rPr>
            </w:pPr>
          </w:p>
        </w:tc>
      </w:tr>
      <w:tr w:rsidR="00ED1633" w:rsidRPr="00D57AE6" w14:paraId="087840EF" w14:textId="77777777" w:rsidTr="00E6189B">
        <w:tc>
          <w:tcPr>
            <w:tcW w:w="4538" w:type="dxa"/>
            <w:tcBorders>
              <w:top w:val="nil"/>
              <w:left w:val="nil"/>
              <w:bottom w:val="nil"/>
              <w:right w:val="nil"/>
            </w:tcBorders>
            <w:vAlign w:val="bottom"/>
          </w:tcPr>
          <w:p w14:paraId="4FC850B1"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Not at all Stressed</w:t>
            </w:r>
          </w:p>
        </w:tc>
        <w:tc>
          <w:tcPr>
            <w:tcW w:w="4488" w:type="dxa"/>
            <w:tcBorders>
              <w:top w:val="nil"/>
              <w:left w:val="nil"/>
              <w:bottom w:val="nil"/>
              <w:right w:val="nil"/>
            </w:tcBorders>
            <w:vAlign w:val="bottom"/>
          </w:tcPr>
          <w:p w14:paraId="52CC7383"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220 (24.23%)</w:t>
            </w:r>
          </w:p>
        </w:tc>
      </w:tr>
      <w:tr w:rsidR="00ED1633" w:rsidRPr="00D57AE6" w14:paraId="1B2033B2" w14:textId="77777777" w:rsidTr="00E6189B">
        <w:tc>
          <w:tcPr>
            <w:tcW w:w="4538" w:type="dxa"/>
            <w:tcBorders>
              <w:top w:val="nil"/>
              <w:left w:val="nil"/>
              <w:bottom w:val="nil"/>
              <w:right w:val="nil"/>
            </w:tcBorders>
            <w:vAlign w:val="bottom"/>
          </w:tcPr>
          <w:p w14:paraId="085FCA39"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Hardly Stressed</w:t>
            </w:r>
          </w:p>
        </w:tc>
        <w:tc>
          <w:tcPr>
            <w:tcW w:w="4488" w:type="dxa"/>
            <w:tcBorders>
              <w:top w:val="nil"/>
              <w:left w:val="nil"/>
              <w:bottom w:val="nil"/>
              <w:right w:val="nil"/>
            </w:tcBorders>
            <w:vAlign w:val="bottom"/>
          </w:tcPr>
          <w:p w14:paraId="5DDDA56D"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197 (21.70%)</w:t>
            </w:r>
          </w:p>
        </w:tc>
      </w:tr>
      <w:tr w:rsidR="00ED1633" w:rsidRPr="00D57AE6" w14:paraId="4311E1E6" w14:textId="77777777" w:rsidTr="00E6189B">
        <w:tc>
          <w:tcPr>
            <w:tcW w:w="4538" w:type="dxa"/>
            <w:tcBorders>
              <w:top w:val="nil"/>
              <w:left w:val="nil"/>
              <w:bottom w:val="nil"/>
              <w:right w:val="nil"/>
            </w:tcBorders>
            <w:vAlign w:val="bottom"/>
          </w:tcPr>
          <w:p w14:paraId="3D6BF920"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A little Stressed</w:t>
            </w:r>
          </w:p>
        </w:tc>
        <w:tc>
          <w:tcPr>
            <w:tcW w:w="4488" w:type="dxa"/>
            <w:tcBorders>
              <w:top w:val="nil"/>
              <w:left w:val="nil"/>
              <w:bottom w:val="nil"/>
              <w:right w:val="nil"/>
            </w:tcBorders>
            <w:vAlign w:val="bottom"/>
          </w:tcPr>
          <w:p w14:paraId="724102B6"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227 (25.00%)</w:t>
            </w:r>
          </w:p>
        </w:tc>
      </w:tr>
      <w:tr w:rsidR="00ED1633" w:rsidRPr="00D57AE6" w14:paraId="049C84C6" w14:textId="77777777" w:rsidTr="00E6189B">
        <w:tc>
          <w:tcPr>
            <w:tcW w:w="4538" w:type="dxa"/>
            <w:tcBorders>
              <w:top w:val="nil"/>
              <w:left w:val="nil"/>
              <w:bottom w:val="nil"/>
              <w:right w:val="nil"/>
            </w:tcBorders>
            <w:vAlign w:val="bottom"/>
          </w:tcPr>
          <w:p w14:paraId="2014100B"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Stressed</w:t>
            </w:r>
          </w:p>
        </w:tc>
        <w:tc>
          <w:tcPr>
            <w:tcW w:w="4488" w:type="dxa"/>
            <w:tcBorders>
              <w:top w:val="nil"/>
              <w:left w:val="nil"/>
              <w:bottom w:val="nil"/>
              <w:right w:val="nil"/>
            </w:tcBorders>
            <w:vAlign w:val="bottom"/>
          </w:tcPr>
          <w:p w14:paraId="3CB84785"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190 (20.93%)</w:t>
            </w:r>
          </w:p>
        </w:tc>
      </w:tr>
      <w:tr w:rsidR="00ED1633" w:rsidRPr="00D57AE6" w14:paraId="70EF3473" w14:textId="77777777" w:rsidTr="00E6189B">
        <w:tc>
          <w:tcPr>
            <w:tcW w:w="4538" w:type="dxa"/>
            <w:tcBorders>
              <w:top w:val="nil"/>
              <w:left w:val="nil"/>
              <w:bottom w:val="nil"/>
              <w:right w:val="nil"/>
            </w:tcBorders>
            <w:vAlign w:val="bottom"/>
          </w:tcPr>
          <w:p w14:paraId="039E500A"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Stressed</w:t>
            </w:r>
          </w:p>
        </w:tc>
        <w:tc>
          <w:tcPr>
            <w:tcW w:w="4488" w:type="dxa"/>
            <w:tcBorders>
              <w:top w:val="nil"/>
              <w:left w:val="nil"/>
              <w:bottom w:val="nil"/>
              <w:right w:val="nil"/>
            </w:tcBorders>
            <w:vAlign w:val="bottom"/>
          </w:tcPr>
          <w:p w14:paraId="6B713445"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74 (8.15%)</w:t>
            </w:r>
          </w:p>
        </w:tc>
      </w:tr>
      <w:tr w:rsidR="00ED1633" w:rsidRPr="00D57AE6" w14:paraId="5AE8A95E" w14:textId="77777777" w:rsidTr="00E6189B">
        <w:tc>
          <w:tcPr>
            <w:tcW w:w="4538" w:type="dxa"/>
            <w:tcBorders>
              <w:top w:val="nil"/>
              <w:left w:val="nil"/>
              <w:bottom w:val="nil"/>
              <w:right w:val="nil"/>
            </w:tcBorders>
            <w:vAlign w:val="bottom"/>
          </w:tcPr>
          <w:p w14:paraId="23BC0382"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Burden: Working Conditions</w:t>
            </w:r>
          </w:p>
        </w:tc>
        <w:tc>
          <w:tcPr>
            <w:tcW w:w="4488" w:type="dxa"/>
            <w:tcBorders>
              <w:top w:val="nil"/>
              <w:left w:val="nil"/>
              <w:bottom w:val="nil"/>
              <w:right w:val="nil"/>
            </w:tcBorders>
          </w:tcPr>
          <w:p w14:paraId="7EDF6312" w14:textId="77777777" w:rsidR="00ED1633" w:rsidRPr="00D57AE6" w:rsidRDefault="00ED1633" w:rsidP="00AF7D82">
            <w:pPr>
              <w:rPr>
                <w:rFonts w:asciiTheme="majorHAnsi" w:hAnsiTheme="majorHAnsi"/>
                <w:sz w:val="20"/>
                <w:szCs w:val="20"/>
                <w:lang w:val="en-GB"/>
              </w:rPr>
            </w:pPr>
          </w:p>
        </w:tc>
      </w:tr>
      <w:tr w:rsidR="00ED1633" w:rsidRPr="00D57AE6" w14:paraId="7CFE3F13" w14:textId="77777777" w:rsidTr="00E6189B">
        <w:tc>
          <w:tcPr>
            <w:tcW w:w="4538" w:type="dxa"/>
            <w:tcBorders>
              <w:top w:val="nil"/>
              <w:left w:val="nil"/>
              <w:bottom w:val="nil"/>
              <w:right w:val="nil"/>
            </w:tcBorders>
            <w:vAlign w:val="bottom"/>
          </w:tcPr>
          <w:p w14:paraId="2AB6507E"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Not at all Stressed</w:t>
            </w:r>
          </w:p>
        </w:tc>
        <w:tc>
          <w:tcPr>
            <w:tcW w:w="4488" w:type="dxa"/>
            <w:tcBorders>
              <w:top w:val="nil"/>
              <w:left w:val="nil"/>
              <w:bottom w:val="nil"/>
              <w:right w:val="nil"/>
            </w:tcBorders>
            <w:vAlign w:val="bottom"/>
          </w:tcPr>
          <w:p w14:paraId="2F3AC758"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459 (51.28%)</w:t>
            </w:r>
          </w:p>
        </w:tc>
      </w:tr>
      <w:tr w:rsidR="00ED1633" w:rsidRPr="00D57AE6" w14:paraId="5790C0D7" w14:textId="77777777" w:rsidTr="00E6189B">
        <w:tc>
          <w:tcPr>
            <w:tcW w:w="4538" w:type="dxa"/>
            <w:tcBorders>
              <w:top w:val="nil"/>
              <w:left w:val="nil"/>
              <w:bottom w:val="nil"/>
              <w:right w:val="nil"/>
            </w:tcBorders>
            <w:vAlign w:val="bottom"/>
          </w:tcPr>
          <w:p w14:paraId="40C6C060"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Hardly Stressed</w:t>
            </w:r>
          </w:p>
        </w:tc>
        <w:tc>
          <w:tcPr>
            <w:tcW w:w="4488" w:type="dxa"/>
            <w:tcBorders>
              <w:top w:val="nil"/>
              <w:left w:val="nil"/>
              <w:bottom w:val="nil"/>
              <w:right w:val="nil"/>
            </w:tcBorders>
            <w:vAlign w:val="bottom"/>
          </w:tcPr>
          <w:p w14:paraId="23CF021C"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155 (17.32%)</w:t>
            </w:r>
          </w:p>
        </w:tc>
      </w:tr>
      <w:tr w:rsidR="00ED1633" w:rsidRPr="00D57AE6" w14:paraId="1B9AD3AC" w14:textId="77777777" w:rsidTr="00E6189B">
        <w:tc>
          <w:tcPr>
            <w:tcW w:w="4538" w:type="dxa"/>
            <w:tcBorders>
              <w:top w:val="nil"/>
              <w:left w:val="nil"/>
              <w:bottom w:val="nil"/>
              <w:right w:val="nil"/>
            </w:tcBorders>
            <w:vAlign w:val="bottom"/>
          </w:tcPr>
          <w:p w14:paraId="6742DBAF"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A little Stressed</w:t>
            </w:r>
          </w:p>
        </w:tc>
        <w:tc>
          <w:tcPr>
            <w:tcW w:w="4488" w:type="dxa"/>
            <w:tcBorders>
              <w:top w:val="nil"/>
              <w:left w:val="nil"/>
              <w:bottom w:val="nil"/>
              <w:right w:val="nil"/>
            </w:tcBorders>
            <w:vAlign w:val="bottom"/>
          </w:tcPr>
          <w:p w14:paraId="0AF2B1C7"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163 (18.21%)</w:t>
            </w:r>
          </w:p>
        </w:tc>
      </w:tr>
      <w:tr w:rsidR="00ED1633" w:rsidRPr="00D57AE6" w14:paraId="70D003E1" w14:textId="77777777" w:rsidTr="00E6189B">
        <w:tc>
          <w:tcPr>
            <w:tcW w:w="4538" w:type="dxa"/>
            <w:tcBorders>
              <w:top w:val="nil"/>
              <w:left w:val="nil"/>
              <w:bottom w:val="nil"/>
              <w:right w:val="nil"/>
            </w:tcBorders>
            <w:vAlign w:val="bottom"/>
          </w:tcPr>
          <w:p w14:paraId="1DB71FB0"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Stressed</w:t>
            </w:r>
          </w:p>
        </w:tc>
        <w:tc>
          <w:tcPr>
            <w:tcW w:w="4488" w:type="dxa"/>
            <w:tcBorders>
              <w:top w:val="nil"/>
              <w:left w:val="nil"/>
              <w:bottom w:val="nil"/>
              <w:right w:val="nil"/>
            </w:tcBorders>
            <w:vAlign w:val="bottom"/>
          </w:tcPr>
          <w:p w14:paraId="1547713E"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74 (8.27%)</w:t>
            </w:r>
          </w:p>
        </w:tc>
      </w:tr>
      <w:tr w:rsidR="00ED1633" w:rsidRPr="00D57AE6" w14:paraId="6A868F48" w14:textId="77777777" w:rsidTr="00E6189B">
        <w:tc>
          <w:tcPr>
            <w:tcW w:w="4538" w:type="dxa"/>
            <w:tcBorders>
              <w:top w:val="nil"/>
              <w:left w:val="nil"/>
              <w:bottom w:val="nil"/>
              <w:right w:val="nil"/>
            </w:tcBorders>
            <w:vAlign w:val="bottom"/>
          </w:tcPr>
          <w:p w14:paraId="7731BCF4"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Stressed</w:t>
            </w:r>
          </w:p>
        </w:tc>
        <w:tc>
          <w:tcPr>
            <w:tcW w:w="4488" w:type="dxa"/>
            <w:tcBorders>
              <w:top w:val="nil"/>
              <w:left w:val="nil"/>
              <w:bottom w:val="nil"/>
              <w:right w:val="nil"/>
            </w:tcBorders>
            <w:vAlign w:val="bottom"/>
          </w:tcPr>
          <w:p w14:paraId="4A2AE456"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44 (4.92%)</w:t>
            </w:r>
          </w:p>
        </w:tc>
      </w:tr>
      <w:tr w:rsidR="00ED1633" w:rsidRPr="00D57AE6" w14:paraId="4D4DF425" w14:textId="77777777" w:rsidTr="00E6189B">
        <w:tc>
          <w:tcPr>
            <w:tcW w:w="4538" w:type="dxa"/>
            <w:tcBorders>
              <w:top w:val="nil"/>
              <w:left w:val="nil"/>
              <w:bottom w:val="nil"/>
              <w:right w:val="nil"/>
            </w:tcBorders>
            <w:vAlign w:val="bottom"/>
          </w:tcPr>
          <w:p w14:paraId="4733A768"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Burden: Work Stress</w:t>
            </w:r>
          </w:p>
        </w:tc>
        <w:tc>
          <w:tcPr>
            <w:tcW w:w="4488" w:type="dxa"/>
            <w:tcBorders>
              <w:top w:val="nil"/>
              <w:left w:val="nil"/>
              <w:bottom w:val="nil"/>
              <w:right w:val="nil"/>
            </w:tcBorders>
          </w:tcPr>
          <w:p w14:paraId="23AA09FD" w14:textId="77777777" w:rsidR="00ED1633" w:rsidRPr="00D57AE6" w:rsidRDefault="00ED1633" w:rsidP="00AF7D82">
            <w:pPr>
              <w:rPr>
                <w:rFonts w:asciiTheme="majorHAnsi" w:hAnsiTheme="majorHAnsi"/>
                <w:sz w:val="20"/>
                <w:szCs w:val="20"/>
                <w:lang w:val="en-GB"/>
              </w:rPr>
            </w:pPr>
          </w:p>
        </w:tc>
      </w:tr>
      <w:tr w:rsidR="00ED1633" w:rsidRPr="00D57AE6" w14:paraId="7ACF3F96" w14:textId="77777777" w:rsidTr="00E6189B">
        <w:tc>
          <w:tcPr>
            <w:tcW w:w="4538" w:type="dxa"/>
            <w:tcBorders>
              <w:top w:val="nil"/>
              <w:left w:val="nil"/>
              <w:bottom w:val="nil"/>
              <w:right w:val="nil"/>
            </w:tcBorders>
            <w:vAlign w:val="bottom"/>
          </w:tcPr>
          <w:p w14:paraId="429C02FD"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Not at all Stressed</w:t>
            </w:r>
          </w:p>
        </w:tc>
        <w:tc>
          <w:tcPr>
            <w:tcW w:w="4488" w:type="dxa"/>
            <w:tcBorders>
              <w:top w:val="nil"/>
              <w:left w:val="nil"/>
              <w:bottom w:val="nil"/>
              <w:right w:val="nil"/>
            </w:tcBorders>
            <w:vAlign w:val="bottom"/>
          </w:tcPr>
          <w:p w14:paraId="762B6BB0"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99 (10.93%)</w:t>
            </w:r>
          </w:p>
        </w:tc>
      </w:tr>
      <w:tr w:rsidR="00ED1633" w:rsidRPr="00D57AE6" w14:paraId="624CC25B" w14:textId="77777777" w:rsidTr="00E6189B">
        <w:tc>
          <w:tcPr>
            <w:tcW w:w="4538" w:type="dxa"/>
            <w:tcBorders>
              <w:top w:val="nil"/>
              <w:left w:val="nil"/>
              <w:bottom w:val="nil"/>
              <w:right w:val="nil"/>
            </w:tcBorders>
            <w:vAlign w:val="bottom"/>
          </w:tcPr>
          <w:p w14:paraId="7BC7590C"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Hardly Stressed</w:t>
            </w:r>
          </w:p>
        </w:tc>
        <w:tc>
          <w:tcPr>
            <w:tcW w:w="4488" w:type="dxa"/>
            <w:tcBorders>
              <w:top w:val="nil"/>
              <w:left w:val="nil"/>
              <w:bottom w:val="nil"/>
              <w:right w:val="nil"/>
            </w:tcBorders>
            <w:vAlign w:val="bottom"/>
          </w:tcPr>
          <w:p w14:paraId="29B00F6E"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163 (17.99%)</w:t>
            </w:r>
          </w:p>
        </w:tc>
      </w:tr>
      <w:tr w:rsidR="00ED1633" w:rsidRPr="00D57AE6" w14:paraId="3FE15E2B" w14:textId="77777777" w:rsidTr="00E6189B">
        <w:tc>
          <w:tcPr>
            <w:tcW w:w="4538" w:type="dxa"/>
            <w:tcBorders>
              <w:top w:val="nil"/>
              <w:left w:val="nil"/>
              <w:bottom w:val="nil"/>
              <w:right w:val="nil"/>
            </w:tcBorders>
            <w:vAlign w:val="bottom"/>
          </w:tcPr>
          <w:p w14:paraId="35C8FD44"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A little Stressed</w:t>
            </w:r>
          </w:p>
        </w:tc>
        <w:tc>
          <w:tcPr>
            <w:tcW w:w="4488" w:type="dxa"/>
            <w:tcBorders>
              <w:top w:val="nil"/>
              <w:left w:val="nil"/>
              <w:bottom w:val="nil"/>
              <w:right w:val="nil"/>
            </w:tcBorders>
            <w:vAlign w:val="bottom"/>
          </w:tcPr>
          <w:p w14:paraId="7AA8FC3B"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278 (30.68%)</w:t>
            </w:r>
          </w:p>
        </w:tc>
      </w:tr>
      <w:tr w:rsidR="00ED1633" w:rsidRPr="00D57AE6" w14:paraId="5A8E7AC3" w14:textId="77777777" w:rsidTr="00E6189B">
        <w:tc>
          <w:tcPr>
            <w:tcW w:w="4538" w:type="dxa"/>
            <w:tcBorders>
              <w:top w:val="nil"/>
              <w:left w:val="nil"/>
              <w:bottom w:val="nil"/>
              <w:right w:val="nil"/>
            </w:tcBorders>
            <w:vAlign w:val="bottom"/>
          </w:tcPr>
          <w:p w14:paraId="43E65F7A"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Stressed</w:t>
            </w:r>
          </w:p>
        </w:tc>
        <w:tc>
          <w:tcPr>
            <w:tcW w:w="4488" w:type="dxa"/>
            <w:tcBorders>
              <w:top w:val="nil"/>
              <w:left w:val="nil"/>
              <w:bottom w:val="nil"/>
              <w:right w:val="nil"/>
            </w:tcBorders>
            <w:vAlign w:val="bottom"/>
          </w:tcPr>
          <w:p w14:paraId="77E9AC93"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239 (26.38%)</w:t>
            </w:r>
          </w:p>
        </w:tc>
      </w:tr>
      <w:tr w:rsidR="00ED1633" w:rsidRPr="00D57AE6" w14:paraId="17A15798" w14:textId="77777777" w:rsidTr="00E6189B">
        <w:tc>
          <w:tcPr>
            <w:tcW w:w="4538" w:type="dxa"/>
            <w:tcBorders>
              <w:top w:val="nil"/>
              <w:left w:val="nil"/>
              <w:bottom w:val="nil"/>
              <w:right w:val="nil"/>
            </w:tcBorders>
            <w:vAlign w:val="bottom"/>
          </w:tcPr>
          <w:p w14:paraId="27087251"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Stressed</w:t>
            </w:r>
          </w:p>
        </w:tc>
        <w:tc>
          <w:tcPr>
            <w:tcW w:w="4488" w:type="dxa"/>
            <w:tcBorders>
              <w:top w:val="nil"/>
              <w:left w:val="nil"/>
              <w:bottom w:val="nil"/>
              <w:right w:val="nil"/>
            </w:tcBorders>
            <w:vAlign w:val="bottom"/>
          </w:tcPr>
          <w:p w14:paraId="0A166159"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127 (14.02%)</w:t>
            </w:r>
          </w:p>
        </w:tc>
      </w:tr>
      <w:tr w:rsidR="00ED1633" w:rsidRPr="00D57AE6" w14:paraId="3F088310" w14:textId="77777777" w:rsidTr="00E6189B">
        <w:tc>
          <w:tcPr>
            <w:tcW w:w="4538" w:type="dxa"/>
            <w:tcBorders>
              <w:top w:val="nil"/>
              <w:left w:val="nil"/>
              <w:bottom w:val="nil"/>
              <w:right w:val="nil"/>
            </w:tcBorders>
            <w:vAlign w:val="bottom"/>
          </w:tcPr>
          <w:p w14:paraId="23AA27E7"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Burden: New Job Demands</w:t>
            </w:r>
          </w:p>
        </w:tc>
        <w:tc>
          <w:tcPr>
            <w:tcW w:w="4488" w:type="dxa"/>
            <w:tcBorders>
              <w:top w:val="nil"/>
              <w:left w:val="nil"/>
              <w:bottom w:val="nil"/>
              <w:right w:val="nil"/>
            </w:tcBorders>
          </w:tcPr>
          <w:p w14:paraId="51C99FE9" w14:textId="77777777" w:rsidR="00ED1633" w:rsidRPr="00D57AE6" w:rsidRDefault="00ED1633" w:rsidP="00AF7D82">
            <w:pPr>
              <w:rPr>
                <w:rFonts w:asciiTheme="majorHAnsi" w:hAnsiTheme="majorHAnsi"/>
                <w:sz w:val="20"/>
                <w:szCs w:val="20"/>
                <w:lang w:val="en-GB"/>
              </w:rPr>
            </w:pPr>
          </w:p>
        </w:tc>
      </w:tr>
      <w:tr w:rsidR="00ED1633" w:rsidRPr="00D57AE6" w14:paraId="73CE450E" w14:textId="77777777" w:rsidTr="00E6189B">
        <w:tc>
          <w:tcPr>
            <w:tcW w:w="4538" w:type="dxa"/>
            <w:tcBorders>
              <w:top w:val="nil"/>
              <w:left w:val="nil"/>
              <w:bottom w:val="nil"/>
              <w:right w:val="nil"/>
            </w:tcBorders>
            <w:vAlign w:val="bottom"/>
          </w:tcPr>
          <w:p w14:paraId="4498D959"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Not at all Stressed</w:t>
            </w:r>
          </w:p>
        </w:tc>
        <w:tc>
          <w:tcPr>
            <w:tcW w:w="4488" w:type="dxa"/>
            <w:tcBorders>
              <w:top w:val="nil"/>
              <w:left w:val="nil"/>
              <w:bottom w:val="nil"/>
              <w:right w:val="nil"/>
            </w:tcBorders>
            <w:vAlign w:val="bottom"/>
          </w:tcPr>
          <w:p w14:paraId="36D711AF"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205 (22.80%)</w:t>
            </w:r>
          </w:p>
        </w:tc>
      </w:tr>
      <w:tr w:rsidR="00ED1633" w:rsidRPr="00D57AE6" w14:paraId="1760BA3F" w14:textId="77777777" w:rsidTr="00E6189B">
        <w:tc>
          <w:tcPr>
            <w:tcW w:w="4538" w:type="dxa"/>
            <w:tcBorders>
              <w:top w:val="nil"/>
              <w:left w:val="nil"/>
              <w:bottom w:val="nil"/>
              <w:right w:val="nil"/>
            </w:tcBorders>
            <w:vAlign w:val="bottom"/>
          </w:tcPr>
          <w:p w14:paraId="4B3C2C29"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Hardly Stressed</w:t>
            </w:r>
          </w:p>
        </w:tc>
        <w:tc>
          <w:tcPr>
            <w:tcW w:w="4488" w:type="dxa"/>
            <w:tcBorders>
              <w:top w:val="nil"/>
              <w:left w:val="nil"/>
              <w:bottom w:val="nil"/>
              <w:right w:val="nil"/>
            </w:tcBorders>
            <w:vAlign w:val="bottom"/>
          </w:tcPr>
          <w:p w14:paraId="5E770752"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251 (27.92%)</w:t>
            </w:r>
          </w:p>
        </w:tc>
      </w:tr>
      <w:tr w:rsidR="00ED1633" w:rsidRPr="00D57AE6" w14:paraId="4D65FC2C" w14:textId="77777777" w:rsidTr="00E6189B">
        <w:tc>
          <w:tcPr>
            <w:tcW w:w="4538" w:type="dxa"/>
            <w:tcBorders>
              <w:top w:val="nil"/>
              <w:left w:val="nil"/>
              <w:bottom w:val="nil"/>
              <w:right w:val="nil"/>
            </w:tcBorders>
            <w:vAlign w:val="bottom"/>
          </w:tcPr>
          <w:p w14:paraId="74D5B41D"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A little Stressed</w:t>
            </w:r>
          </w:p>
        </w:tc>
        <w:tc>
          <w:tcPr>
            <w:tcW w:w="4488" w:type="dxa"/>
            <w:tcBorders>
              <w:top w:val="nil"/>
              <w:left w:val="nil"/>
              <w:bottom w:val="nil"/>
              <w:right w:val="nil"/>
            </w:tcBorders>
            <w:vAlign w:val="bottom"/>
          </w:tcPr>
          <w:p w14:paraId="456BA356"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212 (23.58%)</w:t>
            </w:r>
          </w:p>
        </w:tc>
      </w:tr>
      <w:tr w:rsidR="00ED1633" w:rsidRPr="00D57AE6" w14:paraId="0D5C3DEA" w14:textId="77777777" w:rsidTr="00E6189B">
        <w:tc>
          <w:tcPr>
            <w:tcW w:w="4538" w:type="dxa"/>
            <w:tcBorders>
              <w:top w:val="nil"/>
              <w:left w:val="nil"/>
              <w:bottom w:val="nil"/>
              <w:right w:val="nil"/>
            </w:tcBorders>
            <w:vAlign w:val="bottom"/>
          </w:tcPr>
          <w:p w14:paraId="5C880D55"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Stressed</w:t>
            </w:r>
          </w:p>
        </w:tc>
        <w:tc>
          <w:tcPr>
            <w:tcW w:w="4488" w:type="dxa"/>
            <w:tcBorders>
              <w:top w:val="nil"/>
              <w:left w:val="nil"/>
              <w:bottom w:val="nil"/>
              <w:right w:val="nil"/>
            </w:tcBorders>
            <w:vAlign w:val="bottom"/>
          </w:tcPr>
          <w:p w14:paraId="6A745E8D"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160 (17.80%)</w:t>
            </w:r>
          </w:p>
        </w:tc>
      </w:tr>
      <w:tr w:rsidR="00ED1633" w:rsidRPr="00D57AE6" w14:paraId="08C2FEFB" w14:textId="77777777" w:rsidTr="00E6189B">
        <w:tc>
          <w:tcPr>
            <w:tcW w:w="4538" w:type="dxa"/>
            <w:tcBorders>
              <w:top w:val="nil"/>
              <w:left w:val="nil"/>
              <w:bottom w:val="nil"/>
              <w:right w:val="nil"/>
            </w:tcBorders>
            <w:vAlign w:val="bottom"/>
          </w:tcPr>
          <w:p w14:paraId="26BFE2B2"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Stressed</w:t>
            </w:r>
          </w:p>
        </w:tc>
        <w:tc>
          <w:tcPr>
            <w:tcW w:w="4488" w:type="dxa"/>
            <w:tcBorders>
              <w:top w:val="nil"/>
              <w:left w:val="nil"/>
              <w:bottom w:val="nil"/>
              <w:right w:val="nil"/>
            </w:tcBorders>
            <w:vAlign w:val="bottom"/>
          </w:tcPr>
          <w:p w14:paraId="2A689258"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71 (7.90%)</w:t>
            </w:r>
          </w:p>
        </w:tc>
      </w:tr>
      <w:tr w:rsidR="00ED1633" w:rsidRPr="00D57AE6" w14:paraId="5C343E46" w14:textId="77777777" w:rsidTr="00E6189B">
        <w:tc>
          <w:tcPr>
            <w:tcW w:w="4538" w:type="dxa"/>
            <w:tcBorders>
              <w:top w:val="nil"/>
              <w:left w:val="nil"/>
              <w:bottom w:val="nil"/>
              <w:right w:val="nil"/>
            </w:tcBorders>
            <w:vAlign w:val="bottom"/>
          </w:tcPr>
          <w:p w14:paraId="3BBCA1D3"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Satis.: Income</w:t>
            </w:r>
          </w:p>
        </w:tc>
        <w:tc>
          <w:tcPr>
            <w:tcW w:w="4488" w:type="dxa"/>
            <w:tcBorders>
              <w:top w:val="nil"/>
              <w:left w:val="nil"/>
              <w:bottom w:val="nil"/>
              <w:right w:val="nil"/>
            </w:tcBorders>
          </w:tcPr>
          <w:p w14:paraId="4E98EFCC" w14:textId="77777777" w:rsidR="00ED1633" w:rsidRPr="00D57AE6" w:rsidRDefault="00ED1633" w:rsidP="00AF7D82">
            <w:pPr>
              <w:rPr>
                <w:rFonts w:asciiTheme="majorHAnsi" w:hAnsiTheme="majorHAnsi"/>
                <w:sz w:val="20"/>
                <w:szCs w:val="20"/>
                <w:lang w:val="en-GB"/>
              </w:rPr>
            </w:pPr>
          </w:p>
        </w:tc>
      </w:tr>
      <w:tr w:rsidR="00ED1633" w:rsidRPr="00D57AE6" w14:paraId="1CFA7C86" w14:textId="77777777" w:rsidTr="00E6189B">
        <w:tc>
          <w:tcPr>
            <w:tcW w:w="4538" w:type="dxa"/>
            <w:tcBorders>
              <w:top w:val="nil"/>
              <w:left w:val="nil"/>
              <w:bottom w:val="nil"/>
              <w:right w:val="nil"/>
            </w:tcBorders>
            <w:vAlign w:val="bottom"/>
          </w:tcPr>
          <w:p w14:paraId="5B45E31D"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Unsatisfied</w:t>
            </w:r>
          </w:p>
        </w:tc>
        <w:tc>
          <w:tcPr>
            <w:tcW w:w="4488" w:type="dxa"/>
            <w:tcBorders>
              <w:top w:val="nil"/>
              <w:left w:val="nil"/>
              <w:bottom w:val="nil"/>
              <w:right w:val="nil"/>
            </w:tcBorders>
            <w:vAlign w:val="bottom"/>
          </w:tcPr>
          <w:p w14:paraId="2326A7A7"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10 (1.09%)</w:t>
            </w:r>
          </w:p>
        </w:tc>
      </w:tr>
      <w:tr w:rsidR="00ED1633" w:rsidRPr="00D57AE6" w14:paraId="2496DC97" w14:textId="77777777" w:rsidTr="00E6189B">
        <w:tc>
          <w:tcPr>
            <w:tcW w:w="4538" w:type="dxa"/>
            <w:tcBorders>
              <w:top w:val="nil"/>
              <w:left w:val="nil"/>
              <w:bottom w:val="nil"/>
              <w:right w:val="nil"/>
            </w:tcBorders>
            <w:vAlign w:val="bottom"/>
          </w:tcPr>
          <w:p w14:paraId="5087E5C3"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Unsatisfied</w:t>
            </w:r>
          </w:p>
        </w:tc>
        <w:tc>
          <w:tcPr>
            <w:tcW w:w="4488" w:type="dxa"/>
            <w:tcBorders>
              <w:top w:val="nil"/>
              <w:left w:val="nil"/>
              <w:bottom w:val="nil"/>
              <w:right w:val="nil"/>
            </w:tcBorders>
            <w:vAlign w:val="bottom"/>
          </w:tcPr>
          <w:p w14:paraId="088655D1"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52 (5.65%)</w:t>
            </w:r>
          </w:p>
        </w:tc>
      </w:tr>
      <w:tr w:rsidR="00ED1633" w:rsidRPr="00D57AE6" w14:paraId="7BF8290C" w14:textId="77777777" w:rsidTr="00E6189B">
        <w:tc>
          <w:tcPr>
            <w:tcW w:w="4538" w:type="dxa"/>
            <w:tcBorders>
              <w:top w:val="nil"/>
              <w:left w:val="nil"/>
              <w:bottom w:val="nil"/>
              <w:right w:val="nil"/>
            </w:tcBorders>
            <w:vAlign w:val="bottom"/>
          </w:tcPr>
          <w:p w14:paraId="4A994008"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Half/Half</w:t>
            </w:r>
          </w:p>
        </w:tc>
        <w:tc>
          <w:tcPr>
            <w:tcW w:w="4488" w:type="dxa"/>
            <w:tcBorders>
              <w:top w:val="nil"/>
              <w:left w:val="nil"/>
              <w:bottom w:val="nil"/>
              <w:right w:val="nil"/>
            </w:tcBorders>
            <w:vAlign w:val="bottom"/>
          </w:tcPr>
          <w:p w14:paraId="743A4F11"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178 (19.33%)</w:t>
            </w:r>
          </w:p>
        </w:tc>
      </w:tr>
      <w:tr w:rsidR="00ED1633" w:rsidRPr="00D57AE6" w14:paraId="13F12DE9" w14:textId="77777777" w:rsidTr="00E6189B">
        <w:tc>
          <w:tcPr>
            <w:tcW w:w="4538" w:type="dxa"/>
            <w:tcBorders>
              <w:top w:val="nil"/>
              <w:left w:val="nil"/>
              <w:bottom w:val="nil"/>
              <w:right w:val="nil"/>
            </w:tcBorders>
            <w:vAlign w:val="bottom"/>
          </w:tcPr>
          <w:p w14:paraId="7A4BA485"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Satisfied</w:t>
            </w:r>
          </w:p>
        </w:tc>
        <w:tc>
          <w:tcPr>
            <w:tcW w:w="4488" w:type="dxa"/>
            <w:tcBorders>
              <w:top w:val="nil"/>
              <w:left w:val="nil"/>
              <w:bottom w:val="nil"/>
              <w:right w:val="nil"/>
            </w:tcBorders>
            <w:vAlign w:val="bottom"/>
          </w:tcPr>
          <w:p w14:paraId="42F38990"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435 (47.23%)</w:t>
            </w:r>
          </w:p>
        </w:tc>
      </w:tr>
      <w:tr w:rsidR="00ED1633" w:rsidRPr="00D57AE6" w14:paraId="4020C52B" w14:textId="77777777" w:rsidTr="00E6189B">
        <w:tc>
          <w:tcPr>
            <w:tcW w:w="4538" w:type="dxa"/>
            <w:tcBorders>
              <w:top w:val="nil"/>
              <w:left w:val="nil"/>
              <w:bottom w:val="nil"/>
              <w:right w:val="nil"/>
            </w:tcBorders>
            <w:vAlign w:val="bottom"/>
          </w:tcPr>
          <w:p w14:paraId="267AF9E5"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Satisfied</w:t>
            </w:r>
          </w:p>
        </w:tc>
        <w:tc>
          <w:tcPr>
            <w:tcW w:w="4488" w:type="dxa"/>
            <w:tcBorders>
              <w:top w:val="nil"/>
              <w:left w:val="nil"/>
              <w:bottom w:val="nil"/>
              <w:right w:val="nil"/>
            </w:tcBorders>
            <w:vAlign w:val="bottom"/>
          </w:tcPr>
          <w:p w14:paraId="56D18D26"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246 (26.71%)</w:t>
            </w:r>
          </w:p>
        </w:tc>
      </w:tr>
      <w:tr w:rsidR="00ED1633" w:rsidRPr="00D57AE6" w14:paraId="17872C3F" w14:textId="77777777" w:rsidTr="00E6189B">
        <w:tc>
          <w:tcPr>
            <w:tcW w:w="4538" w:type="dxa"/>
            <w:tcBorders>
              <w:top w:val="nil"/>
              <w:left w:val="nil"/>
              <w:bottom w:val="nil"/>
              <w:right w:val="nil"/>
            </w:tcBorders>
            <w:vAlign w:val="bottom"/>
          </w:tcPr>
          <w:p w14:paraId="4438DEB5"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Satis.: Work Hours</w:t>
            </w:r>
          </w:p>
        </w:tc>
        <w:tc>
          <w:tcPr>
            <w:tcW w:w="4488" w:type="dxa"/>
            <w:tcBorders>
              <w:top w:val="nil"/>
              <w:left w:val="nil"/>
              <w:bottom w:val="nil"/>
              <w:right w:val="nil"/>
            </w:tcBorders>
          </w:tcPr>
          <w:p w14:paraId="54C4A8A9" w14:textId="77777777" w:rsidR="00ED1633" w:rsidRPr="00D57AE6" w:rsidRDefault="00ED1633" w:rsidP="00AF7D82">
            <w:pPr>
              <w:rPr>
                <w:rFonts w:asciiTheme="majorHAnsi" w:hAnsiTheme="majorHAnsi"/>
                <w:sz w:val="20"/>
                <w:szCs w:val="20"/>
                <w:lang w:val="en-GB"/>
              </w:rPr>
            </w:pPr>
          </w:p>
        </w:tc>
      </w:tr>
      <w:tr w:rsidR="00ED1633" w:rsidRPr="00D57AE6" w14:paraId="12168D71" w14:textId="77777777" w:rsidTr="00E6189B">
        <w:tc>
          <w:tcPr>
            <w:tcW w:w="4538" w:type="dxa"/>
            <w:tcBorders>
              <w:top w:val="nil"/>
              <w:left w:val="nil"/>
              <w:bottom w:val="nil"/>
              <w:right w:val="nil"/>
            </w:tcBorders>
            <w:vAlign w:val="bottom"/>
          </w:tcPr>
          <w:p w14:paraId="37B91FFD"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Unsatisfied</w:t>
            </w:r>
          </w:p>
        </w:tc>
        <w:tc>
          <w:tcPr>
            <w:tcW w:w="4488" w:type="dxa"/>
            <w:tcBorders>
              <w:top w:val="nil"/>
              <w:left w:val="nil"/>
              <w:bottom w:val="nil"/>
              <w:right w:val="nil"/>
            </w:tcBorders>
            <w:vAlign w:val="bottom"/>
          </w:tcPr>
          <w:p w14:paraId="540D021A"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11 (1.19%)</w:t>
            </w:r>
          </w:p>
        </w:tc>
      </w:tr>
      <w:tr w:rsidR="00ED1633" w:rsidRPr="00D57AE6" w14:paraId="19B9E893" w14:textId="77777777" w:rsidTr="00E6189B">
        <w:tc>
          <w:tcPr>
            <w:tcW w:w="4538" w:type="dxa"/>
            <w:tcBorders>
              <w:top w:val="nil"/>
              <w:left w:val="nil"/>
              <w:bottom w:val="nil"/>
              <w:right w:val="nil"/>
            </w:tcBorders>
            <w:vAlign w:val="bottom"/>
          </w:tcPr>
          <w:p w14:paraId="063CF468"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Unsatisfied</w:t>
            </w:r>
          </w:p>
        </w:tc>
        <w:tc>
          <w:tcPr>
            <w:tcW w:w="4488" w:type="dxa"/>
            <w:tcBorders>
              <w:top w:val="nil"/>
              <w:left w:val="nil"/>
              <w:bottom w:val="nil"/>
              <w:right w:val="nil"/>
            </w:tcBorders>
            <w:vAlign w:val="bottom"/>
          </w:tcPr>
          <w:p w14:paraId="6B78F0C7"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70 (7.59%)</w:t>
            </w:r>
          </w:p>
        </w:tc>
      </w:tr>
      <w:tr w:rsidR="00ED1633" w:rsidRPr="00D57AE6" w14:paraId="249183D1" w14:textId="77777777" w:rsidTr="00E6189B">
        <w:tc>
          <w:tcPr>
            <w:tcW w:w="4538" w:type="dxa"/>
            <w:tcBorders>
              <w:top w:val="nil"/>
              <w:left w:val="nil"/>
              <w:bottom w:val="nil"/>
              <w:right w:val="nil"/>
            </w:tcBorders>
            <w:vAlign w:val="bottom"/>
          </w:tcPr>
          <w:p w14:paraId="0C1C00A2"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Half/Half</w:t>
            </w:r>
          </w:p>
        </w:tc>
        <w:tc>
          <w:tcPr>
            <w:tcW w:w="4488" w:type="dxa"/>
            <w:tcBorders>
              <w:top w:val="nil"/>
              <w:left w:val="nil"/>
              <w:bottom w:val="nil"/>
              <w:right w:val="nil"/>
            </w:tcBorders>
            <w:vAlign w:val="bottom"/>
          </w:tcPr>
          <w:p w14:paraId="2951074B"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114 (12.36%)</w:t>
            </w:r>
          </w:p>
        </w:tc>
      </w:tr>
      <w:tr w:rsidR="00ED1633" w:rsidRPr="00D57AE6" w14:paraId="3F5A0430" w14:textId="77777777" w:rsidTr="00E6189B">
        <w:tc>
          <w:tcPr>
            <w:tcW w:w="4538" w:type="dxa"/>
            <w:tcBorders>
              <w:top w:val="nil"/>
              <w:left w:val="nil"/>
              <w:bottom w:val="nil"/>
              <w:right w:val="nil"/>
            </w:tcBorders>
            <w:vAlign w:val="bottom"/>
          </w:tcPr>
          <w:p w14:paraId="7D7AABE9"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Satisfied</w:t>
            </w:r>
          </w:p>
        </w:tc>
        <w:tc>
          <w:tcPr>
            <w:tcW w:w="4488" w:type="dxa"/>
            <w:tcBorders>
              <w:top w:val="nil"/>
              <w:left w:val="nil"/>
              <w:bottom w:val="nil"/>
              <w:right w:val="nil"/>
            </w:tcBorders>
            <w:vAlign w:val="bottom"/>
          </w:tcPr>
          <w:p w14:paraId="6621F251"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354 (38.39%)</w:t>
            </w:r>
          </w:p>
        </w:tc>
      </w:tr>
      <w:tr w:rsidR="00ED1633" w:rsidRPr="00D57AE6" w14:paraId="15B8CE46" w14:textId="77777777" w:rsidTr="00E6189B">
        <w:tc>
          <w:tcPr>
            <w:tcW w:w="4538" w:type="dxa"/>
            <w:tcBorders>
              <w:top w:val="nil"/>
              <w:left w:val="nil"/>
              <w:bottom w:val="nil"/>
              <w:right w:val="nil"/>
            </w:tcBorders>
            <w:vAlign w:val="bottom"/>
          </w:tcPr>
          <w:p w14:paraId="7B5F7B74"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Satisfied</w:t>
            </w:r>
          </w:p>
        </w:tc>
        <w:tc>
          <w:tcPr>
            <w:tcW w:w="4488" w:type="dxa"/>
            <w:tcBorders>
              <w:top w:val="nil"/>
              <w:left w:val="nil"/>
              <w:bottom w:val="nil"/>
              <w:right w:val="nil"/>
            </w:tcBorders>
            <w:vAlign w:val="bottom"/>
          </w:tcPr>
          <w:p w14:paraId="190FFF10"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373 (40.46%)</w:t>
            </w:r>
          </w:p>
        </w:tc>
      </w:tr>
      <w:tr w:rsidR="00ED1633" w:rsidRPr="00D57AE6" w14:paraId="566BE9C9" w14:textId="77777777" w:rsidTr="00E6189B">
        <w:tc>
          <w:tcPr>
            <w:tcW w:w="4538" w:type="dxa"/>
            <w:tcBorders>
              <w:top w:val="nil"/>
              <w:left w:val="nil"/>
              <w:bottom w:val="nil"/>
              <w:right w:val="nil"/>
            </w:tcBorders>
            <w:vAlign w:val="bottom"/>
          </w:tcPr>
          <w:p w14:paraId="6DCE1584"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Satis.: Career Opp.</w:t>
            </w:r>
          </w:p>
        </w:tc>
        <w:tc>
          <w:tcPr>
            <w:tcW w:w="4488" w:type="dxa"/>
            <w:tcBorders>
              <w:top w:val="nil"/>
              <w:left w:val="nil"/>
              <w:bottom w:val="nil"/>
              <w:right w:val="nil"/>
            </w:tcBorders>
          </w:tcPr>
          <w:p w14:paraId="161C4ABD" w14:textId="77777777" w:rsidR="00ED1633" w:rsidRPr="00D57AE6" w:rsidRDefault="00ED1633" w:rsidP="00AF7D82">
            <w:pPr>
              <w:rPr>
                <w:rFonts w:asciiTheme="majorHAnsi" w:hAnsiTheme="majorHAnsi"/>
                <w:sz w:val="20"/>
                <w:szCs w:val="20"/>
                <w:lang w:val="en-GB"/>
              </w:rPr>
            </w:pPr>
          </w:p>
        </w:tc>
      </w:tr>
      <w:tr w:rsidR="00ED1633" w:rsidRPr="00D57AE6" w14:paraId="150C00BF" w14:textId="77777777" w:rsidTr="00E6189B">
        <w:tc>
          <w:tcPr>
            <w:tcW w:w="4538" w:type="dxa"/>
            <w:tcBorders>
              <w:top w:val="nil"/>
              <w:left w:val="nil"/>
              <w:bottom w:val="nil"/>
              <w:right w:val="nil"/>
            </w:tcBorders>
            <w:vAlign w:val="bottom"/>
          </w:tcPr>
          <w:p w14:paraId="04F4958C"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Unsatisfied</w:t>
            </w:r>
          </w:p>
        </w:tc>
        <w:tc>
          <w:tcPr>
            <w:tcW w:w="4488" w:type="dxa"/>
            <w:tcBorders>
              <w:top w:val="nil"/>
              <w:left w:val="nil"/>
              <w:bottom w:val="nil"/>
              <w:right w:val="nil"/>
            </w:tcBorders>
            <w:vAlign w:val="bottom"/>
          </w:tcPr>
          <w:p w14:paraId="3619C0F3"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29 (4.06%)</w:t>
            </w:r>
          </w:p>
        </w:tc>
      </w:tr>
      <w:tr w:rsidR="00ED1633" w:rsidRPr="00D57AE6" w14:paraId="5AF0A70F" w14:textId="77777777" w:rsidTr="00E6189B">
        <w:tc>
          <w:tcPr>
            <w:tcW w:w="4538" w:type="dxa"/>
            <w:tcBorders>
              <w:top w:val="nil"/>
              <w:left w:val="nil"/>
              <w:bottom w:val="nil"/>
              <w:right w:val="nil"/>
            </w:tcBorders>
            <w:vAlign w:val="bottom"/>
          </w:tcPr>
          <w:p w14:paraId="08856A65"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Unsatisfied</w:t>
            </w:r>
          </w:p>
        </w:tc>
        <w:tc>
          <w:tcPr>
            <w:tcW w:w="4488" w:type="dxa"/>
            <w:tcBorders>
              <w:top w:val="nil"/>
              <w:left w:val="nil"/>
              <w:bottom w:val="nil"/>
              <w:right w:val="nil"/>
            </w:tcBorders>
            <w:vAlign w:val="bottom"/>
          </w:tcPr>
          <w:p w14:paraId="014F515A"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62 (8.67%)</w:t>
            </w:r>
          </w:p>
        </w:tc>
      </w:tr>
      <w:tr w:rsidR="00ED1633" w:rsidRPr="00D57AE6" w14:paraId="67FFD470" w14:textId="77777777" w:rsidTr="00E6189B">
        <w:tc>
          <w:tcPr>
            <w:tcW w:w="4538" w:type="dxa"/>
            <w:tcBorders>
              <w:top w:val="nil"/>
              <w:left w:val="nil"/>
              <w:bottom w:val="nil"/>
              <w:right w:val="nil"/>
            </w:tcBorders>
            <w:vAlign w:val="bottom"/>
          </w:tcPr>
          <w:p w14:paraId="5D45E196"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Half/Half</w:t>
            </w:r>
          </w:p>
        </w:tc>
        <w:tc>
          <w:tcPr>
            <w:tcW w:w="4488" w:type="dxa"/>
            <w:tcBorders>
              <w:top w:val="nil"/>
              <w:left w:val="nil"/>
              <w:bottom w:val="nil"/>
              <w:right w:val="nil"/>
            </w:tcBorders>
            <w:vAlign w:val="bottom"/>
          </w:tcPr>
          <w:p w14:paraId="5CEC1573"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160 (22.38%)</w:t>
            </w:r>
          </w:p>
        </w:tc>
      </w:tr>
      <w:tr w:rsidR="00ED1633" w:rsidRPr="00D57AE6" w14:paraId="31B5ED63" w14:textId="77777777" w:rsidTr="00E6189B">
        <w:tc>
          <w:tcPr>
            <w:tcW w:w="4538" w:type="dxa"/>
            <w:tcBorders>
              <w:top w:val="nil"/>
              <w:left w:val="nil"/>
              <w:bottom w:val="nil"/>
              <w:right w:val="nil"/>
            </w:tcBorders>
            <w:vAlign w:val="bottom"/>
          </w:tcPr>
          <w:p w14:paraId="5C85A999"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lastRenderedPageBreak/>
              <w:t xml:space="preserve">  Satisfied</w:t>
            </w:r>
          </w:p>
        </w:tc>
        <w:tc>
          <w:tcPr>
            <w:tcW w:w="4488" w:type="dxa"/>
            <w:tcBorders>
              <w:top w:val="nil"/>
              <w:left w:val="nil"/>
              <w:bottom w:val="nil"/>
              <w:right w:val="nil"/>
            </w:tcBorders>
            <w:vAlign w:val="bottom"/>
          </w:tcPr>
          <w:p w14:paraId="0EC8356A"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292 (40.84%)</w:t>
            </w:r>
          </w:p>
        </w:tc>
      </w:tr>
      <w:tr w:rsidR="00ED1633" w:rsidRPr="00D57AE6" w14:paraId="3A84FB26" w14:textId="77777777" w:rsidTr="00E6189B">
        <w:tc>
          <w:tcPr>
            <w:tcW w:w="4538" w:type="dxa"/>
            <w:tcBorders>
              <w:top w:val="nil"/>
              <w:left w:val="nil"/>
              <w:bottom w:val="nil"/>
              <w:right w:val="nil"/>
            </w:tcBorders>
            <w:vAlign w:val="bottom"/>
          </w:tcPr>
          <w:p w14:paraId="2B60CC8D"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Satisfied</w:t>
            </w:r>
          </w:p>
        </w:tc>
        <w:tc>
          <w:tcPr>
            <w:tcW w:w="4488" w:type="dxa"/>
            <w:tcBorders>
              <w:top w:val="nil"/>
              <w:left w:val="nil"/>
              <w:bottom w:val="nil"/>
              <w:right w:val="nil"/>
            </w:tcBorders>
            <w:vAlign w:val="bottom"/>
          </w:tcPr>
          <w:p w14:paraId="3B94120B"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172 (24.06%)</w:t>
            </w:r>
          </w:p>
        </w:tc>
      </w:tr>
      <w:tr w:rsidR="00ED1633" w:rsidRPr="00D57AE6" w14:paraId="076A350B" w14:textId="77777777" w:rsidTr="00E6189B">
        <w:tc>
          <w:tcPr>
            <w:tcW w:w="4538" w:type="dxa"/>
            <w:tcBorders>
              <w:top w:val="nil"/>
              <w:left w:val="nil"/>
              <w:bottom w:val="nil"/>
              <w:right w:val="nil"/>
            </w:tcBorders>
            <w:vAlign w:val="bottom"/>
          </w:tcPr>
          <w:p w14:paraId="1AA3C1C4"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Satis.: Work Tasks</w:t>
            </w:r>
          </w:p>
        </w:tc>
        <w:tc>
          <w:tcPr>
            <w:tcW w:w="4488" w:type="dxa"/>
            <w:tcBorders>
              <w:top w:val="nil"/>
              <w:left w:val="nil"/>
              <w:bottom w:val="nil"/>
              <w:right w:val="nil"/>
            </w:tcBorders>
          </w:tcPr>
          <w:p w14:paraId="174D3155" w14:textId="77777777" w:rsidR="00ED1633" w:rsidRPr="00D57AE6" w:rsidRDefault="00ED1633" w:rsidP="00AF7D82">
            <w:pPr>
              <w:rPr>
                <w:rFonts w:asciiTheme="majorHAnsi" w:hAnsiTheme="majorHAnsi"/>
                <w:sz w:val="20"/>
                <w:szCs w:val="20"/>
                <w:lang w:val="en-GB"/>
              </w:rPr>
            </w:pPr>
          </w:p>
        </w:tc>
      </w:tr>
      <w:tr w:rsidR="00ED1633" w:rsidRPr="00D57AE6" w14:paraId="6319BFDE" w14:textId="77777777" w:rsidTr="00E6189B">
        <w:tc>
          <w:tcPr>
            <w:tcW w:w="4538" w:type="dxa"/>
            <w:tcBorders>
              <w:top w:val="nil"/>
              <w:left w:val="nil"/>
              <w:bottom w:val="nil"/>
              <w:right w:val="nil"/>
            </w:tcBorders>
            <w:vAlign w:val="bottom"/>
          </w:tcPr>
          <w:p w14:paraId="10818C17"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Unsatisfied</w:t>
            </w:r>
          </w:p>
        </w:tc>
        <w:tc>
          <w:tcPr>
            <w:tcW w:w="4488" w:type="dxa"/>
            <w:tcBorders>
              <w:top w:val="nil"/>
              <w:left w:val="nil"/>
              <w:bottom w:val="nil"/>
              <w:right w:val="nil"/>
            </w:tcBorders>
            <w:vAlign w:val="bottom"/>
          </w:tcPr>
          <w:p w14:paraId="54E7FE75"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4 (0.43%)</w:t>
            </w:r>
          </w:p>
        </w:tc>
      </w:tr>
      <w:tr w:rsidR="00ED1633" w:rsidRPr="00D57AE6" w14:paraId="3D54A510" w14:textId="77777777" w:rsidTr="00E6189B">
        <w:tc>
          <w:tcPr>
            <w:tcW w:w="4538" w:type="dxa"/>
            <w:tcBorders>
              <w:top w:val="nil"/>
              <w:left w:val="nil"/>
              <w:bottom w:val="nil"/>
              <w:right w:val="nil"/>
            </w:tcBorders>
            <w:vAlign w:val="bottom"/>
          </w:tcPr>
          <w:p w14:paraId="6DE2A108"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Unsatisfied</w:t>
            </w:r>
          </w:p>
        </w:tc>
        <w:tc>
          <w:tcPr>
            <w:tcW w:w="4488" w:type="dxa"/>
            <w:tcBorders>
              <w:top w:val="nil"/>
              <w:left w:val="nil"/>
              <w:bottom w:val="nil"/>
              <w:right w:val="nil"/>
            </w:tcBorders>
            <w:vAlign w:val="bottom"/>
          </w:tcPr>
          <w:p w14:paraId="2A4893A3"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22 (2.39%)</w:t>
            </w:r>
          </w:p>
        </w:tc>
      </w:tr>
      <w:tr w:rsidR="00ED1633" w:rsidRPr="00D57AE6" w14:paraId="4293F99E" w14:textId="77777777" w:rsidTr="00E6189B">
        <w:tc>
          <w:tcPr>
            <w:tcW w:w="4538" w:type="dxa"/>
            <w:tcBorders>
              <w:top w:val="nil"/>
              <w:left w:val="nil"/>
              <w:bottom w:val="nil"/>
              <w:right w:val="nil"/>
            </w:tcBorders>
            <w:vAlign w:val="bottom"/>
          </w:tcPr>
          <w:p w14:paraId="734D3046"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Half/Half</w:t>
            </w:r>
          </w:p>
        </w:tc>
        <w:tc>
          <w:tcPr>
            <w:tcW w:w="4488" w:type="dxa"/>
            <w:tcBorders>
              <w:top w:val="nil"/>
              <w:left w:val="nil"/>
              <w:bottom w:val="nil"/>
              <w:right w:val="nil"/>
            </w:tcBorders>
            <w:vAlign w:val="bottom"/>
          </w:tcPr>
          <w:p w14:paraId="7341E8FC"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121 (13.12%)</w:t>
            </w:r>
          </w:p>
        </w:tc>
      </w:tr>
      <w:tr w:rsidR="00ED1633" w:rsidRPr="00D57AE6" w14:paraId="4BA20F2C" w14:textId="77777777" w:rsidTr="00E6189B">
        <w:tc>
          <w:tcPr>
            <w:tcW w:w="4538" w:type="dxa"/>
            <w:tcBorders>
              <w:top w:val="nil"/>
              <w:left w:val="nil"/>
              <w:bottom w:val="nil"/>
              <w:right w:val="nil"/>
            </w:tcBorders>
            <w:vAlign w:val="bottom"/>
          </w:tcPr>
          <w:p w14:paraId="41DBF5CB"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Satisfied</w:t>
            </w:r>
          </w:p>
        </w:tc>
        <w:tc>
          <w:tcPr>
            <w:tcW w:w="4488" w:type="dxa"/>
            <w:tcBorders>
              <w:top w:val="nil"/>
              <w:left w:val="nil"/>
              <w:bottom w:val="nil"/>
              <w:right w:val="nil"/>
            </w:tcBorders>
            <w:vAlign w:val="bottom"/>
          </w:tcPr>
          <w:p w14:paraId="2E714CF5"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376 (40.78%)</w:t>
            </w:r>
          </w:p>
        </w:tc>
      </w:tr>
      <w:tr w:rsidR="00ED1633" w:rsidRPr="00D57AE6" w14:paraId="7F5CCB85" w14:textId="77777777" w:rsidTr="00E6189B">
        <w:tc>
          <w:tcPr>
            <w:tcW w:w="4538" w:type="dxa"/>
            <w:tcBorders>
              <w:top w:val="nil"/>
              <w:left w:val="nil"/>
              <w:bottom w:val="nil"/>
              <w:right w:val="nil"/>
            </w:tcBorders>
            <w:vAlign w:val="bottom"/>
          </w:tcPr>
          <w:p w14:paraId="232CDF5B"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Satisfied</w:t>
            </w:r>
          </w:p>
        </w:tc>
        <w:tc>
          <w:tcPr>
            <w:tcW w:w="4488" w:type="dxa"/>
            <w:tcBorders>
              <w:top w:val="nil"/>
              <w:left w:val="nil"/>
              <w:bottom w:val="nil"/>
              <w:right w:val="nil"/>
            </w:tcBorders>
            <w:vAlign w:val="bottom"/>
          </w:tcPr>
          <w:p w14:paraId="0B816DC5"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399 (43.28%)</w:t>
            </w:r>
          </w:p>
        </w:tc>
      </w:tr>
      <w:tr w:rsidR="00ED1633" w:rsidRPr="00D57AE6" w14:paraId="5B3A8C0B" w14:textId="77777777" w:rsidTr="00E6189B">
        <w:tc>
          <w:tcPr>
            <w:tcW w:w="4538" w:type="dxa"/>
            <w:tcBorders>
              <w:top w:val="nil"/>
              <w:left w:val="nil"/>
              <w:bottom w:val="nil"/>
              <w:right w:val="nil"/>
            </w:tcBorders>
            <w:vAlign w:val="bottom"/>
          </w:tcPr>
          <w:p w14:paraId="25F8ACEC"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Satis.: Overall Job</w:t>
            </w:r>
          </w:p>
        </w:tc>
        <w:tc>
          <w:tcPr>
            <w:tcW w:w="4488" w:type="dxa"/>
            <w:tcBorders>
              <w:top w:val="nil"/>
              <w:left w:val="nil"/>
              <w:bottom w:val="nil"/>
              <w:right w:val="nil"/>
            </w:tcBorders>
          </w:tcPr>
          <w:p w14:paraId="500E9A19" w14:textId="77777777" w:rsidR="00ED1633" w:rsidRPr="00D57AE6" w:rsidRDefault="00ED1633" w:rsidP="00AF7D82">
            <w:pPr>
              <w:rPr>
                <w:rFonts w:asciiTheme="majorHAnsi" w:hAnsiTheme="majorHAnsi"/>
                <w:sz w:val="20"/>
                <w:szCs w:val="20"/>
                <w:lang w:val="en-GB"/>
              </w:rPr>
            </w:pPr>
          </w:p>
        </w:tc>
      </w:tr>
      <w:tr w:rsidR="00ED1633" w:rsidRPr="00D57AE6" w14:paraId="1CD70541" w14:textId="77777777" w:rsidTr="00E6189B">
        <w:tc>
          <w:tcPr>
            <w:tcW w:w="4538" w:type="dxa"/>
            <w:tcBorders>
              <w:top w:val="nil"/>
              <w:left w:val="nil"/>
              <w:bottom w:val="nil"/>
              <w:right w:val="nil"/>
            </w:tcBorders>
            <w:vAlign w:val="bottom"/>
          </w:tcPr>
          <w:p w14:paraId="701B6F77"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Unsatisfied</w:t>
            </w:r>
          </w:p>
        </w:tc>
        <w:tc>
          <w:tcPr>
            <w:tcW w:w="4488" w:type="dxa"/>
            <w:tcBorders>
              <w:top w:val="nil"/>
              <w:left w:val="nil"/>
              <w:bottom w:val="nil"/>
              <w:right w:val="nil"/>
            </w:tcBorders>
            <w:vAlign w:val="bottom"/>
          </w:tcPr>
          <w:p w14:paraId="67901087"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 (0.22%)</w:t>
            </w:r>
          </w:p>
        </w:tc>
      </w:tr>
      <w:tr w:rsidR="00ED1633" w:rsidRPr="00D57AE6" w14:paraId="183D9BB0" w14:textId="77777777" w:rsidTr="00E6189B">
        <w:tc>
          <w:tcPr>
            <w:tcW w:w="4538" w:type="dxa"/>
            <w:tcBorders>
              <w:top w:val="nil"/>
              <w:left w:val="nil"/>
              <w:bottom w:val="nil"/>
              <w:right w:val="nil"/>
            </w:tcBorders>
            <w:vAlign w:val="bottom"/>
          </w:tcPr>
          <w:p w14:paraId="7FF14BE7"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Unsatisfied</w:t>
            </w:r>
          </w:p>
        </w:tc>
        <w:tc>
          <w:tcPr>
            <w:tcW w:w="4488" w:type="dxa"/>
            <w:tcBorders>
              <w:top w:val="nil"/>
              <w:left w:val="nil"/>
              <w:bottom w:val="nil"/>
              <w:right w:val="nil"/>
            </w:tcBorders>
            <w:vAlign w:val="bottom"/>
          </w:tcPr>
          <w:p w14:paraId="66F9CD15"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20 (2.17%)</w:t>
            </w:r>
          </w:p>
        </w:tc>
      </w:tr>
      <w:tr w:rsidR="00ED1633" w:rsidRPr="00D57AE6" w14:paraId="4E81953E" w14:textId="77777777" w:rsidTr="00E6189B">
        <w:tc>
          <w:tcPr>
            <w:tcW w:w="4538" w:type="dxa"/>
            <w:tcBorders>
              <w:top w:val="nil"/>
              <w:left w:val="nil"/>
              <w:bottom w:val="nil"/>
              <w:right w:val="nil"/>
            </w:tcBorders>
            <w:vAlign w:val="bottom"/>
          </w:tcPr>
          <w:p w14:paraId="0E8A687C"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Half/Half</w:t>
            </w:r>
          </w:p>
        </w:tc>
        <w:tc>
          <w:tcPr>
            <w:tcW w:w="4488" w:type="dxa"/>
            <w:tcBorders>
              <w:top w:val="nil"/>
              <w:left w:val="nil"/>
              <w:bottom w:val="nil"/>
              <w:right w:val="nil"/>
            </w:tcBorders>
            <w:vAlign w:val="bottom"/>
          </w:tcPr>
          <w:p w14:paraId="6ED723B4"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104 (11.28%)</w:t>
            </w:r>
          </w:p>
        </w:tc>
      </w:tr>
      <w:tr w:rsidR="00ED1633" w:rsidRPr="00D57AE6" w14:paraId="06B2E858" w14:textId="77777777" w:rsidTr="00E6189B">
        <w:tc>
          <w:tcPr>
            <w:tcW w:w="4538" w:type="dxa"/>
            <w:tcBorders>
              <w:top w:val="nil"/>
              <w:left w:val="nil"/>
              <w:bottom w:val="nil"/>
              <w:right w:val="nil"/>
            </w:tcBorders>
            <w:vAlign w:val="bottom"/>
          </w:tcPr>
          <w:p w14:paraId="5C47583E"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Satisfied</w:t>
            </w:r>
          </w:p>
        </w:tc>
        <w:tc>
          <w:tcPr>
            <w:tcW w:w="4488" w:type="dxa"/>
            <w:tcBorders>
              <w:top w:val="nil"/>
              <w:left w:val="nil"/>
              <w:bottom w:val="nil"/>
              <w:right w:val="nil"/>
            </w:tcBorders>
            <w:vAlign w:val="bottom"/>
          </w:tcPr>
          <w:p w14:paraId="381131DE"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442 (47.94%)</w:t>
            </w:r>
          </w:p>
        </w:tc>
      </w:tr>
      <w:tr w:rsidR="00ED1633" w:rsidRPr="00D57AE6" w14:paraId="29275487" w14:textId="77777777" w:rsidTr="00E6189B">
        <w:tc>
          <w:tcPr>
            <w:tcW w:w="4538" w:type="dxa"/>
            <w:tcBorders>
              <w:top w:val="nil"/>
              <w:left w:val="nil"/>
              <w:bottom w:val="nil"/>
              <w:right w:val="nil"/>
            </w:tcBorders>
            <w:vAlign w:val="bottom"/>
          </w:tcPr>
          <w:p w14:paraId="18883184"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Satisfied</w:t>
            </w:r>
          </w:p>
        </w:tc>
        <w:tc>
          <w:tcPr>
            <w:tcW w:w="4488" w:type="dxa"/>
            <w:tcBorders>
              <w:top w:val="nil"/>
              <w:left w:val="nil"/>
              <w:bottom w:val="nil"/>
              <w:right w:val="nil"/>
            </w:tcBorders>
            <w:vAlign w:val="bottom"/>
          </w:tcPr>
          <w:p w14:paraId="3BE05B9C"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354 (38.39%)</w:t>
            </w:r>
          </w:p>
        </w:tc>
      </w:tr>
      <w:tr w:rsidR="00ED1633" w:rsidRPr="00D57AE6" w14:paraId="752B10F6" w14:textId="77777777" w:rsidTr="00E6189B">
        <w:tc>
          <w:tcPr>
            <w:tcW w:w="4538" w:type="dxa"/>
            <w:tcBorders>
              <w:top w:val="nil"/>
              <w:left w:val="nil"/>
              <w:bottom w:val="nil"/>
              <w:right w:val="nil"/>
            </w:tcBorders>
            <w:vAlign w:val="bottom"/>
          </w:tcPr>
          <w:p w14:paraId="64E28540"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Satis.: Colleagues/Climate</w:t>
            </w:r>
          </w:p>
        </w:tc>
        <w:tc>
          <w:tcPr>
            <w:tcW w:w="4488" w:type="dxa"/>
            <w:tcBorders>
              <w:top w:val="nil"/>
              <w:left w:val="nil"/>
              <w:bottom w:val="nil"/>
              <w:right w:val="nil"/>
            </w:tcBorders>
          </w:tcPr>
          <w:p w14:paraId="611EC9A8" w14:textId="77777777" w:rsidR="00ED1633" w:rsidRPr="00D57AE6" w:rsidRDefault="00ED1633" w:rsidP="00AF7D82">
            <w:pPr>
              <w:rPr>
                <w:rFonts w:asciiTheme="majorHAnsi" w:hAnsiTheme="majorHAnsi"/>
                <w:sz w:val="20"/>
                <w:szCs w:val="20"/>
                <w:lang w:val="en-GB"/>
              </w:rPr>
            </w:pPr>
          </w:p>
        </w:tc>
      </w:tr>
      <w:tr w:rsidR="00ED1633" w:rsidRPr="00D57AE6" w14:paraId="5E62BC7C" w14:textId="77777777" w:rsidTr="00E6189B">
        <w:tc>
          <w:tcPr>
            <w:tcW w:w="4538" w:type="dxa"/>
            <w:tcBorders>
              <w:top w:val="nil"/>
              <w:left w:val="nil"/>
              <w:bottom w:val="nil"/>
              <w:right w:val="nil"/>
            </w:tcBorders>
            <w:vAlign w:val="bottom"/>
          </w:tcPr>
          <w:p w14:paraId="1036B2E5"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Unsatisfied</w:t>
            </w:r>
          </w:p>
        </w:tc>
        <w:tc>
          <w:tcPr>
            <w:tcW w:w="4488" w:type="dxa"/>
            <w:tcBorders>
              <w:top w:val="nil"/>
              <w:left w:val="nil"/>
              <w:bottom w:val="nil"/>
              <w:right w:val="nil"/>
            </w:tcBorders>
            <w:vAlign w:val="bottom"/>
          </w:tcPr>
          <w:p w14:paraId="1D79A2AE"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6 (0.67%)</w:t>
            </w:r>
          </w:p>
        </w:tc>
      </w:tr>
      <w:tr w:rsidR="00ED1633" w:rsidRPr="00D57AE6" w14:paraId="344C1A44" w14:textId="77777777" w:rsidTr="00E6189B">
        <w:tc>
          <w:tcPr>
            <w:tcW w:w="4538" w:type="dxa"/>
            <w:tcBorders>
              <w:top w:val="nil"/>
              <w:left w:val="nil"/>
              <w:bottom w:val="nil"/>
              <w:right w:val="nil"/>
            </w:tcBorders>
            <w:vAlign w:val="bottom"/>
          </w:tcPr>
          <w:p w14:paraId="0CE5C1A2"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Unsatisfied</w:t>
            </w:r>
          </w:p>
        </w:tc>
        <w:tc>
          <w:tcPr>
            <w:tcW w:w="4488" w:type="dxa"/>
            <w:tcBorders>
              <w:top w:val="nil"/>
              <w:left w:val="nil"/>
              <w:bottom w:val="nil"/>
              <w:right w:val="nil"/>
            </w:tcBorders>
            <w:vAlign w:val="bottom"/>
          </w:tcPr>
          <w:p w14:paraId="65421C7F"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40 (4.46%)</w:t>
            </w:r>
          </w:p>
        </w:tc>
      </w:tr>
      <w:tr w:rsidR="00ED1633" w:rsidRPr="00D57AE6" w14:paraId="208632BD" w14:textId="77777777" w:rsidTr="00E6189B">
        <w:tc>
          <w:tcPr>
            <w:tcW w:w="4538" w:type="dxa"/>
            <w:tcBorders>
              <w:top w:val="nil"/>
              <w:left w:val="nil"/>
              <w:bottom w:val="nil"/>
              <w:right w:val="nil"/>
            </w:tcBorders>
            <w:vAlign w:val="bottom"/>
          </w:tcPr>
          <w:p w14:paraId="66986C48"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Half/Half</w:t>
            </w:r>
          </w:p>
        </w:tc>
        <w:tc>
          <w:tcPr>
            <w:tcW w:w="4488" w:type="dxa"/>
            <w:tcBorders>
              <w:top w:val="nil"/>
              <w:left w:val="nil"/>
              <w:bottom w:val="nil"/>
              <w:right w:val="nil"/>
            </w:tcBorders>
            <w:vAlign w:val="bottom"/>
          </w:tcPr>
          <w:p w14:paraId="007EEE3C"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130 (14.49%)</w:t>
            </w:r>
          </w:p>
        </w:tc>
      </w:tr>
      <w:tr w:rsidR="00ED1633" w:rsidRPr="00D57AE6" w14:paraId="6881DB19" w14:textId="77777777" w:rsidTr="00E6189B">
        <w:tc>
          <w:tcPr>
            <w:tcW w:w="4538" w:type="dxa"/>
            <w:tcBorders>
              <w:top w:val="nil"/>
              <w:left w:val="nil"/>
              <w:bottom w:val="nil"/>
              <w:right w:val="nil"/>
            </w:tcBorders>
            <w:vAlign w:val="bottom"/>
          </w:tcPr>
          <w:p w14:paraId="57554651"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Satisfied</w:t>
            </w:r>
          </w:p>
        </w:tc>
        <w:tc>
          <w:tcPr>
            <w:tcW w:w="4488" w:type="dxa"/>
            <w:tcBorders>
              <w:top w:val="nil"/>
              <w:left w:val="nil"/>
              <w:bottom w:val="nil"/>
              <w:right w:val="nil"/>
            </w:tcBorders>
            <w:vAlign w:val="bottom"/>
          </w:tcPr>
          <w:p w14:paraId="7D77659B"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342 (38.13%)</w:t>
            </w:r>
          </w:p>
        </w:tc>
      </w:tr>
      <w:tr w:rsidR="00ED1633" w:rsidRPr="00D57AE6" w14:paraId="4F6590C1" w14:textId="77777777" w:rsidTr="00E6189B">
        <w:tc>
          <w:tcPr>
            <w:tcW w:w="4538" w:type="dxa"/>
            <w:tcBorders>
              <w:top w:val="nil"/>
              <w:left w:val="nil"/>
              <w:bottom w:val="nil"/>
              <w:right w:val="nil"/>
            </w:tcBorders>
            <w:vAlign w:val="bottom"/>
          </w:tcPr>
          <w:p w14:paraId="58BF4E95"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Very Satisfied</w:t>
            </w:r>
          </w:p>
        </w:tc>
        <w:tc>
          <w:tcPr>
            <w:tcW w:w="4488" w:type="dxa"/>
            <w:tcBorders>
              <w:top w:val="nil"/>
              <w:left w:val="nil"/>
              <w:bottom w:val="nil"/>
              <w:right w:val="nil"/>
            </w:tcBorders>
            <w:vAlign w:val="bottom"/>
          </w:tcPr>
          <w:p w14:paraId="3E3697AD"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379 (42.25%)</w:t>
            </w:r>
          </w:p>
        </w:tc>
      </w:tr>
      <w:tr w:rsidR="00ED1633" w:rsidRPr="00D57AE6" w14:paraId="642C1636" w14:textId="77777777" w:rsidTr="00E6189B">
        <w:tc>
          <w:tcPr>
            <w:tcW w:w="4538" w:type="dxa"/>
            <w:tcBorders>
              <w:top w:val="nil"/>
              <w:left w:val="nil"/>
              <w:bottom w:val="nil"/>
              <w:right w:val="nil"/>
            </w:tcBorders>
            <w:vAlign w:val="bottom"/>
          </w:tcPr>
          <w:p w14:paraId="066F0BD7" w14:textId="77777777" w:rsidR="00ED1633" w:rsidRPr="00D57AE6" w:rsidRDefault="00ED1633" w:rsidP="00AF7D82">
            <w:pPr>
              <w:rPr>
                <w:rFonts w:asciiTheme="majorHAnsi" w:hAnsiTheme="majorHAnsi"/>
                <w:b/>
                <w:bCs/>
                <w:sz w:val="20"/>
                <w:szCs w:val="20"/>
                <w:lang w:val="en-GB"/>
              </w:rPr>
            </w:pPr>
            <w:r w:rsidRPr="00D57AE6">
              <w:rPr>
                <w:rFonts w:asciiTheme="majorHAnsi" w:hAnsiTheme="majorHAnsi"/>
                <w:b/>
                <w:bCs/>
                <w:sz w:val="20"/>
                <w:szCs w:val="20"/>
                <w:lang w:val="en-GB"/>
              </w:rPr>
              <w:t>Advice Seeking</w:t>
            </w:r>
          </w:p>
        </w:tc>
        <w:tc>
          <w:tcPr>
            <w:tcW w:w="4488" w:type="dxa"/>
            <w:tcBorders>
              <w:top w:val="nil"/>
              <w:left w:val="nil"/>
              <w:bottom w:val="nil"/>
              <w:right w:val="nil"/>
            </w:tcBorders>
          </w:tcPr>
          <w:p w14:paraId="6D25F4C5" w14:textId="77777777" w:rsidR="00ED1633" w:rsidRPr="00D57AE6" w:rsidRDefault="00ED1633" w:rsidP="00AF7D82">
            <w:pPr>
              <w:rPr>
                <w:rFonts w:asciiTheme="majorHAnsi" w:hAnsiTheme="majorHAnsi"/>
                <w:sz w:val="20"/>
                <w:szCs w:val="20"/>
                <w:lang w:val="en-GB"/>
              </w:rPr>
            </w:pPr>
          </w:p>
        </w:tc>
      </w:tr>
      <w:tr w:rsidR="00ED1633" w:rsidRPr="00D57AE6" w14:paraId="74CA034E" w14:textId="77777777" w:rsidTr="00E6189B">
        <w:tc>
          <w:tcPr>
            <w:tcW w:w="4538" w:type="dxa"/>
            <w:tcBorders>
              <w:top w:val="nil"/>
              <w:left w:val="nil"/>
              <w:bottom w:val="nil"/>
              <w:right w:val="nil"/>
            </w:tcBorders>
            <w:vAlign w:val="bottom"/>
          </w:tcPr>
          <w:p w14:paraId="0A5CFE25"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Or </w:t>
            </w:r>
            <w:proofErr w:type="gramStart"/>
            <w:r w:rsidRPr="00D57AE6">
              <w:rPr>
                <w:rFonts w:asciiTheme="majorHAnsi" w:hAnsiTheme="majorHAnsi"/>
                <w:sz w:val="20"/>
                <w:szCs w:val="20"/>
                <w:lang w:val="en-GB"/>
              </w:rPr>
              <w:t>Never</w:t>
            </w:r>
            <w:proofErr w:type="gramEnd"/>
          </w:p>
        </w:tc>
        <w:tc>
          <w:tcPr>
            <w:tcW w:w="4488" w:type="dxa"/>
            <w:tcBorders>
              <w:top w:val="nil"/>
              <w:left w:val="nil"/>
              <w:bottom w:val="nil"/>
              <w:right w:val="nil"/>
            </w:tcBorders>
            <w:vAlign w:val="bottom"/>
          </w:tcPr>
          <w:p w14:paraId="2C8E93D4"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55 (4.21%)</w:t>
            </w:r>
          </w:p>
        </w:tc>
      </w:tr>
      <w:tr w:rsidR="00ED1633" w:rsidRPr="00D57AE6" w14:paraId="1A10C9FC" w14:textId="77777777" w:rsidTr="00E6189B">
        <w:tc>
          <w:tcPr>
            <w:tcW w:w="4538" w:type="dxa"/>
            <w:tcBorders>
              <w:top w:val="nil"/>
              <w:left w:val="nil"/>
              <w:bottom w:val="nil"/>
              <w:right w:val="nil"/>
            </w:tcBorders>
            <w:vAlign w:val="bottom"/>
          </w:tcPr>
          <w:p w14:paraId="04EDB8A2"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Seldom</w:t>
            </w:r>
          </w:p>
        </w:tc>
        <w:tc>
          <w:tcPr>
            <w:tcW w:w="4488" w:type="dxa"/>
            <w:tcBorders>
              <w:top w:val="nil"/>
              <w:left w:val="nil"/>
              <w:bottom w:val="nil"/>
              <w:right w:val="nil"/>
            </w:tcBorders>
            <w:vAlign w:val="bottom"/>
          </w:tcPr>
          <w:p w14:paraId="2ED0C48B"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338 (25.90%)</w:t>
            </w:r>
          </w:p>
        </w:tc>
      </w:tr>
      <w:tr w:rsidR="00ED1633" w:rsidRPr="00D57AE6" w14:paraId="6E550561" w14:textId="77777777" w:rsidTr="00E6189B">
        <w:tc>
          <w:tcPr>
            <w:tcW w:w="4538" w:type="dxa"/>
            <w:tcBorders>
              <w:top w:val="nil"/>
              <w:left w:val="nil"/>
              <w:bottom w:val="nil"/>
              <w:right w:val="nil"/>
            </w:tcBorders>
            <w:vAlign w:val="bottom"/>
          </w:tcPr>
          <w:p w14:paraId="112198F3"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Sometimes</w:t>
            </w:r>
          </w:p>
        </w:tc>
        <w:tc>
          <w:tcPr>
            <w:tcW w:w="4488" w:type="dxa"/>
            <w:tcBorders>
              <w:top w:val="nil"/>
              <w:left w:val="nil"/>
              <w:bottom w:val="nil"/>
              <w:right w:val="nil"/>
            </w:tcBorders>
            <w:vAlign w:val="bottom"/>
          </w:tcPr>
          <w:p w14:paraId="50F551EE"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645 (49.43%)</w:t>
            </w:r>
          </w:p>
        </w:tc>
      </w:tr>
      <w:tr w:rsidR="00ED1633" w:rsidRPr="00D57AE6" w14:paraId="4CBAD030" w14:textId="77777777" w:rsidTr="00E6189B">
        <w:tc>
          <w:tcPr>
            <w:tcW w:w="4538" w:type="dxa"/>
            <w:tcBorders>
              <w:top w:val="nil"/>
              <w:left w:val="nil"/>
              <w:bottom w:val="nil"/>
              <w:right w:val="nil"/>
            </w:tcBorders>
            <w:vAlign w:val="bottom"/>
          </w:tcPr>
          <w:p w14:paraId="4EBC45FC" w14:textId="77777777" w:rsidR="00ED1633" w:rsidRPr="00D57AE6" w:rsidRDefault="00ED1633" w:rsidP="00AF7D82">
            <w:pPr>
              <w:rPr>
                <w:rFonts w:asciiTheme="majorHAnsi" w:hAnsiTheme="majorHAnsi"/>
                <w:sz w:val="20"/>
                <w:szCs w:val="20"/>
                <w:lang w:val="en-GB"/>
              </w:rPr>
            </w:pPr>
            <w:r w:rsidRPr="00D57AE6">
              <w:rPr>
                <w:rFonts w:asciiTheme="majorHAnsi" w:hAnsiTheme="majorHAnsi"/>
                <w:sz w:val="20"/>
                <w:szCs w:val="20"/>
                <w:lang w:val="en-GB"/>
              </w:rPr>
              <w:t xml:space="preserve">  Often</w:t>
            </w:r>
          </w:p>
        </w:tc>
        <w:tc>
          <w:tcPr>
            <w:tcW w:w="4488" w:type="dxa"/>
            <w:tcBorders>
              <w:top w:val="nil"/>
              <w:left w:val="nil"/>
              <w:bottom w:val="nil"/>
              <w:right w:val="nil"/>
            </w:tcBorders>
            <w:vAlign w:val="bottom"/>
          </w:tcPr>
          <w:p w14:paraId="27D5B62E" w14:textId="77777777" w:rsidR="00ED1633" w:rsidRPr="00D57AE6" w:rsidRDefault="00ED1633" w:rsidP="00AF7D82">
            <w:pPr>
              <w:jc w:val="right"/>
              <w:rPr>
                <w:rFonts w:asciiTheme="majorHAnsi" w:hAnsiTheme="majorHAnsi"/>
                <w:sz w:val="20"/>
                <w:szCs w:val="20"/>
                <w:lang w:val="en-GB"/>
              </w:rPr>
            </w:pPr>
            <w:r w:rsidRPr="00D57AE6">
              <w:rPr>
                <w:rFonts w:asciiTheme="majorHAnsi" w:hAnsiTheme="majorHAnsi"/>
                <w:sz w:val="20"/>
                <w:szCs w:val="20"/>
                <w:lang w:val="en-GB"/>
              </w:rPr>
              <w:t>267 (20.46%)</w:t>
            </w:r>
          </w:p>
        </w:tc>
      </w:tr>
      <w:tr w:rsidR="00ED1633" w:rsidRPr="00D57AE6" w14:paraId="4430909F" w14:textId="77777777" w:rsidTr="00B97960">
        <w:tc>
          <w:tcPr>
            <w:tcW w:w="0" w:type="auto"/>
            <w:gridSpan w:val="2"/>
            <w:tcBorders>
              <w:top w:val="single" w:sz="0" w:space="0" w:color="000000"/>
              <w:left w:val="nil"/>
              <w:bottom w:val="nil"/>
              <w:right w:val="nil"/>
            </w:tcBorders>
          </w:tcPr>
          <w:p w14:paraId="7DCD86D1" w14:textId="77777777" w:rsidR="00ED1633" w:rsidRDefault="00D57AE6" w:rsidP="00AF7D82">
            <w:pPr>
              <w:rPr>
                <w:rFonts w:asciiTheme="majorHAnsi" w:hAnsiTheme="majorHAnsi"/>
                <w:sz w:val="20"/>
                <w:szCs w:val="20"/>
                <w:lang w:val="en-GB"/>
              </w:rPr>
            </w:pPr>
            <w:r w:rsidRPr="004A3D0D">
              <w:rPr>
                <w:rFonts w:asciiTheme="majorHAnsi" w:hAnsiTheme="majorHAnsi"/>
                <w:sz w:val="20"/>
                <w:szCs w:val="20"/>
                <w:vertAlign w:val="superscript"/>
                <w:lang w:val="en-GB"/>
              </w:rPr>
              <w:t>a</w:t>
            </w:r>
            <w:r w:rsidR="0052016F" w:rsidRPr="004A3D0D">
              <w:rPr>
                <w:rFonts w:asciiTheme="majorHAnsi" w:hAnsiTheme="majorHAnsi"/>
                <w:sz w:val="20"/>
                <w:szCs w:val="20"/>
                <w:vertAlign w:val="superscript"/>
                <w:lang w:val="en-GB"/>
              </w:rPr>
              <w:t xml:space="preserve"> </w:t>
            </w:r>
            <w:r w:rsidR="00ED1633" w:rsidRPr="004A3D0D">
              <w:rPr>
                <w:rFonts w:asciiTheme="majorHAnsi" w:hAnsiTheme="majorHAnsi"/>
                <w:sz w:val="20"/>
                <w:szCs w:val="20"/>
                <w:lang w:val="en-GB"/>
              </w:rPr>
              <w:t>N=</w:t>
            </w:r>
            <w:r w:rsidR="00E6189B" w:rsidRPr="004A3D0D">
              <w:rPr>
                <w:rFonts w:asciiTheme="majorHAnsi" w:hAnsiTheme="majorHAnsi"/>
                <w:sz w:val="20"/>
                <w:szCs w:val="20"/>
                <w:lang w:val="en-GB"/>
              </w:rPr>
              <w:t>1,308</w:t>
            </w:r>
          </w:p>
          <w:p w14:paraId="35D1943C" w14:textId="47E2605F" w:rsidR="00AF7D82" w:rsidRPr="00D57AE6" w:rsidRDefault="00AF7D82" w:rsidP="00AF7D82">
            <w:pPr>
              <w:rPr>
                <w:rFonts w:asciiTheme="majorHAnsi" w:hAnsiTheme="majorHAnsi"/>
                <w:sz w:val="20"/>
                <w:szCs w:val="20"/>
                <w:lang w:val="en-GB"/>
              </w:rPr>
            </w:pPr>
          </w:p>
        </w:tc>
      </w:tr>
    </w:tbl>
    <w:p w14:paraId="45F720AA" w14:textId="5A508685" w:rsidR="00E6189B" w:rsidRPr="00D57AE6" w:rsidRDefault="00E6189B" w:rsidP="00AF7D82">
      <w:pPr>
        <w:pStyle w:val="Caption"/>
        <w:keepNext/>
        <w:spacing w:line="240" w:lineRule="auto"/>
        <w:rPr>
          <w:lang w:val="en-GB"/>
        </w:rPr>
      </w:pPr>
      <w:r w:rsidRPr="00D57AE6">
        <w:rPr>
          <w:lang w:val="en-GB"/>
        </w:rPr>
        <w:t xml:space="preserve">Table </w:t>
      </w:r>
      <w:r w:rsidRPr="00D57AE6">
        <w:rPr>
          <w:lang w:val="en-GB"/>
        </w:rPr>
        <w:fldChar w:fldCharType="begin"/>
      </w:r>
      <w:r w:rsidRPr="00D57AE6">
        <w:rPr>
          <w:lang w:val="en-GB"/>
        </w:rPr>
        <w:instrText xml:space="preserve"> SEQ Table \* ARABIC </w:instrText>
      </w:r>
      <w:r w:rsidRPr="00D57AE6">
        <w:rPr>
          <w:lang w:val="en-GB"/>
        </w:rPr>
        <w:fldChar w:fldCharType="separate"/>
      </w:r>
      <w:r w:rsidR="00E36778" w:rsidRPr="00D57AE6">
        <w:rPr>
          <w:noProof/>
          <w:lang w:val="en-GB"/>
        </w:rPr>
        <w:t>2</w:t>
      </w:r>
      <w:r w:rsidRPr="00D57AE6">
        <w:rPr>
          <w:lang w:val="en-GB"/>
        </w:rPr>
        <w:fldChar w:fldCharType="end"/>
      </w:r>
      <w:r w:rsidRPr="00D57AE6">
        <w:rPr>
          <w:lang w:val="en-GB"/>
        </w:rPr>
        <w:t>:</w:t>
      </w:r>
      <w:r w:rsidR="00D57AE6">
        <w:rPr>
          <w:lang w:val="en-GB"/>
        </w:rPr>
        <w:t xml:space="preserve"> </w:t>
      </w:r>
      <w:r w:rsidR="00D57AE6" w:rsidRPr="00D57AE6">
        <w:rPr>
          <w:lang w:val="en-GB"/>
        </w:rPr>
        <w:t xml:space="preserve">Descriptives of </w:t>
      </w:r>
      <w:r w:rsidR="00971E50">
        <w:rPr>
          <w:lang w:val="en-GB"/>
        </w:rPr>
        <w:t>C</w:t>
      </w:r>
      <w:r w:rsidR="00D57AE6">
        <w:rPr>
          <w:lang w:val="en-GB"/>
        </w:rPr>
        <w:t>ontinuous</w:t>
      </w:r>
      <w:r w:rsidR="00D57AE6" w:rsidRPr="00D57AE6">
        <w:rPr>
          <w:lang w:val="en-GB"/>
        </w:rPr>
        <w:t xml:space="preserve"> </w:t>
      </w:r>
      <w:r w:rsidR="00971E50">
        <w:rPr>
          <w:lang w:val="en-GB"/>
        </w:rPr>
        <w:t>V</w:t>
      </w:r>
      <w:r w:rsidR="00D57AE6" w:rsidRPr="00D57AE6">
        <w:rPr>
          <w:lang w:val="en-GB"/>
        </w:rPr>
        <w:t>ariables</w:t>
      </w:r>
    </w:p>
    <w:tbl>
      <w:tblPr>
        <w:tblStyle w:val="TableGrid"/>
        <w:tblW w:w="0" w:type="auto"/>
        <w:tblLook w:val="04A0" w:firstRow="1" w:lastRow="0" w:firstColumn="1" w:lastColumn="0" w:noHBand="0" w:noVBand="1"/>
      </w:tblPr>
      <w:tblGrid>
        <w:gridCol w:w="3542"/>
        <w:gridCol w:w="1628"/>
        <w:gridCol w:w="1283"/>
        <w:gridCol w:w="1290"/>
        <w:gridCol w:w="1283"/>
      </w:tblGrid>
      <w:tr w:rsidR="00E6189B" w:rsidRPr="00D57AE6" w14:paraId="1A2F8226" w14:textId="77777777" w:rsidTr="00E6189B">
        <w:tc>
          <w:tcPr>
            <w:tcW w:w="3542" w:type="dxa"/>
            <w:tcBorders>
              <w:top w:val="single" w:sz="0" w:space="0" w:color="000000"/>
              <w:left w:val="nil"/>
              <w:bottom w:val="single" w:sz="0" w:space="0" w:color="000000"/>
              <w:right w:val="nil"/>
            </w:tcBorders>
          </w:tcPr>
          <w:p w14:paraId="2F7F57EA" w14:textId="77777777" w:rsidR="00E6189B" w:rsidRPr="00D57AE6" w:rsidRDefault="00E6189B" w:rsidP="00AF7D82">
            <w:pPr>
              <w:rPr>
                <w:b/>
                <w:bCs/>
                <w:sz w:val="20"/>
                <w:szCs w:val="20"/>
                <w:lang w:val="en-GB"/>
              </w:rPr>
            </w:pPr>
            <w:r w:rsidRPr="00D57AE6">
              <w:rPr>
                <w:b/>
                <w:bCs/>
                <w:sz w:val="20"/>
                <w:szCs w:val="20"/>
                <w:lang w:val="en-GB"/>
              </w:rPr>
              <w:t>Variables</w:t>
            </w:r>
          </w:p>
        </w:tc>
        <w:tc>
          <w:tcPr>
            <w:tcW w:w="1628" w:type="dxa"/>
            <w:tcBorders>
              <w:top w:val="single" w:sz="2" w:space="0" w:color="000000"/>
              <w:left w:val="nil"/>
              <w:bottom w:val="single" w:sz="4" w:space="0" w:color="auto"/>
              <w:right w:val="nil"/>
            </w:tcBorders>
            <w:vAlign w:val="bottom"/>
          </w:tcPr>
          <w:p w14:paraId="435C8240" w14:textId="77777777" w:rsidR="00E6189B" w:rsidRPr="00D57AE6" w:rsidRDefault="00E6189B" w:rsidP="00AF7D82">
            <w:pPr>
              <w:rPr>
                <w:b/>
                <w:bCs/>
                <w:sz w:val="20"/>
                <w:szCs w:val="20"/>
                <w:lang w:val="en-GB"/>
              </w:rPr>
            </w:pPr>
            <w:r w:rsidRPr="00D57AE6">
              <w:rPr>
                <w:b/>
                <w:bCs/>
                <w:sz w:val="20"/>
                <w:szCs w:val="20"/>
                <w:lang w:val="en-GB"/>
              </w:rPr>
              <w:t>Mean (SD)</w:t>
            </w:r>
          </w:p>
        </w:tc>
        <w:tc>
          <w:tcPr>
            <w:tcW w:w="1283" w:type="dxa"/>
            <w:tcBorders>
              <w:top w:val="single" w:sz="2" w:space="0" w:color="000000"/>
              <w:left w:val="nil"/>
              <w:bottom w:val="single" w:sz="4" w:space="0" w:color="auto"/>
              <w:right w:val="nil"/>
            </w:tcBorders>
            <w:vAlign w:val="bottom"/>
          </w:tcPr>
          <w:p w14:paraId="4EFDADB6" w14:textId="77777777" w:rsidR="00E6189B" w:rsidRPr="00D57AE6" w:rsidRDefault="00E6189B" w:rsidP="00AF7D82">
            <w:pPr>
              <w:rPr>
                <w:b/>
                <w:bCs/>
                <w:sz w:val="20"/>
                <w:szCs w:val="20"/>
                <w:lang w:val="en-GB"/>
              </w:rPr>
            </w:pPr>
            <w:r w:rsidRPr="00D57AE6">
              <w:rPr>
                <w:b/>
                <w:bCs/>
                <w:sz w:val="20"/>
                <w:szCs w:val="20"/>
                <w:lang w:val="en-GB"/>
              </w:rPr>
              <w:t>Min.</w:t>
            </w:r>
          </w:p>
        </w:tc>
        <w:tc>
          <w:tcPr>
            <w:tcW w:w="1290" w:type="dxa"/>
            <w:tcBorders>
              <w:top w:val="single" w:sz="2" w:space="0" w:color="000000"/>
              <w:left w:val="nil"/>
              <w:bottom w:val="single" w:sz="4" w:space="0" w:color="auto"/>
              <w:right w:val="nil"/>
            </w:tcBorders>
            <w:vAlign w:val="bottom"/>
          </w:tcPr>
          <w:p w14:paraId="74FDFE7F" w14:textId="77777777" w:rsidR="00E6189B" w:rsidRPr="00D57AE6" w:rsidRDefault="00E6189B" w:rsidP="00AF7D82">
            <w:pPr>
              <w:rPr>
                <w:b/>
                <w:bCs/>
                <w:sz w:val="20"/>
                <w:szCs w:val="20"/>
                <w:lang w:val="en-GB"/>
              </w:rPr>
            </w:pPr>
            <w:r w:rsidRPr="00D57AE6">
              <w:rPr>
                <w:b/>
                <w:bCs/>
                <w:sz w:val="20"/>
                <w:szCs w:val="20"/>
                <w:lang w:val="en-GB"/>
              </w:rPr>
              <w:t>Max.</w:t>
            </w:r>
          </w:p>
        </w:tc>
        <w:tc>
          <w:tcPr>
            <w:tcW w:w="1283" w:type="dxa"/>
            <w:tcBorders>
              <w:top w:val="single" w:sz="2" w:space="0" w:color="000000"/>
              <w:left w:val="nil"/>
              <w:bottom w:val="single" w:sz="4" w:space="0" w:color="auto"/>
              <w:right w:val="nil"/>
            </w:tcBorders>
            <w:vAlign w:val="bottom"/>
          </w:tcPr>
          <w:p w14:paraId="4F19571B" w14:textId="064E120F" w:rsidR="00E6189B" w:rsidRPr="00D57AE6" w:rsidRDefault="0049260C" w:rsidP="00AF7D82">
            <w:pPr>
              <w:rPr>
                <w:b/>
                <w:bCs/>
                <w:sz w:val="20"/>
                <w:szCs w:val="20"/>
                <w:lang w:val="en-GB"/>
              </w:rPr>
            </w:pPr>
            <w:r w:rsidRPr="00D57AE6">
              <w:rPr>
                <w:b/>
                <w:bCs/>
                <w:sz w:val="20"/>
                <w:szCs w:val="20"/>
                <w:lang w:val="en-GB"/>
              </w:rPr>
              <w:t>n</w:t>
            </w:r>
          </w:p>
        </w:tc>
      </w:tr>
      <w:tr w:rsidR="00E6189B" w:rsidRPr="00D57AE6" w14:paraId="0EDA7B8D" w14:textId="77777777" w:rsidTr="00E6189B">
        <w:tc>
          <w:tcPr>
            <w:tcW w:w="3542" w:type="dxa"/>
            <w:tcBorders>
              <w:top w:val="nil"/>
              <w:left w:val="nil"/>
              <w:bottom w:val="nil"/>
              <w:right w:val="nil"/>
            </w:tcBorders>
            <w:vAlign w:val="bottom"/>
          </w:tcPr>
          <w:p w14:paraId="2BA0AF64" w14:textId="77777777" w:rsidR="00E6189B" w:rsidRPr="00D57AE6" w:rsidRDefault="00E6189B" w:rsidP="00AF7D82">
            <w:pPr>
              <w:rPr>
                <w:b/>
                <w:bCs/>
                <w:sz w:val="20"/>
                <w:szCs w:val="20"/>
                <w:lang w:val="en-GB"/>
              </w:rPr>
            </w:pPr>
            <w:r w:rsidRPr="00D57AE6">
              <w:rPr>
                <w:b/>
                <w:bCs/>
                <w:sz w:val="20"/>
                <w:szCs w:val="20"/>
                <w:lang w:val="en-GB"/>
              </w:rPr>
              <w:t>Health-Related Qual. of Life</w:t>
            </w:r>
          </w:p>
        </w:tc>
        <w:tc>
          <w:tcPr>
            <w:tcW w:w="1628" w:type="dxa"/>
            <w:tcBorders>
              <w:top w:val="nil"/>
              <w:left w:val="nil"/>
              <w:bottom w:val="nil"/>
              <w:right w:val="nil"/>
            </w:tcBorders>
            <w:vAlign w:val="bottom"/>
          </w:tcPr>
          <w:p w14:paraId="4E756306" w14:textId="77777777" w:rsidR="00E6189B" w:rsidRPr="00D57AE6" w:rsidRDefault="00E6189B" w:rsidP="00AF7D82">
            <w:pPr>
              <w:rPr>
                <w:sz w:val="20"/>
                <w:szCs w:val="20"/>
                <w:lang w:val="en-GB"/>
              </w:rPr>
            </w:pPr>
            <w:r w:rsidRPr="00D57AE6">
              <w:rPr>
                <w:sz w:val="20"/>
                <w:szCs w:val="20"/>
                <w:lang w:val="en-GB"/>
              </w:rPr>
              <w:t>90.69 (14.00)</w:t>
            </w:r>
          </w:p>
        </w:tc>
        <w:tc>
          <w:tcPr>
            <w:tcW w:w="1283" w:type="dxa"/>
            <w:tcBorders>
              <w:top w:val="nil"/>
              <w:left w:val="nil"/>
              <w:bottom w:val="nil"/>
              <w:right w:val="nil"/>
            </w:tcBorders>
            <w:vAlign w:val="bottom"/>
          </w:tcPr>
          <w:p w14:paraId="0864B2E7" w14:textId="77777777" w:rsidR="00E6189B" w:rsidRPr="00D57AE6" w:rsidRDefault="00E6189B" w:rsidP="00AF7D82">
            <w:pPr>
              <w:jc w:val="both"/>
              <w:rPr>
                <w:sz w:val="20"/>
                <w:szCs w:val="20"/>
                <w:lang w:val="en-GB"/>
              </w:rPr>
            </w:pPr>
            <w:r w:rsidRPr="00D57AE6">
              <w:rPr>
                <w:sz w:val="20"/>
                <w:szCs w:val="20"/>
                <w:lang w:val="en-GB"/>
              </w:rPr>
              <w:t>10.00</w:t>
            </w:r>
          </w:p>
        </w:tc>
        <w:tc>
          <w:tcPr>
            <w:tcW w:w="1290" w:type="dxa"/>
            <w:tcBorders>
              <w:top w:val="nil"/>
              <w:left w:val="nil"/>
              <w:bottom w:val="nil"/>
              <w:right w:val="nil"/>
            </w:tcBorders>
            <w:vAlign w:val="bottom"/>
          </w:tcPr>
          <w:p w14:paraId="1A2FF39B" w14:textId="77777777" w:rsidR="00E6189B" w:rsidRPr="00D57AE6" w:rsidRDefault="00E6189B" w:rsidP="00AF7D82">
            <w:pPr>
              <w:jc w:val="both"/>
              <w:rPr>
                <w:sz w:val="20"/>
                <w:szCs w:val="20"/>
                <w:lang w:val="en-GB"/>
              </w:rPr>
            </w:pPr>
            <w:r w:rsidRPr="00D57AE6">
              <w:rPr>
                <w:sz w:val="20"/>
                <w:szCs w:val="20"/>
                <w:lang w:val="en-GB"/>
              </w:rPr>
              <w:t>100.00</w:t>
            </w:r>
          </w:p>
        </w:tc>
        <w:tc>
          <w:tcPr>
            <w:tcW w:w="1283" w:type="dxa"/>
            <w:tcBorders>
              <w:top w:val="nil"/>
              <w:left w:val="nil"/>
              <w:bottom w:val="nil"/>
              <w:right w:val="nil"/>
            </w:tcBorders>
            <w:vAlign w:val="bottom"/>
          </w:tcPr>
          <w:p w14:paraId="3CA130D0" w14:textId="77777777" w:rsidR="00E6189B" w:rsidRPr="00D57AE6" w:rsidRDefault="00E6189B" w:rsidP="00AF7D82">
            <w:pPr>
              <w:jc w:val="both"/>
              <w:rPr>
                <w:sz w:val="20"/>
                <w:szCs w:val="20"/>
                <w:lang w:val="en-GB"/>
              </w:rPr>
            </w:pPr>
            <w:r w:rsidRPr="00D57AE6">
              <w:rPr>
                <w:sz w:val="20"/>
                <w:szCs w:val="20"/>
                <w:lang w:val="en-GB"/>
              </w:rPr>
              <w:t>1,305</w:t>
            </w:r>
          </w:p>
        </w:tc>
      </w:tr>
      <w:tr w:rsidR="00E6189B" w:rsidRPr="00D57AE6" w14:paraId="2106CBEA" w14:textId="77777777" w:rsidTr="00E6189B">
        <w:tc>
          <w:tcPr>
            <w:tcW w:w="3542" w:type="dxa"/>
            <w:tcBorders>
              <w:top w:val="nil"/>
              <w:left w:val="nil"/>
              <w:bottom w:val="nil"/>
              <w:right w:val="nil"/>
            </w:tcBorders>
            <w:vAlign w:val="bottom"/>
          </w:tcPr>
          <w:p w14:paraId="6EC2777C" w14:textId="77777777" w:rsidR="00E6189B" w:rsidRPr="00D57AE6" w:rsidRDefault="00E6189B" w:rsidP="00AF7D82">
            <w:pPr>
              <w:rPr>
                <w:b/>
                <w:bCs/>
                <w:sz w:val="20"/>
                <w:szCs w:val="20"/>
                <w:lang w:val="en-GB"/>
              </w:rPr>
            </w:pPr>
            <w:r w:rsidRPr="00D57AE6">
              <w:rPr>
                <w:b/>
                <w:bCs/>
                <w:sz w:val="20"/>
                <w:szCs w:val="20"/>
                <w:lang w:val="en-GB"/>
              </w:rPr>
              <w:t>Self-Efficacy</w:t>
            </w:r>
          </w:p>
        </w:tc>
        <w:tc>
          <w:tcPr>
            <w:tcW w:w="1628" w:type="dxa"/>
            <w:tcBorders>
              <w:top w:val="nil"/>
              <w:left w:val="nil"/>
              <w:bottom w:val="nil"/>
              <w:right w:val="nil"/>
            </w:tcBorders>
            <w:vAlign w:val="bottom"/>
          </w:tcPr>
          <w:p w14:paraId="356EB0C8" w14:textId="77777777" w:rsidR="00E6189B" w:rsidRPr="00D57AE6" w:rsidRDefault="00E6189B" w:rsidP="00AF7D82">
            <w:pPr>
              <w:rPr>
                <w:sz w:val="20"/>
                <w:szCs w:val="20"/>
                <w:lang w:val="en-GB"/>
              </w:rPr>
            </w:pPr>
            <w:r w:rsidRPr="00D57AE6">
              <w:rPr>
                <w:sz w:val="20"/>
                <w:szCs w:val="20"/>
                <w:lang w:val="en-GB"/>
              </w:rPr>
              <w:t>3.13 (0.40)</w:t>
            </w:r>
          </w:p>
        </w:tc>
        <w:tc>
          <w:tcPr>
            <w:tcW w:w="1283" w:type="dxa"/>
            <w:tcBorders>
              <w:top w:val="nil"/>
              <w:left w:val="nil"/>
              <w:bottom w:val="nil"/>
              <w:right w:val="nil"/>
            </w:tcBorders>
            <w:vAlign w:val="bottom"/>
          </w:tcPr>
          <w:p w14:paraId="7280AF50" w14:textId="77777777" w:rsidR="00E6189B" w:rsidRPr="00D57AE6" w:rsidRDefault="00E6189B" w:rsidP="00AF7D82">
            <w:pPr>
              <w:rPr>
                <w:sz w:val="20"/>
                <w:szCs w:val="20"/>
                <w:lang w:val="en-GB"/>
              </w:rPr>
            </w:pPr>
            <w:r w:rsidRPr="00D57AE6">
              <w:rPr>
                <w:sz w:val="20"/>
                <w:szCs w:val="20"/>
                <w:lang w:val="en-GB"/>
              </w:rPr>
              <w:t>1.60</w:t>
            </w:r>
          </w:p>
        </w:tc>
        <w:tc>
          <w:tcPr>
            <w:tcW w:w="1290" w:type="dxa"/>
            <w:tcBorders>
              <w:top w:val="nil"/>
              <w:left w:val="nil"/>
              <w:bottom w:val="nil"/>
              <w:right w:val="nil"/>
            </w:tcBorders>
            <w:vAlign w:val="bottom"/>
          </w:tcPr>
          <w:p w14:paraId="4DD274EA" w14:textId="77777777" w:rsidR="00E6189B" w:rsidRPr="00D57AE6" w:rsidRDefault="00E6189B" w:rsidP="00AF7D82">
            <w:pPr>
              <w:rPr>
                <w:sz w:val="20"/>
                <w:szCs w:val="20"/>
                <w:lang w:val="en-GB"/>
              </w:rPr>
            </w:pPr>
            <w:r w:rsidRPr="00D57AE6">
              <w:rPr>
                <w:sz w:val="20"/>
                <w:szCs w:val="20"/>
                <w:lang w:val="en-GB"/>
              </w:rPr>
              <w:t>4.00</w:t>
            </w:r>
          </w:p>
        </w:tc>
        <w:tc>
          <w:tcPr>
            <w:tcW w:w="1283" w:type="dxa"/>
            <w:tcBorders>
              <w:top w:val="nil"/>
              <w:left w:val="nil"/>
              <w:bottom w:val="nil"/>
              <w:right w:val="nil"/>
            </w:tcBorders>
            <w:vAlign w:val="bottom"/>
          </w:tcPr>
          <w:p w14:paraId="1DDC21BB" w14:textId="77777777" w:rsidR="00E6189B" w:rsidRPr="00D57AE6" w:rsidRDefault="00E6189B" w:rsidP="00AF7D82">
            <w:pPr>
              <w:rPr>
                <w:sz w:val="20"/>
                <w:szCs w:val="20"/>
                <w:lang w:val="en-GB"/>
              </w:rPr>
            </w:pPr>
            <w:r w:rsidRPr="00D57AE6">
              <w:rPr>
                <w:sz w:val="20"/>
                <w:szCs w:val="20"/>
                <w:lang w:val="en-GB"/>
              </w:rPr>
              <w:t>1,095</w:t>
            </w:r>
          </w:p>
        </w:tc>
      </w:tr>
      <w:tr w:rsidR="00E6189B" w:rsidRPr="00D57AE6" w14:paraId="34C6FEB8" w14:textId="77777777" w:rsidTr="00E6189B">
        <w:tc>
          <w:tcPr>
            <w:tcW w:w="3542" w:type="dxa"/>
            <w:tcBorders>
              <w:top w:val="nil"/>
              <w:left w:val="nil"/>
              <w:bottom w:val="nil"/>
              <w:right w:val="nil"/>
            </w:tcBorders>
            <w:vAlign w:val="bottom"/>
          </w:tcPr>
          <w:p w14:paraId="1CC9A6B4" w14:textId="77777777" w:rsidR="00E6189B" w:rsidRPr="00D57AE6" w:rsidRDefault="00E6189B" w:rsidP="00AF7D82">
            <w:pPr>
              <w:rPr>
                <w:b/>
                <w:bCs/>
                <w:sz w:val="20"/>
                <w:szCs w:val="20"/>
                <w:lang w:val="en-GB"/>
              </w:rPr>
            </w:pPr>
            <w:r w:rsidRPr="00D57AE6">
              <w:rPr>
                <w:b/>
                <w:bCs/>
                <w:sz w:val="20"/>
                <w:szCs w:val="20"/>
                <w:lang w:val="en-GB"/>
              </w:rPr>
              <w:t>Self-Esteem</w:t>
            </w:r>
          </w:p>
        </w:tc>
        <w:tc>
          <w:tcPr>
            <w:tcW w:w="1628" w:type="dxa"/>
            <w:tcBorders>
              <w:top w:val="nil"/>
              <w:left w:val="nil"/>
              <w:bottom w:val="nil"/>
              <w:right w:val="nil"/>
            </w:tcBorders>
            <w:vAlign w:val="bottom"/>
          </w:tcPr>
          <w:p w14:paraId="7F0D00EF" w14:textId="77777777" w:rsidR="00E6189B" w:rsidRPr="00D57AE6" w:rsidRDefault="00E6189B" w:rsidP="00AF7D82">
            <w:pPr>
              <w:rPr>
                <w:sz w:val="20"/>
                <w:szCs w:val="20"/>
                <w:lang w:val="en-GB"/>
              </w:rPr>
            </w:pPr>
            <w:r w:rsidRPr="00D57AE6">
              <w:rPr>
                <w:sz w:val="20"/>
                <w:szCs w:val="20"/>
                <w:lang w:val="en-GB"/>
              </w:rPr>
              <w:t>3.48 (0.40)</w:t>
            </w:r>
          </w:p>
        </w:tc>
        <w:tc>
          <w:tcPr>
            <w:tcW w:w="1283" w:type="dxa"/>
            <w:tcBorders>
              <w:top w:val="nil"/>
              <w:left w:val="nil"/>
              <w:bottom w:val="nil"/>
              <w:right w:val="nil"/>
            </w:tcBorders>
            <w:vAlign w:val="bottom"/>
          </w:tcPr>
          <w:p w14:paraId="30E9BDD9" w14:textId="77777777" w:rsidR="00E6189B" w:rsidRPr="00D57AE6" w:rsidRDefault="00E6189B" w:rsidP="00AF7D82">
            <w:pPr>
              <w:rPr>
                <w:sz w:val="20"/>
                <w:szCs w:val="20"/>
                <w:lang w:val="en-GB"/>
              </w:rPr>
            </w:pPr>
            <w:r w:rsidRPr="00D57AE6">
              <w:rPr>
                <w:sz w:val="20"/>
                <w:szCs w:val="20"/>
                <w:lang w:val="en-GB"/>
              </w:rPr>
              <w:t>2.00</w:t>
            </w:r>
          </w:p>
        </w:tc>
        <w:tc>
          <w:tcPr>
            <w:tcW w:w="1290" w:type="dxa"/>
            <w:tcBorders>
              <w:top w:val="nil"/>
              <w:left w:val="nil"/>
              <w:bottom w:val="nil"/>
              <w:right w:val="nil"/>
            </w:tcBorders>
            <w:vAlign w:val="bottom"/>
          </w:tcPr>
          <w:p w14:paraId="1224EC66" w14:textId="77777777" w:rsidR="00E6189B" w:rsidRPr="00D57AE6" w:rsidRDefault="00E6189B" w:rsidP="00AF7D82">
            <w:pPr>
              <w:rPr>
                <w:sz w:val="20"/>
                <w:szCs w:val="20"/>
                <w:lang w:val="en-GB"/>
              </w:rPr>
            </w:pPr>
            <w:r w:rsidRPr="00D57AE6">
              <w:rPr>
                <w:sz w:val="20"/>
                <w:szCs w:val="20"/>
                <w:lang w:val="en-GB"/>
              </w:rPr>
              <w:t>4.00</w:t>
            </w:r>
          </w:p>
        </w:tc>
        <w:tc>
          <w:tcPr>
            <w:tcW w:w="1283" w:type="dxa"/>
            <w:tcBorders>
              <w:top w:val="nil"/>
              <w:left w:val="nil"/>
              <w:bottom w:val="nil"/>
              <w:right w:val="nil"/>
            </w:tcBorders>
            <w:vAlign w:val="bottom"/>
          </w:tcPr>
          <w:p w14:paraId="2D8DD23B" w14:textId="77777777" w:rsidR="00E6189B" w:rsidRPr="00D57AE6" w:rsidRDefault="00E6189B" w:rsidP="00AF7D82">
            <w:pPr>
              <w:rPr>
                <w:sz w:val="20"/>
                <w:szCs w:val="20"/>
                <w:lang w:val="en-GB"/>
              </w:rPr>
            </w:pPr>
            <w:r w:rsidRPr="00D57AE6">
              <w:rPr>
                <w:sz w:val="20"/>
                <w:szCs w:val="20"/>
                <w:lang w:val="en-GB"/>
              </w:rPr>
              <w:t>1,097</w:t>
            </w:r>
          </w:p>
        </w:tc>
      </w:tr>
      <w:tr w:rsidR="00E6189B" w:rsidRPr="00D57AE6" w14:paraId="7082F92F" w14:textId="77777777" w:rsidTr="00E6189B">
        <w:tc>
          <w:tcPr>
            <w:tcW w:w="3542" w:type="dxa"/>
            <w:tcBorders>
              <w:top w:val="nil"/>
              <w:left w:val="nil"/>
              <w:bottom w:val="nil"/>
              <w:right w:val="nil"/>
            </w:tcBorders>
            <w:vAlign w:val="bottom"/>
          </w:tcPr>
          <w:p w14:paraId="5126B827" w14:textId="77777777" w:rsidR="00E6189B" w:rsidRPr="00D57AE6" w:rsidRDefault="00E6189B" w:rsidP="00AF7D82">
            <w:pPr>
              <w:rPr>
                <w:b/>
                <w:bCs/>
                <w:sz w:val="20"/>
                <w:szCs w:val="20"/>
                <w:lang w:val="en-GB"/>
              </w:rPr>
            </w:pPr>
            <w:r w:rsidRPr="00D57AE6">
              <w:rPr>
                <w:b/>
                <w:bCs/>
                <w:sz w:val="20"/>
                <w:szCs w:val="20"/>
                <w:lang w:val="en-GB"/>
              </w:rPr>
              <w:t>ISEI08</w:t>
            </w:r>
          </w:p>
        </w:tc>
        <w:tc>
          <w:tcPr>
            <w:tcW w:w="1628" w:type="dxa"/>
            <w:tcBorders>
              <w:top w:val="nil"/>
              <w:left w:val="nil"/>
              <w:bottom w:val="nil"/>
              <w:right w:val="nil"/>
            </w:tcBorders>
            <w:vAlign w:val="bottom"/>
          </w:tcPr>
          <w:p w14:paraId="55738BCE" w14:textId="77777777" w:rsidR="00E6189B" w:rsidRPr="00D57AE6" w:rsidRDefault="00E6189B" w:rsidP="00AF7D82">
            <w:pPr>
              <w:rPr>
                <w:sz w:val="20"/>
                <w:szCs w:val="20"/>
                <w:lang w:val="en-GB"/>
              </w:rPr>
            </w:pPr>
            <w:r w:rsidRPr="00D57AE6">
              <w:rPr>
                <w:sz w:val="20"/>
                <w:szCs w:val="20"/>
                <w:lang w:val="en-GB"/>
              </w:rPr>
              <w:t>52.89 (18.31)</w:t>
            </w:r>
          </w:p>
        </w:tc>
        <w:tc>
          <w:tcPr>
            <w:tcW w:w="1283" w:type="dxa"/>
            <w:tcBorders>
              <w:top w:val="nil"/>
              <w:left w:val="nil"/>
              <w:bottom w:val="nil"/>
              <w:right w:val="nil"/>
            </w:tcBorders>
            <w:vAlign w:val="bottom"/>
          </w:tcPr>
          <w:p w14:paraId="4CC73D4B" w14:textId="77777777" w:rsidR="00E6189B" w:rsidRPr="00D57AE6" w:rsidRDefault="00E6189B" w:rsidP="00AF7D82">
            <w:pPr>
              <w:rPr>
                <w:sz w:val="20"/>
                <w:szCs w:val="20"/>
                <w:lang w:val="en-GB"/>
              </w:rPr>
            </w:pPr>
            <w:r w:rsidRPr="00D57AE6">
              <w:rPr>
                <w:sz w:val="20"/>
                <w:szCs w:val="20"/>
                <w:lang w:val="en-GB"/>
              </w:rPr>
              <w:t>13.34</w:t>
            </w:r>
          </w:p>
        </w:tc>
        <w:tc>
          <w:tcPr>
            <w:tcW w:w="1290" w:type="dxa"/>
            <w:tcBorders>
              <w:top w:val="nil"/>
              <w:left w:val="nil"/>
              <w:bottom w:val="nil"/>
              <w:right w:val="nil"/>
            </w:tcBorders>
            <w:vAlign w:val="bottom"/>
          </w:tcPr>
          <w:p w14:paraId="12874FD3" w14:textId="77777777" w:rsidR="00E6189B" w:rsidRPr="00D57AE6" w:rsidRDefault="00E6189B" w:rsidP="00AF7D82">
            <w:pPr>
              <w:rPr>
                <w:sz w:val="20"/>
                <w:szCs w:val="20"/>
                <w:lang w:val="en-GB"/>
              </w:rPr>
            </w:pPr>
            <w:r w:rsidRPr="00D57AE6">
              <w:rPr>
                <w:sz w:val="20"/>
                <w:szCs w:val="20"/>
                <w:lang w:val="en-GB"/>
              </w:rPr>
              <w:t>89.00</w:t>
            </w:r>
          </w:p>
        </w:tc>
        <w:tc>
          <w:tcPr>
            <w:tcW w:w="1283" w:type="dxa"/>
            <w:tcBorders>
              <w:top w:val="nil"/>
              <w:left w:val="nil"/>
              <w:bottom w:val="nil"/>
              <w:right w:val="nil"/>
            </w:tcBorders>
            <w:vAlign w:val="bottom"/>
          </w:tcPr>
          <w:p w14:paraId="6C0E0281" w14:textId="77777777" w:rsidR="00E6189B" w:rsidRPr="00D57AE6" w:rsidRDefault="00E6189B" w:rsidP="00AF7D82">
            <w:pPr>
              <w:rPr>
                <w:sz w:val="20"/>
                <w:szCs w:val="20"/>
                <w:lang w:val="en-GB"/>
              </w:rPr>
            </w:pPr>
            <w:r w:rsidRPr="00D57AE6">
              <w:rPr>
                <w:sz w:val="20"/>
                <w:szCs w:val="20"/>
                <w:lang w:val="en-GB"/>
              </w:rPr>
              <w:t>1,283</w:t>
            </w:r>
          </w:p>
        </w:tc>
      </w:tr>
      <w:tr w:rsidR="00E6189B" w:rsidRPr="00D57AE6" w14:paraId="735A8E48" w14:textId="77777777" w:rsidTr="00E6189B">
        <w:tc>
          <w:tcPr>
            <w:tcW w:w="3542" w:type="dxa"/>
            <w:tcBorders>
              <w:top w:val="nil"/>
              <w:left w:val="nil"/>
              <w:bottom w:val="single" w:sz="0" w:space="0" w:color="000000"/>
              <w:right w:val="nil"/>
            </w:tcBorders>
            <w:vAlign w:val="bottom"/>
          </w:tcPr>
          <w:p w14:paraId="6B9E76AF" w14:textId="77777777" w:rsidR="00E6189B" w:rsidRPr="00D57AE6" w:rsidRDefault="00E6189B" w:rsidP="00AF7D82">
            <w:pPr>
              <w:rPr>
                <w:b/>
                <w:bCs/>
                <w:sz w:val="20"/>
                <w:szCs w:val="20"/>
                <w:lang w:val="en-GB"/>
              </w:rPr>
            </w:pPr>
            <w:r w:rsidRPr="00D57AE6">
              <w:rPr>
                <w:b/>
                <w:bCs/>
                <w:sz w:val="20"/>
                <w:szCs w:val="20"/>
                <w:lang w:val="en-GB"/>
              </w:rPr>
              <w:t>Age</w:t>
            </w:r>
          </w:p>
        </w:tc>
        <w:tc>
          <w:tcPr>
            <w:tcW w:w="1628" w:type="dxa"/>
            <w:tcBorders>
              <w:top w:val="nil"/>
              <w:left w:val="nil"/>
              <w:bottom w:val="single" w:sz="0" w:space="0" w:color="000000"/>
              <w:right w:val="nil"/>
            </w:tcBorders>
            <w:vAlign w:val="bottom"/>
          </w:tcPr>
          <w:p w14:paraId="393C0618" w14:textId="77777777" w:rsidR="00E6189B" w:rsidRPr="00D57AE6" w:rsidRDefault="00E6189B" w:rsidP="00AF7D82">
            <w:pPr>
              <w:rPr>
                <w:sz w:val="20"/>
                <w:szCs w:val="20"/>
                <w:lang w:val="en-GB"/>
              </w:rPr>
            </w:pPr>
            <w:r w:rsidRPr="00D57AE6">
              <w:rPr>
                <w:sz w:val="20"/>
                <w:szCs w:val="20"/>
                <w:lang w:val="en-GB"/>
              </w:rPr>
              <w:t>60.58 (4.13)</w:t>
            </w:r>
          </w:p>
        </w:tc>
        <w:tc>
          <w:tcPr>
            <w:tcW w:w="1283" w:type="dxa"/>
            <w:tcBorders>
              <w:top w:val="nil"/>
              <w:left w:val="nil"/>
              <w:bottom w:val="single" w:sz="0" w:space="0" w:color="000000"/>
              <w:right w:val="nil"/>
            </w:tcBorders>
            <w:vAlign w:val="bottom"/>
          </w:tcPr>
          <w:p w14:paraId="4EC29D8F" w14:textId="77777777" w:rsidR="00E6189B" w:rsidRPr="00D57AE6" w:rsidRDefault="00E6189B" w:rsidP="00AF7D82">
            <w:pPr>
              <w:rPr>
                <w:sz w:val="20"/>
                <w:szCs w:val="20"/>
                <w:lang w:val="en-GB"/>
              </w:rPr>
            </w:pPr>
            <w:r w:rsidRPr="00D57AE6">
              <w:rPr>
                <w:sz w:val="20"/>
                <w:szCs w:val="20"/>
                <w:lang w:val="en-GB"/>
              </w:rPr>
              <w:t>53.00</w:t>
            </w:r>
          </w:p>
        </w:tc>
        <w:tc>
          <w:tcPr>
            <w:tcW w:w="1290" w:type="dxa"/>
            <w:tcBorders>
              <w:top w:val="nil"/>
              <w:left w:val="nil"/>
              <w:bottom w:val="single" w:sz="0" w:space="0" w:color="000000"/>
              <w:right w:val="nil"/>
            </w:tcBorders>
            <w:vAlign w:val="bottom"/>
          </w:tcPr>
          <w:p w14:paraId="1B2364CC" w14:textId="77777777" w:rsidR="00E6189B" w:rsidRPr="00D57AE6" w:rsidRDefault="00E6189B" w:rsidP="00AF7D82">
            <w:pPr>
              <w:rPr>
                <w:sz w:val="20"/>
                <w:szCs w:val="20"/>
                <w:lang w:val="en-GB"/>
              </w:rPr>
            </w:pPr>
            <w:r w:rsidRPr="00D57AE6">
              <w:rPr>
                <w:sz w:val="20"/>
                <w:szCs w:val="20"/>
                <w:lang w:val="en-GB"/>
              </w:rPr>
              <w:t>72.00</w:t>
            </w:r>
          </w:p>
        </w:tc>
        <w:tc>
          <w:tcPr>
            <w:tcW w:w="1283" w:type="dxa"/>
            <w:tcBorders>
              <w:top w:val="nil"/>
              <w:left w:val="nil"/>
              <w:bottom w:val="single" w:sz="0" w:space="0" w:color="000000"/>
              <w:right w:val="nil"/>
            </w:tcBorders>
            <w:vAlign w:val="bottom"/>
          </w:tcPr>
          <w:p w14:paraId="37DEA487" w14:textId="77777777" w:rsidR="00E6189B" w:rsidRPr="00D57AE6" w:rsidRDefault="00E6189B" w:rsidP="00AF7D82">
            <w:pPr>
              <w:rPr>
                <w:sz w:val="20"/>
                <w:szCs w:val="20"/>
                <w:lang w:val="en-GB"/>
              </w:rPr>
            </w:pPr>
            <w:r w:rsidRPr="00D57AE6">
              <w:rPr>
                <w:sz w:val="20"/>
                <w:szCs w:val="20"/>
                <w:lang w:val="en-GB"/>
              </w:rPr>
              <w:t>991</w:t>
            </w:r>
          </w:p>
        </w:tc>
      </w:tr>
    </w:tbl>
    <w:p w14:paraId="741145AE" w14:textId="01D79E59" w:rsidR="00E6189B" w:rsidRPr="00D57AE6" w:rsidRDefault="00D57AE6" w:rsidP="00AF7D82">
      <w:pPr>
        <w:spacing w:line="240" w:lineRule="auto"/>
        <w:rPr>
          <w:sz w:val="20"/>
          <w:szCs w:val="20"/>
          <w:lang w:val="en-GB"/>
        </w:rPr>
      </w:pPr>
      <w:r w:rsidRPr="004A3D0D">
        <w:rPr>
          <w:rFonts w:asciiTheme="majorHAnsi" w:hAnsiTheme="majorHAnsi"/>
          <w:sz w:val="20"/>
          <w:szCs w:val="20"/>
          <w:vertAlign w:val="superscript"/>
          <w:lang w:val="en-GB"/>
        </w:rPr>
        <w:t>b</w:t>
      </w:r>
      <w:r w:rsidR="0052016F" w:rsidRPr="004A3D0D">
        <w:rPr>
          <w:rFonts w:asciiTheme="majorHAnsi" w:hAnsiTheme="majorHAnsi"/>
          <w:sz w:val="20"/>
          <w:szCs w:val="20"/>
          <w:vertAlign w:val="superscript"/>
          <w:lang w:val="en-GB"/>
        </w:rPr>
        <w:t xml:space="preserve"> </w:t>
      </w:r>
      <w:r w:rsidR="00E6189B" w:rsidRPr="004A3D0D">
        <w:rPr>
          <w:rFonts w:asciiTheme="majorHAnsi" w:hAnsiTheme="majorHAnsi"/>
          <w:sz w:val="20"/>
          <w:szCs w:val="20"/>
          <w:lang w:val="en-GB"/>
        </w:rPr>
        <w:t>N=1,308</w:t>
      </w:r>
    </w:p>
    <w:p w14:paraId="56F51DEE" w14:textId="77777777" w:rsidR="00A20381" w:rsidRPr="00D57AE6" w:rsidRDefault="00791937" w:rsidP="0052016F">
      <w:pPr>
        <w:pStyle w:val="Heading2"/>
        <w:spacing w:line="480" w:lineRule="auto"/>
        <w:rPr>
          <w:lang w:val="en-GB"/>
        </w:rPr>
      </w:pPr>
      <w:r w:rsidRPr="00D57AE6">
        <w:rPr>
          <w:lang w:val="en-GB"/>
        </w:rPr>
        <w:t>Analytical strategy</w:t>
      </w:r>
    </w:p>
    <w:p w14:paraId="5918CA0D" w14:textId="1F9D2730" w:rsidR="00636F8B" w:rsidRPr="00D57AE6" w:rsidRDefault="00791937" w:rsidP="0052016F">
      <w:pPr>
        <w:spacing w:line="480" w:lineRule="auto"/>
        <w:jc w:val="both"/>
        <w:rPr>
          <w:lang w:val="en-GB"/>
        </w:rPr>
      </w:pPr>
      <w:r w:rsidRPr="00D57AE6">
        <w:rPr>
          <w:lang w:val="en-GB"/>
        </w:rPr>
        <w:t xml:space="preserve">Our analytical strategy proceeded in </w:t>
      </w:r>
      <w:r w:rsidR="007C0ECC" w:rsidRPr="00D57AE6">
        <w:rPr>
          <w:lang w:val="en-GB"/>
        </w:rPr>
        <w:t>several</w:t>
      </w:r>
      <w:r w:rsidRPr="00D57AE6">
        <w:rPr>
          <w:lang w:val="en-GB"/>
        </w:rPr>
        <w:t xml:space="preserve"> steps. First, we examined whether participation in continuing vocational education (CVET) was associated with</w:t>
      </w:r>
      <w:r w:rsidR="00636F8B" w:rsidRPr="00D57AE6">
        <w:rPr>
          <w:lang w:val="en-GB"/>
        </w:rPr>
        <w:t xml:space="preserve"> subsequent employment.</w:t>
      </w:r>
    </w:p>
    <w:p w14:paraId="4729518A" w14:textId="3181E2C4" w:rsidR="00317644" w:rsidRPr="00D57AE6" w:rsidRDefault="00D92093" w:rsidP="00A42562">
      <w:pPr>
        <w:spacing w:line="480" w:lineRule="auto"/>
        <w:jc w:val="both"/>
        <w:rPr>
          <w:lang w:val="en-GB"/>
        </w:rPr>
      </w:pPr>
      <w:r w:rsidRPr="00D57AE6">
        <w:rPr>
          <w:lang w:val="en-GB"/>
        </w:rPr>
        <w:t xml:space="preserve">CVET is highly selective and depends highly on </w:t>
      </w:r>
      <w:r w:rsidR="0085342E" w:rsidRPr="00D57AE6">
        <w:rPr>
          <w:lang w:val="en-GB"/>
        </w:rPr>
        <w:t>sociodemographic factors</w:t>
      </w:r>
      <w:r w:rsidR="00E5258C" w:rsidRPr="00D57AE6">
        <w:rPr>
          <w:lang w:val="en-GB"/>
        </w:rPr>
        <w:t xml:space="preserve"> </w:t>
      </w:r>
      <w:r w:rsidR="00E5258C" w:rsidRPr="00D57AE6">
        <w:rPr>
          <w:lang w:val="en-GB"/>
        </w:rPr>
        <w:fldChar w:fldCharType="begin"/>
      </w:r>
      <w:r w:rsidR="001F2956">
        <w:rPr>
          <w:lang w:val="en-GB"/>
        </w:rPr>
        <w:instrText xml:space="preserve"> ADDIN ZOTERO_ITEM CSL_CITATION {"citationID":"7hwDIgoV","properties":{"unsorted":false,"formattedCitation":"(Boeren, 2023; Naegele et al., 2025)","plainCitation":"(Boeren, 2023; Naegele et al., 2025)","noteIndex":0},"citationItems":[{"id":27593,"uris":["http://zotero.org/users/10596418/items/QCDMXQ73"],"itemData":{"id":27593,"type":"article-journal","abstract":"This contribution argues the need for participation research in adult education. It reviews leading theoretical viewpoints to understand who does or does not participate in adult education including psychology, economics, sociology and organisational sciences. It then integrates these different theoretical explanations into a comprehensive lifelong learning participation model. This new approach highlights the need to study participation through the lenses of interacting stakeholders at the individual, organisational and governmental level.","container-title":"Internationales Jahrbuch der Erwachsenenbildung","language":"en","page":"17-31","source":"Zotero","title":"Conceptualizing Lifelong Learning Participation – Theoretical Perspectives and Integrated Approaches","volume":"46","author":[{"family":"Boeren","given":"Ellen"}],"issued":{"date-parts":[["2023"]]}}},{"id":28413,"uris":["http://zotero.org/groups/6389851/items/5KR66QXG"],"itemData":{"id":28413,"type":"article-journal","abstract":"Continuing vocational education and training (CVET) is essential for prolonging working lives, as it improves the qualifications and skills of older workers, helps to prevent skill mismatches, and increases their employability. Research indicates that access to training throughout life is unequally distributed in society, with certain labour market groups, such as those with higher education and better working conditions, benefiting more. This disparity results in social inequality and long-term negative effects on the employment trajectories of disadvantaged older workers. The impact of internalised ageist stereotypes regarding older workers’ ability to acquire knowledge later in life is underexplored but may significantly affect their motivation to participate in CVET and indirectly influence their labour market participation in later life.","container-title":"KZfSS Kölner Zeitschrift für Soziologie und Sozialpsychologie","DOI":"10.1007/s11577-025-01023-y","ISSN":"1861-891X","journalAbbreviation":"Köln Z Soziol","language":"en","source":"Springer Link","title":"Continuing Vocational Educational Training, Self-Directed Ageism, and Extending Working Lives: Evidence from the German Ageing Survey","title-short":"Continuing Vocational Educational Training, Self-Directed Ageism, and Extending Working Lives","URL":"https://doi.org/10.1007/s11577-025-01023-y","author":[{"family":"Naegele","given":"Laura"},{"family":"Schmitz","given":"Wiebke"},{"family":"Staniczek","given":"Selina"},{"family":"Heß","given":"Moritz"}],"accessed":{"date-parts":[["2025",11,10]]},"issued":{"date-parts":[["2025",10,23]]}}}],"schema":"https://github.com/citation-style-language/schema/raw/master/csl-citation.json"} </w:instrText>
      </w:r>
      <w:r w:rsidR="00E5258C" w:rsidRPr="00D57AE6">
        <w:rPr>
          <w:lang w:val="en-GB"/>
        </w:rPr>
        <w:fldChar w:fldCharType="separate"/>
      </w:r>
      <w:r w:rsidR="00864AAC" w:rsidRPr="00D57AE6">
        <w:rPr>
          <w:rFonts w:ascii="Aptos" w:hAnsi="Aptos"/>
          <w:lang w:val="en-GB"/>
        </w:rPr>
        <w:t>(Boeren, 2023; Naegele et al., 2025)</w:t>
      </w:r>
      <w:r w:rsidR="00E5258C" w:rsidRPr="00D57AE6">
        <w:rPr>
          <w:lang w:val="en-GB"/>
        </w:rPr>
        <w:fldChar w:fldCharType="end"/>
      </w:r>
      <w:r w:rsidR="0085342E" w:rsidRPr="00D57AE6">
        <w:rPr>
          <w:lang w:val="en-GB"/>
        </w:rPr>
        <w:t xml:space="preserve">. </w:t>
      </w:r>
      <w:r w:rsidR="00791937" w:rsidRPr="00D57AE6">
        <w:rPr>
          <w:lang w:val="en-GB"/>
        </w:rPr>
        <w:t xml:space="preserve">To </w:t>
      </w:r>
      <w:r w:rsidR="002E6352" w:rsidRPr="00D57AE6">
        <w:rPr>
          <w:lang w:val="en-GB"/>
        </w:rPr>
        <w:t xml:space="preserve">robustly estimate the association between CVET and retirement outcomes, we calculated the Average Treatment Effect on the Treated (ATET) after </w:t>
      </w:r>
      <w:r w:rsidR="009B134D" w:rsidRPr="00D57AE6">
        <w:rPr>
          <w:rFonts w:cs="Times New Roman"/>
          <w:lang w:val="en-GB"/>
        </w:rPr>
        <w:t>radius matching.</w:t>
      </w:r>
      <w:r w:rsidR="002616DC" w:rsidRPr="00D57AE6">
        <w:rPr>
          <w:rFonts w:cs="Times New Roman"/>
          <w:lang w:val="en-GB"/>
        </w:rPr>
        <w:t xml:space="preserve"> This assigns statistical twins who did not participate in CVET </w:t>
      </w:r>
      <w:r w:rsidR="002616DC" w:rsidRPr="00D57AE6">
        <w:rPr>
          <w:rFonts w:cs="Times New Roman"/>
          <w:lang w:val="en-GB"/>
        </w:rPr>
        <w:lastRenderedPageBreak/>
        <w:t xml:space="preserve">(untreated/control group) to each treated person (who participated in CVET). </w:t>
      </w:r>
      <w:r w:rsidR="00791937" w:rsidRPr="00D57AE6">
        <w:rPr>
          <w:lang w:val="en-GB"/>
        </w:rPr>
        <w:t xml:space="preserve"> </w:t>
      </w:r>
      <w:r w:rsidR="00BD19BA" w:rsidRPr="00D57AE6">
        <w:rPr>
          <w:rFonts w:cs="Times New Roman"/>
          <w:lang w:val="en-GB"/>
        </w:rPr>
        <w:t xml:space="preserve">This simulates a counterfactual state to isolate the effect of CVET on </w:t>
      </w:r>
      <w:r w:rsidR="0031050E">
        <w:rPr>
          <w:rFonts w:cs="Times New Roman"/>
          <w:lang w:val="en-GB"/>
        </w:rPr>
        <w:t>subsequent</w:t>
      </w:r>
      <w:r w:rsidR="00BD19BA" w:rsidRPr="00D57AE6">
        <w:rPr>
          <w:rFonts w:cs="Times New Roman"/>
          <w:lang w:val="en-GB"/>
        </w:rPr>
        <w:t xml:space="preserve"> </w:t>
      </w:r>
      <w:r w:rsidR="002E6352" w:rsidRPr="00D57AE6">
        <w:rPr>
          <w:rFonts w:cs="Times New Roman"/>
          <w:lang w:val="en-GB"/>
        </w:rPr>
        <w:t>employment</w:t>
      </w:r>
      <w:r w:rsidR="007473A4" w:rsidRPr="00D57AE6">
        <w:rPr>
          <w:rFonts w:cs="Times New Roman"/>
          <w:lang w:val="en-GB"/>
        </w:rPr>
        <w:t>.</w:t>
      </w:r>
      <w:r w:rsidR="00E4337C" w:rsidRPr="00D57AE6">
        <w:rPr>
          <w:rFonts w:cs="Times New Roman"/>
          <w:lang w:val="en-GB"/>
        </w:rPr>
        <w:t xml:space="preserve"> </w:t>
      </w:r>
      <w:r w:rsidR="0021657C" w:rsidRPr="00D57AE6">
        <w:rPr>
          <w:rFonts w:cs="Times New Roman"/>
          <w:lang w:val="en-GB"/>
        </w:rPr>
        <w:t xml:space="preserve">In the hypothetical </w:t>
      </w:r>
      <w:r w:rsidR="00C50E6B" w:rsidRPr="00D57AE6">
        <w:rPr>
          <w:rFonts w:cs="Times New Roman"/>
          <w:lang w:val="en-GB"/>
        </w:rPr>
        <w:t xml:space="preserve">counterfactual state, the subject in the two states (factual vs counterfactual) would differ only in </w:t>
      </w:r>
      <w:r w:rsidR="0021657C" w:rsidRPr="00D57AE6">
        <w:rPr>
          <w:rFonts w:cs="Times New Roman"/>
          <w:lang w:val="en-GB"/>
        </w:rPr>
        <w:t>participation or non-participation in CVET</w:t>
      </w:r>
      <w:r w:rsidR="00C50E6B" w:rsidRPr="00D57AE6">
        <w:rPr>
          <w:rFonts w:cs="Times New Roman"/>
          <w:lang w:val="en-GB"/>
        </w:rPr>
        <w:t>. It would</w:t>
      </w:r>
      <w:r w:rsidR="0021657C" w:rsidRPr="00D57AE6">
        <w:rPr>
          <w:rFonts w:cs="Times New Roman"/>
          <w:lang w:val="en-GB"/>
        </w:rPr>
        <w:t xml:space="preserve"> otherwise be identical</w:t>
      </w:r>
      <w:r w:rsidR="00DB43EC" w:rsidRPr="00D57AE6">
        <w:rPr>
          <w:rFonts w:cs="Times New Roman"/>
          <w:lang w:val="en-GB"/>
        </w:rPr>
        <w:t xml:space="preserve"> </w:t>
      </w:r>
      <w:r w:rsidR="00DB43EC" w:rsidRPr="00D57AE6">
        <w:rPr>
          <w:rFonts w:cs="Times New Roman"/>
          <w:lang w:val="en-GB"/>
        </w:rPr>
        <w:fldChar w:fldCharType="begin"/>
      </w:r>
      <w:r w:rsidR="001F2956">
        <w:rPr>
          <w:rFonts w:cs="Times New Roman"/>
          <w:lang w:val="en-GB"/>
        </w:rPr>
        <w:instrText xml:space="preserve"> ADDIN ZOTERO_ITEM CSL_CITATION {"citationID":"biZGJZdY","properties":{"unsorted":false,"formattedCitation":"(M\\uc0\\u252{}ller, 2012, p. 2)","plainCitation":"(Müller, 2012, p. 2)","noteIndex":0},"citationItems":[{"id":15266,"uris":["http://zotero.org/users/10596418/items/WYVTPXFJ"],"itemData":{"id":15266,"type":"document","publisher":"CEval-Arbeitspapier, 19","title":"Quasiexperimentelle Wirkungsevaluation mit Propensity Score Matching: ein Leitfaden für die Umsetzung mit Stata","URL":"https://www.ssoar.info/ssoar/bitstream/handle/document/42894/ssoar-2012-muller-Quasiexperimentelle_Wirkungsevaluation_mit_Propensity_Score.pdf?sequence=1&amp;isAllowed=y&amp;lnkname=ssoar-2012-muller-Quasiexperimentelle_Wirkungsevaluation_mit_Propensity_Score.pdf","author":[{"family":"Müller","given":"Christoph E."}],"accessed":{"date-parts":[["2025",3,12]]},"issued":{"date-parts":[["2012"]]}},"locator":"2","label":"page"}],"schema":"https://github.com/citation-style-language/schema/raw/master/csl-citation.json"} </w:instrText>
      </w:r>
      <w:r w:rsidR="00DB43EC" w:rsidRPr="00D57AE6">
        <w:rPr>
          <w:rFonts w:cs="Times New Roman"/>
          <w:lang w:val="en-GB"/>
        </w:rPr>
        <w:fldChar w:fldCharType="separate"/>
      </w:r>
      <w:r w:rsidR="00DB43EC" w:rsidRPr="00D57AE6">
        <w:rPr>
          <w:rFonts w:ascii="Aptos" w:hAnsi="Aptos" w:cs="Times New Roman"/>
          <w:lang w:val="en-GB"/>
        </w:rPr>
        <w:t>(Müller, 2012, p. 2)</w:t>
      </w:r>
      <w:r w:rsidR="00DB43EC" w:rsidRPr="00D57AE6">
        <w:rPr>
          <w:rFonts w:cs="Times New Roman"/>
          <w:lang w:val="en-GB"/>
        </w:rPr>
        <w:fldChar w:fldCharType="end"/>
      </w:r>
      <w:r w:rsidR="0021657C" w:rsidRPr="00D57AE6">
        <w:rPr>
          <w:rFonts w:cs="Times New Roman"/>
          <w:lang w:val="en-GB"/>
        </w:rPr>
        <w:t>.</w:t>
      </w:r>
      <w:r w:rsidR="006F3881" w:rsidRPr="00D57AE6">
        <w:rPr>
          <w:rFonts w:cs="Times New Roman"/>
          <w:lang w:val="en-GB"/>
        </w:rPr>
        <w:t xml:space="preserve"> </w:t>
      </w:r>
      <w:r w:rsidR="00317644" w:rsidRPr="00D57AE6">
        <w:rPr>
          <w:rFonts w:cs="Times New Roman"/>
          <w:lang w:val="en-GB"/>
        </w:rPr>
        <w:t xml:space="preserve">For this purpose, </w:t>
      </w:r>
      <w:r w:rsidR="009E2FD8" w:rsidRPr="00D57AE6">
        <w:rPr>
          <w:lang w:val="en-GB"/>
        </w:rPr>
        <w:t xml:space="preserve">gender, educational attainment, age, job status, and health-related quality of life </w:t>
      </w:r>
      <w:r w:rsidR="007A0282" w:rsidRPr="00D57AE6">
        <w:rPr>
          <w:rFonts w:cs="Times New Roman"/>
          <w:lang w:val="en-GB"/>
        </w:rPr>
        <w:t xml:space="preserve">are used as </w:t>
      </w:r>
      <w:r w:rsidR="00317644" w:rsidRPr="00D57AE6">
        <w:rPr>
          <w:rFonts w:cs="Times New Roman"/>
          <w:lang w:val="en-GB"/>
        </w:rPr>
        <w:t>matching variables, which are assumed to influence both the decision to participate in</w:t>
      </w:r>
      <w:r w:rsidR="001D6C48" w:rsidRPr="00D57AE6">
        <w:rPr>
          <w:rFonts w:cs="Times New Roman"/>
          <w:lang w:val="en-GB"/>
        </w:rPr>
        <w:t xml:space="preserve"> continuing</w:t>
      </w:r>
      <w:r w:rsidR="00317644" w:rsidRPr="00D57AE6">
        <w:rPr>
          <w:rFonts w:cs="Times New Roman"/>
          <w:lang w:val="en-GB"/>
        </w:rPr>
        <w:t xml:space="preserve"> training and the outcome of </w:t>
      </w:r>
      <w:r w:rsidR="00C50E6B" w:rsidRPr="00D57AE6">
        <w:rPr>
          <w:rFonts w:cs="Times New Roman"/>
          <w:lang w:val="en-GB"/>
        </w:rPr>
        <w:t>employment or retirement</w:t>
      </w:r>
      <w:r w:rsidR="00317644" w:rsidRPr="00D57AE6">
        <w:rPr>
          <w:rFonts w:cs="Times New Roman"/>
          <w:lang w:val="en-GB"/>
        </w:rPr>
        <w:t>.</w:t>
      </w:r>
      <w:r w:rsidR="00060B74" w:rsidRPr="00D57AE6">
        <w:rPr>
          <w:lang w:val="en-GB"/>
        </w:rPr>
        <w:t xml:space="preserve"> A </w:t>
      </w:r>
      <w:r w:rsidR="00317644" w:rsidRPr="00D57AE6">
        <w:rPr>
          <w:rFonts w:cs="Times New Roman"/>
          <w:lang w:val="en-GB"/>
        </w:rPr>
        <w:t>logistic regression is calculated to estimate the probability of receiving treatment given the observed covariates (propensity score):</w:t>
      </w:r>
    </w:p>
    <w:p w14:paraId="1729EDA2" w14:textId="77777777" w:rsidR="00317644" w:rsidRPr="00D57AE6" w:rsidRDefault="00317644" w:rsidP="00A42562">
      <w:pPr>
        <w:spacing w:line="480" w:lineRule="auto"/>
        <w:jc w:val="both"/>
        <w:rPr>
          <w:rFonts w:cs="Times New Roman"/>
          <w:lang w:val="en-GB"/>
        </w:rPr>
      </w:pPr>
      <m:oMathPara>
        <m:oMath>
          <m:r>
            <w:rPr>
              <w:rFonts w:ascii="Cambria Math" w:hAnsi="Cambria Math" w:cs="Times New Roman"/>
              <w:lang w:val="en-GB"/>
            </w:rPr>
            <m:t>P</m:t>
          </m:r>
          <m:d>
            <m:dPr>
              <m:sepChr m:val="∣"/>
              <m:ctrlPr>
                <w:rPr>
                  <w:rFonts w:ascii="Cambria Math" w:hAnsi="Cambria Math" w:cs="Times New Roman"/>
                  <w:i/>
                  <w:lang w:val="en-GB"/>
                </w:rPr>
              </m:ctrlPr>
            </m:dPr>
            <m:e>
              <m:sSub>
                <m:sSubPr>
                  <m:ctrlPr>
                    <w:rPr>
                      <w:rFonts w:ascii="Cambria Math" w:hAnsi="Cambria Math" w:cs="Times New Roman"/>
                      <w:i/>
                      <w:lang w:val="en-GB"/>
                    </w:rPr>
                  </m:ctrlPr>
                </m:sSubPr>
                <m:e>
                  <m:r>
                    <w:rPr>
                      <w:rFonts w:ascii="Cambria Math" w:hAnsi="Cambria Math" w:cs="Times New Roman"/>
                      <w:lang w:val="en-GB"/>
                    </w:rPr>
                    <m:t>T</m:t>
                  </m:r>
                </m:e>
                <m:sub>
                  <m:r>
                    <w:rPr>
                      <w:rFonts w:ascii="Cambria Math" w:hAnsi="Cambria Math" w:cs="Times New Roman"/>
                      <w:lang w:val="en-GB"/>
                    </w:rPr>
                    <m:t>i</m:t>
                  </m:r>
                </m:sub>
              </m:sSub>
              <m:r>
                <w:rPr>
                  <w:rFonts w:ascii="Cambria Math" w:hAnsi="Cambria Math" w:cs="Times New Roman"/>
                  <w:lang w:val="en-GB"/>
                </w:rPr>
                <m:t>=1</m:t>
              </m:r>
            </m:e>
            <m:e>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i</m:t>
                  </m:r>
                </m:sub>
              </m:sSub>
            </m:e>
          </m:d>
          <m:r>
            <w:rPr>
              <w:rFonts w:ascii="Cambria Math" w:hAnsi="Cambria Math" w:cs="Times New Roman"/>
              <w:lang w:val="en-GB"/>
            </w:rPr>
            <m:t xml:space="preserve">= </m:t>
          </m:r>
          <m:f>
            <m:fPr>
              <m:ctrlPr>
                <w:rPr>
                  <w:rFonts w:ascii="Cambria Math" w:hAnsi="Cambria Math" w:cs="Times New Roman"/>
                  <w:i/>
                  <w:lang w:val="en-GB"/>
                </w:rPr>
              </m:ctrlPr>
            </m:fPr>
            <m:num>
              <m:sSup>
                <m:sSupPr>
                  <m:ctrlPr>
                    <w:rPr>
                      <w:rFonts w:ascii="Cambria Math" w:hAnsi="Cambria Math" w:cs="Times New Roman"/>
                      <w:i/>
                      <w:lang w:val="en-GB"/>
                    </w:rPr>
                  </m:ctrlPr>
                </m:sSupPr>
                <m:e>
                  <m:r>
                    <w:rPr>
                      <w:rFonts w:ascii="Cambria Math" w:hAnsi="Cambria Math" w:cs="Times New Roman"/>
                      <w:lang w:val="en-GB"/>
                    </w:rPr>
                    <m:t>e</m:t>
                  </m:r>
                </m:e>
                <m:sup>
                  <m:d>
                    <m:dPr>
                      <m:begChr m:val="{"/>
                      <m:endChr m:val="}"/>
                      <m:ctrlPr>
                        <w:rPr>
                          <w:rFonts w:ascii="Cambria Math" w:hAnsi="Cambria Math" w:cs="Times New Roman"/>
                          <w:i/>
                          <w:lang w:val="en-GB"/>
                        </w:rPr>
                      </m:ctrlPr>
                    </m:dPr>
                    <m:e>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i</m:t>
                          </m:r>
                        </m:sub>
                      </m:sSub>
                      <m:r>
                        <w:rPr>
                          <w:rFonts w:ascii="Cambria Math" w:hAnsi="Cambria Math" w:cs="Times New Roman"/>
                          <w:lang w:val="en-GB"/>
                        </w:rPr>
                        <m:t>β</m:t>
                      </m:r>
                    </m:e>
                  </m:d>
                </m:sup>
              </m:sSup>
            </m:num>
            <m:den>
              <m:r>
                <w:rPr>
                  <w:rFonts w:ascii="Cambria Math" w:hAnsi="Cambria Math" w:cs="Times New Roman"/>
                  <w:lang w:val="en-GB"/>
                </w:rPr>
                <m:t>1+</m:t>
              </m:r>
              <m:sSup>
                <m:sSupPr>
                  <m:ctrlPr>
                    <w:rPr>
                      <w:rFonts w:ascii="Cambria Math" w:hAnsi="Cambria Math" w:cs="Times New Roman"/>
                      <w:i/>
                      <w:lang w:val="en-GB"/>
                    </w:rPr>
                  </m:ctrlPr>
                </m:sSupPr>
                <m:e>
                  <m:r>
                    <w:rPr>
                      <w:rFonts w:ascii="Cambria Math" w:hAnsi="Cambria Math" w:cs="Times New Roman"/>
                      <w:lang w:val="en-GB"/>
                    </w:rPr>
                    <m:t>e</m:t>
                  </m:r>
                </m:e>
                <m:sup>
                  <m:d>
                    <m:dPr>
                      <m:begChr m:val="{"/>
                      <m:endChr m:val="}"/>
                      <m:ctrlPr>
                        <w:rPr>
                          <w:rFonts w:ascii="Cambria Math" w:hAnsi="Cambria Math" w:cs="Times New Roman"/>
                          <w:i/>
                          <w:lang w:val="en-GB"/>
                        </w:rPr>
                      </m:ctrlPr>
                    </m:dPr>
                    <m:e>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i</m:t>
                          </m:r>
                        </m:sub>
                      </m:sSub>
                      <m:r>
                        <w:rPr>
                          <w:rFonts w:ascii="Cambria Math" w:hAnsi="Cambria Math" w:cs="Times New Roman"/>
                          <w:lang w:val="en-GB"/>
                        </w:rPr>
                        <m:t>β</m:t>
                      </m:r>
                    </m:e>
                  </m:d>
                </m:sup>
              </m:sSup>
            </m:den>
          </m:f>
        </m:oMath>
      </m:oMathPara>
    </w:p>
    <w:p w14:paraId="3E8E12CE" w14:textId="77777777" w:rsidR="00317644" w:rsidRPr="00D57AE6" w:rsidRDefault="00317644" w:rsidP="00A42562">
      <w:pPr>
        <w:spacing w:line="480" w:lineRule="auto"/>
        <w:jc w:val="both"/>
        <w:rPr>
          <w:rFonts w:cs="Times New Roman"/>
          <w:lang w:val="en-GB"/>
        </w:rPr>
      </w:pPr>
      <w:r w:rsidRPr="00D57AE6">
        <w:rPr>
          <w:rFonts w:cs="Times New Roman"/>
          <w:lang w:val="en-GB"/>
        </w:rPr>
        <w:t>T</w:t>
      </w:r>
      <w:r w:rsidRPr="00D57AE6">
        <w:rPr>
          <w:rFonts w:cs="Times New Roman"/>
          <w:vertAlign w:val="subscript"/>
          <w:lang w:val="en-GB"/>
        </w:rPr>
        <w:t>i</w:t>
      </w:r>
      <w:r w:rsidRPr="00D57AE6">
        <w:rPr>
          <w:rFonts w:cs="Times New Roman"/>
          <w:lang w:val="en-GB"/>
        </w:rPr>
        <w:t>​=1 for treated units and T</w:t>
      </w:r>
      <w:r w:rsidRPr="00D57AE6">
        <w:rPr>
          <w:rFonts w:cs="Times New Roman"/>
          <w:sz w:val="20"/>
          <w:szCs w:val="20"/>
          <w:lang w:val="en-GB"/>
        </w:rPr>
        <w:t>i</w:t>
      </w:r>
      <w:r w:rsidRPr="00D57AE6">
        <w:rPr>
          <w:rFonts w:cs="Times New Roman"/>
          <w:lang w:val="en-GB"/>
        </w:rPr>
        <w:t>​=0 for control units. X</w:t>
      </w:r>
      <w:r w:rsidRPr="00D57AE6">
        <w:rPr>
          <w:rFonts w:cs="Times New Roman"/>
          <w:vertAlign w:val="subscript"/>
          <w:lang w:val="en-GB"/>
        </w:rPr>
        <w:t>i</w:t>
      </w:r>
      <w:r w:rsidRPr="00D57AE6">
        <w:rPr>
          <w:rFonts w:cs="Times New Roman"/>
          <w:lang w:val="en-GB"/>
        </w:rPr>
        <w:t>​ is the set of covariates (matching variables). β is the estimated coefficient from the logistic regression.</w:t>
      </w:r>
    </w:p>
    <w:p w14:paraId="42CA103A" w14:textId="1FAF9C6A" w:rsidR="00517EC0" w:rsidRPr="00D57AE6" w:rsidRDefault="00187A1B" w:rsidP="0052016F">
      <w:pPr>
        <w:spacing w:line="480" w:lineRule="auto"/>
        <w:jc w:val="both"/>
        <w:rPr>
          <w:lang w:val="en-GB"/>
        </w:rPr>
      </w:pPr>
      <w:r w:rsidRPr="00D57AE6">
        <w:rPr>
          <w:lang w:val="en-GB"/>
        </w:rPr>
        <w:t xml:space="preserve">For the matching procedure, the Stata ado </w:t>
      </w:r>
      <w:proofErr w:type="spellStart"/>
      <w:r w:rsidRPr="00D57AE6">
        <w:rPr>
          <w:i/>
          <w:iCs/>
          <w:lang w:val="en-GB"/>
        </w:rPr>
        <w:t>radiusmatch</w:t>
      </w:r>
      <w:proofErr w:type="spellEnd"/>
      <w:r w:rsidRPr="00D57AE6">
        <w:rPr>
          <w:lang w:val="en-GB"/>
        </w:rPr>
        <w:t xml:space="preserve"> is used.</w:t>
      </w:r>
      <w:r w:rsidR="008D1521" w:rsidRPr="00D57AE6">
        <w:rPr>
          <w:lang w:val="en-GB"/>
        </w:rPr>
        <w:t xml:space="preserve"> </w:t>
      </w:r>
      <w:r w:rsidR="00517EC0" w:rsidRPr="00D57AE6">
        <w:rPr>
          <w:lang w:val="en-GB"/>
        </w:rPr>
        <w:t xml:space="preserve">It implements a one-to-many </w:t>
      </w:r>
      <w:r w:rsidR="00C50E6B" w:rsidRPr="00D57AE6">
        <w:rPr>
          <w:lang w:val="en-GB"/>
        </w:rPr>
        <w:t>calliper-matching algorithm that uses all comparison observations within a specified distance from</w:t>
      </w:r>
      <w:r w:rsidR="00517EC0" w:rsidRPr="00D57AE6">
        <w:rPr>
          <w:lang w:val="en-GB"/>
        </w:rPr>
        <w:t xml:space="preserve"> the treated unit's propensity score</w:t>
      </w:r>
      <w:r w:rsidR="00900E96" w:rsidRPr="00D57AE6">
        <w:rPr>
          <w:lang w:val="en-GB"/>
        </w:rPr>
        <w:t xml:space="preserve"> </w:t>
      </w:r>
      <w:r w:rsidR="00900E96" w:rsidRPr="00D57AE6">
        <w:rPr>
          <w:lang w:val="en-GB"/>
        </w:rPr>
        <w:fldChar w:fldCharType="begin"/>
      </w:r>
      <w:r w:rsidR="001F2956">
        <w:rPr>
          <w:lang w:val="en-GB"/>
        </w:rPr>
        <w:instrText xml:space="preserve"> ADDIN ZOTERO_ITEM CSL_CITATION {"citationID":"eMP2n8ar","properties":{"unsorted":false,"formattedCitation":"(Huber et al., 2012)","plainCitation":"(Huber et al., 2012)","noteIndex":0},"citationItems":[{"id":15251,"uris":["http://zotero.org/users/10596418/items/RTL5X3WG"],"itemData":{"id":15251,"type":"document","language":"en","publisher":"University of St.Gallen, School of Economics and Political Science, Economics Working Paper Series No. 1226","source":"Zotero","title":"Radius matching on the propensity score with bias adjustment: finite sample behaviour, tuning parameters and software implementation","author":[{"family":"Huber","given":"Martin"},{"family":"Lechner","given":"Michael"},{"family":"Steinmayr","given":"Andreas"}],"issued":{"date-parts":[["2012"]]}}}],"schema":"https://github.com/citation-style-language/schema/raw/master/csl-citation.json"} </w:instrText>
      </w:r>
      <w:r w:rsidR="00900E96" w:rsidRPr="00D57AE6">
        <w:rPr>
          <w:lang w:val="en-GB"/>
        </w:rPr>
        <w:fldChar w:fldCharType="separate"/>
      </w:r>
      <w:r w:rsidR="00900E96" w:rsidRPr="00D57AE6">
        <w:rPr>
          <w:rFonts w:ascii="Aptos" w:hAnsi="Aptos"/>
          <w:lang w:val="en-GB"/>
        </w:rPr>
        <w:t>(Huber et al., 2012)</w:t>
      </w:r>
      <w:r w:rsidR="00900E96" w:rsidRPr="00D57AE6">
        <w:rPr>
          <w:lang w:val="en-GB"/>
        </w:rPr>
        <w:fldChar w:fldCharType="end"/>
      </w:r>
      <w:r w:rsidR="00A603E1" w:rsidRPr="00D57AE6">
        <w:rPr>
          <w:lang w:val="en-GB"/>
        </w:rPr>
        <w:t xml:space="preserve">. </w:t>
      </w:r>
      <w:r w:rsidR="00517EC0" w:rsidRPr="00D57AE6">
        <w:rPr>
          <w:lang w:val="en-GB"/>
        </w:rPr>
        <w:t>The matching calculation is set to use the maximum allowable distance as the 90th percentile of the distance distribution, so that only 90% of potential matches are considered. The matching radius is set to 300% of the distance to the largest one-to-one match. This prevents bad matches and balances match quality and sample size</w:t>
      </w:r>
      <w:r w:rsidR="00A603E1" w:rsidRPr="00D57AE6">
        <w:rPr>
          <w:lang w:val="en-GB"/>
        </w:rPr>
        <w:t xml:space="preserve"> </w:t>
      </w:r>
      <w:r w:rsidR="00A603E1" w:rsidRPr="00D57AE6">
        <w:rPr>
          <w:lang w:val="en-GB"/>
        </w:rPr>
        <w:fldChar w:fldCharType="begin"/>
      </w:r>
      <w:r w:rsidR="001F2956">
        <w:rPr>
          <w:lang w:val="en-GB"/>
        </w:rPr>
        <w:instrText xml:space="preserve"> ADDIN ZOTERO_ITEM CSL_CITATION {"citationID":"DjL4DFvs","properties":{"unsorted":false,"formattedCitation":"(Huber et al., 2015)","plainCitation":"(Huber et al., 2015)","noteIndex":0},"citationItems":[{"id":15254,"uris":["http://zotero.org/users/10596418/items/52DSCKGM"],"itemData":{"id":15254,"type":"article-journal","abstract":"Using a simulation design that is based on empirical data, a recent study by Huber et al. (J Econom 175:1–21, 2013) finds that distance-weighted radius matching with bias adjustment as proposed in Lechneret et al. (J Eur Econ Assoc 9:742–784, 2011) is competitive among a broad range of propensity score-based estimators used to correct for mean differences due to observable covariates. In this companion paper, we further investigate the finite sample behaviour of radius matching with respect to various tuning parameters. The results are intended to help the practitioner to choose suitable values of these parameters when using this method, which has been implemented in the software packages GAUSS, STATA and R.","container-title":"Empirical Economics","DOI":"10.1007/s00181-014-0847-1","ISSN":"1435-8921","issue":"1","journalAbbreviation":"Empir Econ","language":"en","page":"1-31","source":"Springer Link","title":"Radius matching on the propensity score with bias adjustment: tuning parameters and finite sample behaviour","title-short":"Radius matching on the propensity score with bias adjustment","volume":"49","author":[{"family":"Huber","given":"Martin"},{"family":"Lechner","given":"Michael"},{"family":"Steinmayr","given":"Andreas"}],"issued":{"date-parts":[["2015",8,1]]}}}],"schema":"https://github.com/citation-style-language/schema/raw/master/csl-citation.json"} </w:instrText>
      </w:r>
      <w:r w:rsidR="00A603E1" w:rsidRPr="00D57AE6">
        <w:rPr>
          <w:lang w:val="en-GB"/>
        </w:rPr>
        <w:fldChar w:fldCharType="separate"/>
      </w:r>
      <w:r w:rsidR="00A603E1" w:rsidRPr="00D57AE6">
        <w:rPr>
          <w:rFonts w:ascii="Aptos" w:hAnsi="Aptos"/>
          <w:lang w:val="en-GB"/>
        </w:rPr>
        <w:t>(Huber et al., 2015)</w:t>
      </w:r>
      <w:r w:rsidR="00A603E1" w:rsidRPr="00D57AE6">
        <w:rPr>
          <w:lang w:val="en-GB"/>
        </w:rPr>
        <w:fldChar w:fldCharType="end"/>
      </w:r>
      <w:r w:rsidR="00517EC0" w:rsidRPr="00D57AE6">
        <w:rPr>
          <w:lang w:val="en-GB"/>
        </w:rPr>
        <w:t>. For each treated unit, all control units within the calliper range are considered as potential matches, and multiple matches are allowed.</w:t>
      </w:r>
    </w:p>
    <w:p w14:paraId="5CDD5E5B" w14:textId="49A868B1" w:rsidR="00517EC0" w:rsidRPr="00D57AE6" w:rsidRDefault="00517EC0" w:rsidP="0052016F">
      <w:pPr>
        <w:spacing w:line="480" w:lineRule="auto"/>
        <w:jc w:val="both"/>
        <w:rPr>
          <w:lang w:val="en-GB"/>
        </w:rPr>
      </w:pPr>
      <w:r w:rsidRPr="00D57AE6">
        <w:rPr>
          <w:lang w:val="en-GB"/>
        </w:rPr>
        <w:lastRenderedPageBreak/>
        <w:t>After matching, the outcomes of treated and matched control units are compared to estimate the ATE</w:t>
      </w:r>
      <w:r w:rsidR="00600094" w:rsidRPr="00D57AE6">
        <w:rPr>
          <w:lang w:val="en-GB"/>
        </w:rPr>
        <w:t>T</w:t>
      </w:r>
      <w:r w:rsidRPr="00D57AE6">
        <w:rPr>
          <w:lang w:val="en-GB"/>
        </w:rPr>
        <w:t xml:space="preserve">: </w:t>
      </w:r>
    </w:p>
    <w:p w14:paraId="2A82D093" w14:textId="77777777" w:rsidR="0077456D" w:rsidRPr="00D57AE6" w:rsidRDefault="0077456D" w:rsidP="0052016F">
      <w:pPr>
        <w:spacing w:line="480" w:lineRule="auto"/>
        <w:rPr>
          <w:rFonts w:cs="Times New Roman"/>
          <w:lang w:val="en-GB"/>
        </w:rPr>
      </w:pPr>
      <m:oMathPara>
        <m:oMath>
          <m:r>
            <m:rPr>
              <m:sty m:val="p"/>
            </m:rPr>
            <w:rPr>
              <w:rFonts w:ascii="Cambria Math" w:hAnsi="Cambria Math" w:cs="Times New Roman"/>
              <w:lang w:val="en-GB"/>
            </w:rPr>
            <m:t>ATET=E[</m:t>
          </m:r>
          <m:sSub>
            <m:sSubPr>
              <m:ctrlPr>
                <w:rPr>
                  <w:rFonts w:ascii="Cambria Math" w:hAnsi="Cambria Math" w:cs="Times New Roman"/>
                  <w:lang w:val="en-GB"/>
                </w:rPr>
              </m:ctrlPr>
            </m:sSubPr>
            <m:e>
              <m:r>
                <m:rPr>
                  <m:sty m:val="p"/>
                </m:rPr>
                <w:rPr>
                  <w:rFonts w:ascii="Cambria Math" w:hAnsi="Cambria Math" w:cs="Times New Roman"/>
                  <w:lang w:val="en-GB"/>
                </w:rPr>
                <m:t>Y</m:t>
              </m:r>
            </m:e>
            <m:sub>
              <m:r>
                <m:rPr>
                  <m:sty m:val="p"/>
                </m:rPr>
                <w:rPr>
                  <w:rFonts w:ascii="Cambria Math" w:hAnsi="Cambria Math" w:cs="Times New Roman"/>
                  <w:lang w:val="en-GB"/>
                </w:rPr>
                <m:t>1</m:t>
              </m:r>
            </m:sub>
          </m:sSub>
          <m:r>
            <m:rPr>
              <m:sty m:val="p"/>
            </m:rP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Y</m:t>
              </m:r>
            </m:e>
            <m:sub>
              <m:r>
                <m:rPr>
                  <m:sty m:val="p"/>
                </m:rPr>
                <w:rPr>
                  <w:rFonts w:ascii="Cambria Math" w:hAnsi="Cambria Math" w:cs="Times New Roman"/>
                  <w:lang w:val="en-GB"/>
                </w:rPr>
                <m:t>0</m:t>
              </m:r>
            </m:sub>
          </m:sSub>
          <m:r>
            <m:rPr>
              <m:sty m:val="p"/>
            </m:rPr>
            <w:rPr>
              <w:rFonts w:ascii="Cambria Math" w:hAnsi="Cambria Math" w:cs="Cambria Math"/>
              <w:lang w:val="en-GB"/>
            </w:rPr>
            <m:t>∣</m:t>
          </m:r>
          <m:r>
            <m:rPr>
              <m:sty m:val="p"/>
            </m:rPr>
            <w:rPr>
              <w:rFonts w:ascii="Cambria Math" w:hAnsi="Cambria Math" w:cs="Times New Roman"/>
              <w:lang w:val="en-GB"/>
            </w:rPr>
            <m:t>T=1]</m:t>
          </m:r>
        </m:oMath>
      </m:oMathPara>
    </w:p>
    <w:p w14:paraId="66F061CF" w14:textId="5D3CF9C9" w:rsidR="00517EC0" w:rsidRPr="00D57AE6" w:rsidRDefault="00517EC0" w:rsidP="0052016F">
      <w:pPr>
        <w:spacing w:line="480" w:lineRule="auto"/>
        <w:jc w:val="both"/>
        <w:rPr>
          <w:lang w:val="en-GB"/>
        </w:rPr>
      </w:pPr>
      <w:r w:rsidRPr="00D57AE6">
        <w:rPr>
          <w:lang w:val="en-GB"/>
        </w:rPr>
        <w:t>Where Y1 is the potential outcome in case of treatment (CVET), and Y0 is the potential outcome in the absence of treatment.</w:t>
      </w:r>
    </w:p>
    <w:p w14:paraId="04A28971" w14:textId="1784CA99" w:rsidR="006111C1" w:rsidRPr="00D57AE6" w:rsidRDefault="00060B74" w:rsidP="0052016F">
      <w:pPr>
        <w:spacing w:line="480" w:lineRule="auto"/>
        <w:jc w:val="both"/>
        <w:rPr>
          <w:lang w:val="en-GB"/>
        </w:rPr>
      </w:pPr>
      <w:r w:rsidRPr="00D57AE6">
        <w:rPr>
          <w:lang w:val="en-GB"/>
        </w:rPr>
        <w:t xml:space="preserve">The next step </w:t>
      </w:r>
      <w:r w:rsidR="004A3C30" w:rsidRPr="00D57AE6">
        <w:rPr>
          <w:lang w:val="en-GB"/>
        </w:rPr>
        <w:t>examined the association between CVET and the potential mediator variables.</w:t>
      </w:r>
      <w:r w:rsidR="006111C1" w:rsidRPr="00D57AE6">
        <w:rPr>
          <w:lang w:val="en-GB"/>
        </w:rPr>
        <w:t xml:space="preserve"> Specifically, we estimated models </w:t>
      </w:r>
      <w:r w:rsidR="002E6352" w:rsidRPr="00D57AE6">
        <w:rPr>
          <w:lang w:val="en-GB"/>
        </w:rPr>
        <w:t>that predicted indicators across</w:t>
      </w:r>
      <w:r w:rsidR="006111C1" w:rsidRPr="00D57AE6">
        <w:rPr>
          <w:lang w:val="en-GB"/>
        </w:rPr>
        <w:t xml:space="preserve"> five theoretically derived domains: job burden, perceived person-job fit, job satisfaction, psychological resources, and social inclusion. This step aimed to assess whether participation in CVET was systematically related to these potential mechanisms.</w:t>
      </w:r>
    </w:p>
    <w:p w14:paraId="456B582D" w14:textId="3C7B4EE5" w:rsidR="009F0049" w:rsidRPr="00D57AE6" w:rsidRDefault="007A1373" w:rsidP="00A42562">
      <w:pPr>
        <w:spacing w:line="480" w:lineRule="auto"/>
        <w:jc w:val="both"/>
        <w:rPr>
          <w:rFonts w:cs="Times New Roman"/>
          <w:lang w:val="en-GB"/>
        </w:rPr>
      </w:pPr>
      <w:r w:rsidRPr="00D57AE6">
        <w:rPr>
          <w:lang w:val="en-GB"/>
        </w:rPr>
        <w:t>Therefore,</w:t>
      </w:r>
      <w:r w:rsidR="002748BE" w:rsidRPr="00D57AE6">
        <w:rPr>
          <w:lang w:val="en-GB"/>
        </w:rPr>
        <w:t xml:space="preserve"> </w:t>
      </w:r>
      <w:r w:rsidRPr="00D57AE6">
        <w:rPr>
          <w:lang w:val="en-GB"/>
        </w:rPr>
        <w:t xml:space="preserve">we conducted the </w:t>
      </w:r>
      <w:r w:rsidR="002748BE" w:rsidRPr="00D57AE6">
        <w:rPr>
          <w:lang w:val="en-GB"/>
        </w:rPr>
        <w:t xml:space="preserve">same </w:t>
      </w:r>
      <w:r w:rsidR="00D37EDE" w:rsidRPr="00D57AE6">
        <w:rPr>
          <w:lang w:val="en-GB"/>
        </w:rPr>
        <w:t xml:space="preserve">matching </w:t>
      </w:r>
      <w:r w:rsidR="002748BE" w:rsidRPr="00D57AE6">
        <w:rPr>
          <w:lang w:val="en-GB"/>
        </w:rPr>
        <w:t>procedure</w:t>
      </w:r>
      <w:r w:rsidR="00D37EDE" w:rsidRPr="00D57AE6">
        <w:rPr>
          <w:lang w:val="en-GB"/>
        </w:rPr>
        <w:t xml:space="preserve">. </w:t>
      </w:r>
      <w:r w:rsidR="009F0049" w:rsidRPr="00D57AE6">
        <w:rPr>
          <w:rFonts w:cs="Times New Roman"/>
          <w:lang w:val="en-GB"/>
        </w:rPr>
        <w:t>For each mediator variable, a logistic regression is calculated to estimate the probability of receiving treatment given the observed covariates</w:t>
      </w:r>
      <w:r w:rsidR="00864AAC" w:rsidRPr="00D57AE6">
        <w:rPr>
          <w:rFonts w:cs="Times New Roman"/>
          <w:lang w:val="en-GB"/>
        </w:rPr>
        <w:t xml:space="preserve">. Based on this, a matching was performed, and the ATET was </w:t>
      </w:r>
      <w:r w:rsidR="00314C51" w:rsidRPr="00D57AE6">
        <w:rPr>
          <w:rFonts w:cs="Times New Roman"/>
          <w:lang w:val="en-GB"/>
        </w:rPr>
        <w:t>calculated.</w:t>
      </w:r>
    </w:p>
    <w:p w14:paraId="335DB1BA" w14:textId="0950858D" w:rsidR="003B2BEF" w:rsidRPr="00D57AE6" w:rsidRDefault="00991174" w:rsidP="0052016F">
      <w:pPr>
        <w:spacing w:line="480" w:lineRule="auto"/>
        <w:jc w:val="both"/>
        <w:rPr>
          <w:lang w:val="en-GB"/>
        </w:rPr>
      </w:pPr>
      <w:r w:rsidRPr="00D57AE6">
        <w:rPr>
          <w:lang w:val="en-GB"/>
        </w:rPr>
        <w:t>As a</w:t>
      </w:r>
      <w:r w:rsidR="00E13C59" w:rsidRPr="00D57AE6">
        <w:rPr>
          <w:lang w:val="en-GB"/>
        </w:rPr>
        <w:t xml:space="preserve"> </w:t>
      </w:r>
      <w:r w:rsidR="00864AAC" w:rsidRPr="00D57AE6">
        <w:rPr>
          <w:lang w:val="en-GB"/>
        </w:rPr>
        <w:t xml:space="preserve">final step, we wanted to examine the effect of the potential mediators on subsequent employment and then estimate the </w:t>
      </w:r>
      <w:r w:rsidR="00F92A7B" w:rsidRPr="00D57AE6">
        <w:rPr>
          <w:lang w:val="en-GB"/>
        </w:rPr>
        <w:t>mediation effects</w:t>
      </w:r>
      <w:r w:rsidR="00983D06" w:rsidRPr="00D57AE6">
        <w:rPr>
          <w:lang w:val="en-GB"/>
        </w:rPr>
        <w:t>. W</w:t>
      </w:r>
      <w:r w:rsidR="00F92A7B" w:rsidRPr="00D57AE6">
        <w:rPr>
          <w:lang w:val="en-GB"/>
        </w:rPr>
        <w:t>e planned to estimate average causal mediation effects, but this was</w:t>
      </w:r>
      <w:r w:rsidR="00130CE7" w:rsidRPr="00D57AE6">
        <w:rPr>
          <w:lang w:val="en-GB"/>
        </w:rPr>
        <w:t xml:space="preserve"> not necessary because the direct effect was not robust.</w:t>
      </w:r>
    </w:p>
    <w:p w14:paraId="2C2B5E44" w14:textId="0C139362" w:rsidR="00C37505" w:rsidRDefault="00791937" w:rsidP="0052016F">
      <w:pPr>
        <w:pStyle w:val="Heading1"/>
        <w:spacing w:line="480" w:lineRule="auto"/>
        <w:jc w:val="both"/>
        <w:rPr>
          <w:lang w:val="en-GB"/>
        </w:rPr>
      </w:pPr>
      <w:r w:rsidRPr="00D57AE6">
        <w:rPr>
          <w:lang w:val="en-GB"/>
        </w:rPr>
        <w:lastRenderedPageBreak/>
        <w:t>Results</w:t>
      </w:r>
    </w:p>
    <w:p w14:paraId="2DCAE2E5" w14:textId="0132FB43" w:rsidR="00A20381" w:rsidRDefault="00F643EC" w:rsidP="0052016F">
      <w:pPr>
        <w:pStyle w:val="Heading2"/>
        <w:spacing w:line="480" w:lineRule="auto"/>
        <w:rPr>
          <w:lang w:val="en-GB"/>
        </w:rPr>
      </w:pPr>
      <w:r w:rsidRPr="00D57AE6">
        <w:rPr>
          <w:lang w:val="en-GB"/>
        </w:rPr>
        <w:t xml:space="preserve">Association </w:t>
      </w:r>
      <w:r w:rsidR="00971E50">
        <w:rPr>
          <w:lang w:val="en-GB"/>
        </w:rPr>
        <w:t>B</w:t>
      </w:r>
      <w:r w:rsidRPr="00D57AE6">
        <w:rPr>
          <w:lang w:val="en-GB"/>
        </w:rPr>
        <w:t xml:space="preserve">etween CVET and </w:t>
      </w:r>
      <w:r w:rsidR="00971E50">
        <w:rPr>
          <w:lang w:val="en-GB"/>
        </w:rPr>
        <w:t>S</w:t>
      </w:r>
      <w:r w:rsidR="0031050E">
        <w:rPr>
          <w:lang w:val="en-GB"/>
        </w:rPr>
        <w:t xml:space="preserve">ubsequent </w:t>
      </w:r>
      <w:r w:rsidR="00971E50">
        <w:rPr>
          <w:lang w:val="en-GB"/>
        </w:rPr>
        <w:t>E</w:t>
      </w:r>
      <w:r w:rsidR="00240669" w:rsidRPr="00D57AE6">
        <w:rPr>
          <w:lang w:val="en-GB"/>
        </w:rPr>
        <w:t>mployment</w:t>
      </w:r>
    </w:p>
    <w:p w14:paraId="4C58B1B6" w14:textId="03AA8F48" w:rsidR="000277C3" w:rsidRPr="000277C3" w:rsidRDefault="000277C3" w:rsidP="000277C3">
      <w:pPr>
        <w:rPr>
          <w:lang w:val="en-GB"/>
        </w:rPr>
      </w:pPr>
      <w:r w:rsidRPr="00275B5A">
        <w:rPr>
          <w:lang w:val="en-GB"/>
        </w:rPr>
        <w:t>First, the results of the logistic regression analysis are presented, on which the matching was based.</w:t>
      </w:r>
    </w:p>
    <w:p w14:paraId="3468FA7D" w14:textId="0F137C0D" w:rsidR="00E007EA" w:rsidRPr="00D57AE6" w:rsidRDefault="00E007EA" w:rsidP="0052016F">
      <w:pPr>
        <w:pStyle w:val="Caption"/>
        <w:keepNext/>
        <w:spacing w:line="480" w:lineRule="auto"/>
        <w:rPr>
          <w:lang w:val="en-GB"/>
        </w:rPr>
      </w:pPr>
      <w:r w:rsidRPr="00D57AE6">
        <w:rPr>
          <w:lang w:val="en-GB"/>
        </w:rPr>
        <w:t xml:space="preserve">Table </w:t>
      </w:r>
      <w:r w:rsidRPr="00D57AE6">
        <w:rPr>
          <w:lang w:val="en-GB"/>
        </w:rPr>
        <w:fldChar w:fldCharType="begin"/>
      </w:r>
      <w:r w:rsidRPr="00D57AE6">
        <w:rPr>
          <w:lang w:val="en-GB"/>
        </w:rPr>
        <w:instrText xml:space="preserve"> SEQ Table \* ARABIC </w:instrText>
      </w:r>
      <w:r w:rsidRPr="00D57AE6">
        <w:rPr>
          <w:lang w:val="en-GB"/>
        </w:rPr>
        <w:fldChar w:fldCharType="separate"/>
      </w:r>
      <w:r w:rsidR="00E36778" w:rsidRPr="00D57AE6">
        <w:rPr>
          <w:noProof/>
          <w:lang w:val="en-GB"/>
        </w:rPr>
        <w:t>3</w:t>
      </w:r>
      <w:r w:rsidRPr="00D57AE6">
        <w:rPr>
          <w:lang w:val="en-GB"/>
        </w:rPr>
        <w:fldChar w:fldCharType="end"/>
      </w:r>
      <w:r w:rsidR="004542EC" w:rsidRPr="00D57AE6">
        <w:rPr>
          <w:lang w:val="en-GB"/>
        </w:rPr>
        <w:t xml:space="preserve">: </w:t>
      </w:r>
      <w:r w:rsidR="002E6352" w:rsidRPr="00D57AE6">
        <w:rPr>
          <w:lang w:val="en-GB"/>
        </w:rPr>
        <w:t>Logistic</w:t>
      </w:r>
      <w:r w:rsidR="00780CA1" w:rsidRPr="00D57AE6">
        <w:rPr>
          <w:lang w:val="en-GB"/>
        </w:rPr>
        <w:t xml:space="preserve"> </w:t>
      </w:r>
      <w:r w:rsidR="00971E50">
        <w:rPr>
          <w:lang w:val="en-GB"/>
        </w:rPr>
        <w:t>R</w:t>
      </w:r>
      <w:r w:rsidR="00780CA1" w:rsidRPr="00D57AE6">
        <w:rPr>
          <w:lang w:val="en-GB"/>
        </w:rPr>
        <w:t xml:space="preserve">egression on </w:t>
      </w:r>
      <w:r w:rsidR="00971E50">
        <w:rPr>
          <w:lang w:val="en-GB"/>
        </w:rPr>
        <w:t>P</w:t>
      </w:r>
      <w:r w:rsidR="00592C4A" w:rsidRPr="00D57AE6">
        <w:rPr>
          <w:lang w:val="en-GB"/>
        </w:rPr>
        <w:t>articipation in CVET</w:t>
      </w:r>
    </w:p>
    <w:tbl>
      <w:tblPr>
        <w:tblStyle w:val="TableGrid"/>
        <w:tblW w:w="9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80"/>
        <w:gridCol w:w="1178"/>
        <w:gridCol w:w="975"/>
        <w:gridCol w:w="1041"/>
        <w:gridCol w:w="1042"/>
        <w:gridCol w:w="1091"/>
      </w:tblGrid>
      <w:tr w:rsidR="000A5A94" w:rsidRPr="00D57AE6" w14:paraId="2CB90A19" w14:textId="77777777" w:rsidTr="00533D4A">
        <w:tc>
          <w:tcPr>
            <w:tcW w:w="2700" w:type="dxa"/>
            <w:tcBorders>
              <w:top w:val="single" w:sz="4" w:space="0" w:color="auto"/>
              <w:bottom w:val="single" w:sz="4" w:space="0" w:color="auto"/>
            </w:tcBorders>
          </w:tcPr>
          <w:p w14:paraId="6667F9EE" w14:textId="5E80E45C" w:rsidR="000A5A94" w:rsidRPr="00C00D27" w:rsidRDefault="001D605C" w:rsidP="0052016F">
            <w:pPr>
              <w:spacing w:line="480" w:lineRule="auto"/>
              <w:rPr>
                <w:sz w:val="20"/>
                <w:szCs w:val="20"/>
                <w:lang w:val="en-GB"/>
              </w:rPr>
            </w:pPr>
            <w:r w:rsidRPr="00C00D27">
              <w:rPr>
                <w:sz w:val="20"/>
                <w:szCs w:val="20"/>
                <w:lang w:val="en-GB"/>
              </w:rPr>
              <w:t>Variables</w:t>
            </w:r>
          </w:p>
        </w:tc>
        <w:tc>
          <w:tcPr>
            <w:tcW w:w="1080" w:type="dxa"/>
            <w:tcBorders>
              <w:top w:val="single" w:sz="4" w:space="0" w:color="auto"/>
              <w:left w:val="nil"/>
              <w:bottom w:val="single" w:sz="4" w:space="0" w:color="auto"/>
            </w:tcBorders>
          </w:tcPr>
          <w:p w14:paraId="3DEC0597" w14:textId="37B8D13D" w:rsidR="000A5A94" w:rsidRPr="00C00D27" w:rsidRDefault="000A5A94" w:rsidP="00533D4A">
            <w:pPr>
              <w:spacing w:line="480" w:lineRule="auto"/>
              <w:rPr>
                <w:sz w:val="20"/>
                <w:szCs w:val="20"/>
                <w:lang w:val="en-GB"/>
              </w:rPr>
            </w:pPr>
            <w:r w:rsidRPr="00C00D27">
              <w:rPr>
                <w:sz w:val="20"/>
                <w:szCs w:val="20"/>
                <w:lang w:val="en-GB"/>
              </w:rPr>
              <w:t>Coef</w:t>
            </w:r>
            <w:r w:rsidR="00533D4A" w:rsidRPr="00C00D27">
              <w:rPr>
                <w:sz w:val="20"/>
                <w:szCs w:val="20"/>
                <w:lang w:val="en-GB"/>
              </w:rPr>
              <w:t>.</w:t>
            </w:r>
          </w:p>
        </w:tc>
        <w:tc>
          <w:tcPr>
            <w:tcW w:w="1178" w:type="dxa"/>
            <w:tcBorders>
              <w:top w:val="single" w:sz="4" w:space="0" w:color="auto"/>
              <w:bottom w:val="single" w:sz="4" w:space="0" w:color="auto"/>
            </w:tcBorders>
          </w:tcPr>
          <w:p w14:paraId="229F3B70" w14:textId="29D42D51" w:rsidR="000A5A94" w:rsidRPr="00C00D27" w:rsidRDefault="000A5A94" w:rsidP="00533D4A">
            <w:pPr>
              <w:spacing w:line="480" w:lineRule="auto"/>
              <w:rPr>
                <w:sz w:val="20"/>
                <w:szCs w:val="20"/>
                <w:lang w:val="en-GB"/>
              </w:rPr>
            </w:pPr>
            <w:r w:rsidRPr="00C00D27">
              <w:rPr>
                <w:sz w:val="20"/>
                <w:szCs w:val="20"/>
                <w:lang w:val="en-GB"/>
              </w:rPr>
              <w:t>Std. Err.</w:t>
            </w:r>
          </w:p>
        </w:tc>
        <w:tc>
          <w:tcPr>
            <w:tcW w:w="975" w:type="dxa"/>
            <w:tcBorders>
              <w:top w:val="single" w:sz="4" w:space="0" w:color="auto"/>
              <w:bottom w:val="single" w:sz="4" w:space="0" w:color="auto"/>
            </w:tcBorders>
          </w:tcPr>
          <w:p w14:paraId="51B7F966" w14:textId="70063FFF" w:rsidR="000A5A94" w:rsidRPr="00C00D27" w:rsidRDefault="000A5A94" w:rsidP="00533D4A">
            <w:pPr>
              <w:spacing w:line="480" w:lineRule="auto"/>
              <w:rPr>
                <w:sz w:val="20"/>
                <w:szCs w:val="20"/>
                <w:lang w:val="en-GB"/>
              </w:rPr>
            </w:pPr>
            <w:r w:rsidRPr="00C00D27">
              <w:rPr>
                <w:sz w:val="20"/>
                <w:szCs w:val="20"/>
                <w:lang w:val="en-GB"/>
              </w:rPr>
              <w:t>z</w:t>
            </w:r>
          </w:p>
        </w:tc>
        <w:tc>
          <w:tcPr>
            <w:tcW w:w="1041" w:type="dxa"/>
            <w:tcBorders>
              <w:top w:val="single" w:sz="4" w:space="0" w:color="auto"/>
              <w:bottom w:val="single" w:sz="4" w:space="0" w:color="auto"/>
            </w:tcBorders>
          </w:tcPr>
          <w:p w14:paraId="19E7A35C" w14:textId="3AD21040" w:rsidR="000A5A94" w:rsidRPr="00C00D27" w:rsidRDefault="000A5A94" w:rsidP="00533D4A">
            <w:pPr>
              <w:spacing w:line="480" w:lineRule="auto"/>
              <w:rPr>
                <w:sz w:val="20"/>
                <w:szCs w:val="20"/>
                <w:lang w:val="en-GB"/>
              </w:rPr>
            </w:pPr>
            <w:r w:rsidRPr="00C00D27">
              <w:rPr>
                <w:sz w:val="20"/>
                <w:szCs w:val="20"/>
                <w:lang w:val="en-GB"/>
              </w:rPr>
              <w:t>P&gt;z</w:t>
            </w:r>
          </w:p>
        </w:tc>
        <w:tc>
          <w:tcPr>
            <w:tcW w:w="2133" w:type="dxa"/>
            <w:gridSpan w:val="2"/>
            <w:tcBorders>
              <w:top w:val="single" w:sz="4" w:space="0" w:color="auto"/>
              <w:bottom w:val="single" w:sz="4" w:space="0" w:color="auto"/>
            </w:tcBorders>
          </w:tcPr>
          <w:p w14:paraId="5CBF29F2" w14:textId="366747E5" w:rsidR="000A5A94" w:rsidRPr="00C00D27" w:rsidRDefault="000A5A94" w:rsidP="00533D4A">
            <w:pPr>
              <w:spacing w:line="480" w:lineRule="auto"/>
              <w:jc w:val="center"/>
              <w:rPr>
                <w:sz w:val="20"/>
                <w:szCs w:val="20"/>
                <w:lang w:val="en-GB"/>
              </w:rPr>
            </w:pPr>
            <w:r w:rsidRPr="00C00D27">
              <w:rPr>
                <w:sz w:val="20"/>
                <w:szCs w:val="20"/>
                <w:lang w:val="en-GB"/>
              </w:rPr>
              <w:t xml:space="preserve">[95% </w:t>
            </w:r>
            <w:r w:rsidR="00D76225" w:rsidRPr="00C00D27">
              <w:rPr>
                <w:sz w:val="20"/>
                <w:szCs w:val="20"/>
                <w:lang w:val="en-GB"/>
              </w:rPr>
              <w:t>C</w:t>
            </w:r>
            <w:r w:rsidRPr="00C00D27">
              <w:rPr>
                <w:sz w:val="20"/>
                <w:szCs w:val="20"/>
                <w:lang w:val="en-GB"/>
              </w:rPr>
              <w:t xml:space="preserve">onf. </w:t>
            </w:r>
            <w:r w:rsidR="00D76225" w:rsidRPr="00C00D27">
              <w:rPr>
                <w:sz w:val="20"/>
                <w:szCs w:val="20"/>
                <w:lang w:val="en-GB"/>
              </w:rPr>
              <w:t>I</w:t>
            </w:r>
            <w:r w:rsidRPr="00C00D27">
              <w:rPr>
                <w:sz w:val="20"/>
                <w:szCs w:val="20"/>
                <w:lang w:val="en-GB"/>
              </w:rPr>
              <w:t>nt</w:t>
            </w:r>
            <w:r w:rsidR="00533D4A" w:rsidRPr="00C00D27">
              <w:rPr>
                <w:sz w:val="20"/>
                <w:szCs w:val="20"/>
                <w:lang w:val="en-GB"/>
              </w:rPr>
              <w:t>.</w:t>
            </w:r>
            <w:r w:rsidRPr="00C00D27">
              <w:rPr>
                <w:sz w:val="20"/>
                <w:szCs w:val="20"/>
                <w:lang w:val="en-GB"/>
              </w:rPr>
              <w:t>]</w:t>
            </w:r>
          </w:p>
        </w:tc>
      </w:tr>
      <w:tr w:rsidR="001E3CE5" w:rsidRPr="00D57AE6" w14:paraId="50614FFD" w14:textId="77777777" w:rsidTr="00533D4A">
        <w:tc>
          <w:tcPr>
            <w:tcW w:w="2700" w:type="dxa"/>
            <w:tcBorders>
              <w:top w:val="single" w:sz="4" w:space="0" w:color="auto"/>
            </w:tcBorders>
          </w:tcPr>
          <w:p w14:paraId="51C52B1C" w14:textId="01A8A837" w:rsidR="001E3CE5" w:rsidRPr="00C00D27" w:rsidRDefault="000A5A94" w:rsidP="0052016F">
            <w:pPr>
              <w:spacing w:line="480" w:lineRule="auto"/>
              <w:rPr>
                <w:sz w:val="20"/>
                <w:szCs w:val="20"/>
                <w:lang w:val="en-GB"/>
              </w:rPr>
            </w:pPr>
            <w:r w:rsidRPr="00C00D27">
              <w:rPr>
                <w:sz w:val="20"/>
                <w:szCs w:val="20"/>
                <w:lang w:val="en-GB"/>
              </w:rPr>
              <w:t>G</w:t>
            </w:r>
            <w:r w:rsidR="001E3CE5" w:rsidRPr="00C00D27">
              <w:rPr>
                <w:sz w:val="20"/>
                <w:szCs w:val="20"/>
                <w:lang w:val="en-GB"/>
              </w:rPr>
              <w:t>ender</w:t>
            </w:r>
          </w:p>
        </w:tc>
        <w:tc>
          <w:tcPr>
            <w:tcW w:w="1080" w:type="dxa"/>
            <w:tcBorders>
              <w:top w:val="single" w:sz="4" w:space="0" w:color="auto"/>
              <w:left w:val="nil"/>
            </w:tcBorders>
          </w:tcPr>
          <w:p w14:paraId="1413BCB2" w14:textId="034C0B42" w:rsidR="001E3CE5" w:rsidRPr="00C00D27" w:rsidRDefault="001E3CE5" w:rsidP="0052016F">
            <w:pPr>
              <w:spacing w:line="480" w:lineRule="auto"/>
              <w:rPr>
                <w:sz w:val="20"/>
                <w:szCs w:val="20"/>
                <w:lang w:val="en-GB"/>
              </w:rPr>
            </w:pPr>
            <w:r w:rsidRPr="00C00D27">
              <w:rPr>
                <w:sz w:val="20"/>
                <w:szCs w:val="20"/>
                <w:lang w:val="en-GB"/>
              </w:rPr>
              <w:t>-.021</w:t>
            </w:r>
          </w:p>
        </w:tc>
        <w:tc>
          <w:tcPr>
            <w:tcW w:w="1178" w:type="dxa"/>
            <w:tcBorders>
              <w:top w:val="single" w:sz="4" w:space="0" w:color="auto"/>
            </w:tcBorders>
          </w:tcPr>
          <w:p w14:paraId="543AC53D" w14:textId="384F1D36" w:rsidR="001E3CE5" w:rsidRPr="00C00D27" w:rsidRDefault="001E3CE5" w:rsidP="0052016F">
            <w:pPr>
              <w:spacing w:line="480" w:lineRule="auto"/>
              <w:rPr>
                <w:sz w:val="20"/>
                <w:szCs w:val="20"/>
                <w:lang w:val="en-GB"/>
              </w:rPr>
            </w:pPr>
            <w:r w:rsidRPr="00C00D27">
              <w:rPr>
                <w:sz w:val="20"/>
                <w:szCs w:val="20"/>
                <w:lang w:val="en-GB"/>
              </w:rPr>
              <w:t>.15</w:t>
            </w:r>
            <w:r w:rsidR="00D76225" w:rsidRPr="00C00D27">
              <w:rPr>
                <w:sz w:val="20"/>
                <w:szCs w:val="20"/>
                <w:lang w:val="en-GB"/>
              </w:rPr>
              <w:t>8</w:t>
            </w:r>
          </w:p>
        </w:tc>
        <w:tc>
          <w:tcPr>
            <w:tcW w:w="975" w:type="dxa"/>
            <w:tcBorders>
              <w:top w:val="single" w:sz="4" w:space="0" w:color="auto"/>
            </w:tcBorders>
          </w:tcPr>
          <w:p w14:paraId="6DADA76C" w14:textId="144F923A" w:rsidR="001E3CE5" w:rsidRPr="00C00D27" w:rsidRDefault="001E3CE5" w:rsidP="0052016F">
            <w:pPr>
              <w:spacing w:line="480" w:lineRule="auto"/>
              <w:rPr>
                <w:sz w:val="20"/>
                <w:szCs w:val="20"/>
                <w:lang w:val="en-GB"/>
              </w:rPr>
            </w:pPr>
            <w:r w:rsidRPr="00C00D27">
              <w:rPr>
                <w:sz w:val="20"/>
                <w:szCs w:val="20"/>
                <w:lang w:val="en-GB"/>
              </w:rPr>
              <w:t>-0.13</w:t>
            </w:r>
          </w:p>
        </w:tc>
        <w:tc>
          <w:tcPr>
            <w:tcW w:w="1041" w:type="dxa"/>
            <w:tcBorders>
              <w:top w:val="single" w:sz="4" w:space="0" w:color="auto"/>
            </w:tcBorders>
          </w:tcPr>
          <w:p w14:paraId="39FCDA83" w14:textId="4BA9688D" w:rsidR="001E3CE5" w:rsidRPr="00C00D27" w:rsidRDefault="001E3CE5" w:rsidP="0052016F">
            <w:pPr>
              <w:spacing w:line="480" w:lineRule="auto"/>
              <w:rPr>
                <w:sz w:val="20"/>
                <w:szCs w:val="20"/>
                <w:lang w:val="en-GB"/>
              </w:rPr>
            </w:pPr>
            <w:r w:rsidRPr="00C00D27">
              <w:rPr>
                <w:sz w:val="20"/>
                <w:szCs w:val="20"/>
                <w:lang w:val="en-GB"/>
              </w:rPr>
              <w:t>0.894</w:t>
            </w:r>
          </w:p>
        </w:tc>
        <w:tc>
          <w:tcPr>
            <w:tcW w:w="1042" w:type="dxa"/>
            <w:tcBorders>
              <w:top w:val="single" w:sz="4" w:space="0" w:color="auto"/>
            </w:tcBorders>
          </w:tcPr>
          <w:p w14:paraId="3457AC3B" w14:textId="4F71ACC7" w:rsidR="001E3CE5" w:rsidRPr="00C00D27" w:rsidRDefault="001E3CE5" w:rsidP="0052016F">
            <w:pPr>
              <w:spacing w:line="480" w:lineRule="auto"/>
              <w:rPr>
                <w:sz w:val="20"/>
                <w:szCs w:val="20"/>
                <w:lang w:val="en-GB"/>
              </w:rPr>
            </w:pPr>
            <w:r w:rsidRPr="00C00D27">
              <w:rPr>
                <w:sz w:val="20"/>
                <w:szCs w:val="20"/>
                <w:lang w:val="en-GB"/>
              </w:rPr>
              <w:t>-.33</w:t>
            </w:r>
            <w:r w:rsidR="00D76225" w:rsidRPr="00C00D27">
              <w:rPr>
                <w:sz w:val="20"/>
                <w:szCs w:val="20"/>
                <w:lang w:val="en-GB"/>
              </w:rPr>
              <w:t>1</w:t>
            </w:r>
          </w:p>
        </w:tc>
        <w:tc>
          <w:tcPr>
            <w:tcW w:w="1091" w:type="dxa"/>
            <w:tcBorders>
              <w:top w:val="single" w:sz="4" w:space="0" w:color="auto"/>
            </w:tcBorders>
          </w:tcPr>
          <w:p w14:paraId="227728B4" w14:textId="4537C9CF" w:rsidR="001E3CE5" w:rsidRPr="00C00D27" w:rsidRDefault="001E3CE5" w:rsidP="0052016F">
            <w:pPr>
              <w:spacing w:line="480" w:lineRule="auto"/>
              <w:rPr>
                <w:sz w:val="20"/>
                <w:szCs w:val="20"/>
                <w:lang w:val="en-GB"/>
              </w:rPr>
            </w:pPr>
            <w:r w:rsidRPr="00C00D27">
              <w:rPr>
                <w:sz w:val="20"/>
                <w:szCs w:val="20"/>
                <w:lang w:val="en-GB"/>
              </w:rPr>
              <w:t>.28</w:t>
            </w:r>
            <w:r w:rsidR="00D76225" w:rsidRPr="00C00D27">
              <w:rPr>
                <w:sz w:val="20"/>
                <w:szCs w:val="20"/>
                <w:lang w:val="en-GB"/>
              </w:rPr>
              <w:t>9</w:t>
            </w:r>
          </w:p>
        </w:tc>
      </w:tr>
      <w:tr w:rsidR="001E3CE5" w:rsidRPr="00D57AE6" w14:paraId="46E145CC" w14:textId="77777777" w:rsidTr="00533D4A">
        <w:tc>
          <w:tcPr>
            <w:tcW w:w="2700" w:type="dxa"/>
          </w:tcPr>
          <w:p w14:paraId="40468B81" w14:textId="16BEA585" w:rsidR="001E3CE5" w:rsidRPr="00C00D27" w:rsidRDefault="000A5A94" w:rsidP="0052016F">
            <w:pPr>
              <w:spacing w:line="480" w:lineRule="auto"/>
              <w:rPr>
                <w:sz w:val="20"/>
                <w:szCs w:val="20"/>
                <w:lang w:val="en-GB"/>
              </w:rPr>
            </w:pPr>
            <w:r w:rsidRPr="00C00D27">
              <w:rPr>
                <w:sz w:val="20"/>
                <w:szCs w:val="20"/>
                <w:lang w:val="en-GB"/>
              </w:rPr>
              <w:t>ISCED</w:t>
            </w:r>
            <w:r w:rsidR="00533D4A" w:rsidRPr="00C00D27">
              <w:rPr>
                <w:sz w:val="20"/>
                <w:szCs w:val="20"/>
                <w:lang w:val="en-GB"/>
              </w:rPr>
              <w:t xml:space="preserve"> (Lev. </w:t>
            </w:r>
            <w:r w:rsidR="001E3CE5" w:rsidRPr="00C00D27">
              <w:rPr>
                <w:sz w:val="20"/>
                <w:szCs w:val="20"/>
                <w:lang w:val="en-GB"/>
              </w:rPr>
              <w:t>3</w:t>
            </w:r>
            <w:r w:rsidR="00533D4A" w:rsidRPr="00C00D27">
              <w:rPr>
                <w:sz w:val="20"/>
                <w:szCs w:val="20"/>
                <w:lang w:val="en-GB"/>
              </w:rPr>
              <w:t>)</w:t>
            </w:r>
          </w:p>
        </w:tc>
        <w:tc>
          <w:tcPr>
            <w:tcW w:w="1080" w:type="dxa"/>
            <w:tcBorders>
              <w:left w:val="nil"/>
            </w:tcBorders>
          </w:tcPr>
          <w:p w14:paraId="6D62B199" w14:textId="3333CE74" w:rsidR="001E3CE5" w:rsidRPr="00C00D27" w:rsidRDefault="001E3CE5" w:rsidP="0052016F">
            <w:pPr>
              <w:spacing w:line="480" w:lineRule="auto"/>
              <w:rPr>
                <w:sz w:val="20"/>
                <w:szCs w:val="20"/>
                <w:lang w:val="en-GB"/>
              </w:rPr>
            </w:pPr>
            <w:r w:rsidRPr="00C00D27">
              <w:rPr>
                <w:sz w:val="20"/>
                <w:szCs w:val="20"/>
                <w:lang w:val="en-GB"/>
              </w:rPr>
              <w:t>.70</w:t>
            </w:r>
            <w:r w:rsidR="0022322F" w:rsidRPr="00C00D27">
              <w:rPr>
                <w:sz w:val="20"/>
                <w:szCs w:val="20"/>
                <w:lang w:val="en-GB"/>
              </w:rPr>
              <w:t>5</w:t>
            </w:r>
          </w:p>
        </w:tc>
        <w:tc>
          <w:tcPr>
            <w:tcW w:w="1178" w:type="dxa"/>
          </w:tcPr>
          <w:p w14:paraId="7E441D56" w14:textId="10C722FA" w:rsidR="001E3CE5" w:rsidRPr="00C00D27" w:rsidRDefault="001E3CE5" w:rsidP="0052016F">
            <w:pPr>
              <w:spacing w:line="480" w:lineRule="auto"/>
              <w:rPr>
                <w:sz w:val="20"/>
                <w:szCs w:val="20"/>
                <w:lang w:val="en-GB"/>
              </w:rPr>
            </w:pPr>
            <w:r w:rsidRPr="00C00D27">
              <w:rPr>
                <w:sz w:val="20"/>
                <w:szCs w:val="20"/>
                <w:lang w:val="en-GB"/>
              </w:rPr>
              <w:t>.1</w:t>
            </w:r>
            <w:r w:rsidR="005C0E46" w:rsidRPr="00C00D27">
              <w:rPr>
                <w:sz w:val="20"/>
                <w:szCs w:val="20"/>
                <w:lang w:val="en-GB"/>
              </w:rPr>
              <w:t>80</w:t>
            </w:r>
          </w:p>
        </w:tc>
        <w:tc>
          <w:tcPr>
            <w:tcW w:w="975" w:type="dxa"/>
          </w:tcPr>
          <w:p w14:paraId="162655AB" w14:textId="41708790" w:rsidR="001E3CE5" w:rsidRPr="00C00D27" w:rsidRDefault="001E3CE5" w:rsidP="0052016F">
            <w:pPr>
              <w:spacing w:line="480" w:lineRule="auto"/>
              <w:rPr>
                <w:sz w:val="20"/>
                <w:szCs w:val="20"/>
                <w:lang w:val="en-GB"/>
              </w:rPr>
            </w:pPr>
            <w:r w:rsidRPr="00C00D27">
              <w:rPr>
                <w:sz w:val="20"/>
                <w:szCs w:val="20"/>
                <w:lang w:val="en-GB"/>
              </w:rPr>
              <w:t>3.93</w:t>
            </w:r>
          </w:p>
        </w:tc>
        <w:tc>
          <w:tcPr>
            <w:tcW w:w="1041" w:type="dxa"/>
          </w:tcPr>
          <w:p w14:paraId="57B14A7A" w14:textId="150D690B" w:rsidR="001E3CE5" w:rsidRPr="00C00D27" w:rsidRDefault="001E3CE5" w:rsidP="0052016F">
            <w:pPr>
              <w:spacing w:line="480" w:lineRule="auto"/>
              <w:rPr>
                <w:sz w:val="20"/>
                <w:szCs w:val="20"/>
                <w:lang w:val="en-GB"/>
              </w:rPr>
            </w:pPr>
            <w:r w:rsidRPr="002A647D">
              <w:rPr>
                <w:b/>
                <w:bCs/>
                <w:sz w:val="20"/>
                <w:szCs w:val="20"/>
                <w:lang w:val="en-GB"/>
              </w:rPr>
              <w:t>0.000</w:t>
            </w:r>
          </w:p>
        </w:tc>
        <w:tc>
          <w:tcPr>
            <w:tcW w:w="1042" w:type="dxa"/>
          </w:tcPr>
          <w:p w14:paraId="4782FD7E" w14:textId="6CAAB2EB" w:rsidR="001E3CE5" w:rsidRPr="00C00D27" w:rsidRDefault="001E3CE5" w:rsidP="0052016F">
            <w:pPr>
              <w:spacing w:line="480" w:lineRule="auto"/>
              <w:rPr>
                <w:sz w:val="20"/>
                <w:szCs w:val="20"/>
                <w:lang w:val="en-GB"/>
              </w:rPr>
            </w:pPr>
            <w:r w:rsidRPr="00C00D27">
              <w:rPr>
                <w:sz w:val="20"/>
                <w:szCs w:val="20"/>
                <w:lang w:val="en-GB"/>
              </w:rPr>
              <w:t>.35</w:t>
            </w:r>
            <w:r w:rsidR="005C0E46" w:rsidRPr="00C00D27">
              <w:rPr>
                <w:sz w:val="20"/>
                <w:szCs w:val="20"/>
                <w:lang w:val="en-GB"/>
              </w:rPr>
              <w:t>3</w:t>
            </w:r>
          </w:p>
        </w:tc>
        <w:tc>
          <w:tcPr>
            <w:tcW w:w="1091" w:type="dxa"/>
          </w:tcPr>
          <w:p w14:paraId="07439615" w14:textId="5826A078" w:rsidR="001E3CE5" w:rsidRPr="00C00D27" w:rsidRDefault="001E3CE5" w:rsidP="0052016F">
            <w:pPr>
              <w:spacing w:line="480" w:lineRule="auto"/>
              <w:rPr>
                <w:sz w:val="20"/>
                <w:szCs w:val="20"/>
                <w:lang w:val="en-GB"/>
              </w:rPr>
            </w:pPr>
            <w:r w:rsidRPr="00C00D27">
              <w:rPr>
                <w:sz w:val="20"/>
                <w:szCs w:val="20"/>
                <w:lang w:val="en-GB"/>
              </w:rPr>
              <w:t>1.05</w:t>
            </w:r>
            <w:r w:rsidR="001D605C" w:rsidRPr="00C00D27">
              <w:rPr>
                <w:sz w:val="20"/>
                <w:szCs w:val="20"/>
                <w:lang w:val="en-GB"/>
              </w:rPr>
              <w:t>7</w:t>
            </w:r>
          </w:p>
        </w:tc>
      </w:tr>
      <w:tr w:rsidR="001E3CE5" w:rsidRPr="00D57AE6" w14:paraId="34D0F91B" w14:textId="77777777" w:rsidTr="00533D4A">
        <w:tc>
          <w:tcPr>
            <w:tcW w:w="2700" w:type="dxa"/>
          </w:tcPr>
          <w:p w14:paraId="4B3F765B" w14:textId="461DC955" w:rsidR="001E3CE5" w:rsidRPr="00C00D27" w:rsidRDefault="00E6189B" w:rsidP="0052016F">
            <w:pPr>
              <w:spacing w:line="480" w:lineRule="auto"/>
              <w:rPr>
                <w:sz w:val="20"/>
                <w:szCs w:val="20"/>
                <w:lang w:val="en-GB"/>
              </w:rPr>
            </w:pPr>
            <w:r w:rsidRPr="00C00D27">
              <w:rPr>
                <w:sz w:val="20"/>
                <w:szCs w:val="20"/>
                <w:lang w:val="en-GB"/>
              </w:rPr>
              <w:t>H</w:t>
            </w:r>
            <w:r w:rsidR="00C356E4" w:rsidRPr="00C00D27">
              <w:rPr>
                <w:sz w:val="20"/>
                <w:szCs w:val="20"/>
                <w:lang w:val="en-GB"/>
              </w:rPr>
              <w:t>ealth-rel</w:t>
            </w:r>
            <w:r w:rsidR="00B959D1" w:rsidRPr="00C00D27">
              <w:rPr>
                <w:sz w:val="20"/>
                <w:szCs w:val="20"/>
                <w:lang w:val="en-GB"/>
              </w:rPr>
              <w:t>.</w:t>
            </w:r>
            <w:r w:rsidR="00C356E4" w:rsidRPr="00C00D27">
              <w:rPr>
                <w:sz w:val="20"/>
                <w:szCs w:val="20"/>
                <w:lang w:val="en-GB"/>
              </w:rPr>
              <w:t xml:space="preserve"> </w:t>
            </w:r>
            <w:r w:rsidRPr="00C00D27">
              <w:rPr>
                <w:sz w:val="20"/>
                <w:szCs w:val="20"/>
                <w:lang w:val="en-GB"/>
              </w:rPr>
              <w:t>Q</w:t>
            </w:r>
            <w:r w:rsidR="00C356E4" w:rsidRPr="00C00D27">
              <w:rPr>
                <w:sz w:val="20"/>
                <w:szCs w:val="20"/>
                <w:lang w:val="en-GB"/>
              </w:rPr>
              <w:t>ual</w:t>
            </w:r>
            <w:r w:rsidR="00B959D1" w:rsidRPr="00C00D27">
              <w:rPr>
                <w:sz w:val="20"/>
                <w:szCs w:val="20"/>
                <w:lang w:val="en-GB"/>
              </w:rPr>
              <w:t>.</w:t>
            </w:r>
            <w:r w:rsidR="00C356E4" w:rsidRPr="00C00D27">
              <w:rPr>
                <w:sz w:val="20"/>
                <w:szCs w:val="20"/>
                <w:lang w:val="en-GB"/>
              </w:rPr>
              <w:t xml:space="preserve"> of </w:t>
            </w:r>
            <w:r w:rsidRPr="00C00D27">
              <w:rPr>
                <w:sz w:val="20"/>
                <w:szCs w:val="20"/>
                <w:lang w:val="en-GB"/>
              </w:rPr>
              <w:t>L</w:t>
            </w:r>
            <w:r w:rsidR="00C356E4" w:rsidRPr="00C00D27">
              <w:rPr>
                <w:sz w:val="20"/>
                <w:szCs w:val="20"/>
                <w:lang w:val="en-GB"/>
              </w:rPr>
              <w:t>ife</w:t>
            </w:r>
          </w:p>
        </w:tc>
        <w:tc>
          <w:tcPr>
            <w:tcW w:w="1080" w:type="dxa"/>
            <w:tcBorders>
              <w:left w:val="nil"/>
            </w:tcBorders>
          </w:tcPr>
          <w:p w14:paraId="5CAC5354" w14:textId="790182B6" w:rsidR="001E3CE5" w:rsidRPr="00C00D27" w:rsidRDefault="001E3CE5" w:rsidP="0052016F">
            <w:pPr>
              <w:spacing w:line="480" w:lineRule="auto"/>
              <w:rPr>
                <w:sz w:val="20"/>
                <w:szCs w:val="20"/>
                <w:lang w:val="en-GB"/>
              </w:rPr>
            </w:pPr>
            <w:r w:rsidRPr="00C00D27">
              <w:rPr>
                <w:sz w:val="20"/>
                <w:szCs w:val="20"/>
                <w:lang w:val="en-GB"/>
              </w:rPr>
              <w:t>-.00</w:t>
            </w:r>
            <w:r w:rsidR="0022322F" w:rsidRPr="00C00D27">
              <w:rPr>
                <w:sz w:val="20"/>
                <w:szCs w:val="20"/>
                <w:lang w:val="en-GB"/>
              </w:rPr>
              <w:t>1</w:t>
            </w:r>
          </w:p>
        </w:tc>
        <w:tc>
          <w:tcPr>
            <w:tcW w:w="1178" w:type="dxa"/>
          </w:tcPr>
          <w:p w14:paraId="5A05A84A" w14:textId="671EDFE2" w:rsidR="001E3CE5" w:rsidRPr="00C00D27" w:rsidRDefault="001E3CE5" w:rsidP="0052016F">
            <w:pPr>
              <w:spacing w:line="480" w:lineRule="auto"/>
              <w:rPr>
                <w:sz w:val="20"/>
                <w:szCs w:val="20"/>
                <w:lang w:val="en-GB"/>
              </w:rPr>
            </w:pPr>
            <w:r w:rsidRPr="00C00D27">
              <w:rPr>
                <w:sz w:val="20"/>
                <w:szCs w:val="20"/>
                <w:lang w:val="en-GB"/>
              </w:rPr>
              <w:t>.00</w:t>
            </w:r>
            <w:r w:rsidR="005C0E46" w:rsidRPr="00C00D27">
              <w:rPr>
                <w:sz w:val="20"/>
                <w:szCs w:val="20"/>
                <w:lang w:val="en-GB"/>
              </w:rPr>
              <w:t>6</w:t>
            </w:r>
          </w:p>
        </w:tc>
        <w:tc>
          <w:tcPr>
            <w:tcW w:w="975" w:type="dxa"/>
          </w:tcPr>
          <w:p w14:paraId="2615F281" w14:textId="53692BD8" w:rsidR="001E3CE5" w:rsidRPr="00C00D27" w:rsidRDefault="001E3CE5" w:rsidP="0052016F">
            <w:pPr>
              <w:spacing w:line="480" w:lineRule="auto"/>
              <w:rPr>
                <w:sz w:val="20"/>
                <w:szCs w:val="20"/>
                <w:lang w:val="en-GB"/>
              </w:rPr>
            </w:pPr>
            <w:r w:rsidRPr="00C00D27">
              <w:rPr>
                <w:sz w:val="20"/>
                <w:szCs w:val="20"/>
                <w:lang w:val="en-GB"/>
              </w:rPr>
              <w:t>-0.15</w:t>
            </w:r>
          </w:p>
        </w:tc>
        <w:tc>
          <w:tcPr>
            <w:tcW w:w="1041" w:type="dxa"/>
          </w:tcPr>
          <w:p w14:paraId="33050D9D" w14:textId="04C3EC24" w:rsidR="001E3CE5" w:rsidRPr="00C00D27" w:rsidRDefault="001E3CE5" w:rsidP="0052016F">
            <w:pPr>
              <w:spacing w:line="480" w:lineRule="auto"/>
              <w:rPr>
                <w:sz w:val="20"/>
                <w:szCs w:val="20"/>
                <w:lang w:val="en-GB"/>
              </w:rPr>
            </w:pPr>
            <w:r w:rsidRPr="00C00D27">
              <w:rPr>
                <w:sz w:val="20"/>
                <w:szCs w:val="20"/>
                <w:lang w:val="en-GB"/>
              </w:rPr>
              <w:t>0.880</w:t>
            </w:r>
          </w:p>
        </w:tc>
        <w:tc>
          <w:tcPr>
            <w:tcW w:w="1042" w:type="dxa"/>
          </w:tcPr>
          <w:p w14:paraId="63E81633" w14:textId="07579316" w:rsidR="001E3CE5" w:rsidRPr="00C00D27" w:rsidRDefault="001E3CE5" w:rsidP="0052016F">
            <w:pPr>
              <w:spacing w:line="480" w:lineRule="auto"/>
              <w:rPr>
                <w:sz w:val="20"/>
                <w:szCs w:val="20"/>
                <w:lang w:val="en-GB"/>
              </w:rPr>
            </w:pPr>
            <w:r w:rsidRPr="00C00D27">
              <w:rPr>
                <w:sz w:val="20"/>
                <w:szCs w:val="20"/>
                <w:lang w:val="en-GB"/>
              </w:rPr>
              <w:t>-.01</w:t>
            </w:r>
            <w:r w:rsidR="005C0E46" w:rsidRPr="00C00D27">
              <w:rPr>
                <w:sz w:val="20"/>
                <w:szCs w:val="20"/>
                <w:lang w:val="en-GB"/>
              </w:rPr>
              <w:t>2</w:t>
            </w:r>
          </w:p>
        </w:tc>
        <w:tc>
          <w:tcPr>
            <w:tcW w:w="1091" w:type="dxa"/>
          </w:tcPr>
          <w:p w14:paraId="59A89E62" w14:textId="5D6995AD" w:rsidR="001E3CE5" w:rsidRPr="00C00D27" w:rsidRDefault="001E3CE5" w:rsidP="0052016F">
            <w:pPr>
              <w:spacing w:line="480" w:lineRule="auto"/>
              <w:rPr>
                <w:sz w:val="20"/>
                <w:szCs w:val="20"/>
                <w:lang w:val="en-GB"/>
              </w:rPr>
            </w:pPr>
            <w:r w:rsidRPr="00C00D27">
              <w:rPr>
                <w:sz w:val="20"/>
                <w:szCs w:val="20"/>
                <w:lang w:val="en-GB"/>
              </w:rPr>
              <w:t>.010</w:t>
            </w:r>
          </w:p>
        </w:tc>
      </w:tr>
      <w:tr w:rsidR="001E3CE5" w:rsidRPr="00D57AE6" w14:paraId="2A3255EE" w14:textId="77777777" w:rsidTr="00533D4A">
        <w:tc>
          <w:tcPr>
            <w:tcW w:w="2700" w:type="dxa"/>
          </w:tcPr>
          <w:p w14:paraId="4FF1630A" w14:textId="55CEB924" w:rsidR="001E3CE5" w:rsidRPr="00C00D27" w:rsidRDefault="00EC0386" w:rsidP="0052016F">
            <w:pPr>
              <w:spacing w:line="480" w:lineRule="auto"/>
              <w:rPr>
                <w:sz w:val="20"/>
                <w:szCs w:val="20"/>
                <w:lang w:val="en-GB"/>
              </w:rPr>
            </w:pPr>
            <w:r w:rsidRPr="00C00D27">
              <w:rPr>
                <w:sz w:val="20"/>
                <w:szCs w:val="20"/>
                <w:lang w:val="en-GB"/>
              </w:rPr>
              <w:t>ISEI</w:t>
            </w:r>
          </w:p>
        </w:tc>
        <w:tc>
          <w:tcPr>
            <w:tcW w:w="1080" w:type="dxa"/>
            <w:tcBorders>
              <w:left w:val="nil"/>
            </w:tcBorders>
          </w:tcPr>
          <w:p w14:paraId="7A71557D" w14:textId="01C2BF51" w:rsidR="001E3CE5" w:rsidRPr="00C00D27" w:rsidRDefault="001E3CE5" w:rsidP="0052016F">
            <w:pPr>
              <w:spacing w:line="480" w:lineRule="auto"/>
              <w:rPr>
                <w:sz w:val="20"/>
                <w:szCs w:val="20"/>
                <w:lang w:val="en-GB"/>
              </w:rPr>
            </w:pPr>
            <w:r w:rsidRPr="00C00D27">
              <w:rPr>
                <w:sz w:val="20"/>
                <w:szCs w:val="20"/>
                <w:lang w:val="en-GB"/>
              </w:rPr>
              <w:t>.03</w:t>
            </w:r>
            <w:r w:rsidR="0022322F" w:rsidRPr="00C00D27">
              <w:rPr>
                <w:sz w:val="20"/>
                <w:szCs w:val="20"/>
                <w:lang w:val="en-GB"/>
              </w:rPr>
              <w:t>6</w:t>
            </w:r>
          </w:p>
        </w:tc>
        <w:tc>
          <w:tcPr>
            <w:tcW w:w="1178" w:type="dxa"/>
          </w:tcPr>
          <w:p w14:paraId="68E99AF6" w14:textId="669F95DB" w:rsidR="001E3CE5" w:rsidRPr="00C00D27" w:rsidRDefault="001E3CE5" w:rsidP="0052016F">
            <w:pPr>
              <w:spacing w:line="480" w:lineRule="auto"/>
              <w:rPr>
                <w:sz w:val="20"/>
                <w:szCs w:val="20"/>
                <w:lang w:val="en-GB"/>
              </w:rPr>
            </w:pPr>
            <w:r w:rsidRPr="00C00D27">
              <w:rPr>
                <w:sz w:val="20"/>
                <w:szCs w:val="20"/>
                <w:lang w:val="en-GB"/>
              </w:rPr>
              <w:t>.005</w:t>
            </w:r>
          </w:p>
        </w:tc>
        <w:tc>
          <w:tcPr>
            <w:tcW w:w="975" w:type="dxa"/>
          </w:tcPr>
          <w:p w14:paraId="64EAC7A0" w14:textId="3DC33A2D" w:rsidR="001E3CE5" w:rsidRPr="00C00D27" w:rsidRDefault="001E3CE5" w:rsidP="0052016F">
            <w:pPr>
              <w:spacing w:line="480" w:lineRule="auto"/>
              <w:rPr>
                <w:sz w:val="20"/>
                <w:szCs w:val="20"/>
                <w:lang w:val="en-GB"/>
              </w:rPr>
            </w:pPr>
            <w:r w:rsidRPr="00C00D27">
              <w:rPr>
                <w:sz w:val="20"/>
                <w:szCs w:val="20"/>
                <w:lang w:val="en-GB"/>
              </w:rPr>
              <w:t>6.84</w:t>
            </w:r>
          </w:p>
        </w:tc>
        <w:tc>
          <w:tcPr>
            <w:tcW w:w="1041" w:type="dxa"/>
          </w:tcPr>
          <w:p w14:paraId="1DF9336C" w14:textId="059BB7C1" w:rsidR="001E3CE5" w:rsidRPr="002A647D" w:rsidRDefault="001E3CE5" w:rsidP="0052016F">
            <w:pPr>
              <w:spacing w:line="480" w:lineRule="auto"/>
              <w:rPr>
                <w:b/>
                <w:bCs/>
                <w:sz w:val="20"/>
                <w:szCs w:val="20"/>
                <w:lang w:val="en-GB"/>
              </w:rPr>
            </w:pPr>
            <w:r w:rsidRPr="002A647D">
              <w:rPr>
                <w:b/>
                <w:bCs/>
                <w:sz w:val="20"/>
                <w:szCs w:val="20"/>
                <w:lang w:val="en-GB"/>
              </w:rPr>
              <w:t>0.000</w:t>
            </w:r>
          </w:p>
        </w:tc>
        <w:tc>
          <w:tcPr>
            <w:tcW w:w="1042" w:type="dxa"/>
          </w:tcPr>
          <w:p w14:paraId="7C367818" w14:textId="48F633CD" w:rsidR="001E3CE5" w:rsidRPr="00C00D27" w:rsidRDefault="001E3CE5" w:rsidP="0052016F">
            <w:pPr>
              <w:spacing w:line="480" w:lineRule="auto"/>
              <w:rPr>
                <w:sz w:val="20"/>
                <w:szCs w:val="20"/>
                <w:lang w:val="en-GB"/>
              </w:rPr>
            </w:pPr>
            <w:r w:rsidRPr="00C00D27">
              <w:rPr>
                <w:sz w:val="20"/>
                <w:szCs w:val="20"/>
                <w:lang w:val="en-GB"/>
              </w:rPr>
              <w:t>.025</w:t>
            </w:r>
          </w:p>
        </w:tc>
        <w:tc>
          <w:tcPr>
            <w:tcW w:w="1091" w:type="dxa"/>
          </w:tcPr>
          <w:p w14:paraId="50AA23F5" w14:textId="4AB64E79" w:rsidR="001E3CE5" w:rsidRPr="00C00D27" w:rsidRDefault="001E3CE5" w:rsidP="0052016F">
            <w:pPr>
              <w:spacing w:line="480" w:lineRule="auto"/>
              <w:rPr>
                <w:sz w:val="20"/>
                <w:szCs w:val="20"/>
                <w:lang w:val="en-GB"/>
              </w:rPr>
            </w:pPr>
            <w:r w:rsidRPr="00C00D27">
              <w:rPr>
                <w:sz w:val="20"/>
                <w:szCs w:val="20"/>
                <w:lang w:val="en-GB"/>
              </w:rPr>
              <w:t>.04</w:t>
            </w:r>
            <w:r w:rsidR="001D605C" w:rsidRPr="00C00D27">
              <w:rPr>
                <w:sz w:val="20"/>
                <w:szCs w:val="20"/>
                <w:lang w:val="en-GB"/>
              </w:rPr>
              <w:t>6</w:t>
            </w:r>
          </w:p>
        </w:tc>
      </w:tr>
      <w:tr w:rsidR="001E3CE5" w:rsidRPr="00D57AE6" w14:paraId="6A98F542" w14:textId="77777777" w:rsidTr="00533D4A">
        <w:tc>
          <w:tcPr>
            <w:tcW w:w="2700" w:type="dxa"/>
            <w:tcBorders>
              <w:bottom w:val="single" w:sz="4" w:space="0" w:color="auto"/>
            </w:tcBorders>
          </w:tcPr>
          <w:p w14:paraId="681762D3" w14:textId="0A118F98" w:rsidR="001E3CE5" w:rsidRPr="00C00D27" w:rsidRDefault="00EC0386" w:rsidP="0052016F">
            <w:pPr>
              <w:spacing w:line="480" w:lineRule="auto"/>
              <w:rPr>
                <w:sz w:val="20"/>
                <w:szCs w:val="20"/>
                <w:lang w:val="en-GB"/>
              </w:rPr>
            </w:pPr>
            <w:r w:rsidRPr="00C00D27">
              <w:rPr>
                <w:sz w:val="20"/>
                <w:szCs w:val="20"/>
                <w:lang w:val="en-GB"/>
              </w:rPr>
              <w:t>Age</w:t>
            </w:r>
          </w:p>
        </w:tc>
        <w:tc>
          <w:tcPr>
            <w:tcW w:w="1080" w:type="dxa"/>
            <w:tcBorders>
              <w:left w:val="nil"/>
              <w:bottom w:val="single" w:sz="4" w:space="0" w:color="auto"/>
            </w:tcBorders>
          </w:tcPr>
          <w:p w14:paraId="643730E9" w14:textId="2E4EC002" w:rsidR="001E3CE5" w:rsidRPr="00C00D27" w:rsidRDefault="001E3CE5" w:rsidP="0052016F">
            <w:pPr>
              <w:spacing w:line="480" w:lineRule="auto"/>
              <w:rPr>
                <w:sz w:val="20"/>
                <w:szCs w:val="20"/>
                <w:lang w:val="en-GB"/>
              </w:rPr>
            </w:pPr>
            <w:r w:rsidRPr="00C00D27">
              <w:rPr>
                <w:sz w:val="20"/>
                <w:szCs w:val="20"/>
                <w:lang w:val="en-GB"/>
              </w:rPr>
              <w:t>-.084</w:t>
            </w:r>
          </w:p>
        </w:tc>
        <w:tc>
          <w:tcPr>
            <w:tcW w:w="1178" w:type="dxa"/>
            <w:tcBorders>
              <w:bottom w:val="single" w:sz="4" w:space="0" w:color="auto"/>
            </w:tcBorders>
          </w:tcPr>
          <w:p w14:paraId="345C48F1" w14:textId="7D093C2F" w:rsidR="001E3CE5" w:rsidRPr="00C00D27" w:rsidRDefault="001E3CE5" w:rsidP="0052016F">
            <w:pPr>
              <w:spacing w:line="480" w:lineRule="auto"/>
              <w:rPr>
                <w:sz w:val="20"/>
                <w:szCs w:val="20"/>
                <w:lang w:val="en-GB"/>
              </w:rPr>
            </w:pPr>
            <w:r w:rsidRPr="00C00D27">
              <w:rPr>
                <w:sz w:val="20"/>
                <w:szCs w:val="20"/>
                <w:lang w:val="en-GB"/>
              </w:rPr>
              <w:t>.019</w:t>
            </w:r>
          </w:p>
        </w:tc>
        <w:tc>
          <w:tcPr>
            <w:tcW w:w="975" w:type="dxa"/>
            <w:tcBorders>
              <w:bottom w:val="single" w:sz="4" w:space="0" w:color="auto"/>
            </w:tcBorders>
          </w:tcPr>
          <w:p w14:paraId="53670769" w14:textId="1A242E6A" w:rsidR="001E3CE5" w:rsidRPr="00C00D27" w:rsidRDefault="001E3CE5" w:rsidP="0052016F">
            <w:pPr>
              <w:spacing w:line="480" w:lineRule="auto"/>
              <w:rPr>
                <w:sz w:val="20"/>
                <w:szCs w:val="20"/>
                <w:lang w:val="en-GB"/>
              </w:rPr>
            </w:pPr>
            <w:r w:rsidRPr="00C00D27">
              <w:rPr>
                <w:sz w:val="20"/>
                <w:szCs w:val="20"/>
                <w:lang w:val="en-GB"/>
              </w:rPr>
              <w:t>-4.40</w:t>
            </w:r>
          </w:p>
        </w:tc>
        <w:tc>
          <w:tcPr>
            <w:tcW w:w="1041" w:type="dxa"/>
            <w:tcBorders>
              <w:bottom w:val="single" w:sz="4" w:space="0" w:color="auto"/>
            </w:tcBorders>
          </w:tcPr>
          <w:p w14:paraId="32943A63" w14:textId="79155B0A" w:rsidR="001E3CE5" w:rsidRPr="00C00D27" w:rsidRDefault="001E3CE5" w:rsidP="0052016F">
            <w:pPr>
              <w:spacing w:line="480" w:lineRule="auto"/>
              <w:rPr>
                <w:sz w:val="20"/>
                <w:szCs w:val="20"/>
                <w:lang w:val="en-GB"/>
              </w:rPr>
            </w:pPr>
            <w:r w:rsidRPr="002A647D">
              <w:rPr>
                <w:b/>
                <w:bCs/>
                <w:sz w:val="20"/>
                <w:szCs w:val="20"/>
                <w:lang w:val="en-GB"/>
              </w:rPr>
              <w:t>0.000</w:t>
            </w:r>
          </w:p>
        </w:tc>
        <w:tc>
          <w:tcPr>
            <w:tcW w:w="1042" w:type="dxa"/>
            <w:tcBorders>
              <w:bottom w:val="single" w:sz="4" w:space="0" w:color="auto"/>
            </w:tcBorders>
          </w:tcPr>
          <w:p w14:paraId="7B90A960" w14:textId="0E7954CC" w:rsidR="001E3CE5" w:rsidRPr="00C00D27" w:rsidRDefault="001E3CE5" w:rsidP="0052016F">
            <w:pPr>
              <w:spacing w:line="480" w:lineRule="auto"/>
              <w:rPr>
                <w:sz w:val="20"/>
                <w:szCs w:val="20"/>
                <w:lang w:val="en-GB"/>
              </w:rPr>
            </w:pPr>
            <w:r w:rsidRPr="00C00D27">
              <w:rPr>
                <w:sz w:val="20"/>
                <w:szCs w:val="20"/>
                <w:lang w:val="en-GB"/>
              </w:rPr>
              <w:t>-.122</w:t>
            </w:r>
          </w:p>
        </w:tc>
        <w:tc>
          <w:tcPr>
            <w:tcW w:w="1091" w:type="dxa"/>
            <w:tcBorders>
              <w:bottom w:val="single" w:sz="4" w:space="0" w:color="auto"/>
            </w:tcBorders>
          </w:tcPr>
          <w:p w14:paraId="77BEB7AA" w14:textId="713DB388" w:rsidR="001E3CE5" w:rsidRPr="00C00D27" w:rsidRDefault="001E3CE5" w:rsidP="0052016F">
            <w:pPr>
              <w:spacing w:line="480" w:lineRule="auto"/>
              <w:rPr>
                <w:sz w:val="20"/>
                <w:szCs w:val="20"/>
                <w:lang w:val="en-GB"/>
              </w:rPr>
            </w:pPr>
            <w:r w:rsidRPr="00C00D27">
              <w:rPr>
                <w:sz w:val="20"/>
                <w:szCs w:val="20"/>
                <w:lang w:val="en-GB"/>
              </w:rPr>
              <w:t>-.04</w:t>
            </w:r>
            <w:r w:rsidR="001D605C" w:rsidRPr="00C00D27">
              <w:rPr>
                <w:sz w:val="20"/>
                <w:szCs w:val="20"/>
                <w:lang w:val="en-GB"/>
              </w:rPr>
              <w:t>7</w:t>
            </w:r>
          </w:p>
        </w:tc>
      </w:tr>
    </w:tbl>
    <w:p w14:paraId="4761C95F" w14:textId="1A65E592" w:rsidR="00E8318F" w:rsidRPr="00D57AE6" w:rsidRDefault="0052016F" w:rsidP="0052016F">
      <w:pPr>
        <w:spacing w:line="480" w:lineRule="auto"/>
        <w:rPr>
          <w:sz w:val="20"/>
          <w:szCs w:val="20"/>
          <w:lang w:val="en-GB"/>
        </w:rPr>
      </w:pPr>
      <w:r w:rsidRPr="004A3D0D">
        <w:rPr>
          <w:sz w:val="20"/>
          <w:szCs w:val="20"/>
          <w:vertAlign w:val="superscript"/>
          <w:lang w:val="en-GB"/>
        </w:rPr>
        <w:t>c</w:t>
      </w:r>
      <w:r w:rsidR="001D605C" w:rsidRPr="004A3D0D">
        <w:rPr>
          <w:sz w:val="20"/>
          <w:szCs w:val="20"/>
          <w:lang w:val="en-GB"/>
        </w:rPr>
        <w:t xml:space="preserve"> Logistic</w:t>
      </w:r>
      <w:r w:rsidR="001D605C" w:rsidRPr="00D57AE6">
        <w:rPr>
          <w:sz w:val="20"/>
          <w:szCs w:val="20"/>
          <w:lang w:val="en-GB"/>
        </w:rPr>
        <w:t xml:space="preserve"> Regression</w:t>
      </w:r>
      <w:r w:rsidR="00E007EA" w:rsidRPr="00D57AE6">
        <w:rPr>
          <w:sz w:val="20"/>
          <w:szCs w:val="20"/>
          <w:lang w:val="en-GB"/>
        </w:rPr>
        <w:t>; Robust Standard Errors;</w:t>
      </w:r>
      <w:r w:rsidR="001112A5" w:rsidRPr="00D57AE6">
        <w:rPr>
          <w:sz w:val="20"/>
          <w:szCs w:val="20"/>
          <w:lang w:val="en-GB"/>
        </w:rPr>
        <w:t xml:space="preserve"> n=910</w:t>
      </w:r>
    </w:p>
    <w:p w14:paraId="0D772133" w14:textId="31E9A954" w:rsidR="00E8318F" w:rsidRPr="00D57AE6" w:rsidRDefault="00017C60" w:rsidP="0052016F">
      <w:pPr>
        <w:spacing w:line="480" w:lineRule="auto"/>
        <w:jc w:val="both"/>
        <w:rPr>
          <w:lang w:val="en-GB"/>
        </w:rPr>
      </w:pPr>
      <w:r w:rsidRPr="00D57AE6">
        <w:rPr>
          <w:lang w:val="en-GB"/>
        </w:rPr>
        <w:t>The logistic regression</w:t>
      </w:r>
      <w:r w:rsidR="00592C4A" w:rsidRPr="00D57AE6">
        <w:rPr>
          <w:lang w:val="en-GB"/>
        </w:rPr>
        <w:t xml:space="preserve"> </w:t>
      </w:r>
      <w:r w:rsidR="007874F6" w:rsidRPr="00D57AE6">
        <w:rPr>
          <w:lang w:val="en-GB"/>
        </w:rPr>
        <w:t xml:space="preserve">on participation in </w:t>
      </w:r>
      <w:r w:rsidR="007874F6" w:rsidRPr="004A3D0D">
        <w:rPr>
          <w:lang w:val="en-GB"/>
        </w:rPr>
        <w:t xml:space="preserve">CVET (Tab. </w:t>
      </w:r>
      <w:r w:rsidR="00EA2F7D" w:rsidRPr="004A3D0D">
        <w:rPr>
          <w:lang w:val="en-GB"/>
        </w:rPr>
        <w:t>3</w:t>
      </w:r>
      <w:r w:rsidR="007874F6" w:rsidRPr="004A3D0D">
        <w:rPr>
          <w:lang w:val="en-GB"/>
        </w:rPr>
        <w:t>)</w:t>
      </w:r>
      <w:r w:rsidR="00864AAC" w:rsidRPr="004A3D0D">
        <w:rPr>
          <w:lang w:val="en-GB"/>
        </w:rPr>
        <w:t>,</w:t>
      </w:r>
      <w:r w:rsidR="00864AAC" w:rsidRPr="00D57AE6">
        <w:rPr>
          <w:lang w:val="en-GB"/>
        </w:rPr>
        <w:t xml:space="preserve"> which underpins the radius matching,</w:t>
      </w:r>
      <w:r w:rsidR="00405489" w:rsidRPr="00D57AE6">
        <w:rPr>
          <w:lang w:val="en-GB"/>
        </w:rPr>
        <w:t xml:space="preserve"> </w:t>
      </w:r>
      <w:r w:rsidR="004B7720" w:rsidRPr="00D57AE6">
        <w:rPr>
          <w:lang w:val="en-GB"/>
        </w:rPr>
        <w:t xml:space="preserve">shows no </w:t>
      </w:r>
      <w:r w:rsidR="00126713" w:rsidRPr="00D57AE6">
        <w:rPr>
          <w:lang w:val="en-GB"/>
        </w:rPr>
        <w:t>statistically</w:t>
      </w:r>
      <w:r w:rsidR="004B7720" w:rsidRPr="00D57AE6">
        <w:rPr>
          <w:lang w:val="en-GB"/>
        </w:rPr>
        <w:t xml:space="preserve"> significant differences </w:t>
      </w:r>
      <w:r w:rsidR="001B1097" w:rsidRPr="00D57AE6">
        <w:rPr>
          <w:lang w:val="en-GB"/>
        </w:rPr>
        <w:t xml:space="preserve">in participation </w:t>
      </w:r>
      <w:r w:rsidR="004709CB" w:rsidRPr="00D57AE6">
        <w:rPr>
          <w:lang w:val="en-GB"/>
        </w:rPr>
        <w:t xml:space="preserve">rates </w:t>
      </w:r>
      <w:r w:rsidR="004B7720" w:rsidRPr="00D57AE6">
        <w:rPr>
          <w:lang w:val="en-GB"/>
        </w:rPr>
        <w:t>between men and women</w:t>
      </w:r>
      <w:r w:rsidR="00126713" w:rsidRPr="00D57AE6">
        <w:rPr>
          <w:lang w:val="en-GB"/>
        </w:rPr>
        <w:t xml:space="preserve">. </w:t>
      </w:r>
      <w:r w:rsidR="00936E9D" w:rsidRPr="00D57AE6">
        <w:rPr>
          <w:lang w:val="en-GB"/>
        </w:rPr>
        <w:t xml:space="preserve">Individuals with higher education show statistically </w:t>
      </w:r>
      <w:r w:rsidR="002E6352" w:rsidRPr="00D57AE6">
        <w:rPr>
          <w:lang w:val="en-GB"/>
        </w:rPr>
        <w:t>significantly higher participation rates in CVET than</w:t>
      </w:r>
      <w:r w:rsidR="00936E9D" w:rsidRPr="00D57AE6">
        <w:rPr>
          <w:lang w:val="en-GB"/>
        </w:rPr>
        <w:t xml:space="preserve"> those with medium or low education levels. Healt</w:t>
      </w:r>
      <w:r w:rsidR="00917F1B" w:rsidRPr="00D57AE6">
        <w:rPr>
          <w:lang w:val="en-GB"/>
        </w:rPr>
        <w:t>h</w:t>
      </w:r>
      <w:r w:rsidR="00936E9D" w:rsidRPr="00D57AE6">
        <w:rPr>
          <w:lang w:val="en-GB"/>
        </w:rPr>
        <w:t xml:space="preserve">-related quality of life </w:t>
      </w:r>
      <w:r w:rsidR="000429BC" w:rsidRPr="00D57AE6">
        <w:rPr>
          <w:lang w:val="en-GB"/>
        </w:rPr>
        <w:t xml:space="preserve">didn’t show a statistically significant effect. Job status </w:t>
      </w:r>
      <w:r w:rsidR="00FF6ED6" w:rsidRPr="00D57AE6">
        <w:rPr>
          <w:lang w:val="en-GB"/>
        </w:rPr>
        <w:t xml:space="preserve">had a positive statistically significant effect on participation in CVET. </w:t>
      </w:r>
      <w:r w:rsidR="00083876" w:rsidRPr="00D57AE6">
        <w:rPr>
          <w:lang w:val="en-GB"/>
        </w:rPr>
        <w:t>Furthermore, a</w:t>
      </w:r>
      <w:r w:rsidR="00AA4D34" w:rsidRPr="00D57AE6">
        <w:rPr>
          <w:lang w:val="en-GB"/>
        </w:rPr>
        <w:t xml:space="preserve">ge </w:t>
      </w:r>
      <w:r w:rsidR="00917F1B" w:rsidRPr="00D57AE6">
        <w:rPr>
          <w:lang w:val="en-GB"/>
        </w:rPr>
        <w:t xml:space="preserve">showed a </w:t>
      </w:r>
      <w:r w:rsidR="002E6352" w:rsidRPr="00D57AE6">
        <w:rPr>
          <w:lang w:val="en-GB"/>
        </w:rPr>
        <w:t>statistically significant negative</w:t>
      </w:r>
      <w:r w:rsidR="00917F1B" w:rsidRPr="00D57AE6">
        <w:rPr>
          <w:lang w:val="en-GB"/>
        </w:rPr>
        <w:t xml:space="preserve"> association with CVET participation.</w:t>
      </w:r>
    </w:p>
    <w:p w14:paraId="3090D672" w14:textId="2EB7CDF3" w:rsidR="00E80434" w:rsidRPr="00D57AE6" w:rsidRDefault="00F9151F" w:rsidP="0052016F">
      <w:pPr>
        <w:spacing w:line="480" w:lineRule="auto"/>
        <w:jc w:val="both"/>
        <w:rPr>
          <w:lang w:val="en-GB"/>
        </w:rPr>
      </w:pPr>
      <w:r w:rsidRPr="00D57AE6">
        <w:rPr>
          <w:lang w:val="en-GB"/>
        </w:rPr>
        <w:t>Based on this</w:t>
      </w:r>
      <w:r w:rsidR="002E6352" w:rsidRPr="00D57AE6">
        <w:rPr>
          <w:lang w:val="en-GB"/>
        </w:rPr>
        <w:t>,</w:t>
      </w:r>
      <w:r w:rsidRPr="00D57AE6">
        <w:rPr>
          <w:lang w:val="en-GB"/>
        </w:rPr>
        <w:t xml:space="preserve"> a radius matching was</w:t>
      </w:r>
      <w:r w:rsidR="00CB5B4D" w:rsidRPr="00D57AE6">
        <w:rPr>
          <w:lang w:val="en-GB"/>
        </w:rPr>
        <w:t xml:space="preserve"> </w:t>
      </w:r>
      <w:r w:rsidR="002E6352" w:rsidRPr="00D57AE6">
        <w:rPr>
          <w:lang w:val="en-GB"/>
        </w:rPr>
        <w:t xml:space="preserve">performed to estimate the ATET, which is the effect of participation in a CVET on </w:t>
      </w:r>
      <w:r w:rsidR="0031050E">
        <w:rPr>
          <w:lang w:val="en-GB"/>
        </w:rPr>
        <w:t xml:space="preserve">subsequent </w:t>
      </w:r>
      <w:r w:rsidR="002E6352" w:rsidRPr="00D57AE6">
        <w:rPr>
          <w:lang w:val="en-GB"/>
        </w:rPr>
        <w:t>employment, compared with</w:t>
      </w:r>
      <w:r w:rsidR="00291331" w:rsidRPr="00D57AE6">
        <w:rPr>
          <w:lang w:val="en-GB"/>
        </w:rPr>
        <w:t xml:space="preserve"> statistical</w:t>
      </w:r>
      <w:r w:rsidR="006D4725" w:rsidRPr="00D57AE6">
        <w:rPr>
          <w:lang w:val="en-GB"/>
        </w:rPr>
        <w:t xml:space="preserve"> twins who did not participate in a CVET.</w:t>
      </w:r>
      <w:r w:rsidR="00E8318F" w:rsidRPr="00D57AE6">
        <w:rPr>
          <w:lang w:val="en-GB"/>
        </w:rPr>
        <w:tab/>
      </w:r>
    </w:p>
    <w:p w14:paraId="7C45D62E" w14:textId="35EB5A22" w:rsidR="00E80434" w:rsidRPr="00D57AE6" w:rsidRDefault="00E80434" w:rsidP="0052016F">
      <w:pPr>
        <w:pStyle w:val="Caption"/>
        <w:keepNext/>
        <w:spacing w:line="480" w:lineRule="auto"/>
        <w:rPr>
          <w:lang w:val="en-GB"/>
        </w:rPr>
      </w:pPr>
      <w:r w:rsidRPr="00D57AE6">
        <w:rPr>
          <w:lang w:val="en-GB"/>
        </w:rPr>
        <w:lastRenderedPageBreak/>
        <w:t xml:space="preserve">Table </w:t>
      </w:r>
      <w:r w:rsidRPr="00D57AE6">
        <w:rPr>
          <w:lang w:val="en-GB"/>
        </w:rPr>
        <w:fldChar w:fldCharType="begin"/>
      </w:r>
      <w:r w:rsidRPr="00D57AE6">
        <w:rPr>
          <w:lang w:val="en-GB"/>
        </w:rPr>
        <w:instrText xml:space="preserve"> SEQ Table \* ARABIC </w:instrText>
      </w:r>
      <w:r w:rsidRPr="00D57AE6">
        <w:rPr>
          <w:lang w:val="en-GB"/>
        </w:rPr>
        <w:fldChar w:fldCharType="separate"/>
      </w:r>
      <w:r w:rsidR="00E36778" w:rsidRPr="00D57AE6">
        <w:rPr>
          <w:noProof/>
          <w:lang w:val="en-GB"/>
        </w:rPr>
        <w:t>4</w:t>
      </w:r>
      <w:r w:rsidRPr="00D57AE6">
        <w:rPr>
          <w:lang w:val="en-GB"/>
        </w:rPr>
        <w:fldChar w:fldCharType="end"/>
      </w:r>
      <w:r w:rsidR="006F51F3" w:rsidRPr="00D57AE6">
        <w:rPr>
          <w:lang w:val="en-GB"/>
        </w:rPr>
        <w:t>: ATE</w:t>
      </w:r>
      <w:r w:rsidR="00B303D4">
        <w:rPr>
          <w:lang w:val="en-GB"/>
        </w:rPr>
        <w:t xml:space="preserve"> of </w:t>
      </w:r>
      <w:r w:rsidR="00971E50">
        <w:rPr>
          <w:lang w:val="en-GB"/>
        </w:rPr>
        <w:t>P</w:t>
      </w:r>
      <w:r w:rsidR="00B303D4">
        <w:rPr>
          <w:lang w:val="en-GB"/>
        </w:rPr>
        <w:t xml:space="preserve">articipation in CVET on </w:t>
      </w:r>
      <w:r w:rsidR="00971E50">
        <w:rPr>
          <w:lang w:val="en-GB"/>
        </w:rPr>
        <w:t>S</w:t>
      </w:r>
      <w:r w:rsidR="00B303D4">
        <w:rPr>
          <w:lang w:val="en-GB"/>
        </w:rPr>
        <w:t xml:space="preserve">ubsequent </w:t>
      </w:r>
      <w:r w:rsidR="00971E50">
        <w:rPr>
          <w:lang w:val="en-GB"/>
        </w:rPr>
        <w:t>E</w:t>
      </w:r>
      <w:r w:rsidR="00B303D4">
        <w:rPr>
          <w:lang w:val="en-GB"/>
        </w:rPr>
        <w:t>mployment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2"/>
        <w:gridCol w:w="1289"/>
        <w:gridCol w:w="1291"/>
        <w:gridCol w:w="1294"/>
        <w:gridCol w:w="1286"/>
        <w:gridCol w:w="1286"/>
        <w:gridCol w:w="1288"/>
      </w:tblGrid>
      <w:tr w:rsidR="00C10928" w:rsidRPr="00D57AE6" w14:paraId="408D2B43" w14:textId="77777777" w:rsidTr="00E6189B">
        <w:tc>
          <w:tcPr>
            <w:tcW w:w="1294" w:type="dxa"/>
            <w:tcBorders>
              <w:top w:val="single" w:sz="4" w:space="0" w:color="auto"/>
              <w:bottom w:val="single" w:sz="4" w:space="0" w:color="auto"/>
            </w:tcBorders>
          </w:tcPr>
          <w:p w14:paraId="668CB600" w14:textId="1AE355FB" w:rsidR="0094596D" w:rsidRPr="002A647D" w:rsidRDefault="0094596D" w:rsidP="0052016F">
            <w:pPr>
              <w:spacing w:line="480" w:lineRule="auto"/>
              <w:rPr>
                <w:b/>
                <w:bCs/>
                <w:sz w:val="20"/>
                <w:szCs w:val="20"/>
                <w:lang w:val="en-GB"/>
              </w:rPr>
            </w:pPr>
            <w:r w:rsidRPr="002A647D">
              <w:rPr>
                <w:b/>
                <w:bCs/>
                <w:sz w:val="20"/>
                <w:szCs w:val="20"/>
                <w:lang w:val="en-GB"/>
              </w:rPr>
              <w:t>Variable</w:t>
            </w:r>
          </w:p>
        </w:tc>
        <w:tc>
          <w:tcPr>
            <w:tcW w:w="1293" w:type="dxa"/>
            <w:tcBorders>
              <w:top w:val="single" w:sz="4" w:space="0" w:color="auto"/>
              <w:left w:val="nil"/>
              <w:bottom w:val="single" w:sz="4" w:space="0" w:color="auto"/>
            </w:tcBorders>
          </w:tcPr>
          <w:p w14:paraId="3F2F1669" w14:textId="1E66351C" w:rsidR="0094596D" w:rsidRPr="002A647D" w:rsidRDefault="0094596D" w:rsidP="0052016F">
            <w:pPr>
              <w:spacing w:line="480" w:lineRule="auto"/>
              <w:rPr>
                <w:b/>
                <w:bCs/>
                <w:sz w:val="20"/>
                <w:szCs w:val="20"/>
                <w:lang w:val="en-GB"/>
              </w:rPr>
            </w:pPr>
            <w:r w:rsidRPr="002A647D">
              <w:rPr>
                <w:b/>
                <w:bCs/>
                <w:sz w:val="20"/>
                <w:szCs w:val="20"/>
                <w:lang w:val="en-GB"/>
              </w:rPr>
              <w:t>Treated</w:t>
            </w:r>
          </w:p>
        </w:tc>
        <w:tc>
          <w:tcPr>
            <w:tcW w:w="1294" w:type="dxa"/>
            <w:tcBorders>
              <w:top w:val="single" w:sz="4" w:space="0" w:color="auto"/>
              <w:bottom w:val="single" w:sz="4" w:space="0" w:color="auto"/>
            </w:tcBorders>
          </w:tcPr>
          <w:p w14:paraId="0C7B9004" w14:textId="52102C1E" w:rsidR="0094596D" w:rsidRPr="002A647D" w:rsidRDefault="0094596D" w:rsidP="0052016F">
            <w:pPr>
              <w:spacing w:line="480" w:lineRule="auto"/>
              <w:rPr>
                <w:b/>
                <w:bCs/>
                <w:sz w:val="20"/>
                <w:szCs w:val="20"/>
                <w:lang w:val="en-GB"/>
              </w:rPr>
            </w:pPr>
            <w:r w:rsidRPr="002A647D">
              <w:rPr>
                <w:b/>
                <w:bCs/>
                <w:sz w:val="20"/>
                <w:szCs w:val="20"/>
                <w:lang w:val="en-GB"/>
              </w:rPr>
              <w:t>Controls</w:t>
            </w:r>
          </w:p>
        </w:tc>
        <w:tc>
          <w:tcPr>
            <w:tcW w:w="1301" w:type="dxa"/>
            <w:tcBorders>
              <w:top w:val="single" w:sz="4" w:space="0" w:color="auto"/>
              <w:bottom w:val="single" w:sz="4" w:space="0" w:color="auto"/>
            </w:tcBorders>
          </w:tcPr>
          <w:p w14:paraId="7B50A312" w14:textId="23BC1CA5" w:rsidR="0094596D" w:rsidRPr="002A647D" w:rsidRDefault="0094596D" w:rsidP="0052016F">
            <w:pPr>
              <w:spacing w:line="480" w:lineRule="auto"/>
              <w:rPr>
                <w:b/>
                <w:bCs/>
                <w:sz w:val="20"/>
                <w:szCs w:val="20"/>
                <w:lang w:val="en-GB"/>
              </w:rPr>
            </w:pPr>
            <w:r w:rsidRPr="002A647D">
              <w:rPr>
                <w:b/>
                <w:bCs/>
                <w:sz w:val="20"/>
                <w:szCs w:val="20"/>
                <w:lang w:val="en-GB"/>
              </w:rPr>
              <w:t>Diff</w:t>
            </w:r>
            <w:r w:rsidR="002A647D" w:rsidRPr="002A647D">
              <w:rPr>
                <w:b/>
                <w:bCs/>
                <w:sz w:val="20"/>
                <w:szCs w:val="20"/>
                <w:lang w:val="en-GB"/>
              </w:rPr>
              <w:t>.</w:t>
            </w:r>
          </w:p>
        </w:tc>
        <w:tc>
          <w:tcPr>
            <w:tcW w:w="1293" w:type="dxa"/>
            <w:tcBorders>
              <w:top w:val="single" w:sz="4" w:space="0" w:color="auto"/>
              <w:bottom w:val="single" w:sz="4" w:space="0" w:color="auto"/>
            </w:tcBorders>
          </w:tcPr>
          <w:p w14:paraId="5F8CDD87" w14:textId="36F9A53B" w:rsidR="0094596D" w:rsidRPr="002A647D" w:rsidRDefault="0094596D" w:rsidP="0052016F">
            <w:pPr>
              <w:spacing w:line="480" w:lineRule="auto"/>
              <w:rPr>
                <w:b/>
                <w:bCs/>
                <w:sz w:val="20"/>
                <w:szCs w:val="20"/>
                <w:lang w:val="en-GB"/>
              </w:rPr>
            </w:pPr>
            <w:r w:rsidRPr="002A647D">
              <w:rPr>
                <w:b/>
                <w:bCs/>
                <w:sz w:val="20"/>
                <w:szCs w:val="20"/>
                <w:lang w:val="en-GB"/>
              </w:rPr>
              <w:t>S.E.</w:t>
            </w:r>
          </w:p>
        </w:tc>
        <w:tc>
          <w:tcPr>
            <w:tcW w:w="1293" w:type="dxa"/>
            <w:tcBorders>
              <w:top w:val="single" w:sz="4" w:space="0" w:color="auto"/>
              <w:bottom w:val="single" w:sz="4" w:space="0" w:color="auto"/>
            </w:tcBorders>
          </w:tcPr>
          <w:p w14:paraId="3A1B64C7" w14:textId="22448BA5" w:rsidR="0094596D" w:rsidRPr="002A647D" w:rsidRDefault="0094596D" w:rsidP="0052016F">
            <w:pPr>
              <w:spacing w:line="480" w:lineRule="auto"/>
              <w:rPr>
                <w:b/>
                <w:bCs/>
                <w:sz w:val="20"/>
                <w:szCs w:val="20"/>
                <w:lang w:val="en-GB"/>
              </w:rPr>
            </w:pPr>
            <w:r w:rsidRPr="002A647D">
              <w:rPr>
                <w:b/>
                <w:bCs/>
                <w:sz w:val="20"/>
                <w:szCs w:val="20"/>
                <w:lang w:val="en-GB"/>
              </w:rPr>
              <w:t>T-stat</w:t>
            </w:r>
          </w:p>
        </w:tc>
        <w:tc>
          <w:tcPr>
            <w:tcW w:w="1294" w:type="dxa"/>
            <w:tcBorders>
              <w:top w:val="single" w:sz="4" w:space="0" w:color="auto"/>
              <w:bottom w:val="single" w:sz="4" w:space="0" w:color="auto"/>
            </w:tcBorders>
          </w:tcPr>
          <w:p w14:paraId="47F5ECE0" w14:textId="3AAE1029" w:rsidR="0094596D" w:rsidRPr="002A647D" w:rsidRDefault="0094596D" w:rsidP="0052016F">
            <w:pPr>
              <w:spacing w:line="480" w:lineRule="auto"/>
              <w:rPr>
                <w:b/>
                <w:bCs/>
                <w:sz w:val="20"/>
                <w:szCs w:val="20"/>
                <w:lang w:val="en-GB"/>
              </w:rPr>
            </w:pPr>
            <w:r w:rsidRPr="002A647D">
              <w:rPr>
                <w:b/>
                <w:bCs/>
                <w:sz w:val="20"/>
                <w:szCs w:val="20"/>
                <w:lang w:val="en-GB"/>
              </w:rPr>
              <w:t>P-value</w:t>
            </w:r>
          </w:p>
        </w:tc>
      </w:tr>
      <w:tr w:rsidR="00C10928" w:rsidRPr="00D57AE6" w14:paraId="01809562" w14:textId="77777777" w:rsidTr="00E6189B">
        <w:tc>
          <w:tcPr>
            <w:tcW w:w="1294" w:type="dxa"/>
            <w:tcBorders>
              <w:top w:val="single" w:sz="4" w:space="0" w:color="auto"/>
              <w:bottom w:val="single" w:sz="4" w:space="0" w:color="auto"/>
            </w:tcBorders>
          </w:tcPr>
          <w:p w14:paraId="02C173AC" w14:textId="24197287" w:rsidR="0094596D" w:rsidRPr="00C00D27" w:rsidRDefault="00C10928" w:rsidP="0052016F">
            <w:pPr>
              <w:spacing w:line="480" w:lineRule="auto"/>
              <w:rPr>
                <w:sz w:val="20"/>
                <w:szCs w:val="20"/>
                <w:lang w:val="en-GB"/>
              </w:rPr>
            </w:pPr>
            <w:r w:rsidRPr="002A647D">
              <w:rPr>
                <w:b/>
                <w:bCs/>
                <w:sz w:val="20"/>
                <w:szCs w:val="20"/>
                <w:lang w:val="en-GB"/>
              </w:rPr>
              <w:t>Employed</w:t>
            </w:r>
          </w:p>
        </w:tc>
        <w:tc>
          <w:tcPr>
            <w:tcW w:w="1293" w:type="dxa"/>
            <w:tcBorders>
              <w:top w:val="single" w:sz="4" w:space="0" w:color="auto"/>
              <w:left w:val="nil"/>
              <w:bottom w:val="single" w:sz="4" w:space="0" w:color="auto"/>
            </w:tcBorders>
          </w:tcPr>
          <w:p w14:paraId="527F4827" w14:textId="6318CAAC" w:rsidR="0094596D" w:rsidRPr="00C00D27" w:rsidRDefault="0094596D" w:rsidP="0052016F">
            <w:pPr>
              <w:spacing w:line="480" w:lineRule="auto"/>
              <w:rPr>
                <w:sz w:val="20"/>
                <w:szCs w:val="20"/>
                <w:lang w:val="en-GB"/>
              </w:rPr>
            </w:pPr>
            <w:r w:rsidRPr="00C00D27">
              <w:rPr>
                <w:sz w:val="20"/>
                <w:szCs w:val="20"/>
                <w:lang w:val="en-GB"/>
              </w:rPr>
              <w:t>.563</w:t>
            </w:r>
          </w:p>
        </w:tc>
        <w:tc>
          <w:tcPr>
            <w:tcW w:w="1294" w:type="dxa"/>
            <w:tcBorders>
              <w:top w:val="single" w:sz="4" w:space="0" w:color="auto"/>
              <w:bottom w:val="single" w:sz="4" w:space="0" w:color="auto"/>
            </w:tcBorders>
          </w:tcPr>
          <w:p w14:paraId="77FFE29F" w14:textId="238D139F" w:rsidR="0094596D" w:rsidRPr="00C00D27" w:rsidRDefault="0094596D" w:rsidP="0052016F">
            <w:pPr>
              <w:spacing w:line="480" w:lineRule="auto"/>
              <w:rPr>
                <w:sz w:val="20"/>
                <w:szCs w:val="20"/>
                <w:lang w:val="en-GB"/>
              </w:rPr>
            </w:pPr>
            <w:r w:rsidRPr="00C00D27">
              <w:rPr>
                <w:sz w:val="20"/>
                <w:szCs w:val="20"/>
                <w:lang w:val="en-GB"/>
              </w:rPr>
              <w:t>.572</w:t>
            </w:r>
          </w:p>
        </w:tc>
        <w:tc>
          <w:tcPr>
            <w:tcW w:w="1301" w:type="dxa"/>
            <w:tcBorders>
              <w:top w:val="single" w:sz="4" w:space="0" w:color="auto"/>
              <w:bottom w:val="single" w:sz="4" w:space="0" w:color="auto"/>
            </w:tcBorders>
          </w:tcPr>
          <w:p w14:paraId="2EA5F888" w14:textId="15F88F11" w:rsidR="0094596D" w:rsidRPr="00C00D27" w:rsidRDefault="0094596D" w:rsidP="0052016F">
            <w:pPr>
              <w:spacing w:line="480" w:lineRule="auto"/>
              <w:rPr>
                <w:sz w:val="20"/>
                <w:szCs w:val="20"/>
                <w:lang w:val="en-GB"/>
              </w:rPr>
            </w:pPr>
            <w:r w:rsidRPr="00C00D27">
              <w:rPr>
                <w:sz w:val="20"/>
                <w:szCs w:val="20"/>
                <w:lang w:val="en-GB"/>
              </w:rPr>
              <w:t>-.009</w:t>
            </w:r>
          </w:p>
        </w:tc>
        <w:tc>
          <w:tcPr>
            <w:tcW w:w="1293" w:type="dxa"/>
            <w:tcBorders>
              <w:top w:val="single" w:sz="4" w:space="0" w:color="auto"/>
              <w:bottom w:val="single" w:sz="4" w:space="0" w:color="auto"/>
            </w:tcBorders>
          </w:tcPr>
          <w:p w14:paraId="303C3C2B" w14:textId="3BEAC6B9" w:rsidR="0094596D" w:rsidRPr="00C00D27" w:rsidRDefault="0094596D" w:rsidP="0052016F">
            <w:pPr>
              <w:spacing w:line="480" w:lineRule="auto"/>
              <w:rPr>
                <w:sz w:val="20"/>
                <w:szCs w:val="20"/>
                <w:lang w:val="en-GB"/>
              </w:rPr>
            </w:pPr>
            <w:r w:rsidRPr="00C00D27">
              <w:rPr>
                <w:sz w:val="20"/>
                <w:szCs w:val="20"/>
                <w:lang w:val="en-GB"/>
              </w:rPr>
              <w:t>.045</w:t>
            </w:r>
          </w:p>
        </w:tc>
        <w:tc>
          <w:tcPr>
            <w:tcW w:w="1293" w:type="dxa"/>
            <w:tcBorders>
              <w:top w:val="single" w:sz="4" w:space="0" w:color="auto"/>
              <w:bottom w:val="single" w:sz="4" w:space="0" w:color="auto"/>
            </w:tcBorders>
          </w:tcPr>
          <w:p w14:paraId="11DD1165" w14:textId="64CE9484" w:rsidR="0094596D" w:rsidRPr="00C00D27" w:rsidRDefault="0094596D" w:rsidP="0052016F">
            <w:pPr>
              <w:spacing w:line="480" w:lineRule="auto"/>
              <w:rPr>
                <w:sz w:val="20"/>
                <w:szCs w:val="20"/>
                <w:lang w:val="en-GB"/>
              </w:rPr>
            </w:pPr>
            <w:r w:rsidRPr="00C00D27">
              <w:rPr>
                <w:sz w:val="20"/>
                <w:szCs w:val="20"/>
                <w:lang w:val="en-GB"/>
              </w:rPr>
              <w:t>-0.20</w:t>
            </w:r>
          </w:p>
        </w:tc>
        <w:tc>
          <w:tcPr>
            <w:tcW w:w="1294" w:type="dxa"/>
            <w:tcBorders>
              <w:top w:val="single" w:sz="4" w:space="0" w:color="auto"/>
              <w:bottom w:val="single" w:sz="4" w:space="0" w:color="auto"/>
            </w:tcBorders>
          </w:tcPr>
          <w:p w14:paraId="68F10603" w14:textId="64248B7B" w:rsidR="0094596D" w:rsidRPr="00C00D27" w:rsidRDefault="0094596D" w:rsidP="0052016F">
            <w:pPr>
              <w:spacing w:line="480" w:lineRule="auto"/>
              <w:rPr>
                <w:sz w:val="20"/>
                <w:szCs w:val="20"/>
                <w:lang w:val="en-GB"/>
              </w:rPr>
            </w:pPr>
            <w:r w:rsidRPr="00C00D27">
              <w:rPr>
                <w:sz w:val="20"/>
                <w:szCs w:val="20"/>
                <w:lang w:val="en-GB"/>
              </w:rPr>
              <w:t>0.84</w:t>
            </w:r>
          </w:p>
        </w:tc>
      </w:tr>
    </w:tbl>
    <w:p w14:paraId="24E54031" w14:textId="160054CF" w:rsidR="009F72C5" w:rsidRPr="004A3D0D" w:rsidRDefault="0052016F" w:rsidP="0052016F">
      <w:pPr>
        <w:spacing w:line="480" w:lineRule="auto"/>
        <w:rPr>
          <w:sz w:val="20"/>
          <w:szCs w:val="20"/>
          <w:lang w:val="en-GB"/>
        </w:rPr>
      </w:pPr>
      <w:r w:rsidRPr="004A3D0D">
        <w:rPr>
          <w:sz w:val="20"/>
          <w:szCs w:val="20"/>
          <w:vertAlign w:val="superscript"/>
          <w:lang w:val="en-GB"/>
        </w:rPr>
        <w:t>d</w:t>
      </w:r>
      <w:r w:rsidR="006865EB" w:rsidRPr="004A3D0D">
        <w:rPr>
          <w:sz w:val="20"/>
          <w:szCs w:val="20"/>
          <w:lang w:val="en-GB"/>
        </w:rPr>
        <w:t xml:space="preserve"> </w:t>
      </w:r>
      <w:r w:rsidR="009F72C5" w:rsidRPr="004A3D0D">
        <w:rPr>
          <w:sz w:val="20"/>
          <w:szCs w:val="20"/>
          <w:lang w:val="en-GB"/>
        </w:rPr>
        <w:t>n=902</w:t>
      </w:r>
      <w:r w:rsidR="00C50C12" w:rsidRPr="004A3D0D">
        <w:rPr>
          <w:sz w:val="20"/>
          <w:szCs w:val="20"/>
          <w:lang w:val="en-GB"/>
        </w:rPr>
        <w:t>; Outcome variable is employed or retired.</w:t>
      </w:r>
    </w:p>
    <w:p w14:paraId="40AB7B3E" w14:textId="1D119818" w:rsidR="005209D9" w:rsidRPr="00D57AE6" w:rsidRDefault="005209D9" w:rsidP="0052016F">
      <w:pPr>
        <w:spacing w:line="480" w:lineRule="auto"/>
        <w:jc w:val="both"/>
        <w:rPr>
          <w:lang w:val="en-GB"/>
        </w:rPr>
      </w:pPr>
      <w:r w:rsidRPr="004A3D0D">
        <w:rPr>
          <w:lang w:val="en-GB"/>
        </w:rPr>
        <w:t>Between the treated group (</w:t>
      </w:r>
      <w:r w:rsidR="002E6352" w:rsidRPr="004A3D0D">
        <w:rPr>
          <w:lang w:val="en-GB"/>
        </w:rPr>
        <w:t xml:space="preserve">who </w:t>
      </w:r>
      <w:r w:rsidRPr="004A3D0D">
        <w:rPr>
          <w:lang w:val="en-GB"/>
        </w:rPr>
        <w:t>participated in CVET) and the control group (no participation in CVET)</w:t>
      </w:r>
      <w:r w:rsidR="002E6352" w:rsidRPr="004A3D0D">
        <w:rPr>
          <w:lang w:val="en-GB"/>
        </w:rPr>
        <w:t>,</w:t>
      </w:r>
      <w:r w:rsidRPr="004A3D0D">
        <w:rPr>
          <w:lang w:val="en-GB"/>
        </w:rPr>
        <w:t xml:space="preserve"> no statistically significant differences </w:t>
      </w:r>
      <w:r w:rsidR="001C45EA" w:rsidRPr="004A3D0D">
        <w:rPr>
          <w:lang w:val="en-GB"/>
        </w:rPr>
        <w:t xml:space="preserve">in </w:t>
      </w:r>
      <w:r w:rsidR="0031050E" w:rsidRPr="004A3D0D">
        <w:rPr>
          <w:lang w:val="en-GB"/>
        </w:rPr>
        <w:t xml:space="preserve">subsequent </w:t>
      </w:r>
      <w:r w:rsidR="001C45EA" w:rsidRPr="004A3D0D">
        <w:rPr>
          <w:lang w:val="en-GB"/>
        </w:rPr>
        <w:t xml:space="preserve">employment </w:t>
      </w:r>
      <w:r w:rsidRPr="004A3D0D">
        <w:rPr>
          <w:lang w:val="en-GB"/>
        </w:rPr>
        <w:t>were observabl</w:t>
      </w:r>
      <w:r w:rsidR="00FA401C" w:rsidRPr="004A3D0D">
        <w:rPr>
          <w:lang w:val="en-GB"/>
        </w:rPr>
        <w:t xml:space="preserve">e </w:t>
      </w:r>
      <w:r w:rsidR="008C206D" w:rsidRPr="004A3D0D">
        <w:rPr>
          <w:lang w:val="en-GB"/>
        </w:rPr>
        <w:t xml:space="preserve">(Tab. </w:t>
      </w:r>
      <w:r w:rsidR="00B303D4" w:rsidRPr="004A3D0D">
        <w:rPr>
          <w:lang w:val="en-GB"/>
        </w:rPr>
        <w:t>4</w:t>
      </w:r>
      <w:r w:rsidR="008C206D" w:rsidRPr="004A3D0D">
        <w:rPr>
          <w:lang w:val="en-GB"/>
        </w:rPr>
        <w:t>)</w:t>
      </w:r>
      <w:r w:rsidRPr="004A3D0D">
        <w:rPr>
          <w:lang w:val="en-GB"/>
        </w:rPr>
        <w:t>.</w:t>
      </w:r>
    </w:p>
    <w:p w14:paraId="5B6F26D5" w14:textId="2C3E95E4" w:rsidR="00A20381" w:rsidRPr="00D57AE6" w:rsidRDefault="00791937" w:rsidP="0052016F">
      <w:pPr>
        <w:pStyle w:val="Heading2"/>
        <w:spacing w:line="480" w:lineRule="auto"/>
        <w:jc w:val="both"/>
        <w:rPr>
          <w:lang w:val="en-GB"/>
        </w:rPr>
      </w:pPr>
      <w:r w:rsidRPr="00D57AE6">
        <w:rPr>
          <w:lang w:val="en-GB"/>
        </w:rPr>
        <w:t xml:space="preserve">Associations </w:t>
      </w:r>
      <w:r w:rsidR="00971E50">
        <w:rPr>
          <w:lang w:val="en-GB"/>
        </w:rPr>
        <w:t>B</w:t>
      </w:r>
      <w:r w:rsidRPr="00D57AE6">
        <w:rPr>
          <w:lang w:val="en-GB"/>
        </w:rPr>
        <w:t xml:space="preserve">etween CVET and </w:t>
      </w:r>
      <w:r w:rsidR="00971E50">
        <w:rPr>
          <w:lang w:val="en-GB"/>
        </w:rPr>
        <w:t>P</w:t>
      </w:r>
      <w:r w:rsidRPr="00D57AE6">
        <w:rPr>
          <w:lang w:val="en-GB"/>
        </w:rPr>
        <w:t xml:space="preserve">otential </w:t>
      </w:r>
      <w:r w:rsidR="00971E50">
        <w:rPr>
          <w:lang w:val="en-GB"/>
        </w:rPr>
        <w:t>M</w:t>
      </w:r>
      <w:r w:rsidRPr="00D57AE6">
        <w:rPr>
          <w:lang w:val="en-GB"/>
        </w:rPr>
        <w:t>ediators</w:t>
      </w:r>
    </w:p>
    <w:p w14:paraId="7FC6DC5C" w14:textId="257A6698" w:rsidR="00E36778" w:rsidRPr="00D57AE6" w:rsidRDefault="007B5F9A" w:rsidP="0052016F">
      <w:pPr>
        <w:spacing w:line="480" w:lineRule="auto"/>
        <w:jc w:val="both"/>
        <w:rPr>
          <w:lang w:val="en-GB"/>
        </w:rPr>
      </w:pPr>
      <w:r w:rsidRPr="00D57AE6">
        <w:rPr>
          <w:lang w:val="en-GB"/>
        </w:rPr>
        <w:t xml:space="preserve">Eventually, the matching procedure didn’t </w:t>
      </w:r>
      <w:r w:rsidR="00844B9C" w:rsidRPr="00D57AE6">
        <w:rPr>
          <w:lang w:val="en-GB"/>
        </w:rPr>
        <w:t>show</w:t>
      </w:r>
      <w:r w:rsidRPr="00D57AE6">
        <w:rPr>
          <w:lang w:val="en-GB"/>
        </w:rPr>
        <w:t xml:space="preserve"> a</w:t>
      </w:r>
      <w:r w:rsidR="00844B9C" w:rsidRPr="00D57AE6">
        <w:rPr>
          <w:lang w:val="en-GB"/>
        </w:rPr>
        <w:t xml:space="preserve"> significant association</w:t>
      </w:r>
      <w:r w:rsidRPr="00D57AE6">
        <w:rPr>
          <w:lang w:val="en-GB"/>
        </w:rPr>
        <w:t xml:space="preserve"> between </w:t>
      </w:r>
      <w:r w:rsidR="00844B9C" w:rsidRPr="00D57AE6">
        <w:rPr>
          <w:lang w:val="en-GB"/>
        </w:rPr>
        <w:t>CVET</w:t>
      </w:r>
      <w:r w:rsidRPr="00D57AE6">
        <w:rPr>
          <w:lang w:val="en-GB"/>
        </w:rPr>
        <w:t xml:space="preserve"> and </w:t>
      </w:r>
      <w:r w:rsidR="00C60C9A" w:rsidRPr="00D57AE6">
        <w:rPr>
          <w:lang w:val="en-GB"/>
        </w:rPr>
        <w:t xml:space="preserve">differences in </w:t>
      </w:r>
      <w:r w:rsidR="00864AAC" w:rsidRPr="00D57AE6">
        <w:rPr>
          <w:lang w:val="en-GB"/>
        </w:rPr>
        <w:t>later-life employment</w:t>
      </w:r>
      <w:r w:rsidRPr="00D57AE6">
        <w:rPr>
          <w:lang w:val="en-GB"/>
        </w:rPr>
        <w:t>.</w:t>
      </w:r>
      <w:r w:rsidR="00D53D2B" w:rsidRPr="00D57AE6">
        <w:rPr>
          <w:lang w:val="en-GB"/>
        </w:rPr>
        <w:t xml:space="preserve"> </w:t>
      </w:r>
      <w:r w:rsidR="00F516F9" w:rsidRPr="00D57AE6">
        <w:rPr>
          <w:lang w:val="en-GB"/>
        </w:rPr>
        <w:t xml:space="preserve">Nevertheless, we think it is reasonable to </w:t>
      </w:r>
      <w:r w:rsidR="00261BF5" w:rsidRPr="00D57AE6">
        <w:rPr>
          <w:lang w:val="en-GB"/>
        </w:rPr>
        <w:t>examine</w:t>
      </w:r>
      <w:r w:rsidR="005A758A" w:rsidRPr="00D57AE6">
        <w:rPr>
          <w:lang w:val="en-GB"/>
        </w:rPr>
        <w:t xml:space="preserve"> the assumed associations </w:t>
      </w:r>
      <w:r w:rsidR="00261BF5" w:rsidRPr="00D57AE6">
        <w:rPr>
          <w:lang w:val="en-GB"/>
        </w:rPr>
        <w:t xml:space="preserve">to </w:t>
      </w:r>
      <w:r w:rsidR="00D15C6E" w:rsidRPr="00D57AE6">
        <w:rPr>
          <w:lang w:val="en-GB"/>
        </w:rPr>
        <w:t>gain insights into how CVET might affect certain aspects, which</w:t>
      </w:r>
      <w:r w:rsidR="002E6352" w:rsidRPr="00D57AE6">
        <w:rPr>
          <w:lang w:val="en-GB"/>
        </w:rPr>
        <w:t>, in turn, could influence</w:t>
      </w:r>
      <w:r w:rsidR="00D15C6E" w:rsidRPr="00D57AE6">
        <w:rPr>
          <w:lang w:val="en-GB"/>
        </w:rPr>
        <w:t xml:space="preserve"> decisions to leave the workforce.</w:t>
      </w:r>
      <w:r w:rsidR="004E63E1" w:rsidRPr="00D57AE6">
        <w:rPr>
          <w:lang w:val="en-GB"/>
        </w:rPr>
        <w:t xml:space="preserve"> </w:t>
      </w:r>
      <w:r w:rsidR="005D3BF3" w:rsidRPr="00D57AE6">
        <w:rPr>
          <w:lang w:val="en-GB"/>
        </w:rPr>
        <w:t xml:space="preserve">We therefore test the hypothesised relationships between CVET and the mediators. </w:t>
      </w:r>
      <w:r w:rsidR="00E47F36" w:rsidRPr="00D57AE6">
        <w:rPr>
          <w:lang w:val="en-GB"/>
        </w:rPr>
        <w:t>For this</w:t>
      </w:r>
      <w:r w:rsidR="002E6352" w:rsidRPr="00D57AE6">
        <w:rPr>
          <w:lang w:val="en-GB"/>
        </w:rPr>
        <w:t>,</w:t>
      </w:r>
      <w:r w:rsidR="00E47F36" w:rsidRPr="00D57AE6">
        <w:rPr>
          <w:lang w:val="en-GB"/>
        </w:rPr>
        <w:t xml:space="preserve"> we</w:t>
      </w:r>
      <w:r w:rsidR="005D3BF3" w:rsidRPr="00D57AE6">
        <w:rPr>
          <w:lang w:val="en-GB"/>
        </w:rPr>
        <w:t xml:space="preserve"> </w:t>
      </w:r>
      <w:r w:rsidR="00876884" w:rsidRPr="00D57AE6">
        <w:rPr>
          <w:lang w:val="en-GB"/>
        </w:rPr>
        <w:t xml:space="preserve">also use </w:t>
      </w:r>
      <w:r w:rsidR="00E47F36" w:rsidRPr="00D57AE6">
        <w:rPr>
          <w:lang w:val="en-GB"/>
        </w:rPr>
        <w:t>a</w:t>
      </w:r>
      <w:r w:rsidR="00876884" w:rsidRPr="00D57AE6">
        <w:rPr>
          <w:lang w:val="en-GB"/>
        </w:rPr>
        <w:t xml:space="preserve"> </w:t>
      </w:r>
      <w:r w:rsidR="00FB4CB4" w:rsidRPr="00D57AE6">
        <w:rPr>
          <w:lang w:val="en-GB"/>
        </w:rPr>
        <w:t>radius matching approach</w:t>
      </w:r>
      <w:r w:rsidR="00A902E8" w:rsidRPr="00D57AE6">
        <w:rPr>
          <w:lang w:val="en-GB"/>
        </w:rPr>
        <w:t xml:space="preserve"> for each model.</w:t>
      </w:r>
      <w:r w:rsidR="00E36778" w:rsidRPr="00D57AE6">
        <w:rPr>
          <w:b/>
          <w:bCs/>
          <w:sz w:val="20"/>
          <w:szCs w:val="20"/>
          <w:lang w:val="en-GB"/>
        </w:rPr>
        <w:t xml:space="preserve"> </w:t>
      </w:r>
    </w:p>
    <w:p w14:paraId="6880464D" w14:textId="68D518AD" w:rsidR="00E36778" w:rsidRPr="00D57AE6" w:rsidRDefault="00E36778" w:rsidP="0052016F">
      <w:pPr>
        <w:pStyle w:val="Caption"/>
        <w:keepNext/>
        <w:spacing w:line="480" w:lineRule="auto"/>
        <w:rPr>
          <w:lang w:val="en-GB"/>
        </w:rPr>
      </w:pPr>
      <w:r w:rsidRPr="00D57AE6">
        <w:rPr>
          <w:lang w:val="en-GB"/>
        </w:rPr>
        <w:t xml:space="preserve">Table </w:t>
      </w:r>
      <w:r w:rsidRPr="00D57AE6">
        <w:rPr>
          <w:lang w:val="en-GB"/>
        </w:rPr>
        <w:fldChar w:fldCharType="begin"/>
      </w:r>
      <w:r w:rsidRPr="00D57AE6">
        <w:rPr>
          <w:lang w:val="en-GB"/>
        </w:rPr>
        <w:instrText xml:space="preserve"> SEQ Table \* ARABIC </w:instrText>
      </w:r>
      <w:r w:rsidRPr="00D57AE6">
        <w:rPr>
          <w:lang w:val="en-GB"/>
        </w:rPr>
        <w:fldChar w:fldCharType="separate"/>
      </w:r>
      <w:r w:rsidRPr="00D57AE6">
        <w:rPr>
          <w:noProof/>
          <w:lang w:val="en-GB"/>
        </w:rPr>
        <w:t>5</w:t>
      </w:r>
      <w:r w:rsidRPr="00D57AE6">
        <w:rPr>
          <w:lang w:val="en-GB"/>
        </w:rPr>
        <w:fldChar w:fldCharType="end"/>
      </w:r>
      <w:r w:rsidRPr="00D57AE6">
        <w:rPr>
          <w:lang w:val="en-GB"/>
        </w:rPr>
        <w:t xml:space="preserve">: </w:t>
      </w:r>
      <w:r w:rsidR="00B303D4">
        <w:rPr>
          <w:lang w:val="en-GB"/>
        </w:rPr>
        <w:t>ATE</w:t>
      </w:r>
      <w:r w:rsidR="00C00D27">
        <w:rPr>
          <w:lang w:val="en-GB"/>
        </w:rPr>
        <w:t xml:space="preserve"> of</w:t>
      </w:r>
      <w:r w:rsidR="00AC48E9">
        <w:rPr>
          <w:lang w:val="en-GB"/>
        </w:rPr>
        <w:t xml:space="preserve"> </w:t>
      </w:r>
      <w:r w:rsidR="00971E50">
        <w:rPr>
          <w:lang w:val="en-GB"/>
        </w:rPr>
        <w:t>P</w:t>
      </w:r>
      <w:r w:rsidR="00AC48E9">
        <w:rPr>
          <w:lang w:val="en-GB"/>
        </w:rPr>
        <w:t xml:space="preserve">articipation in CVET on </w:t>
      </w:r>
      <w:r w:rsidR="00971E50">
        <w:rPr>
          <w:lang w:val="en-GB"/>
        </w:rPr>
        <w:t>M</w:t>
      </w:r>
      <w:r w:rsidR="00AC48E9">
        <w:rPr>
          <w:lang w:val="en-GB"/>
        </w:rPr>
        <w:t xml:space="preserve">ediator </w:t>
      </w:r>
      <w:r w:rsidR="00971E50">
        <w:rPr>
          <w:lang w:val="en-GB"/>
        </w:rPr>
        <w:t>V</w:t>
      </w:r>
      <w:r w:rsidR="00AC48E9">
        <w:rPr>
          <w:lang w:val="en-GB"/>
        </w:rPr>
        <w:t>ariables</w:t>
      </w:r>
    </w:p>
    <w:tbl>
      <w:tblPr>
        <w:tblW w:w="9107" w:type="dxa"/>
        <w:tblLayout w:type="fixed"/>
        <w:tblLook w:val="0000" w:firstRow="0" w:lastRow="0" w:firstColumn="0" w:lastColumn="0" w:noHBand="0" w:noVBand="0"/>
      </w:tblPr>
      <w:tblGrid>
        <w:gridCol w:w="2323"/>
        <w:gridCol w:w="1106"/>
        <w:gridCol w:w="1106"/>
        <w:gridCol w:w="1198"/>
        <w:gridCol w:w="829"/>
        <w:gridCol w:w="736"/>
        <w:gridCol w:w="829"/>
        <w:gridCol w:w="980"/>
      </w:tblGrid>
      <w:tr w:rsidR="00A7256A" w:rsidRPr="00D57AE6" w14:paraId="349D8807" w14:textId="77777777" w:rsidTr="00FB4B25">
        <w:trPr>
          <w:trHeight w:val="454"/>
        </w:trPr>
        <w:tc>
          <w:tcPr>
            <w:tcW w:w="2323" w:type="dxa"/>
            <w:tcBorders>
              <w:top w:val="single" w:sz="4" w:space="0" w:color="auto"/>
              <w:left w:val="nil"/>
              <w:bottom w:val="single" w:sz="10" w:space="0" w:color="auto"/>
              <w:right w:val="nil"/>
            </w:tcBorders>
          </w:tcPr>
          <w:p w14:paraId="0B00A4FE" w14:textId="77777777" w:rsidR="00A7256A" w:rsidRPr="00D57AE6" w:rsidRDefault="00A7256A" w:rsidP="0052016F">
            <w:pPr>
              <w:widowControl w:val="0"/>
              <w:autoSpaceDE w:val="0"/>
              <w:autoSpaceDN w:val="0"/>
              <w:adjustRightInd w:val="0"/>
              <w:spacing w:after="0" w:line="480" w:lineRule="auto"/>
              <w:rPr>
                <w:b/>
                <w:bCs/>
                <w:sz w:val="20"/>
                <w:szCs w:val="20"/>
                <w:lang w:val="en-GB"/>
              </w:rPr>
            </w:pPr>
            <w:r w:rsidRPr="00D57AE6">
              <w:rPr>
                <w:b/>
                <w:bCs/>
                <w:sz w:val="20"/>
                <w:szCs w:val="20"/>
                <w:lang w:val="en-GB"/>
              </w:rPr>
              <w:t>Variables</w:t>
            </w:r>
          </w:p>
        </w:tc>
        <w:tc>
          <w:tcPr>
            <w:tcW w:w="1106" w:type="dxa"/>
            <w:tcBorders>
              <w:top w:val="single" w:sz="4" w:space="0" w:color="auto"/>
              <w:left w:val="nil"/>
              <w:bottom w:val="single" w:sz="10" w:space="0" w:color="auto"/>
              <w:right w:val="nil"/>
            </w:tcBorders>
          </w:tcPr>
          <w:p w14:paraId="469CBE0B" w14:textId="1A8AE81A" w:rsidR="00A7256A" w:rsidRPr="00D57AE6" w:rsidRDefault="00A7256A" w:rsidP="0052016F">
            <w:pPr>
              <w:widowControl w:val="0"/>
              <w:autoSpaceDE w:val="0"/>
              <w:autoSpaceDN w:val="0"/>
              <w:adjustRightInd w:val="0"/>
              <w:spacing w:after="0" w:line="480" w:lineRule="auto"/>
              <w:rPr>
                <w:b/>
                <w:bCs/>
                <w:sz w:val="20"/>
                <w:szCs w:val="20"/>
                <w:lang w:val="en-GB"/>
              </w:rPr>
            </w:pPr>
            <w:r w:rsidRPr="00D57AE6">
              <w:rPr>
                <w:b/>
                <w:bCs/>
                <w:sz w:val="20"/>
                <w:szCs w:val="20"/>
                <w:lang w:val="en-GB"/>
              </w:rPr>
              <w:t>n</w:t>
            </w:r>
          </w:p>
        </w:tc>
        <w:tc>
          <w:tcPr>
            <w:tcW w:w="1106" w:type="dxa"/>
            <w:tcBorders>
              <w:top w:val="single" w:sz="4" w:space="0" w:color="auto"/>
              <w:left w:val="nil"/>
              <w:bottom w:val="single" w:sz="10" w:space="0" w:color="auto"/>
              <w:right w:val="nil"/>
            </w:tcBorders>
          </w:tcPr>
          <w:p w14:paraId="32C66995" w14:textId="64CAE3E7" w:rsidR="00A7256A" w:rsidRPr="00D57AE6" w:rsidRDefault="00A7256A" w:rsidP="0052016F">
            <w:pPr>
              <w:widowControl w:val="0"/>
              <w:autoSpaceDE w:val="0"/>
              <w:autoSpaceDN w:val="0"/>
              <w:adjustRightInd w:val="0"/>
              <w:spacing w:after="0" w:line="480" w:lineRule="auto"/>
              <w:rPr>
                <w:b/>
                <w:bCs/>
                <w:sz w:val="20"/>
                <w:szCs w:val="20"/>
                <w:lang w:val="en-GB"/>
              </w:rPr>
            </w:pPr>
            <w:r w:rsidRPr="00D57AE6">
              <w:rPr>
                <w:b/>
                <w:bCs/>
                <w:sz w:val="20"/>
                <w:szCs w:val="20"/>
                <w:lang w:val="en-GB"/>
              </w:rPr>
              <w:t>Treated</w:t>
            </w:r>
          </w:p>
        </w:tc>
        <w:tc>
          <w:tcPr>
            <w:tcW w:w="1198" w:type="dxa"/>
            <w:tcBorders>
              <w:top w:val="single" w:sz="4" w:space="0" w:color="auto"/>
              <w:left w:val="nil"/>
              <w:bottom w:val="single" w:sz="10" w:space="0" w:color="auto"/>
              <w:right w:val="nil"/>
            </w:tcBorders>
          </w:tcPr>
          <w:p w14:paraId="00CD53A5" w14:textId="6F63D9F5" w:rsidR="00A7256A" w:rsidRPr="00D57AE6" w:rsidRDefault="00A7256A" w:rsidP="0052016F">
            <w:pPr>
              <w:widowControl w:val="0"/>
              <w:autoSpaceDE w:val="0"/>
              <w:autoSpaceDN w:val="0"/>
              <w:adjustRightInd w:val="0"/>
              <w:spacing w:after="0" w:line="480" w:lineRule="auto"/>
              <w:rPr>
                <w:b/>
                <w:bCs/>
                <w:sz w:val="20"/>
                <w:szCs w:val="20"/>
                <w:lang w:val="en-GB"/>
              </w:rPr>
            </w:pPr>
            <w:r w:rsidRPr="00D57AE6">
              <w:rPr>
                <w:b/>
                <w:bCs/>
                <w:sz w:val="20"/>
                <w:szCs w:val="20"/>
                <w:lang w:val="en-GB"/>
              </w:rPr>
              <w:t>Controls</w:t>
            </w:r>
          </w:p>
        </w:tc>
        <w:tc>
          <w:tcPr>
            <w:tcW w:w="829" w:type="dxa"/>
            <w:tcBorders>
              <w:top w:val="single" w:sz="4" w:space="0" w:color="auto"/>
              <w:left w:val="nil"/>
              <w:bottom w:val="single" w:sz="10" w:space="0" w:color="auto"/>
              <w:right w:val="nil"/>
            </w:tcBorders>
          </w:tcPr>
          <w:p w14:paraId="600EA49A" w14:textId="77777777" w:rsidR="00A7256A" w:rsidRPr="00D57AE6" w:rsidRDefault="00A7256A" w:rsidP="0052016F">
            <w:pPr>
              <w:widowControl w:val="0"/>
              <w:autoSpaceDE w:val="0"/>
              <w:autoSpaceDN w:val="0"/>
              <w:adjustRightInd w:val="0"/>
              <w:spacing w:after="0" w:line="480" w:lineRule="auto"/>
              <w:rPr>
                <w:b/>
                <w:bCs/>
                <w:sz w:val="20"/>
                <w:szCs w:val="20"/>
                <w:lang w:val="en-GB"/>
              </w:rPr>
            </w:pPr>
            <w:r w:rsidRPr="00D57AE6">
              <w:rPr>
                <w:b/>
                <w:bCs/>
                <w:sz w:val="20"/>
                <w:szCs w:val="20"/>
                <w:lang w:val="en-GB"/>
              </w:rPr>
              <w:t>Diff.</w:t>
            </w:r>
          </w:p>
        </w:tc>
        <w:tc>
          <w:tcPr>
            <w:tcW w:w="736" w:type="dxa"/>
            <w:tcBorders>
              <w:top w:val="single" w:sz="4" w:space="0" w:color="auto"/>
              <w:left w:val="nil"/>
              <w:bottom w:val="single" w:sz="10" w:space="0" w:color="auto"/>
              <w:right w:val="nil"/>
            </w:tcBorders>
          </w:tcPr>
          <w:p w14:paraId="2CCD829C" w14:textId="77777777" w:rsidR="00A7256A" w:rsidRPr="00D57AE6" w:rsidRDefault="00A7256A" w:rsidP="0052016F">
            <w:pPr>
              <w:widowControl w:val="0"/>
              <w:autoSpaceDE w:val="0"/>
              <w:autoSpaceDN w:val="0"/>
              <w:adjustRightInd w:val="0"/>
              <w:spacing w:after="0" w:line="480" w:lineRule="auto"/>
              <w:rPr>
                <w:b/>
                <w:bCs/>
                <w:sz w:val="20"/>
                <w:szCs w:val="20"/>
                <w:lang w:val="en-GB"/>
              </w:rPr>
            </w:pPr>
            <w:r w:rsidRPr="00D57AE6">
              <w:rPr>
                <w:b/>
                <w:bCs/>
                <w:sz w:val="20"/>
                <w:szCs w:val="20"/>
                <w:lang w:val="en-GB"/>
              </w:rPr>
              <w:t>S.E.</w:t>
            </w:r>
          </w:p>
        </w:tc>
        <w:tc>
          <w:tcPr>
            <w:tcW w:w="829" w:type="dxa"/>
            <w:tcBorders>
              <w:top w:val="single" w:sz="4" w:space="0" w:color="auto"/>
              <w:left w:val="nil"/>
              <w:bottom w:val="single" w:sz="10" w:space="0" w:color="auto"/>
              <w:right w:val="nil"/>
            </w:tcBorders>
          </w:tcPr>
          <w:p w14:paraId="631877BB" w14:textId="77777777" w:rsidR="00A7256A" w:rsidRPr="00D57AE6" w:rsidRDefault="00A7256A" w:rsidP="0052016F">
            <w:pPr>
              <w:widowControl w:val="0"/>
              <w:autoSpaceDE w:val="0"/>
              <w:autoSpaceDN w:val="0"/>
              <w:adjustRightInd w:val="0"/>
              <w:spacing w:after="0" w:line="480" w:lineRule="auto"/>
              <w:rPr>
                <w:b/>
                <w:bCs/>
                <w:sz w:val="20"/>
                <w:szCs w:val="20"/>
                <w:lang w:val="en-GB"/>
              </w:rPr>
            </w:pPr>
            <w:r w:rsidRPr="00D57AE6">
              <w:rPr>
                <w:b/>
                <w:bCs/>
                <w:sz w:val="20"/>
                <w:szCs w:val="20"/>
                <w:lang w:val="en-GB"/>
              </w:rPr>
              <w:t>T-stat</w:t>
            </w:r>
          </w:p>
        </w:tc>
        <w:tc>
          <w:tcPr>
            <w:tcW w:w="980" w:type="dxa"/>
            <w:tcBorders>
              <w:top w:val="single" w:sz="4" w:space="0" w:color="auto"/>
              <w:left w:val="nil"/>
              <w:bottom w:val="single" w:sz="10" w:space="0" w:color="auto"/>
              <w:right w:val="nil"/>
            </w:tcBorders>
          </w:tcPr>
          <w:p w14:paraId="3CB631B4" w14:textId="77777777" w:rsidR="00A7256A" w:rsidRPr="00D57AE6" w:rsidRDefault="00A7256A" w:rsidP="0052016F">
            <w:pPr>
              <w:widowControl w:val="0"/>
              <w:autoSpaceDE w:val="0"/>
              <w:autoSpaceDN w:val="0"/>
              <w:adjustRightInd w:val="0"/>
              <w:spacing w:after="0" w:line="480" w:lineRule="auto"/>
              <w:rPr>
                <w:b/>
                <w:bCs/>
                <w:sz w:val="20"/>
                <w:szCs w:val="20"/>
                <w:lang w:val="en-GB"/>
              </w:rPr>
            </w:pPr>
            <w:r w:rsidRPr="00D57AE6">
              <w:rPr>
                <w:b/>
                <w:bCs/>
                <w:sz w:val="20"/>
                <w:szCs w:val="20"/>
                <w:lang w:val="en-GB"/>
              </w:rPr>
              <w:t>P-value</w:t>
            </w:r>
          </w:p>
        </w:tc>
      </w:tr>
      <w:tr w:rsidR="00A7256A" w:rsidRPr="00D57AE6" w14:paraId="20AB60D5" w14:textId="77777777" w:rsidTr="00764140">
        <w:trPr>
          <w:trHeight w:val="454"/>
        </w:trPr>
        <w:tc>
          <w:tcPr>
            <w:tcW w:w="2323" w:type="dxa"/>
            <w:tcBorders>
              <w:top w:val="nil"/>
              <w:left w:val="nil"/>
              <w:bottom w:val="nil"/>
              <w:right w:val="nil"/>
            </w:tcBorders>
            <w:vAlign w:val="bottom"/>
          </w:tcPr>
          <w:p w14:paraId="1A7852E1" w14:textId="20F47873"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Burden.: Phys. Job</w:t>
            </w:r>
            <w:r w:rsidR="00C2655D">
              <w:rPr>
                <w:rFonts w:cs="Arial"/>
                <w:b/>
                <w:bCs/>
                <w:color w:val="000000"/>
                <w:sz w:val="20"/>
                <w:szCs w:val="20"/>
                <w:lang w:val="en-GB"/>
              </w:rPr>
              <w:t xml:space="preserve"> </w:t>
            </w:r>
            <w:r w:rsidRPr="00D57AE6">
              <w:rPr>
                <w:rFonts w:cs="Arial"/>
                <w:b/>
                <w:bCs/>
                <w:color w:val="000000"/>
                <w:sz w:val="20"/>
                <w:szCs w:val="20"/>
                <w:lang w:val="en-GB"/>
              </w:rPr>
              <w:t>Demands</w:t>
            </w:r>
          </w:p>
        </w:tc>
        <w:tc>
          <w:tcPr>
            <w:tcW w:w="1106" w:type="dxa"/>
            <w:tcBorders>
              <w:top w:val="nil"/>
              <w:left w:val="nil"/>
              <w:bottom w:val="nil"/>
              <w:right w:val="nil"/>
            </w:tcBorders>
          </w:tcPr>
          <w:p w14:paraId="309C0A71" w14:textId="6A5196D7" w:rsidR="00A7256A" w:rsidRPr="00D57AE6" w:rsidRDefault="002C15B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630</w:t>
            </w:r>
          </w:p>
        </w:tc>
        <w:tc>
          <w:tcPr>
            <w:tcW w:w="1106" w:type="dxa"/>
            <w:tcBorders>
              <w:top w:val="nil"/>
              <w:left w:val="nil"/>
              <w:bottom w:val="nil"/>
              <w:right w:val="nil"/>
            </w:tcBorders>
          </w:tcPr>
          <w:p w14:paraId="15104F84" w14:textId="486A49BF"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2.541</w:t>
            </w:r>
          </w:p>
        </w:tc>
        <w:tc>
          <w:tcPr>
            <w:tcW w:w="1198" w:type="dxa"/>
            <w:tcBorders>
              <w:top w:val="nil"/>
              <w:left w:val="nil"/>
              <w:bottom w:val="nil"/>
              <w:right w:val="nil"/>
            </w:tcBorders>
          </w:tcPr>
          <w:p w14:paraId="2DC74343"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2.759</w:t>
            </w:r>
          </w:p>
        </w:tc>
        <w:tc>
          <w:tcPr>
            <w:tcW w:w="829" w:type="dxa"/>
            <w:tcBorders>
              <w:top w:val="nil"/>
              <w:left w:val="nil"/>
              <w:bottom w:val="nil"/>
              <w:right w:val="nil"/>
            </w:tcBorders>
          </w:tcPr>
          <w:p w14:paraId="506C1FAE"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-0.219</w:t>
            </w:r>
          </w:p>
        </w:tc>
        <w:tc>
          <w:tcPr>
            <w:tcW w:w="736" w:type="dxa"/>
            <w:tcBorders>
              <w:top w:val="nil"/>
              <w:left w:val="nil"/>
              <w:bottom w:val="nil"/>
              <w:right w:val="nil"/>
            </w:tcBorders>
          </w:tcPr>
          <w:p w14:paraId="5F0834D8"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0.161</w:t>
            </w:r>
          </w:p>
        </w:tc>
        <w:tc>
          <w:tcPr>
            <w:tcW w:w="829" w:type="dxa"/>
            <w:tcBorders>
              <w:top w:val="nil"/>
              <w:left w:val="nil"/>
              <w:bottom w:val="nil"/>
              <w:right w:val="nil"/>
            </w:tcBorders>
          </w:tcPr>
          <w:p w14:paraId="58E02C1E"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-1.362</w:t>
            </w:r>
          </w:p>
        </w:tc>
        <w:tc>
          <w:tcPr>
            <w:tcW w:w="980" w:type="dxa"/>
            <w:tcBorders>
              <w:top w:val="nil"/>
              <w:left w:val="nil"/>
              <w:bottom w:val="nil"/>
              <w:right w:val="nil"/>
            </w:tcBorders>
          </w:tcPr>
          <w:p w14:paraId="2B095916"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0.173</w:t>
            </w:r>
          </w:p>
        </w:tc>
      </w:tr>
      <w:tr w:rsidR="00A7256A" w:rsidRPr="00D57AE6" w14:paraId="22AE0047" w14:textId="77777777" w:rsidTr="00764140">
        <w:trPr>
          <w:trHeight w:val="454"/>
        </w:trPr>
        <w:tc>
          <w:tcPr>
            <w:tcW w:w="2323" w:type="dxa"/>
            <w:tcBorders>
              <w:top w:val="nil"/>
              <w:left w:val="nil"/>
              <w:bottom w:val="nil"/>
              <w:right w:val="nil"/>
            </w:tcBorders>
            <w:vAlign w:val="bottom"/>
          </w:tcPr>
          <w:p w14:paraId="69AE9BED"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Burden.: Working Conditions</w:t>
            </w:r>
          </w:p>
        </w:tc>
        <w:tc>
          <w:tcPr>
            <w:tcW w:w="1106" w:type="dxa"/>
            <w:tcBorders>
              <w:top w:val="nil"/>
              <w:left w:val="nil"/>
              <w:bottom w:val="nil"/>
              <w:right w:val="nil"/>
            </w:tcBorders>
          </w:tcPr>
          <w:p w14:paraId="1FA15333" w14:textId="21ED19F1" w:rsidR="00A7256A" w:rsidRPr="00D57AE6" w:rsidRDefault="002C15B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622</w:t>
            </w:r>
          </w:p>
        </w:tc>
        <w:tc>
          <w:tcPr>
            <w:tcW w:w="1106" w:type="dxa"/>
            <w:tcBorders>
              <w:top w:val="nil"/>
              <w:left w:val="nil"/>
              <w:bottom w:val="nil"/>
              <w:right w:val="nil"/>
            </w:tcBorders>
          </w:tcPr>
          <w:p w14:paraId="6AA0B70D" w14:textId="033B93CA"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1.870</w:t>
            </w:r>
          </w:p>
        </w:tc>
        <w:tc>
          <w:tcPr>
            <w:tcW w:w="1198" w:type="dxa"/>
            <w:tcBorders>
              <w:top w:val="nil"/>
              <w:left w:val="nil"/>
              <w:bottom w:val="nil"/>
              <w:right w:val="nil"/>
            </w:tcBorders>
          </w:tcPr>
          <w:p w14:paraId="329B5367"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1.874</w:t>
            </w:r>
          </w:p>
        </w:tc>
        <w:tc>
          <w:tcPr>
            <w:tcW w:w="829" w:type="dxa"/>
            <w:tcBorders>
              <w:top w:val="nil"/>
              <w:left w:val="nil"/>
              <w:bottom w:val="nil"/>
              <w:right w:val="nil"/>
            </w:tcBorders>
          </w:tcPr>
          <w:p w14:paraId="0BDB5C8E"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-0.004</w:t>
            </w:r>
          </w:p>
        </w:tc>
        <w:tc>
          <w:tcPr>
            <w:tcW w:w="736" w:type="dxa"/>
            <w:tcBorders>
              <w:top w:val="nil"/>
              <w:left w:val="nil"/>
              <w:bottom w:val="nil"/>
              <w:right w:val="nil"/>
            </w:tcBorders>
          </w:tcPr>
          <w:p w14:paraId="797A67A8"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0.131</w:t>
            </w:r>
          </w:p>
        </w:tc>
        <w:tc>
          <w:tcPr>
            <w:tcW w:w="829" w:type="dxa"/>
            <w:tcBorders>
              <w:top w:val="nil"/>
              <w:left w:val="nil"/>
              <w:bottom w:val="nil"/>
              <w:right w:val="nil"/>
            </w:tcBorders>
          </w:tcPr>
          <w:p w14:paraId="67E7A173"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-0.027</w:t>
            </w:r>
          </w:p>
        </w:tc>
        <w:tc>
          <w:tcPr>
            <w:tcW w:w="980" w:type="dxa"/>
            <w:tcBorders>
              <w:top w:val="nil"/>
              <w:left w:val="nil"/>
              <w:bottom w:val="nil"/>
              <w:right w:val="nil"/>
            </w:tcBorders>
          </w:tcPr>
          <w:p w14:paraId="3C2997B6"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0.979</w:t>
            </w:r>
          </w:p>
        </w:tc>
      </w:tr>
      <w:tr w:rsidR="00A7256A" w:rsidRPr="00D57AE6" w14:paraId="35250C27" w14:textId="77777777" w:rsidTr="00764140">
        <w:trPr>
          <w:trHeight w:val="455"/>
        </w:trPr>
        <w:tc>
          <w:tcPr>
            <w:tcW w:w="2323" w:type="dxa"/>
            <w:tcBorders>
              <w:top w:val="nil"/>
              <w:left w:val="nil"/>
              <w:bottom w:val="nil"/>
              <w:right w:val="nil"/>
            </w:tcBorders>
            <w:vAlign w:val="bottom"/>
          </w:tcPr>
          <w:p w14:paraId="084D717F"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Burden.: Work Stress</w:t>
            </w:r>
          </w:p>
        </w:tc>
        <w:tc>
          <w:tcPr>
            <w:tcW w:w="1106" w:type="dxa"/>
            <w:tcBorders>
              <w:top w:val="nil"/>
              <w:left w:val="nil"/>
              <w:bottom w:val="nil"/>
              <w:right w:val="nil"/>
            </w:tcBorders>
          </w:tcPr>
          <w:p w14:paraId="4867E461" w14:textId="44230E1C" w:rsidR="00A7256A" w:rsidRPr="00D57AE6" w:rsidRDefault="002C15B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628</w:t>
            </w:r>
          </w:p>
        </w:tc>
        <w:tc>
          <w:tcPr>
            <w:tcW w:w="1106" w:type="dxa"/>
            <w:tcBorders>
              <w:top w:val="nil"/>
              <w:left w:val="nil"/>
              <w:bottom w:val="nil"/>
              <w:right w:val="nil"/>
            </w:tcBorders>
          </w:tcPr>
          <w:p w14:paraId="1E07D67A" w14:textId="2F9D80EE"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3.252</w:t>
            </w:r>
          </w:p>
        </w:tc>
        <w:tc>
          <w:tcPr>
            <w:tcW w:w="1198" w:type="dxa"/>
            <w:tcBorders>
              <w:top w:val="nil"/>
              <w:left w:val="nil"/>
              <w:bottom w:val="nil"/>
              <w:right w:val="nil"/>
            </w:tcBorders>
          </w:tcPr>
          <w:p w14:paraId="2DBBC8C8"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2.902</w:t>
            </w:r>
          </w:p>
        </w:tc>
        <w:tc>
          <w:tcPr>
            <w:tcW w:w="829" w:type="dxa"/>
            <w:tcBorders>
              <w:top w:val="nil"/>
              <w:left w:val="nil"/>
              <w:bottom w:val="nil"/>
              <w:right w:val="nil"/>
            </w:tcBorders>
          </w:tcPr>
          <w:p w14:paraId="18127EEB"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0.351</w:t>
            </w:r>
          </w:p>
        </w:tc>
        <w:tc>
          <w:tcPr>
            <w:tcW w:w="736" w:type="dxa"/>
            <w:tcBorders>
              <w:top w:val="nil"/>
              <w:left w:val="nil"/>
              <w:bottom w:val="nil"/>
              <w:right w:val="nil"/>
            </w:tcBorders>
          </w:tcPr>
          <w:p w14:paraId="189BC42E"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0.147</w:t>
            </w:r>
          </w:p>
        </w:tc>
        <w:tc>
          <w:tcPr>
            <w:tcW w:w="829" w:type="dxa"/>
            <w:tcBorders>
              <w:top w:val="nil"/>
              <w:left w:val="nil"/>
              <w:bottom w:val="nil"/>
              <w:right w:val="nil"/>
            </w:tcBorders>
          </w:tcPr>
          <w:p w14:paraId="2AC1E524"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2.392</w:t>
            </w:r>
          </w:p>
        </w:tc>
        <w:tc>
          <w:tcPr>
            <w:tcW w:w="980" w:type="dxa"/>
            <w:tcBorders>
              <w:top w:val="nil"/>
              <w:left w:val="nil"/>
              <w:bottom w:val="nil"/>
              <w:right w:val="nil"/>
            </w:tcBorders>
          </w:tcPr>
          <w:p w14:paraId="6B80540B" w14:textId="77777777" w:rsidR="00A7256A" w:rsidRPr="00D57AE6" w:rsidRDefault="00A7256A" w:rsidP="00764140">
            <w:pPr>
              <w:widowControl w:val="0"/>
              <w:autoSpaceDE w:val="0"/>
              <w:autoSpaceDN w:val="0"/>
              <w:adjustRightInd w:val="0"/>
              <w:spacing w:after="0" w:line="480" w:lineRule="auto"/>
              <w:rPr>
                <w:b/>
                <w:bCs/>
                <w:sz w:val="20"/>
                <w:szCs w:val="20"/>
                <w:lang w:val="en-GB"/>
              </w:rPr>
            </w:pPr>
            <w:r w:rsidRPr="00D57AE6">
              <w:rPr>
                <w:rFonts w:cs="Arial"/>
                <w:b/>
                <w:bCs/>
                <w:color w:val="000000"/>
                <w:sz w:val="20"/>
                <w:szCs w:val="20"/>
                <w:lang w:val="en-GB"/>
              </w:rPr>
              <w:t>0.017</w:t>
            </w:r>
          </w:p>
        </w:tc>
      </w:tr>
      <w:tr w:rsidR="00A7256A" w:rsidRPr="00D57AE6" w14:paraId="7B5BBB6A" w14:textId="77777777" w:rsidTr="00764140">
        <w:trPr>
          <w:trHeight w:val="454"/>
        </w:trPr>
        <w:tc>
          <w:tcPr>
            <w:tcW w:w="2323" w:type="dxa"/>
            <w:tcBorders>
              <w:top w:val="nil"/>
              <w:left w:val="nil"/>
              <w:bottom w:val="nil"/>
              <w:right w:val="nil"/>
            </w:tcBorders>
            <w:vAlign w:val="bottom"/>
          </w:tcPr>
          <w:p w14:paraId="69500C35"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Burden.: New Job Demands</w:t>
            </w:r>
          </w:p>
        </w:tc>
        <w:tc>
          <w:tcPr>
            <w:tcW w:w="1106" w:type="dxa"/>
            <w:tcBorders>
              <w:top w:val="nil"/>
              <w:left w:val="nil"/>
              <w:bottom w:val="nil"/>
              <w:right w:val="nil"/>
            </w:tcBorders>
          </w:tcPr>
          <w:p w14:paraId="7774695E" w14:textId="34806423" w:rsidR="00A7256A" w:rsidRPr="00D57AE6" w:rsidRDefault="002C15B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625</w:t>
            </w:r>
          </w:p>
        </w:tc>
        <w:tc>
          <w:tcPr>
            <w:tcW w:w="1106" w:type="dxa"/>
            <w:tcBorders>
              <w:top w:val="nil"/>
              <w:left w:val="nil"/>
              <w:bottom w:val="nil"/>
              <w:right w:val="nil"/>
            </w:tcBorders>
          </w:tcPr>
          <w:p w14:paraId="3EF13781" w14:textId="2E0B02BA"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2.752</w:t>
            </w:r>
          </w:p>
        </w:tc>
        <w:tc>
          <w:tcPr>
            <w:tcW w:w="1198" w:type="dxa"/>
            <w:tcBorders>
              <w:top w:val="nil"/>
              <w:left w:val="nil"/>
              <w:bottom w:val="nil"/>
              <w:right w:val="nil"/>
            </w:tcBorders>
          </w:tcPr>
          <w:p w14:paraId="46EB1911"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2.223</w:t>
            </w:r>
          </w:p>
        </w:tc>
        <w:tc>
          <w:tcPr>
            <w:tcW w:w="829" w:type="dxa"/>
            <w:tcBorders>
              <w:top w:val="nil"/>
              <w:left w:val="nil"/>
              <w:bottom w:val="nil"/>
              <w:right w:val="nil"/>
            </w:tcBorders>
          </w:tcPr>
          <w:p w14:paraId="442D8CC6"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0.528</w:t>
            </w:r>
          </w:p>
        </w:tc>
        <w:tc>
          <w:tcPr>
            <w:tcW w:w="736" w:type="dxa"/>
            <w:tcBorders>
              <w:top w:val="nil"/>
              <w:left w:val="nil"/>
              <w:bottom w:val="nil"/>
              <w:right w:val="nil"/>
            </w:tcBorders>
          </w:tcPr>
          <w:p w14:paraId="227E5B7A"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0.124</w:t>
            </w:r>
          </w:p>
        </w:tc>
        <w:tc>
          <w:tcPr>
            <w:tcW w:w="829" w:type="dxa"/>
            <w:tcBorders>
              <w:top w:val="nil"/>
              <w:left w:val="nil"/>
              <w:bottom w:val="nil"/>
              <w:right w:val="nil"/>
            </w:tcBorders>
          </w:tcPr>
          <w:p w14:paraId="64881F1A"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4.274</w:t>
            </w:r>
          </w:p>
        </w:tc>
        <w:tc>
          <w:tcPr>
            <w:tcW w:w="980" w:type="dxa"/>
            <w:tcBorders>
              <w:top w:val="nil"/>
              <w:left w:val="nil"/>
              <w:bottom w:val="nil"/>
              <w:right w:val="nil"/>
            </w:tcBorders>
          </w:tcPr>
          <w:p w14:paraId="551E02BC" w14:textId="77777777" w:rsidR="00A7256A" w:rsidRPr="00D57AE6" w:rsidRDefault="00A7256A" w:rsidP="00764140">
            <w:pPr>
              <w:widowControl w:val="0"/>
              <w:autoSpaceDE w:val="0"/>
              <w:autoSpaceDN w:val="0"/>
              <w:adjustRightInd w:val="0"/>
              <w:spacing w:after="0" w:line="480" w:lineRule="auto"/>
              <w:rPr>
                <w:b/>
                <w:bCs/>
                <w:sz w:val="20"/>
                <w:szCs w:val="20"/>
                <w:lang w:val="en-GB"/>
              </w:rPr>
            </w:pPr>
            <w:r w:rsidRPr="00D57AE6">
              <w:rPr>
                <w:rFonts w:cs="Arial"/>
                <w:b/>
                <w:bCs/>
                <w:color w:val="000000"/>
                <w:sz w:val="20"/>
                <w:szCs w:val="20"/>
                <w:lang w:val="en-GB"/>
              </w:rPr>
              <w:t>0.000</w:t>
            </w:r>
          </w:p>
        </w:tc>
      </w:tr>
      <w:tr w:rsidR="00A7256A" w:rsidRPr="00D57AE6" w14:paraId="723F5553" w14:textId="77777777" w:rsidTr="00764140">
        <w:trPr>
          <w:trHeight w:val="454"/>
        </w:trPr>
        <w:tc>
          <w:tcPr>
            <w:tcW w:w="2323" w:type="dxa"/>
            <w:tcBorders>
              <w:top w:val="nil"/>
              <w:left w:val="nil"/>
              <w:bottom w:val="nil"/>
              <w:right w:val="nil"/>
            </w:tcBorders>
            <w:vAlign w:val="bottom"/>
          </w:tcPr>
          <w:p w14:paraId="0931B88A" w14:textId="2A672ACD" w:rsidR="00A7256A" w:rsidRPr="00D57AE6" w:rsidRDefault="00E24CF0"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Underchallenge</w:t>
            </w:r>
          </w:p>
        </w:tc>
        <w:tc>
          <w:tcPr>
            <w:tcW w:w="1106" w:type="dxa"/>
            <w:tcBorders>
              <w:top w:val="nil"/>
              <w:left w:val="nil"/>
              <w:bottom w:val="nil"/>
              <w:right w:val="nil"/>
            </w:tcBorders>
          </w:tcPr>
          <w:p w14:paraId="02450AFB" w14:textId="5F57009E" w:rsidR="00A7256A" w:rsidRPr="00D57AE6" w:rsidRDefault="002C15B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638</w:t>
            </w:r>
          </w:p>
        </w:tc>
        <w:tc>
          <w:tcPr>
            <w:tcW w:w="1106" w:type="dxa"/>
            <w:tcBorders>
              <w:top w:val="nil"/>
              <w:left w:val="nil"/>
              <w:bottom w:val="nil"/>
              <w:right w:val="nil"/>
            </w:tcBorders>
          </w:tcPr>
          <w:p w14:paraId="53813051" w14:textId="7736897A"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0.093</w:t>
            </w:r>
          </w:p>
        </w:tc>
        <w:tc>
          <w:tcPr>
            <w:tcW w:w="1198" w:type="dxa"/>
            <w:tcBorders>
              <w:top w:val="nil"/>
              <w:left w:val="nil"/>
              <w:bottom w:val="nil"/>
              <w:right w:val="nil"/>
            </w:tcBorders>
          </w:tcPr>
          <w:p w14:paraId="1E277762"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0.111</w:t>
            </w:r>
          </w:p>
        </w:tc>
        <w:tc>
          <w:tcPr>
            <w:tcW w:w="829" w:type="dxa"/>
            <w:tcBorders>
              <w:top w:val="nil"/>
              <w:left w:val="nil"/>
              <w:bottom w:val="nil"/>
              <w:right w:val="nil"/>
            </w:tcBorders>
          </w:tcPr>
          <w:p w14:paraId="6B1BA9EA"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-0.018</w:t>
            </w:r>
          </w:p>
        </w:tc>
        <w:tc>
          <w:tcPr>
            <w:tcW w:w="736" w:type="dxa"/>
            <w:tcBorders>
              <w:top w:val="nil"/>
              <w:left w:val="nil"/>
              <w:bottom w:val="nil"/>
              <w:right w:val="nil"/>
            </w:tcBorders>
          </w:tcPr>
          <w:p w14:paraId="1F526282"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0.036</w:t>
            </w:r>
          </w:p>
        </w:tc>
        <w:tc>
          <w:tcPr>
            <w:tcW w:w="829" w:type="dxa"/>
            <w:tcBorders>
              <w:top w:val="nil"/>
              <w:left w:val="nil"/>
              <w:bottom w:val="nil"/>
              <w:right w:val="nil"/>
            </w:tcBorders>
          </w:tcPr>
          <w:p w14:paraId="3699C94D"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-0.490</w:t>
            </w:r>
          </w:p>
        </w:tc>
        <w:tc>
          <w:tcPr>
            <w:tcW w:w="980" w:type="dxa"/>
            <w:tcBorders>
              <w:top w:val="nil"/>
              <w:left w:val="nil"/>
              <w:bottom w:val="nil"/>
              <w:right w:val="nil"/>
            </w:tcBorders>
          </w:tcPr>
          <w:p w14:paraId="44CC7207"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0.624</w:t>
            </w:r>
          </w:p>
        </w:tc>
      </w:tr>
      <w:tr w:rsidR="00A7256A" w:rsidRPr="00D57AE6" w14:paraId="4208FF4B" w14:textId="77777777" w:rsidTr="00764140">
        <w:trPr>
          <w:trHeight w:val="455"/>
        </w:trPr>
        <w:tc>
          <w:tcPr>
            <w:tcW w:w="2323" w:type="dxa"/>
            <w:tcBorders>
              <w:top w:val="nil"/>
              <w:left w:val="nil"/>
              <w:bottom w:val="nil"/>
              <w:right w:val="nil"/>
            </w:tcBorders>
            <w:vAlign w:val="bottom"/>
          </w:tcPr>
          <w:p w14:paraId="02B948BE" w14:textId="48DEE795" w:rsidR="00A7256A" w:rsidRPr="00D57AE6" w:rsidRDefault="00D30285"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lastRenderedPageBreak/>
              <w:t xml:space="preserve">Overchallenge </w:t>
            </w:r>
          </w:p>
        </w:tc>
        <w:tc>
          <w:tcPr>
            <w:tcW w:w="1106" w:type="dxa"/>
            <w:tcBorders>
              <w:top w:val="nil"/>
              <w:left w:val="nil"/>
              <w:bottom w:val="nil"/>
              <w:right w:val="nil"/>
            </w:tcBorders>
          </w:tcPr>
          <w:p w14:paraId="6C47710C" w14:textId="7B0D08B3" w:rsidR="00A7256A" w:rsidRPr="00D57AE6" w:rsidRDefault="00E24CF0"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638</w:t>
            </w:r>
          </w:p>
        </w:tc>
        <w:tc>
          <w:tcPr>
            <w:tcW w:w="1106" w:type="dxa"/>
            <w:tcBorders>
              <w:top w:val="nil"/>
              <w:left w:val="nil"/>
              <w:bottom w:val="nil"/>
              <w:right w:val="nil"/>
            </w:tcBorders>
          </w:tcPr>
          <w:p w14:paraId="1928509B" w14:textId="3FAD0938"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0.038</w:t>
            </w:r>
          </w:p>
        </w:tc>
        <w:tc>
          <w:tcPr>
            <w:tcW w:w="1198" w:type="dxa"/>
            <w:tcBorders>
              <w:top w:val="nil"/>
              <w:left w:val="nil"/>
              <w:bottom w:val="nil"/>
              <w:right w:val="nil"/>
            </w:tcBorders>
          </w:tcPr>
          <w:p w14:paraId="3AA90AE6"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0.016</w:t>
            </w:r>
          </w:p>
        </w:tc>
        <w:tc>
          <w:tcPr>
            <w:tcW w:w="829" w:type="dxa"/>
            <w:tcBorders>
              <w:top w:val="nil"/>
              <w:left w:val="nil"/>
              <w:bottom w:val="nil"/>
              <w:right w:val="nil"/>
            </w:tcBorders>
          </w:tcPr>
          <w:p w14:paraId="0213FA11"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0.022</w:t>
            </w:r>
          </w:p>
        </w:tc>
        <w:tc>
          <w:tcPr>
            <w:tcW w:w="736" w:type="dxa"/>
            <w:tcBorders>
              <w:top w:val="nil"/>
              <w:left w:val="nil"/>
              <w:bottom w:val="nil"/>
              <w:right w:val="nil"/>
            </w:tcBorders>
          </w:tcPr>
          <w:p w14:paraId="536D0FDA"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0.014</w:t>
            </w:r>
          </w:p>
        </w:tc>
        <w:tc>
          <w:tcPr>
            <w:tcW w:w="829" w:type="dxa"/>
            <w:tcBorders>
              <w:top w:val="nil"/>
              <w:left w:val="nil"/>
              <w:bottom w:val="nil"/>
              <w:right w:val="nil"/>
            </w:tcBorders>
          </w:tcPr>
          <w:p w14:paraId="1A060873"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1.636</w:t>
            </w:r>
          </w:p>
        </w:tc>
        <w:tc>
          <w:tcPr>
            <w:tcW w:w="980" w:type="dxa"/>
            <w:tcBorders>
              <w:top w:val="nil"/>
              <w:left w:val="nil"/>
              <w:bottom w:val="nil"/>
              <w:right w:val="nil"/>
            </w:tcBorders>
          </w:tcPr>
          <w:p w14:paraId="747EDD9E"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0.102</w:t>
            </w:r>
          </w:p>
        </w:tc>
      </w:tr>
      <w:tr w:rsidR="00A7256A" w:rsidRPr="00D57AE6" w14:paraId="4D3E1E8F" w14:textId="77777777" w:rsidTr="00764140">
        <w:trPr>
          <w:trHeight w:val="454"/>
        </w:trPr>
        <w:tc>
          <w:tcPr>
            <w:tcW w:w="2323" w:type="dxa"/>
            <w:tcBorders>
              <w:top w:val="nil"/>
              <w:left w:val="nil"/>
              <w:bottom w:val="nil"/>
              <w:right w:val="nil"/>
            </w:tcBorders>
            <w:vAlign w:val="bottom"/>
          </w:tcPr>
          <w:p w14:paraId="6E36B4B0"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Satis.: Income</w:t>
            </w:r>
          </w:p>
        </w:tc>
        <w:tc>
          <w:tcPr>
            <w:tcW w:w="1106" w:type="dxa"/>
            <w:tcBorders>
              <w:top w:val="nil"/>
              <w:left w:val="nil"/>
              <w:bottom w:val="nil"/>
              <w:right w:val="nil"/>
            </w:tcBorders>
          </w:tcPr>
          <w:p w14:paraId="6DD2B9C5" w14:textId="3D28BF25" w:rsidR="00A7256A" w:rsidRPr="00D57AE6" w:rsidRDefault="00CD6E7C"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637</w:t>
            </w:r>
          </w:p>
        </w:tc>
        <w:tc>
          <w:tcPr>
            <w:tcW w:w="1106" w:type="dxa"/>
            <w:tcBorders>
              <w:top w:val="nil"/>
              <w:left w:val="nil"/>
              <w:bottom w:val="nil"/>
              <w:right w:val="nil"/>
            </w:tcBorders>
          </w:tcPr>
          <w:p w14:paraId="43BEB8FA" w14:textId="07A8B274"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3.998</w:t>
            </w:r>
          </w:p>
        </w:tc>
        <w:tc>
          <w:tcPr>
            <w:tcW w:w="1198" w:type="dxa"/>
            <w:tcBorders>
              <w:top w:val="nil"/>
              <w:left w:val="nil"/>
              <w:bottom w:val="nil"/>
              <w:right w:val="nil"/>
            </w:tcBorders>
          </w:tcPr>
          <w:p w14:paraId="06CB1E2C"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3.895</w:t>
            </w:r>
          </w:p>
        </w:tc>
        <w:tc>
          <w:tcPr>
            <w:tcW w:w="829" w:type="dxa"/>
            <w:tcBorders>
              <w:top w:val="nil"/>
              <w:left w:val="nil"/>
              <w:bottom w:val="nil"/>
              <w:right w:val="nil"/>
            </w:tcBorders>
          </w:tcPr>
          <w:p w14:paraId="39513F2C"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0.103</w:t>
            </w:r>
          </w:p>
        </w:tc>
        <w:tc>
          <w:tcPr>
            <w:tcW w:w="736" w:type="dxa"/>
            <w:tcBorders>
              <w:top w:val="nil"/>
              <w:left w:val="nil"/>
              <w:bottom w:val="nil"/>
              <w:right w:val="nil"/>
            </w:tcBorders>
          </w:tcPr>
          <w:p w14:paraId="7CF155DE"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0.099</w:t>
            </w:r>
          </w:p>
        </w:tc>
        <w:tc>
          <w:tcPr>
            <w:tcW w:w="829" w:type="dxa"/>
            <w:tcBorders>
              <w:top w:val="nil"/>
              <w:left w:val="nil"/>
              <w:bottom w:val="nil"/>
              <w:right w:val="nil"/>
            </w:tcBorders>
          </w:tcPr>
          <w:p w14:paraId="51783283"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1.039</w:t>
            </w:r>
          </w:p>
        </w:tc>
        <w:tc>
          <w:tcPr>
            <w:tcW w:w="980" w:type="dxa"/>
            <w:tcBorders>
              <w:top w:val="nil"/>
              <w:left w:val="nil"/>
              <w:bottom w:val="nil"/>
              <w:right w:val="nil"/>
            </w:tcBorders>
          </w:tcPr>
          <w:p w14:paraId="0B36B804"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0.299</w:t>
            </w:r>
          </w:p>
        </w:tc>
      </w:tr>
      <w:tr w:rsidR="00A7256A" w:rsidRPr="00D57AE6" w14:paraId="09CF642A" w14:textId="77777777" w:rsidTr="00764140">
        <w:trPr>
          <w:trHeight w:val="454"/>
        </w:trPr>
        <w:tc>
          <w:tcPr>
            <w:tcW w:w="2323" w:type="dxa"/>
            <w:tcBorders>
              <w:top w:val="nil"/>
              <w:left w:val="nil"/>
              <w:bottom w:val="nil"/>
              <w:right w:val="nil"/>
            </w:tcBorders>
            <w:vAlign w:val="bottom"/>
          </w:tcPr>
          <w:p w14:paraId="63273B20"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Satis.: Work Hours</w:t>
            </w:r>
          </w:p>
        </w:tc>
        <w:tc>
          <w:tcPr>
            <w:tcW w:w="1106" w:type="dxa"/>
            <w:tcBorders>
              <w:top w:val="nil"/>
              <w:left w:val="nil"/>
              <w:bottom w:val="nil"/>
              <w:right w:val="nil"/>
            </w:tcBorders>
          </w:tcPr>
          <w:p w14:paraId="2239B1E9" w14:textId="5AE40049" w:rsidR="00A7256A" w:rsidRPr="00D57AE6" w:rsidRDefault="00CD6E7C"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637</w:t>
            </w:r>
          </w:p>
        </w:tc>
        <w:tc>
          <w:tcPr>
            <w:tcW w:w="1106" w:type="dxa"/>
            <w:tcBorders>
              <w:top w:val="nil"/>
              <w:left w:val="nil"/>
              <w:bottom w:val="nil"/>
              <w:right w:val="nil"/>
            </w:tcBorders>
          </w:tcPr>
          <w:p w14:paraId="73141908" w14:textId="76F7F9DE"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4.106</w:t>
            </w:r>
          </w:p>
        </w:tc>
        <w:tc>
          <w:tcPr>
            <w:tcW w:w="1198" w:type="dxa"/>
            <w:tcBorders>
              <w:top w:val="nil"/>
              <w:left w:val="nil"/>
              <w:bottom w:val="nil"/>
              <w:right w:val="nil"/>
            </w:tcBorders>
          </w:tcPr>
          <w:p w14:paraId="65114303"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4.317</w:t>
            </w:r>
          </w:p>
        </w:tc>
        <w:tc>
          <w:tcPr>
            <w:tcW w:w="829" w:type="dxa"/>
            <w:tcBorders>
              <w:top w:val="nil"/>
              <w:left w:val="nil"/>
              <w:bottom w:val="nil"/>
              <w:right w:val="nil"/>
            </w:tcBorders>
          </w:tcPr>
          <w:p w14:paraId="6244B4B6"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-0.210</w:t>
            </w:r>
          </w:p>
        </w:tc>
        <w:tc>
          <w:tcPr>
            <w:tcW w:w="736" w:type="dxa"/>
            <w:tcBorders>
              <w:top w:val="nil"/>
              <w:left w:val="nil"/>
              <w:bottom w:val="nil"/>
              <w:right w:val="nil"/>
            </w:tcBorders>
          </w:tcPr>
          <w:p w14:paraId="00D5962B"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0.089</w:t>
            </w:r>
          </w:p>
        </w:tc>
        <w:tc>
          <w:tcPr>
            <w:tcW w:w="829" w:type="dxa"/>
            <w:tcBorders>
              <w:top w:val="nil"/>
              <w:left w:val="nil"/>
              <w:bottom w:val="nil"/>
              <w:right w:val="nil"/>
            </w:tcBorders>
          </w:tcPr>
          <w:p w14:paraId="1CEEA041"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-2.362</w:t>
            </w:r>
          </w:p>
        </w:tc>
        <w:tc>
          <w:tcPr>
            <w:tcW w:w="980" w:type="dxa"/>
            <w:tcBorders>
              <w:top w:val="nil"/>
              <w:left w:val="nil"/>
              <w:bottom w:val="nil"/>
              <w:right w:val="nil"/>
            </w:tcBorders>
          </w:tcPr>
          <w:p w14:paraId="09868CAC" w14:textId="77777777" w:rsidR="00A7256A" w:rsidRPr="00D57AE6" w:rsidRDefault="00A7256A" w:rsidP="00764140">
            <w:pPr>
              <w:widowControl w:val="0"/>
              <w:autoSpaceDE w:val="0"/>
              <w:autoSpaceDN w:val="0"/>
              <w:adjustRightInd w:val="0"/>
              <w:spacing w:after="0" w:line="480" w:lineRule="auto"/>
              <w:rPr>
                <w:b/>
                <w:bCs/>
                <w:sz w:val="20"/>
                <w:szCs w:val="20"/>
                <w:lang w:val="en-GB"/>
              </w:rPr>
            </w:pPr>
            <w:r w:rsidRPr="00D57AE6">
              <w:rPr>
                <w:rFonts w:cs="Arial"/>
                <w:b/>
                <w:bCs/>
                <w:color w:val="000000"/>
                <w:sz w:val="20"/>
                <w:szCs w:val="20"/>
                <w:lang w:val="en-GB"/>
              </w:rPr>
              <w:t>0.018</w:t>
            </w:r>
          </w:p>
        </w:tc>
      </w:tr>
      <w:tr w:rsidR="00A7256A" w:rsidRPr="00D57AE6" w14:paraId="2BDAE32F" w14:textId="77777777" w:rsidTr="00764140">
        <w:trPr>
          <w:trHeight w:val="454"/>
        </w:trPr>
        <w:tc>
          <w:tcPr>
            <w:tcW w:w="2323" w:type="dxa"/>
            <w:tcBorders>
              <w:top w:val="nil"/>
              <w:left w:val="nil"/>
              <w:bottom w:val="nil"/>
              <w:right w:val="nil"/>
            </w:tcBorders>
            <w:vAlign w:val="bottom"/>
          </w:tcPr>
          <w:p w14:paraId="74424787"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Satis.: Career Opp.</w:t>
            </w:r>
          </w:p>
        </w:tc>
        <w:tc>
          <w:tcPr>
            <w:tcW w:w="1106" w:type="dxa"/>
            <w:tcBorders>
              <w:top w:val="nil"/>
              <w:left w:val="nil"/>
              <w:bottom w:val="nil"/>
              <w:right w:val="nil"/>
            </w:tcBorders>
          </w:tcPr>
          <w:p w14:paraId="282EE2C4" w14:textId="582142A2" w:rsidR="00A7256A" w:rsidRPr="00D57AE6" w:rsidRDefault="00CD6E7C"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500</w:t>
            </w:r>
          </w:p>
        </w:tc>
        <w:tc>
          <w:tcPr>
            <w:tcW w:w="1106" w:type="dxa"/>
            <w:tcBorders>
              <w:top w:val="nil"/>
              <w:left w:val="nil"/>
              <w:bottom w:val="nil"/>
              <w:right w:val="nil"/>
            </w:tcBorders>
          </w:tcPr>
          <w:p w14:paraId="2DBF0B4E" w14:textId="11DB6142"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3.865</w:t>
            </w:r>
          </w:p>
        </w:tc>
        <w:tc>
          <w:tcPr>
            <w:tcW w:w="1198" w:type="dxa"/>
            <w:tcBorders>
              <w:top w:val="nil"/>
              <w:left w:val="nil"/>
              <w:bottom w:val="nil"/>
              <w:right w:val="nil"/>
            </w:tcBorders>
          </w:tcPr>
          <w:p w14:paraId="152177F2"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3.267</w:t>
            </w:r>
          </w:p>
        </w:tc>
        <w:tc>
          <w:tcPr>
            <w:tcW w:w="829" w:type="dxa"/>
            <w:tcBorders>
              <w:top w:val="nil"/>
              <w:left w:val="nil"/>
              <w:bottom w:val="nil"/>
              <w:right w:val="nil"/>
            </w:tcBorders>
          </w:tcPr>
          <w:p w14:paraId="400332C4"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0.598</w:t>
            </w:r>
          </w:p>
        </w:tc>
        <w:tc>
          <w:tcPr>
            <w:tcW w:w="736" w:type="dxa"/>
            <w:tcBorders>
              <w:top w:val="nil"/>
              <w:left w:val="nil"/>
              <w:bottom w:val="nil"/>
              <w:right w:val="nil"/>
            </w:tcBorders>
          </w:tcPr>
          <w:p w14:paraId="55BF575A"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0.211</w:t>
            </w:r>
          </w:p>
        </w:tc>
        <w:tc>
          <w:tcPr>
            <w:tcW w:w="829" w:type="dxa"/>
            <w:tcBorders>
              <w:top w:val="nil"/>
              <w:left w:val="nil"/>
              <w:bottom w:val="nil"/>
              <w:right w:val="nil"/>
            </w:tcBorders>
          </w:tcPr>
          <w:p w14:paraId="288702D8"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2.828</w:t>
            </w:r>
          </w:p>
        </w:tc>
        <w:tc>
          <w:tcPr>
            <w:tcW w:w="980" w:type="dxa"/>
            <w:tcBorders>
              <w:top w:val="nil"/>
              <w:left w:val="nil"/>
              <w:bottom w:val="nil"/>
              <w:right w:val="nil"/>
            </w:tcBorders>
          </w:tcPr>
          <w:p w14:paraId="5E84E891" w14:textId="77777777" w:rsidR="00A7256A" w:rsidRPr="00D57AE6" w:rsidRDefault="00A7256A" w:rsidP="00764140">
            <w:pPr>
              <w:widowControl w:val="0"/>
              <w:autoSpaceDE w:val="0"/>
              <w:autoSpaceDN w:val="0"/>
              <w:adjustRightInd w:val="0"/>
              <w:spacing w:after="0" w:line="480" w:lineRule="auto"/>
              <w:rPr>
                <w:b/>
                <w:bCs/>
                <w:sz w:val="20"/>
                <w:szCs w:val="20"/>
                <w:lang w:val="en-GB"/>
              </w:rPr>
            </w:pPr>
            <w:r w:rsidRPr="00D57AE6">
              <w:rPr>
                <w:rFonts w:cs="Arial"/>
                <w:b/>
                <w:bCs/>
                <w:color w:val="000000"/>
                <w:sz w:val="20"/>
                <w:szCs w:val="20"/>
                <w:lang w:val="en-GB"/>
              </w:rPr>
              <w:t>0.005</w:t>
            </w:r>
          </w:p>
        </w:tc>
      </w:tr>
      <w:tr w:rsidR="00A7256A" w:rsidRPr="00D57AE6" w14:paraId="39352157" w14:textId="77777777" w:rsidTr="00764140">
        <w:trPr>
          <w:trHeight w:val="455"/>
        </w:trPr>
        <w:tc>
          <w:tcPr>
            <w:tcW w:w="2323" w:type="dxa"/>
            <w:tcBorders>
              <w:top w:val="nil"/>
              <w:left w:val="nil"/>
              <w:bottom w:val="nil"/>
              <w:right w:val="nil"/>
            </w:tcBorders>
            <w:vAlign w:val="bottom"/>
          </w:tcPr>
          <w:p w14:paraId="074A5A1E"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Satis.: Work Tasks</w:t>
            </w:r>
          </w:p>
        </w:tc>
        <w:tc>
          <w:tcPr>
            <w:tcW w:w="1106" w:type="dxa"/>
            <w:tcBorders>
              <w:top w:val="nil"/>
              <w:left w:val="nil"/>
              <w:bottom w:val="nil"/>
              <w:right w:val="nil"/>
            </w:tcBorders>
          </w:tcPr>
          <w:p w14:paraId="608B1CE1" w14:textId="03A66DC4" w:rsidR="00A7256A" w:rsidRPr="00D57AE6" w:rsidRDefault="00E8610F"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637</w:t>
            </w:r>
          </w:p>
        </w:tc>
        <w:tc>
          <w:tcPr>
            <w:tcW w:w="1106" w:type="dxa"/>
            <w:tcBorders>
              <w:top w:val="nil"/>
              <w:left w:val="nil"/>
              <w:bottom w:val="nil"/>
              <w:right w:val="nil"/>
            </w:tcBorders>
          </w:tcPr>
          <w:p w14:paraId="4A6FF4C8" w14:textId="369DD898"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4.280</w:t>
            </w:r>
          </w:p>
        </w:tc>
        <w:tc>
          <w:tcPr>
            <w:tcW w:w="1198" w:type="dxa"/>
            <w:tcBorders>
              <w:top w:val="nil"/>
              <w:left w:val="nil"/>
              <w:bottom w:val="nil"/>
              <w:right w:val="nil"/>
            </w:tcBorders>
          </w:tcPr>
          <w:p w14:paraId="440E8C39"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4.218</w:t>
            </w:r>
          </w:p>
        </w:tc>
        <w:tc>
          <w:tcPr>
            <w:tcW w:w="829" w:type="dxa"/>
            <w:tcBorders>
              <w:top w:val="nil"/>
              <w:left w:val="nil"/>
              <w:bottom w:val="nil"/>
              <w:right w:val="nil"/>
            </w:tcBorders>
          </w:tcPr>
          <w:p w14:paraId="7D26524D"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0.062</w:t>
            </w:r>
          </w:p>
        </w:tc>
        <w:tc>
          <w:tcPr>
            <w:tcW w:w="736" w:type="dxa"/>
            <w:tcBorders>
              <w:top w:val="nil"/>
              <w:left w:val="nil"/>
              <w:bottom w:val="nil"/>
              <w:right w:val="nil"/>
            </w:tcBorders>
          </w:tcPr>
          <w:p w14:paraId="42304DE2"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0.099</w:t>
            </w:r>
          </w:p>
        </w:tc>
        <w:tc>
          <w:tcPr>
            <w:tcW w:w="829" w:type="dxa"/>
            <w:tcBorders>
              <w:top w:val="nil"/>
              <w:left w:val="nil"/>
              <w:bottom w:val="nil"/>
              <w:right w:val="nil"/>
            </w:tcBorders>
          </w:tcPr>
          <w:p w14:paraId="52289EF5"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0.629</w:t>
            </w:r>
          </w:p>
        </w:tc>
        <w:tc>
          <w:tcPr>
            <w:tcW w:w="980" w:type="dxa"/>
            <w:tcBorders>
              <w:top w:val="nil"/>
              <w:left w:val="nil"/>
              <w:bottom w:val="nil"/>
              <w:right w:val="nil"/>
            </w:tcBorders>
          </w:tcPr>
          <w:p w14:paraId="7B66FE42"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0.530</w:t>
            </w:r>
          </w:p>
        </w:tc>
      </w:tr>
      <w:tr w:rsidR="00A7256A" w:rsidRPr="00D57AE6" w14:paraId="104CDC23" w14:textId="77777777" w:rsidTr="00764140">
        <w:trPr>
          <w:trHeight w:val="454"/>
        </w:trPr>
        <w:tc>
          <w:tcPr>
            <w:tcW w:w="2323" w:type="dxa"/>
            <w:tcBorders>
              <w:top w:val="nil"/>
              <w:left w:val="nil"/>
              <w:bottom w:val="nil"/>
              <w:right w:val="nil"/>
            </w:tcBorders>
            <w:vAlign w:val="bottom"/>
          </w:tcPr>
          <w:p w14:paraId="464CC7B8"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Satis.: Overall Job</w:t>
            </w:r>
          </w:p>
        </w:tc>
        <w:tc>
          <w:tcPr>
            <w:tcW w:w="1106" w:type="dxa"/>
            <w:tcBorders>
              <w:top w:val="nil"/>
              <w:left w:val="nil"/>
              <w:bottom w:val="nil"/>
              <w:right w:val="nil"/>
            </w:tcBorders>
          </w:tcPr>
          <w:p w14:paraId="40E7E303" w14:textId="20E00569" w:rsidR="00A7256A" w:rsidRPr="00D57AE6" w:rsidRDefault="00E8610F"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637</w:t>
            </w:r>
          </w:p>
        </w:tc>
        <w:tc>
          <w:tcPr>
            <w:tcW w:w="1106" w:type="dxa"/>
            <w:tcBorders>
              <w:top w:val="nil"/>
              <w:left w:val="nil"/>
              <w:bottom w:val="nil"/>
              <w:right w:val="nil"/>
            </w:tcBorders>
          </w:tcPr>
          <w:p w14:paraId="0A96B1C4" w14:textId="267A67AB"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4.272</w:t>
            </w:r>
          </w:p>
        </w:tc>
        <w:tc>
          <w:tcPr>
            <w:tcW w:w="1198" w:type="dxa"/>
            <w:tcBorders>
              <w:top w:val="nil"/>
              <w:left w:val="nil"/>
              <w:bottom w:val="nil"/>
              <w:right w:val="nil"/>
            </w:tcBorders>
          </w:tcPr>
          <w:p w14:paraId="522E7076"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4.196</w:t>
            </w:r>
          </w:p>
        </w:tc>
        <w:tc>
          <w:tcPr>
            <w:tcW w:w="829" w:type="dxa"/>
            <w:tcBorders>
              <w:top w:val="nil"/>
              <w:left w:val="nil"/>
              <w:bottom w:val="nil"/>
              <w:right w:val="nil"/>
            </w:tcBorders>
          </w:tcPr>
          <w:p w14:paraId="5A9D4AEA"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0.076</w:t>
            </w:r>
          </w:p>
        </w:tc>
        <w:tc>
          <w:tcPr>
            <w:tcW w:w="736" w:type="dxa"/>
            <w:tcBorders>
              <w:top w:val="nil"/>
              <w:left w:val="nil"/>
              <w:bottom w:val="nil"/>
              <w:right w:val="nil"/>
            </w:tcBorders>
          </w:tcPr>
          <w:p w14:paraId="5F4FC9FF"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0.090</w:t>
            </w:r>
          </w:p>
        </w:tc>
        <w:tc>
          <w:tcPr>
            <w:tcW w:w="829" w:type="dxa"/>
            <w:tcBorders>
              <w:top w:val="nil"/>
              <w:left w:val="nil"/>
              <w:bottom w:val="nil"/>
              <w:right w:val="nil"/>
            </w:tcBorders>
          </w:tcPr>
          <w:p w14:paraId="1305376C"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0.843</w:t>
            </w:r>
          </w:p>
        </w:tc>
        <w:tc>
          <w:tcPr>
            <w:tcW w:w="980" w:type="dxa"/>
            <w:tcBorders>
              <w:top w:val="nil"/>
              <w:left w:val="nil"/>
              <w:bottom w:val="nil"/>
              <w:right w:val="nil"/>
            </w:tcBorders>
          </w:tcPr>
          <w:p w14:paraId="4A2BE068"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0.399</w:t>
            </w:r>
          </w:p>
        </w:tc>
      </w:tr>
      <w:tr w:rsidR="00A7256A" w:rsidRPr="00D57AE6" w14:paraId="516867A8" w14:textId="77777777" w:rsidTr="00764140">
        <w:trPr>
          <w:trHeight w:val="454"/>
        </w:trPr>
        <w:tc>
          <w:tcPr>
            <w:tcW w:w="2323" w:type="dxa"/>
            <w:tcBorders>
              <w:top w:val="nil"/>
              <w:left w:val="nil"/>
              <w:bottom w:val="nil"/>
              <w:right w:val="nil"/>
            </w:tcBorders>
            <w:vAlign w:val="bottom"/>
          </w:tcPr>
          <w:p w14:paraId="6FA5E2D5"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Self-efficacy</w:t>
            </w:r>
          </w:p>
        </w:tc>
        <w:tc>
          <w:tcPr>
            <w:tcW w:w="1106" w:type="dxa"/>
            <w:tcBorders>
              <w:top w:val="nil"/>
              <w:left w:val="nil"/>
              <w:bottom w:val="nil"/>
              <w:right w:val="nil"/>
            </w:tcBorders>
          </w:tcPr>
          <w:p w14:paraId="682F5616" w14:textId="2F535458" w:rsidR="00A7256A" w:rsidRPr="00D57AE6" w:rsidRDefault="00E8610F"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906</w:t>
            </w:r>
          </w:p>
        </w:tc>
        <w:tc>
          <w:tcPr>
            <w:tcW w:w="1106" w:type="dxa"/>
            <w:tcBorders>
              <w:top w:val="nil"/>
              <w:left w:val="nil"/>
              <w:bottom w:val="nil"/>
              <w:right w:val="nil"/>
            </w:tcBorders>
          </w:tcPr>
          <w:p w14:paraId="49FC0774" w14:textId="2E96BF22"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3.157</w:t>
            </w:r>
          </w:p>
        </w:tc>
        <w:tc>
          <w:tcPr>
            <w:tcW w:w="1198" w:type="dxa"/>
            <w:tcBorders>
              <w:top w:val="nil"/>
              <w:left w:val="nil"/>
              <w:bottom w:val="nil"/>
              <w:right w:val="nil"/>
            </w:tcBorders>
          </w:tcPr>
          <w:p w14:paraId="64B6D391"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3.086</w:t>
            </w:r>
          </w:p>
        </w:tc>
        <w:tc>
          <w:tcPr>
            <w:tcW w:w="829" w:type="dxa"/>
            <w:tcBorders>
              <w:top w:val="nil"/>
              <w:left w:val="nil"/>
              <w:bottom w:val="nil"/>
              <w:right w:val="nil"/>
            </w:tcBorders>
          </w:tcPr>
          <w:p w14:paraId="54DF4721"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0.070</w:t>
            </w:r>
          </w:p>
        </w:tc>
        <w:tc>
          <w:tcPr>
            <w:tcW w:w="736" w:type="dxa"/>
            <w:tcBorders>
              <w:top w:val="nil"/>
              <w:left w:val="nil"/>
              <w:bottom w:val="nil"/>
              <w:right w:val="nil"/>
            </w:tcBorders>
          </w:tcPr>
          <w:p w14:paraId="14B89495"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0.042</w:t>
            </w:r>
          </w:p>
        </w:tc>
        <w:tc>
          <w:tcPr>
            <w:tcW w:w="829" w:type="dxa"/>
            <w:tcBorders>
              <w:top w:val="nil"/>
              <w:left w:val="nil"/>
              <w:bottom w:val="nil"/>
              <w:right w:val="nil"/>
            </w:tcBorders>
          </w:tcPr>
          <w:p w14:paraId="0828D892"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1.680</w:t>
            </w:r>
          </w:p>
        </w:tc>
        <w:tc>
          <w:tcPr>
            <w:tcW w:w="980" w:type="dxa"/>
            <w:tcBorders>
              <w:top w:val="nil"/>
              <w:left w:val="nil"/>
              <w:bottom w:val="nil"/>
              <w:right w:val="nil"/>
            </w:tcBorders>
          </w:tcPr>
          <w:p w14:paraId="2209149C"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0.093</w:t>
            </w:r>
          </w:p>
        </w:tc>
      </w:tr>
      <w:tr w:rsidR="00A7256A" w:rsidRPr="00D57AE6" w14:paraId="2401CBCA" w14:textId="77777777" w:rsidTr="00764140">
        <w:trPr>
          <w:trHeight w:val="455"/>
        </w:trPr>
        <w:tc>
          <w:tcPr>
            <w:tcW w:w="2323" w:type="dxa"/>
            <w:tcBorders>
              <w:top w:val="nil"/>
              <w:left w:val="nil"/>
              <w:bottom w:val="nil"/>
              <w:right w:val="nil"/>
            </w:tcBorders>
            <w:vAlign w:val="bottom"/>
          </w:tcPr>
          <w:p w14:paraId="2D5D80B5" w14:textId="77777777" w:rsidR="00A7256A" w:rsidRPr="00D57AE6" w:rsidRDefault="00A7256A" w:rsidP="00C00D27">
            <w:pPr>
              <w:widowControl w:val="0"/>
              <w:autoSpaceDE w:val="0"/>
              <w:autoSpaceDN w:val="0"/>
              <w:adjustRightInd w:val="0"/>
              <w:spacing w:after="0" w:line="480" w:lineRule="auto"/>
              <w:ind w:left="144" w:hanging="144"/>
              <w:rPr>
                <w:rFonts w:cs="Arial"/>
                <w:b/>
                <w:bCs/>
                <w:color w:val="000000"/>
                <w:sz w:val="20"/>
                <w:szCs w:val="20"/>
                <w:lang w:val="en-GB"/>
              </w:rPr>
            </w:pPr>
            <w:r w:rsidRPr="00D57AE6">
              <w:rPr>
                <w:rFonts w:cs="Arial"/>
                <w:b/>
                <w:bCs/>
                <w:color w:val="000000"/>
                <w:sz w:val="20"/>
                <w:szCs w:val="20"/>
                <w:lang w:val="en-GB"/>
              </w:rPr>
              <w:t>Self-esteem</w:t>
            </w:r>
          </w:p>
        </w:tc>
        <w:tc>
          <w:tcPr>
            <w:tcW w:w="1106" w:type="dxa"/>
            <w:tcBorders>
              <w:top w:val="nil"/>
              <w:left w:val="nil"/>
              <w:bottom w:val="nil"/>
              <w:right w:val="nil"/>
            </w:tcBorders>
          </w:tcPr>
          <w:p w14:paraId="606C8B00" w14:textId="1457EC93" w:rsidR="00A7256A" w:rsidRPr="00D57AE6" w:rsidRDefault="00E8610F"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907</w:t>
            </w:r>
          </w:p>
        </w:tc>
        <w:tc>
          <w:tcPr>
            <w:tcW w:w="1106" w:type="dxa"/>
            <w:tcBorders>
              <w:top w:val="nil"/>
              <w:left w:val="nil"/>
              <w:bottom w:val="nil"/>
              <w:right w:val="nil"/>
            </w:tcBorders>
          </w:tcPr>
          <w:p w14:paraId="771F7013" w14:textId="049EF012"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3.522</w:t>
            </w:r>
          </w:p>
        </w:tc>
        <w:tc>
          <w:tcPr>
            <w:tcW w:w="1198" w:type="dxa"/>
            <w:tcBorders>
              <w:top w:val="nil"/>
              <w:left w:val="nil"/>
              <w:bottom w:val="nil"/>
              <w:right w:val="nil"/>
            </w:tcBorders>
          </w:tcPr>
          <w:p w14:paraId="0C1B7E52"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3.473</w:t>
            </w:r>
          </w:p>
        </w:tc>
        <w:tc>
          <w:tcPr>
            <w:tcW w:w="829" w:type="dxa"/>
            <w:tcBorders>
              <w:top w:val="nil"/>
              <w:left w:val="nil"/>
              <w:bottom w:val="nil"/>
              <w:right w:val="nil"/>
            </w:tcBorders>
          </w:tcPr>
          <w:p w14:paraId="15C9B52E"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0.048</w:t>
            </w:r>
          </w:p>
        </w:tc>
        <w:tc>
          <w:tcPr>
            <w:tcW w:w="736" w:type="dxa"/>
            <w:tcBorders>
              <w:top w:val="nil"/>
              <w:left w:val="nil"/>
              <w:bottom w:val="nil"/>
              <w:right w:val="nil"/>
            </w:tcBorders>
          </w:tcPr>
          <w:p w14:paraId="763871AF"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0.036</w:t>
            </w:r>
          </w:p>
        </w:tc>
        <w:tc>
          <w:tcPr>
            <w:tcW w:w="829" w:type="dxa"/>
            <w:tcBorders>
              <w:top w:val="nil"/>
              <w:left w:val="nil"/>
              <w:bottom w:val="nil"/>
              <w:right w:val="nil"/>
            </w:tcBorders>
          </w:tcPr>
          <w:p w14:paraId="6E6E4DD1"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1.334</w:t>
            </w:r>
          </w:p>
        </w:tc>
        <w:tc>
          <w:tcPr>
            <w:tcW w:w="980" w:type="dxa"/>
            <w:tcBorders>
              <w:top w:val="nil"/>
              <w:left w:val="nil"/>
              <w:bottom w:val="nil"/>
              <w:right w:val="nil"/>
            </w:tcBorders>
          </w:tcPr>
          <w:p w14:paraId="18AC45E3"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0.182</w:t>
            </w:r>
          </w:p>
        </w:tc>
      </w:tr>
      <w:tr w:rsidR="00A7256A" w:rsidRPr="00D57AE6" w14:paraId="0C529275" w14:textId="77777777" w:rsidTr="00764140">
        <w:trPr>
          <w:trHeight w:val="454"/>
        </w:trPr>
        <w:tc>
          <w:tcPr>
            <w:tcW w:w="2323" w:type="dxa"/>
            <w:tcBorders>
              <w:top w:val="nil"/>
              <w:left w:val="nil"/>
              <w:right w:val="nil"/>
            </w:tcBorders>
            <w:vAlign w:val="bottom"/>
          </w:tcPr>
          <w:p w14:paraId="73F3D24E" w14:textId="77777777" w:rsidR="00A7256A" w:rsidRPr="00D57AE6" w:rsidRDefault="00A7256A" w:rsidP="00C00D27">
            <w:pPr>
              <w:widowControl w:val="0"/>
              <w:autoSpaceDE w:val="0"/>
              <w:autoSpaceDN w:val="0"/>
              <w:adjustRightInd w:val="0"/>
              <w:spacing w:after="0" w:line="480" w:lineRule="auto"/>
              <w:ind w:left="144" w:hanging="144"/>
              <w:rPr>
                <w:rFonts w:cs="Arial"/>
                <w:b/>
                <w:bCs/>
                <w:color w:val="000000"/>
                <w:sz w:val="20"/>
                <w:szCs w:val="20"/>
                <w:lang w:val="en-GB"/>
              </w:rPr>
            </w:pPr>
            <w:r w:rsidRPr="00D57AE6">
              <w:rPr>
                <w:rFonts w:cs="Arial"/>
                <w:b/>
                <w:bCs/>
                <w:color w:val="000000"/>
                <w:sz w:val="20"/>
                <w:szCs w:val="20"/>
                <w:lang w:val="en-GB"/>
              </w:rPr>
              <w:t>Advice Seeking</w:t>
            </w:r>
          </w:p>
        </w:tc>
        <w:tc>
          <w:tcPr>
            <w:tcW w:w="1106" w:type="dxa"/>
            <w:tcBorders>
              <w:top w:val="nil"/>
              <w:left w:val="nil"/>
              <w:right w:val="nil"/>
            </w:tcBorders>
          </w:tcPr>
          <w:p w14:paraId="5D7AB8B8" w14:textId="7B0A8CD9" w:rsidR="00A7256A" w:rsidRPr="00D57AE6" w:rsidRDefault="0023496F"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959</w:t>
            </w:r>
          </w:p>
        </w:tc>
        <w:tc>
          <w:tcPr>
            <w:tcW w:w="1106" w:type="dxa"/>
            <w:tcBorders>
              <w:top w:val="nil"/>
              <w:left w:val="nil"/>
              <w:right w:val="nil"/>
            </w:tcBorders>
          </w:tcPr>
          <w:p w14:paraId="6BD7F6F0" w14:textId="7DF93BDE"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2.932</w:t>
            </w:r>
          </w:p>
        </w:tc>
        <w:tc>
          <w:tcPr>
            <w:tcW w:w="1198" w:type="dxa"/>
            <w:tcBorders>
              <w:top w:val="nil"/>
              <w:left w:val="nil"/>
              <w:right w:val="nil"/>
            </w:tcBorders>
          </w:tcPr>
          <w:p w14:paraId="57295816"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2.695</w:t>
            </w:r>
          </w:p>
        </w:tc>
        <w:tc>
          <w:tcPr>
            <w:tcW w:w="829" w:type="dxa"/>
            <w:tcBorders>
              <w:top w:val="nil"/>
              <w:left w:val="nil"/>
              <w:right w:val="nil"/>
            </w:tcBorders>
          </w:tcPr>
          <w:p w14:paraId="68252A6B"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0.238</w:t>
            </w:r>
          </w:p>
        </w:tc>
        <w:tc>
          <w:tcPr>
            <w:tcW w:w="736" w:type="dxa"/>
            <w:tcBorders>
              <w:top w:val="nil"/>
              <w:left w:val="nil"/>
              <w:right w:val="nil"/>
            </w:tcBorders>
          </w:tcPr>
          <w:p w14:paraId="74D93052"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0.076</w:t>
            </w:r>
          </w:p>
        </w:tc>
        <w:tc>
          <w:tcPr>
            <w:tcW w:w="829" w:type="dxa"/>
            <w:tcBorders>
              <w:top w:val="nil"/>
              <w:left w:val="nil"/>
              <w:right w:val="nil"/>
            </w:tcBorders>
          </w:tcPr>
          <w:p w14:paraId="4B1FB7BE" w14:textId="77777777" w:rsidR="00A7256A" w:rsidRPr="00D57AE6" w:rsidRDefault="00A7256A"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3.107</w:t>
            </w:r>
          </w:p>
        </w:tc>
        <w:tc>
          <w:tcPr>
            <w:tcW w:w="980" w:type="dxa"/>
            <w:tcBorders>
              <w:top w:val="nil"/>
              <w:left w:val="nil"/>
              <w:right w:val="nil"/>
            </w:tcBorders>
          </w:tcPr>
          <w:p w14:paraId="1AD8DAE7" w14:textId="77777777" w:rsidR="00A7256A" w:rsidRPr="00D57AE6" w:rsidRDefault="00A7256A" w:rsidP="00764140">
            <w:pPr>
              <w:widowControl w:val="0"/>
              <w:autoSpaceDE w:val="0"/>
              <w:autoSpaceDN w:val="0"/>
              <w:adjustRightInd w:val="0"/>
              <w:spacing w:after="0" w:line="480" w:lineRule="auto"/>
              <w:rPr>
                <w:rFonts w:cs="Arial"/>
                <w:b/>
                <w:bCs/>
                <w:color w:val="000000"/>
                <w:sz w:val="20"/>
                <w:szCs w:val="20"/>
                <w:lang w:val="en-GB"/>
              </w:rPr>
            </w:pPr>
            <w:r w:rsidRPr="00D57AE6">
              <w:rPr>
                <w:rFonts w:cs="Arial"/>
                <w:b/>
                <w:bCs/>
                <w:color w:val="000000"/>
                <w:sz w:val="20"/>
                <w:szCs w:val="20"/>
                <w:lang w:val="en-GB"/>
              </w:rPr>
              <w:t>0.002</w:t>
            </w:r>
          </w:p>
        </w:tc>
      </w:tr>
      <w:tr w:rsidR="00A7256A" w:rsidRPr="00D57AE6" w14:paraId="56DA0C4E" w14:textId="77777777" w:rsidTr="00764140">
        <w:trPr>
          <w:trHeight w:val="454"/>
        </w:trPr>
        <w:tc>
          <w:tcPr>
            <w:tcW w:w="2323" w:type="dxa"/>
            <w:tcBorders>
              <w:top w:val="nil"/>
              <w:left w:val="nil"/>
              <w:bottom w:val="single" w:sz="4" w:space="0" w:color="auto"/>
              <w:right w:val="nil"/>
            </w:tcBorders>
            <w:vAlign w:val="bottom"/>
          </w:tcPr>
          <w:p w14:paraId="56C9515E" w14:textId="77777777" w:rsidR="00A7256A" w:rsidRPr="00D57AE6" w:rsidRDefault="00A7256A" w:rsidP="00C00D27">
            <w:pPr>
              <w:widowControl w:val="0"/>
              <w:autoSpaceDE w:val="0"/>
              <w:autoSpaceDN w:val="0"/>
              <w:adjustRightInd w:val="0"/>
              <w:spacing w:after="0" w:line="480" w:lineRule="auto"/>
              <w:ind w:left="144" w:hanging="144"/>
              <w:rPr>
                <w:b/>
                <w:bCs/>
                <w:sz w:val="20"/>
                <w:szCs w:val="20"/>
                <w:lang w:val="en-GB"/>
              </w:rPr>
            </w:pPr>
            <w:r w:rsidRPr="00D57AE6">
              <w:rPr>
                <w:rFonts w:cs="Arial"/>
                <w:b/>
                <w:bCs/>
                <w:color w:val="000000"/>
                <w:sz w:val="20"/>
                <w:szCs w:val="20"/>
                <w:lang w:val="en-GB"/>
              </w:rPr>
              <w:t>Satis.: Coll./Climate</w:t>
            </w:r>
          </w:p>
        </w:tc>
        <w:tc>
          <w:tcPr>
            <w:tcW w:w="1106" w:type="dxa"/>
            <w:tcBorders>
              <w:top w:val="nil"/>
              <w:left w:val="nil"/>
              <w:bottom w:val="single" w:sz="4" w:space="0" w:color="auto"/>
              <w:right w:val="nil"/>
            </w:tcBorders>
          </w:tcPr>
          <w:p w14:paraId="56F488A8" w14:textId="37A6F8BC" w:rsidR="00A7256A" w:rsidRPr="00D57AE6" w:rsidRDefault="0023496F" w:rsidP="00764140">
            <w:pPr>
              <w:widowControl w:val="0"/>
              <w:autoSpaceDE w:val="0"/>
              <w:autoSpaceDN w:val="0"/>
              <w:adjustRightInd w:val="0"/>
              <w:spacing w:after="0" w:line="480" w:lineRule="auto"/>
              <w:rPr>
                <w:rFonts w:cs="Arial"/>
                <w:color w:val="000000"/>
                <w:sz w:val="20"/>
                <w:szCs w:val="20"/>
                <w:lang w:val="en-GB"/>
              </w:rPr>
            </w:pPr>
            <w:r w:rsidRPr="00D57AE6">
              <w:rPr>
                <w:rFonts w:cs="Arial"/>
                <w:color w:val="000000"/>
                <w:sz w:val="20"/>
                <w:szCs w:val="20"/>
                <w:lang w:val="en-GB"/>
              </w:rPr>
              <w:t>623</w:t>
            </w:r>
          </w:p>
        </w:tc>
        <w:tc>
          <w:tcPr>
            <w:tcW w:w="1106" w:type="dxa"/>
            <w:tcBorders>
              <w:top w:val="nil"/>
              <w:left w:val="nil"/>
              <w:bottom w:val="single" w:sz="4" w:space="0" w:color="auto"/>
              <w:right w:val="nil"/>
            </w:tcBorders>
          </w:tcPr>
          <w:p w14:paraId="04436C34" w14:textId="51236C09"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4.228</w:t>
            </w:r>
          </w:p>
        </w:tc>
        <w:tc>
          <w:tcPr>
            <w:tcW w:w="1198" w:type="dxa"/>
            <w:tcBorders>
              <w:top w:val="nil"/>
              <w:left w:val="nil"/>
              <w:bottom w:val="single" w:sz="4" w:space="0" w:color="auto"/>
              <w:right w:val="nil"/>
            </w:tcBorders>
          </w:tcPr>
          <w:p w14:paraId="299AAD55"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4.088</w:t>
            </w:r>
          </w:p>
        </w:tc>
        <w:tc>
          <w:tcPr>
            <w:tcW w:w="829" w:type="dxa"/>
            <w:tcBorders>
              <w:top w:val="nil"/>
              <w:left w:val="nil"/>
              <w:bottom w:val="single" w:sz="4" w:space="0" w:color="auto"/>
              <w:right w:val="nil"/>
            </w:tcBorders>
          </w:tcPr>
          <w:p w14:paraId="2DF85053"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0.140</w:t>
            </w:r>
          </w:p>
        </w:tc>
        <w:tc>
          <w:tcPr>
            <w:tcW w:w="736" w:type="dxa"/>
            <w:tcBorders>
              <w:top w:val="nil"/>
              <w:left w:val="nil"/>
              <w:bottom w:val="single" w:sz="4" w:space="0" w:color="auto"/>
              <w:right w:val="nil"/>
            </w:tcBorders>
          </w:tcPr>
          <w:p w14:paraId="2A2E4DB4"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0.111</w:t>
            </w:r>
          </w:p>
        </w:tc>
        <w:tc>
          <w:tcPr>
            <w:tcW w:w="829" w:type="dxa"/>
            <w:tcBorders>
              <w:top w:val="nil"/>
              <w:left w:val="nil"/>
              <w:bottom w:val="single" w:sz="4" w:space="0" w:color="auto"/>
              <w:right w:val="nil"/>
            </w:tcBorders>
          </w:tcPr>
          <w:p w14:paraId="4D67CC27"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1.266</w:t>
            </w:r>
          </w:p>
        </w:tc>
        <w:tc>
          <w:tcPr>
            <w:tcW w:w="980" w:type="dxa"/>
            <w:tcBorders>
              <w:top w:val="nil"/>
              <w:left w:val="nil"/>
              <w:bottom w:val="single" w:sz="4" w:space="0" w:color="auto"/>
              <w:right w:val="nil"/>
            </w:tcBorders>
          </w:tcPr>
          <w:p w14:paraId="220FE53D" w14:textId="77777777" w:rsidR="00A7256A" w:rsidRPr="00D57AE6" w:rsidRDefault="00A7256A" w:rsidP="00764140">
            <w:pPr>
              <w:widowControl w:val="0"/>
              <w:autoSpaceDE w:val="0"/>
              <w:autoSpaceDN w:val="0"/>
              <w:adjustRightInd w:val="0"/>
              <w:spacing w:after="0" w:line="480" w:lineRule="auto"/>
              <w:rPr>
                <w:sz w:val="20"/>
                <w:szCs w:val="20"/>
                <w:lang w:val="en-GB"/>
              </w:rPr>
            </w:pPr>
            <w:r w:rsidRPr="00D57AE6">
              <w:rPr>
                <w:rFonts w:cs="Arial"/>
                <w:color w:val="000000"/>
                <w:sz w:val="20"/>
                <w:szCs w:val="20"/>
                <w:lang w:val="en-GB"/>
              </w:rPr>
              <w:t>0.205</w:t>
            </w:r>
          </w:p>
        </w:tc>
      </w:tr>
    </w:tbl>
    <w:p w14:paraId="432318B8" w14:textId="212E21E9" w:rsidR="00E36778" w:rsidRPr="00D57AE6" w:rsidRDefault="0052016F" w:rsidP="0052016F">
      <w:pPr>
        <w:spacing w:line="480" w:lineRule="auto"/>
        <w:rPr>
          <w:sz w:val="20"/>
          <w:szCs w:val="20"/>
          <w:lang w:val="en-GB"/>
        </w:rPr>
      </w:pPr>
      <w:r w:rsidRPr="004A3D0D">
        <w:rPr>
          <w:sz w:val="20"/>
          <w:szCs w:val="20"/>
          <w:vertAlign w:val="superscript"/>
          <w:lang w:val="en-GB"/>
        </w:rPr>
        <w:t xml:space="preserve">e </w:t>
      </w:r>
      <w:r w:rsidR="00FB4B25" w:rsidRPr="004A3D0D">
        <w:rPr>
          <w:sz w:val="20"/>
          <w:szCs w:val="20"/>
          <w:lang w:val="en-GB"/>
        </w:rPr>
        <w:t>Note</w:t>
      </w:r>
      <w:r w:rsidR="00FB4B25" w:rsidRPr="00D57AE6">
        <w:rPr>
          <w:sz w:val="20"/>
          <w:szCs w:val="20"/>
          <w:lang w:val="en-GB"/>
        </w:rPr>
        <w:t>: n=</w:t>
      </w:r>
      <w:r w:rsidR="0023496F" w:rsidRPr="00D57AE6">
        <w:rPr>
          <w:sz w:val="20"/>
          <w:szCs w:val="20"/>
          <w:lang w:val="en-GB"/>
        </w:rPr>
        <w:t>T</w:t>
      </w:r>
      <w:r w:rsidR="00FB4B25" w:rsidRPr="00D57AE6">
        <w:rPr>
          <w:sz w:val="20"/>
          <w:szCs w:val="20"/>
          <w:lang w:val="en-GB"/>
        </w:rPr>
        <w:t xml:space="preserve">reated and </w:t>
      </w:r>
      <w:r w:rsidR="0023496F" w:rsidRPr="00D57AE6">
        <w:rPr>
          <w:sz w:val="20"/>
          <w:szCs w:val="20"/>
          <w:lang w:val="en-GB"/>
        </w:rPr>
        <w:t>U</w:t>
      </w:r>
      <w:r w:rsidR="00FB4B25" w:rsidRPr="00D57AE6">
        <w:rPr>
          <w:sz w:val="20"/>
          <w:szCs w:val="20"/>
          <w:lang w:val="en-GB"/>
        </w:rPr>
        <w:t>ntreated on support</w:t>
      </w:r>
    </w:p>
    <w:p w14:paraId="3A0F6DA0" w14:textId="4C4E32A9" w:rsidR="00AF459A" w:rsidRPr="00D57AE6" w:rsidRDefault="00AF459A" w:rsidP="0052016F">
      <w:pPr>
        <w:pStyle w:val="Caption"/>
        <w:keepNext/>
        <w:spacing w:line="480" w:lineRule="auto"/>
        <w:rPr>
          <w:lang w:val="en-GB"/>
        </w:rPr>
      </w:pPr>
      <w:r w:rsidRPr="00D57AE6">
        <w:rPr>
          <w:lang w:val="en-GB"/>
        </w:rPr>
        <w:t xml:space="preserve">Figure </w:t>
      </w:r>
      <w:r w:rsidRPr="00D57AE6">
        <w:rPr>
          <w:lang w:val="en-GB"/>
        </w:rPr>
        <w:fldChar w:fldCharType="begin"/>
      </w:r>
      <w:r w:rsidRPr="00D57AE6">
        <w:rPr>
          <w:lang w:val="en-GB"/>
        </w:rPr>
        <w:instrText xml:space="preserve"> SEQ Figure \* ARABIC </w:instrText>
      </w:r>
      <w:r w:rsidRPr="00D57AE6">
        <w:rPr>
          <w:lang w:val="en-GB"/>
        </w:rPr>
        <w:fldChar w:fldCharType="separate"/>
      </w:r>
      <w:r w:rsidR="00C15E72" w:rsidRPr="00D57AE6">
        <w:rPr>
          <w:noProof/>
          <w:lang w:val="en-GB"/>
        </w:rPr>
        <w:t>3</w:t>
      </w:r>
      <w:r w:rsidRPr="00D57AE6">
        <w:rPr>
          <w:lang w:val="en-GB"/>
        </w:rPr>
        <w:fldChar w:fldCharType="end"/>
      </w:r>
      <w:r w:rsidRPr="00D57AE6">
        <w:rPr>
          <w:lang w:val="en-GB"/>
        </w:rPr>
        <w:t>:</w:t>
      </w:r>
      <w:r w:rsidR="00C66210" w:rsidRPr="00D57AE6">
        <w:rPr>
          <w:lang w:val="en-GB"/>
        </w:rPr>
        <w:t xml:space="preserve"> </w:t>
      </w:r>
      <w:r w:rsidR="00AC48E9">
        <w:rPr>
          <w:lang w:val="en-GB"/>
        </w:rPr>
        <w:t xml:space="preserve">ATET of </w:t>
      </w:r>
      <w:r w:rsidR="00971E50">
        <w:rPr>
          <w:lang w:val="en-GB"/>
        </w:rPr>
        <w:t>P</w:t>
      </w:r>
      <w:r w:rsidR="00AC48E9">
        <w:rPr>
          <w:lang w:val="en-GB"/>
        </w:rPr>
        <w:t xml:space="preserve">articipation in CVET on </w:t>
      </w:r>
      <w:r w:rsidR="00971E50">
        <w:rPr>
          <w:lang w:val="en-GB"/>
        </w:rPr>
        <w:t>M</w:t>
      </w:r>
      <w:r w:rsidR="00AC48E9">
        <w:rPr>
          <w:lang w:val="en-GB"/>
        </w:rPr>
        <w:t xml:space="preserve">ediator </w:t>
      </w:r>
      <w:r w:rsidR="00971E50">
        <w:rPr>
          <w:lang w:val="en-GB"/>
        </w:rPr>
        <w:t>V</w:t>
      </w:r>
      <w:r w:rsidR="00AC48E9">
        <w:rPr>
          <w:lang w:val="en-GB"/>
        </w:rPr>
        <w:t>ariables</w:t>
      </w:r>
    </w:p>
    <w:p w14:paraId="5AF80CD4" w14:textId="6249B6D1" w:rsidR="00A960C9" w:rsidRPr="00D57AE6" w:rsidRDefault="003375DC" w:rsidP="0052016F">
      <w:pPr>
        <w:spacing w:line="480" w:lineRule="auto"/>
        <w:rPr>
          <w:lang w:val="en-GB"/>
        </w:rPr>
      </w:pPr>
      <w:r w:rsidRPr="00D57AE6">
        <w:rPr>
          <w:noProof/>
          <w:lang w:val="en-GB"/>
        </w:rPr>
        <w:drawing>
          <wp:inline distT="0" distB="0" distL="0" distR="0" wp14:anchorId="45C358CA" wp14:editId="4DEDB3ED">
            <wp:extent cx="5760720" cy="3283889"/>
            <wp:effectExtent l="0" t="0" r="0" b="0"/>
            <wp:docPr id="3583617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3">
                      <a:extLst>
                        <a:ext uri="{28A0092B-C50C-407E-A947-70E740481C1C}">
                          <a14:useLocalDpi xmlns:a14="http://schemas.microsoft.com/office/drawing/2010/main" val="0"/>
                        </a:ext>
                      </a:extLst>
                    </a:blip>
                    <a:srcRect b="4954"/>
                    <a:stretch>
                      <a:fillRect/>
                    </a:stretch>
                  </pic:blipFill>
                  <pic:spPr bwMode="auto">
                    <a:xfrm>
                      <a:off x="0" y="0"/>
                      <a:ext cx="5760720" cy="3283889"/>
                    </a:xfrm>
                    <a:prstGeom prst="rect">
                      <a:avLst/>
                    </a:prstGeom>
                    <a:noFill/>
                    <a:ln>
                      <a:noFill/>
                    </a:ln>
                    <a:extLst>
                      <a:ext uri="{53640926-AAD7-44D8-BBD7-CCE9431645EC}">
                        <a14:shadowObscured xmlns:a14="http://schemas.microsoft.com/office/drawing/2010/main"/>
                      </a:ext>
                    </a:extLst>
                  </pic:spPr>
                </pic:pic>
              </a:graphicData>
            </a:graphic>
          </wp:inline>
        </w:drawing>
      </w:r>
    </w:p>
    <w:p w14:paraId="5B393A66" w14:textId="0DF3BA32" w:rsidR="00121628" w:rsidRPr="00D57AE6" w:rsidRDefault="00121628" w:rsidP="0052016F">
      <w:pPr>
        <w:spacing w:line="480" w:lineRule="auto"/>
        <w:jc w:val="both"/>
        <w:rPr>
          <w:sz w:val="20"/>
          <w:szCs w:val="20"/>
          <w:lang w:val="en-GB"/>
        </w:rPr>
      </w:pPr>
      <w:r w:rsidRPr="00D57AE6">
        <w:rPr>
          <w:sz w:val="20"/>
          <w:szCs w:val="20"/>
          <w:lang w:val="en-GB"/>
        </w:rPr>
        <w:t>Note:</w:t>
      </w:r>
      <w:r w:rsidR="009C638B" w:rsidRPr="00D57AE6">
        <w:rPr>
          <w:sz w:val="20"/>
          <w:szCs w:val="20"/>
          <w:lang w:val="en-GB"/>
        </w:rPr>
        <w:t xml:space="preserve"> Controlling</w:t>
      </w:r>
      <w:r w:rsidR="00F60CF9" w:rsidRPr="00D57AE6">
        <w:rPr>
          <w:sz w:val="20"/>
          <w:szCs w:val="20"/>
          <w:lang w:val="en-GB"/>
        </w:rPr>
        <w:t xml:space="preserve"> for gender, age, educational attainment, job status, and health-related quality of life</w:t>
      </w:r>
    </w:p>
    <w:p w14:paraId="21BD930B" w14:textId="3EB69120" w:rsidR="00A20381" w:rsidRPr="00D57AE6" w:rsidRDefault="00947BE0" w:rsidP="0052016F">
      <w:pPr>
        <w:spacing w:line="480" w:lineRule="auto"/>
        <w:jc w:val="both"/>
        <w:rPr>
          <w:lang w:val="en-GB"/>
        </w:rPr>
      </w:pPr>
      <w:r>
        <w:rPr>
          <w:lang w:val="en-GB"/>
        </w:rPr>
        <w:t>After the radius matching</w:t>
      </w:r>
      <w:r w:rsidR="00791937" w:rsidRPr="00D57AE6">
        <w:rPr>
          <w:lang w:val="en-GB"/>
        </w:rPr>
        <w:t xml:space="preserve">, participation in </w:t>
      </w:r>
      <w:r w:rsidR="001C4B70" w:rsidRPr="00D57AE6">
        <w:rPr>
          <w:lang w:val="en-GB"/>
        </w:rPr>
        <w:t>CVET</w:t>
      </w:r>
      <w:r w:rsidR="00791937" w:rsidRPr="00D57AE6">
        <w:rPr>
          <w:lang w:val="en-GB"/>
        </w:rPr>
        <w:t xml:space="preserve"> was associated with several aspects of job quality and social </w:t>
      </w:r>
      <w:r w:rsidR="00791937" w:rsidRPr="004A3D0D">
        <w:rPr>
          <w:lang w:val="en-GB"/>
        </w:rPr>
        <w:t>resources</w:t>
      </w:r>
      <w:r w:rsidRPr="004A3D0D">
        <w:rPr>
          <w:lang w:val="en-GB"/>
        </w:rPr>
        <w:t xml:space="preserve"> (Tab. 5 and Fig. 3)</w:t>
      </w:r>
      <w:r w:rsidR="00791937" w:rsidRPr="004A3D0D">
        <w:rPr>
          <w:lang w:val="en-GB"/>
        </w:rPr>
        <w:t>. Within</w:t>
      </w:r>
      <w:r w:rsidR="00791937" w:rsidRPr="00D57AE6">
        <w:rPr>
          <w:lang w:val="en-GB"/>
        </w:rPr>
        <w:t xml:space="preserve"> the domain of job </w:t>
      </w:r>
      <w:r w:rsidR="002543A1" w:rsidRPr="00D57AE6">
        <w:rPr>
          <w:lang w:val="en-GB"/>
        </w:rPr>
        <w:t>burden</w:t>
      </w:r>
      <w:r w:rsidR="00791937" w:rsidRPr="00D57AE6">
        <w:rPr>
          <w:lang w:val="en-GB"/>
        </w:rPr>
        <w:t xml:space="preserve">, </w:t>
      </w:r>
      <w:r w:rsidR="00E02A97" w:rsidRPr="00D57AE6">
        <w:rPr>
          <w:lang w:val="en-GB"/>
        </w:rPr>
        <w:t>which we assigned to work</w:t>
      </w:r>
      <w:r w:rsidR="009D03E6">
        <w:rPr>
          <w:lang w:val="en-GB"/>
        </w:rPr>
        <w:t xml:space="preserve"> </w:t>
      </w:r>
      <w:r w:rsidR="00E02A97" w:rsidRPr="00D57AE6">
        <w:rPr>
          <w:lang w:val="en-GB"/>
        </w:rPr>
        <w:t xml:space="preserve">ability, </w:t>
      </w:r>
      <w:r w:rsidR="00791937" w:rsidRPr="00D57AE6">
        <w:rPr>
          <w:lang w:val="en-GB"/>
        </w:rPr>
        <w:t xml:space="preserve">participation in </w:t>
      </w:r>
      <w:r w:rsidR="00C15B3F" w:rsidRPr="00D57AE6">
        <w:rPr>
          <w:lang w:val="en-GB"/>
        </w:rPr>
        <w:t>CVET</w:t>
      </w:r>
      <w:r w:rsidR="00791937" w:rsidRPr="00D57AE6">
        <w:rPr>
          <w:lang w:val="en-GB"/>
        </w:rPr>
        <w:t xml:space="preserve"> was </w:t>
      </w:r>
      <w:r w:rsidR="00C15B3F" w:rsidRPr="00D57AE6">
        <w:rPr>
          <w:lang w:val="en-GB"/>
        </w:rPr>
        <w:t xml:space="preserve">positively </w:t>
      </w:r>
      <w:r w:rsidR="002E6352" w:rsidRPr="00D57AE6">
        <w:rPr>
          <w:lang w:val="en-GB"/>
        </w:rPr>
        <w:t xml:space="preserve">and statistically </w:t>
      </w:r>
      <w:r w:rsidR="002E6352" w:rsidRPr="00D57AE6">
        <w:rPr>
          <w:lang w:val="en-GB"/>
        </w:rPr>
        <w:lastRenderedPageBreak/>
        <w:t>significantly associated with stress-related burden</w:t>
      </w:r>
      <w:r w:rsidR="004E20B9" w:rsidRPr="00D57AE6">
        <w:rPr>
          <w:lang w:val="en-GB"/>
        </w:rPr>
        <w:t xml:space="preserve"> at work </w:t>
      </w:r>
      <w:r w:rsidR="00791937" w:rsidRPr="00D57AE6">
        <w:rPr>
          <w:lang w:val="en-GB"/>
        </w:rPr>
        <w:t>and burden</w:t>
      </w:r>
      <w:r w:rsidR="004E20B9" w:rsidRPr="00D57AE6">
        <w:rPr>
          <w:lang w:val="en-GB"/>
        </w:rPr>
        <w:t xml:space="preserve"> due to new job demands</w:t>
      </w:r>
      <w:r w:rsidR="00C15B3F" w:rsidRPr="00D57AE6">
        <w:rPr>
          <w:lang w:val="en-GB"/>
        </w:rPr>
        <w:t>.</w:t>
      </w:r>
      <w:r w:rsidR="008A6F8C" w:rsidRPr="00D57AE6">
        <w:rPr>
          <w:lang w:val="en-GB"/>
        </w:rPr>
        <w:t xml:space="preserve"> </w:t>
      </w:r>
      <w:r w:rsidR="00791937" w:rsidRPr="00D57AE6">
        <w:rPr>
          <w:lang w:val="en-GB"/>
        </w:rPr>
        <w:t xml:space="preserve">Beyond </w:t>
      </w:r>
      <w:r w:rsidR="00C21EB0" w:rsidRPr="00D57AE6">
        <w:rPr>
          <w:lang w:val="en-GB"/>
        </w:rPr>
        <w:t>work</w:t>
      </w:r>
      <w:r w:rsidR="009D03E6">
        <w:rPr>
          <w:lang w:val="en-GB"/>
        </w:rPr>
        <w:t xml:space="preserve"> </w:t>
      </w:r>
      <w:r w:rsidR="00C21EB0" w:rsidRPr="00D57AE6">
        <w:rPr>
          <w:lang w:val="en-GB"/>
        </w:rPr>
        <w:t>ability factors</w:t>
      </w:r>
      <w:r w:rsidR="00791937" w:rsidRPr="00D57AE6">
        <w:rPr>
          <w:lang w:val="en-GB"/>
        </w:rPr>
        <w:t xml:space="preserve">, participation in </w:t>
      </w:r>
      <w:r w:rsidR="00472AD3" w:rsidRPr="00D57AE6">
        <w:rPr>
          <w:lang w:val="en-GB"/>
        </w:rPr>
        <w:t>CVET</w:t>
      </w:r>
      <w:r w:rsidR="00791937" w:rsidRPr="00D57AE6">
        <w:rPr>
          <w:lang w:val="en-GB"/>
        </w:rPr>
        <w:t xml:space="preserve"> was </w:t>
      </w:r>
      <w:r w:rsidR="002E6352" w:rsidRPr="00D57AE6">
        <w:rPr>
          <w:lang w:val="en-GB"/>
        </w:rPr>
        <w:t>associated with factors we attributed</w:t>
      </w:r>
      <w:r w:rsidR="00C21EB0" w:rsidRPr="00D57AE6">
        <w:rPr>
          <w:lang w:val="en-GB"/>
        </w:rPr>
        <w:t xml:space="preserve"> to work motivation. </w:t>
      </w:r>
      <w:r w:rsidR="00431342" w:rsidRPr="00D57AE6">
        <w:rPr>
          <w:lang w:val="en-GB"/>
        </w:rPr>
        <w:t xml:space="preserve">CVET was </w:t>
      </w:r>
      <w:r w:rsidR="002E6352" w:rsidRPr="00D57AE6">
        <w:rPr>
          <w:lang w:val="en-GB"/>
        </w:rPr>
        <w:t>statistically significantly negatively</w:t>
      </w:r>
      <w:r w:rsidR="00431342" w:rsidRPr="00D57AE6">
        <w:rPr>
          <w:lang w:val="en-GB"/>
        </w:rPr>
        <w:t xml:space="preserve"> associated with satisfaction with working hours </w:t>
      </w:r>
      <w:r w:rsidR="001971AF" w:rsidRPr="00D57AE6">
        <w:rPr>
          <w:lang w:val="en-GB"/>
        </w:rPr>
        <w:t xml:space="preserve">and positively associated with </w:t>
      </w:r>
      <w:r w:rsidR="00791937" w:rsidRPr="00D57AE6">
        <w:rPr>
          <w:lang w:val="en-GB"/>
        </w:rPr>
        <w:t>career opportunities</w:t>
      </w:r>
      <w:r w:rsidR="00573CB8" w:rsidRPr="00D57AE6">
        <w:rPr>
          <w:lang w:val="en-GB"/>
        </w:rPr>
        <w:t xml:space="preserve">. </w:t>
      </w:r>
      <w:r w:rsidR="00791937" w:rsidRPr="00D57AE6">
        <w:rPr>
          <w:lang w:val="en-GB"/>
        </w:rPr>
        <w:t xml:space="preserve">Finally, participation in continuing vocational education was also positively associated </w:t>
      </w:r>
      <w:r w:rsidR="00EA4D6E" w:rsidRPr="00D57AE6">
        <w:rPr>
          <w:lang w:val="en-GB"/>
        </w:rPr>
        <w:t xml:space="preserve">with </w:t>
      </w:r>
      <w:r w:rsidR="00573CB8" w:rsidRPr="00D57AE6">
        <w:rPr>
          <w:lang w:val="en-GB"/>
        </w:rPr>
        <w:t>an</w:t>
      </w:r>
      <w:r w:rsidR="00791937" w:rsidRPr="00D57AE6">
        <w:rPr>
          <w:lang w:val="en-GB"/>
        </w:rPr>
        <w:t xml:space="preserve"> indicator of social inclusion, </w:t>
      </w:r>
      <w:r w:rsidR="00573CB8" w:rsidRPr="00D57AE6">
        <w:rPr>
          <w:lang w:val="en-GB"/>
        </w:rPr>
        <w:t>i.e.</w:t>
      </w:r>
      <w:r w:rsidR="00791937" w:rsidRPr="00D57AE6">
        <w:rPr>
          <w:lang w:val="en-GB"/>
        </w:rPr>
        <w:t xml:space="preserve"> the frequency with which others seek advice from the respondent.</w:t>
      </w:r>
    </w:p>
    <w:p w14:paraId="3BD1E67A" w14:textId="77777777" w:rsidR="00A20381" w:rsidRPr="00D57AE6" w:rsidRDefault="00791937" w:rsidP="0052016F">
      <w:pPr>
        <w:pStyle w:val="Heading1"/>
        <w:spacing w:line="480" w:lineRule="auto"/>
        <w:jc w:val="both"/>
        <w:rPr>
          <w:lang w:val="en-GB"/>
        </w:rPr>
      </w:pPr>
      <w:r w:rsidRPr="00D57AE6">
        <w:rPr>
          <w:lang w:val="en-GB"/>
        </w:rPr>
        <w:t>Discussion</w:t>
      </w:r>
    </w:p>
    <w:p w14:paraId="22409A0F" w14:textId="2E23653D" w:rsidR="00562EE1" w:rsidRPr="00D57AE6" w:rsidRDefault="0052183C" w:rsidP="0052016F">
      <w:pPr>
        <w:spacing w:line="480" w:lineRule="auto"/>
        <w:jc w:val="both"/>
        <w:rPr>
          <w:lang w:val="en-GB"/>
        </w:rPr>
      </w:pPr>
      <w:r w:rsidRPr="00A66B29">
        <w:rPr>
          <w:lang w:val="en-GB"/>
        </w:rPr>
        <w:t xml:space="preserve">This study set out to examine whether participation in </w:t>
      </w:r>
      <w:r w:rsidR="006A2D88" w:rsidRPr="00D57AE6">
        <w:rPr>
          <w:bCs/>
          <w:lang w:val="en-GB"/>
        </w:rPr>
        <w:t>CVET</w:t>
      </w:r>
      <w:r w:rsidRPr="00A66B29">
        <w:rPr>
          <w:lang w:val="en-GB"/>
        </w:rPr>
        <w:t xml:space="preserve"> contributes to extended working lives and whether this relationship can be explained through theoretically derived mechanisms. Building on the </w:t>
      </w:r>
      <w:proofErr w:type="spellStart"/>
      <w:r w:rsidRPr="00A66B29">
        <w:rPr>
          <w:lang w:val="en-GB"/>
        </w:rPr>
        <w:t>lidA</w:t>
      </w:r>
      <w:proofErr w:type="spellEnd"/>
      <w:r w:rsidRPr="00A66B29">
        <w:rPr>
          <w:lang w:val="en-GB"/>
        </w:rPr>
        <w:t xml:space="preserve"> framework</w:t>
      </w:r>
      <w:r w:rsidR="001F2956">
        <w:rPr>
          <w:lang w:val="en-GB"/>
        </w:rPr>
        <w:t xml:space="preserve"> </w:t>
      </w:r>
      <w:r w:rsidR="001F2956">
        <w:rPr>
          <w:lang w:val="en-GB"/>
        </w:rPr>
        <w:fldChar w:fldCharType="begin"/>
      </w:r>
      <w:r w:rsidR="001F2956">
        <w:rPr>
          <w:lang w:val="en-GB"/>
        </w:rPr>
        <w:instrText xml:space="preserve"> ADDIN ZOTERO_ITEM CSL_CITATION {"citationID":"nKXJpeat","properties":{"unsorted":false,"formattedCitation":"(Peter &amp; Hasselhorn, 2013)","plainCitation":"(Peter &amp; Hasselhorn, 2013)","noteIndex":0},"citationItems":[{"id":28896,"uris":["http://zotero.org/groups/6389851/items/2IZPTTIG"],"itemData":{"id":28896,"type":"article-journal","container-title":"Bundesgesundheitsblatt - Gesundheitsforschung - Gesundheitsschutz","DOI":"10.1007/s00103-012-1615-z","ISSN":"1436-9990, 1437-1588","issue":"3","journalAbbreviation":"Bundesgesundheitsbl.","language":"de","license":"http://www.springer.com/tdm","page":"415-421","source":"DOI.org (Crossref)","title":"Arbeit, Alter, Gesundheit und Erwerbsteilhabe: Ein Modell","title-short":"Arbeit, Alter, Gesundheit und Erwerbsteilhabe","volume":"56","author":[{"family":"Peter","given":"R."},{"family":"Hasselhorn","given":"H.M."}],"issued":{"date-parts":[["2013",3]]}}}],"schema":"https://github.com/citation-style-language/schema/raw/master/csl-citation.json"} </w:instrText>
      </w:r>
      <w:r w:rsidR="001F2956">
        <w:rPr>
          <w:lang w:val="en-GB"/>
        </w:rPr>
        <w:fldChar w:fldCharType="separate"/>
      </w:r>
      <w:r w:rsidR="001F2956" w:rsidRPr="003A0F86">
        <w:rPr>
          <w:rFonts w:ascii="Aptos" w:hAnsi="Aptos"/>
          <w:lang w:val="en-GB"/>
        </w:rPr>
        <w:t>(Peter &amp; Hasselhorn, 2013)</w:t>
      </w:r>
      <w:r w:rsidR="001F2956">
        <w:rPr>
          <w:lang w:val="en-GB"/>
        </w:rPr>
        <w:fldChar w:fldCharType="end"/>
      </w:r>
      <w:r w:rsidRPr="00A66B29">
        <w:rPr>
          <w:lang w:val="en-GB"/>
        </w:rPr>
        <w:t>, we proposed a model in which CVET affects labour market participation via</w:t>
      </w:r>
      <w:r w:rsidRPr="00D57AE6">
        <w:rPr>
          <w:lang w:val="en-GB"/>
        </w:rPr>
        <w:t xml:space="preserve"> aspects of</w:t>
      </w:r>
      <w:r w:rsidRPr="00A66B29">
        <w:rPr>
          <w:lang w:val="en-GB"/>
        </w:rPr>
        <w:t xml:space="preserve"> work</w:t>
      </w:r>
      <w:r w:rsidR="009D03E6">
        <w:rPr>
          <w:lang w:val="en-GB"/>
        </w:rPr>
        <w:t xml:space="preserve"> </w:t>
      </w:r>
      <w:r w:rsidRPr="00A66B29">
        <w:rPr>
          <w:lang w:val="en-GB"/>
        </w:rPr>
        <w:t>ability and work motivation.</w:t>
      </w:r>
    </w:p>
    <w:p w14:paraId="614386C2" w14:textId="41AB5E3E" w:rsidR="0052183C" w:rsidRPr="00A66B29" w:rsidRDefault="0052183C" w:rsidP="0052016F">
      <w:pPr>
        <w:spacing w:line="480" w:lineRule="auto"/>
        <w:jc w:val="both"/>
        <w:rPr>
          <w:lang w:val="en-GB"/>
        </w:rPr>
      </w:pPr>
      <w:r w:rsidRPr="00A66B29">
        <w:rPr>
          <w:lang w:val="en-GB"/>
        </w:rPr>
        <w:t xml:space="preserve">The results do not provide evidence for a direct association between CVET participation and subsequent employment. Individuals who participated in CVET between 2014 and 2021 were </w:t>
      </w:r>
      <w:r w:rsidRPr="00D57AE6">
        <w:rPr>
          <w:lang w:val="en-GB"/>
        </w:rPr>
        <w:t>no more likely to remain employed in 2023 than</w:t>
      </w:r>
      <w:r w:rsidRPr="00A66B29">
        <w:rPr>
          <w:lang w:val="en-GB"/>
        </w:rPr>
        <w:t xml:space="preserve"> statistically similar individuals who did not participate. Consequently, Hypothesis 1 is not supported, and mediation effects (H4 and H5) cannot be established in the absence of a total effect.</w:t>
      </w:r>
      <w:r w:rsidR="002E6352" w:rsidRPr="00D57AE6">
        <w:rPr>
          <w:lang w:val="en-GB"/>
        </w:rPr>
        <w:t xml:space="preserve"> </w:t>
      </w:r>
      <w:r w:rsidRPr="00A66B29">
        <w:rPr>
          <w:lang w:val="en-GB"/>
        </w:rPr>
        <w:t xml:space="preserve">However, rather than interpreting this finding as evidence against the theoretical model, our results suggest that the relationship between CVET and retirement is more complex than a direct causal link. Retirement decisions in later life are shaped by a multitude of structural, institutional, and individual factors, among which age-related processes and pension </w:t>
      </w:r>
      <w:r w:rsidRPr="00A66B29">
        <w:rPr>
          <w:lang w:val="en-GB"/>
        </w:rPr>
        <w:lastRenderedPageBreak/>
        <w:t>eligibility play a dominant role. Against this background, it may be unrealistic to expect that participation in CVET within a relatively short observation window exerts a measurable direct effect on employment outcomes.</w:t>
      </w:r>
    </w:p>
    <w:p w14:paraId="7695AC25" w14:textId="77777777" w:rsidR="0052183C" w:rsidRPr="00A66B29" w:rsidRDefault="0052183C" w:rsidP="0052016F">
      <w:pPr>
        <w:spacing w:line="480" w:lineRule="auto"/>
        <w:jc w:val="both"/>
        <w:rPr>
          <w:lang w:val="en-GB"/>
        </w:rPr>
      </w:pPr>
      <w:r w:rsidRPr="00A66B29">
        <w:rPr>
          <w:lang w:val="en-GB"/>
        </w:rPr>
        <w:t>Importantly, the analysis of the proposed mechanisms provides more nuanced insights. CVET participation is systematically associated with several dimensions that are central to the theoretical model, even though these do not translate into observable differences in employment status.</w:t>
      </w:r>
    </w:p>
    <w:p w14:paraId="78E8E59E" w14:textId="1EEFB392" w:rsidR="00EC13D0" w:rsidRPr="00D57AE6" w:rsidRDefault="0052183C" w:rsidP="0052016F">
      <w:pPr>
        <w:spacing w:line="480" w:lineRule="auto"/>
        <w:jc w:val="both"/>
        <w:rPr>
          <w:lang w:val="en-GB"/>
        </w:rPr>
      </w:pPr>
      <w:proofErr w:type="gramStart"/>
      <w:r w:rsidRPr="00A66B29">
        <w:rPr>
          <w:lang w:val="en-GB"/>
        </w:rPr>
        <w:t>With regard to</w:t>
      </w:r>
      <w:proofErr w:type="gramEnd"/>
      <w:r w:rsidRPr="00A66B29">
        <w:rPr>
          <w:lang w:val="en-GB"/>
        </w:rPr>
        <w:t xml:space="preserve"> work</w:t>
      </w:r>
      <w:r w:rsidR="009D03E6">
        <w:rPr>
          <w:lang w:val="en-GB"/>
        </w:rPr>
        <w:t xml:space="preserve"> </w:t>
      </w:r>
      <w:r w:rsidRPr="00A66B29">
        <w:rPr>
          <w:lang w:val="en-GB"/>
        </w:rPr>
        <w:t>ability, participation in CVET is associated with higher levels of perceived burden, particularly in terms of stress and new job demands. This finding contradicts our initial expectation (H2) but can be interpreted in a more differentiated way. Rather than reducing job demands, CVET may be linked to changing or expanding job roles, which can increase perceived demands. In this sense, CVET may not simply alleviate strain but rather accompany processes of job transformation and adaptation</w:t>
      </w:r>
      <w:r w:rsidR="00EC13D0" w:rsidRPr="00D57AE6">
        <w:rPr>
          <w:lang w:val="en-GB"/>
        </w:rPr>
        <w:t>.</w:t>
      </w:r>
    </w:p>
    <w:p w14:paraId="2AFE7292" w14:textId="2B0CBB84" w:rsidR="0052183C" w:rsidRPr="00D57AE6" w:rsidRDefault="0052183C" w:rsidP="0052016F">
      <w:pPr>
        <w:spacing w:line="480" w:lineRule="auto"/>
        <w:jc w:val="both"/>
        <w:rPr>
          <w:lang w:val="en-GB"/>
        </w:rPr>
      </w:pPr>
      <w:r w:rsidRPr="00A66B29">
        <w:rPr>
          <w:lang w:val="en-GB"/>
        </w:rPr>
        <w:t>At the same time, CVET is related to several aspects of work motivation. Participation is associated with higher satisfaction with career opportunities and increased social recognition, as reflected in a higher likelihood of being asked for advice. These findings are in line with theoretical assumptions about psychological resources and social exchange processes. However, CVET is also linked to lower satisfaction with working hours, suggesting that these positive aspects may come at the cost of increased work involvement or time demands. Overall, Hypothesis 3 receives partial support.</w:t>
      </w:r>
      <w:r w:rsidR="001F2956">
        <w:rPr>
          <w:lang w:val="en-GB"/>
        </w:rPr>
        <w:t xml:space="preserve"> </w:t>
      </w:r>
      <w:r w:rsidRPr="00A66B29">
        <w:rPr>
          <w:lang w:val="en-GB"/>
        </w:rPr>
        <w:t xml:space="preserve">Taken together, these results point towards what could be described as an “activation effect” of CVET. Participation in training appears to be associated with a more dynamic and demanding work situation, characterised by increased expectations, greater </w:t>
      </w:r>
      <w:r w:rsidRPr="00A66B29">
        <w:rPr>
          <w:lang w:val="en-GB"/>
        </w:rPr>
        <w:lastRenderedPageBreak/>
        <w:t>involvement, and enhanced social embeddedness. This pattern is consistent with the idea that CVET does not simply stabilise existing work conditions but may instead trigger adjustments in job roles, responsibilities, and workplace interactions.</w:t>
      </w:r>
    </w:p>
    <w:p w14:paraId="178AB42A" w14:textId="6CC8BCC8" w:rsidR="00EE1D2C" w:rsidRPr="00CD4D5A" w:rsidRDefault="00EE1D2C" w:rsidP="0052016F">
      <w:pPr>
        <w:spacing w:line="480" w:lineRule="auto"/>
        <w:jc w:val="both"/>
        <w:rPr>
          <w:lang w:val="en-GB"/>
        </w:rPr>
      </w:pPr>
      <w:r w:rsidRPr="00A66B29">
        <w:rPr>
          <w:lang w:val="en-GB"/>
        </w:rPr>
        <w:t>From a theoretical perspective, these findings suggest that the underlying model provides a useful starting point but requires further refinement. In particular, the assumption of a linear pathway from CVET to extended employment</w:t>
      </w:r>
      <w:r w:rsidR="00C50E6B" w:rsidRPr="00D57AE6">
        <w:rPr>
          <w:lang w:val="en-GB"/>
        </w:rPr>
        <w:t>, via improved work</w:t>
      </w:r>
      <w:r w:rsidR="009D03E6">
        <w:rPr>
          <w:lang w:val="en-GB"/>
        </w:rPr>
        <w:t xml:space="preserve"> </w:t>
      </w:r>
      <w:r w:rsidR="00C50E6B" w:rsidRPr="00D57AE6">
        <w:rPr>
          <w:lang w:val="en-GB"/>
        </w:rPr>
        <w:t>ability and motivation, may be overly</w:t>
      </w:r>
      <w:r w:rsidRPr="00CD4D5A">
        <w:rPr>
          <w:lang w:val="en-GB"/>
        </w:rPr>
        <w:t xml:space="preserve"> simplistic. Instead, CVET may operate through more complex and potentially ambivalent processes, in which increased demands and enhanced resources emerge simultaneously.</w:t>
      </w:r>
    </w:p>
    <w:p w14:paraId="3F2E5CBD" w14:textId="68074A00" w:rsidR="00EE1D2C" w:rsidRPr="00CD4D5A" w:rsidRDefault="00EE1D2C" w:rsidP="0052016F">
      <w:pPr>
        <w:spacing w:line="480" w:lineRule="auto"/>
        <w:jc w:val="both"/>
        <w:rPr>
          <w:lang w:val="en-GB"/>
        </w:rPr>
      </w:pPr>
      <w:r w:rsidRPr="00CD4D5A">
        <w:rPr>
          <w:lang w:val="en-GB"/>
        </w:rPr>
        <w:t>Importantly, our findings point to a potential timing problem that can be described as a “too little, too late” dynamic. Participation in CVET in later working life may indeed affect relevant dimensions of work experience</w:t>
      </w:r>
      <w:r w:rsidRPr="00D57AE6">
        <w:rPr>
          <w:lang w:val="en-GB"/>
        </w:rPr>
        <w:t xml:space="preserve">, </w:t>
      </w:r>
      <w:r w:rsidRPr="00CD4D5A">
        <w:rPr>
          <w:lang w:val="en-GB"/>
        </w:rPr>
        <w:t>such as perceived demands, social integration, and career-related expectations</w:t>
      </w:r>
      <w:r w:rsidR="00C50E6B" w:rsidRPr="00D57AE6">
        <w:rPr>
          <w:lang w:val="en-GB"/>
        </w:rPr>
        <w:t>. Still, these</w:t>
      </w:r>
      <w:r w:rsidRPr="00CD4D5A">
        <w:rPr>
          <w:lang w:val="en-GB"/>
        </w:rPr>
        <w:t xml:space="preserve"> changes may occur at a stage when retirement decisions are already largely structured by institutional constraints, health trajectories, and long-standing career patterns. In this sense, CVET may still “activate” workers, but </w:t>
      </w:r>
      <w:r w:rsidR="00C50E6B" w:rsidRPr="00D57AE6">
        <w:rPr>
          <w:lang w:val="en-GB"/>
        </w:rPr>
        <w:t>it cannot</w:t>
      </w:r>
      <w:r w:rsidRPr="00CD4D5A">
        <w:rPr>
          <w:lang w:val="en-GB"/>
        </w:rPr>
        <w:t xml:space="preserve"> fundamentally alter the trajectory towards retirement.</w:t>
      </w:r>
    </w:p>
    <w:p w14:paraId="70A8A250" w14:textId="4A117644" w:rsidR="00EE1D2C" w:rsidRPr="00CD4D5A" w:rsidRDefault="00EE1D2C" w:rsidP="0052016F">
      <w:pPr>
        <w:spacing w:line="480" w:lineRule="auto"/>
        <w:jc w:val="both"/>
        <w:rPr>
          <w:lang w:val="en-GB"/>
        </w:rPr>
      </w:pPr>
      <w:r w:rsidRPr="00CD4D5A">
        <w:rPr>
          <w:lang w:val="en-GB"/>
        </w:rPr>
        <w:t xml:space="preserve">This interpretation suggests that the effectiveness of CVET may depend not only on </w:t>
      </w:r>
      <w:r w:rsidRPr="00CD4D5A">
        <w:rPr>
          <w:i/>
          <w:iCs/>
          <w:lang w:val="en-GB"/>
        </w:rPr>
        <w:t>whether</w:t>
      </w:r>
      <w:r w:rsidRPr="00CD4D5A">
        <w:rPr>
          <w:lang w:val="en-GB"/>
        </w:rPr>
        <w:t xml:space="preserve"> individuals participate</w:t>
      </w:r>
      <w:r w:rsidR="00C50E6B" w:rsidRPr="00D57AE6">
        <w:rPr>
          <w:lang w:val="en-GB"/>
        </w:rPr>
        <w:t xml:space="preserve"> but, crucially, on when in the life course participation occurs</w:t>
      </w:r>
      <w:r w:rsidRPr="00CD4D5A">
        <w:rPr>
          <w:lang w:val="en-GB"/>
        </w:rPr>
        <w:t xml:space="preserve">. Training that occurs relatively close to retirement may be insufficient to offset cumulative disadvantages or </w:t>
      </w:r>
      <w:r w:rsidR="00C50E6B" w:rsidRPr="00D57AE6">
        <w:rPr>
          <w:lang w:val="en-GB"/>
        </w:rPr>
        <w:t>to shift established expectations about labour market exit meaningfully</w:t>
      </w:r>
      <w:r w:rsidRPr="00CD4D5A">
        <w:rPr>
          <w:lang w:val="en-GB"/>
        </w:rPr>
        <w:t>. By contrast, earlier and more continuous participation in CVET may be required to produce effects that translate into extended working lives.</w:t>
      </w:r>
    </w:p>
    <w:p w14:paraId="1067C73C" w14:textId="75463821" w:rsidR="00EE1D2C" w:rsidRPr="00CD4D5A" w:rsidRDefault="00EE1D2C" w:rsidP="0052016F">
      <w:pPr>
        <w:spacing w:line="480" w:lineRule="auto"/>
        <w:jc w:val="both"/>
        <w:rPr>
          <w:lang w:val="en-GB"/>
        </w:rPr>
      </w:pPr>
      <w:r w:rsidRPr="00CD4D5A">
        <w:rPr>
          <w:lang w:val="en-GB"/>
        </w:rPr>
        <w:lastRenderedPageBreak/>
        <w:t xml:space="preserve">In line with this argument, the results highlight the importance of distinguishing between short-term and long-term effects of CVET. While no direct association with employment is observed within the </w:t>
      </w:r>
      <w:r w:rsidR="00C50E6B" w:rsidRPr="00D57AE6">
        <w:rPr>
          <w:lang w:val="en-GB"/>
        </w:rPr>
        <w:t>study period</w:t>
      </w:r>
      <w:r w:rsidRPr="00CD4D5A">
        <w:rPr>
          <w:lang w:val="en-GB"/>
        </w:rPr>
        <w:t>, CVET may still influence longer-term career trajectories, expectations, or transitions that are not captured here. The absence of a short-term effect should therefore not be interpreted as evidence of irrelevance, but rather as an indication that the temporal horizon of the analysis may be too limited to capture cumulative or delayed effects.</w:t>
      </w:r>
    </w:p>
    <w:p w14:paraId="347C053D" w14:textId="74E5738B" w:rsidR="00EE1D2C" w:rsidRPr="00D57AE6" w:rsidRDefault="00EE1D2C" w:rsidP="0052016F">
      <w:pPr>
        <w:spacing w:line="480" w:lineRule="auto"/>
        <w:jc w:val="both"/>
        <w:rPr>
          <w:lang w:val="en-GB"/>
        </w:rPr>
      </w:pPr>
      <w:r w:rsidRPr="00CD4D5A">
        <w:rPr>
          <w:lang w:val="en-GB"/>
        </w:rPr>
        <w:t xml:space="preserve">Overall, the findings do not invalidate the proposed theoretical framework but rather indicate that it needs to be specified more precisely </w:t>
      </w:r>
      <w:r w:rsidR="00C50E6B" w:rsidRPr="00D57AE6">
        <w:rPr>
          <w:lang w:val="en-GB"/>
        </w:rPr>
        <w:t>with respect to</w:t>
      </w:r>
      <w:r w:rsidRPr="00CD4D5A">
        <w:rPr>
          <w:lang w:val="en-GB"/>
        </w:rPr>
        <w:t xml:space="preserve"> timing, dynamics, and potential non-linearities. CVET appears to shape relevant dimensions of work experience, yet these changes do not automatically translate into delayed retirement. A more nuanced perspective is therefore needed</w:t>
      </w:r>
      <w:r w:rsidR="003D6998">
        <w:rPr>
          <w:lang w:val="en-GB"/>
        </w:rPr>
        <w:t xml:space="preserve"> </w:t>
      </w:r>
      <w:r w:rsidR="003D6998" w:rsidRPr="003A0F86">
        <w:rPr>
          <w:lang w:val="en-GB"/>
        </w:rPr>
        <w:t>–</w:t>
      </w:r>
      <w:r w:rsidR="003D6998" w:rsidRPr="003D6998">
        <w:rPr>
          <w:lang w:val="en-GB"/>
        </w:rPr>
        <w:t xml:space="preserve"> </w:t>
      </w:r>
      <w:r w:rsidRPr="00CD4D5A">
        <w:rPr>
          <w:lang w:val="en-GB"/>
        </w:rPr>
        <w:t>one that considers CVET as part of a longer-term process of capability development across the life course, rather than as a late-career intervention with immediate effects. Understanding when and under which conditions such processes become consequential for labour market participation remains an important task for future research.</w:t>
      </w:r>
    </w:p>
    <w:p w14:paraId="19F36A22" w14:textId="6ACB7608" w:rsidR="00A20381" w:rsidRPr="00D57AE6" w:rsidRDefault="00791937" w:rsidP="0052016F">
      <w:pPr>
        <w:pStyle w:val="Heading2"/>
        <w:spacing w:line="480" w:lineRule="auto"/>
        <w:jc w:val="both"/>
        <w:rPr>
          <w:lang w:val="en-GB"/>
        </w:rPr>
      </w:pPr>
      <w:r w:rsidRPr="00D57AE6">
        <w:rPr>
          <w:lang w:val="en-GB"/>
        </w:rPr>
        <w:t>Limitations</w:t>
      </w:r>
    </w:p>
    <w:p w14:paraId="55BC32AD" w14:textId="467136EE" w:rsidR="00FE06FB" w:rsidRPr="00D57AE6" w:rsidRDefault="00791937" w:rsidP="0052016F">
      <w:pPr>
        <w:spacing w:line="480" w:lineRule="auto"/>
        <w:jc w:val="both"/>
        <w:rPr>
          <w:lang w:val="en-GB"/>
        </w:rPr>
      </w:pPr>
      <w:r w:rsidRPr="00D57AE6">
        <w:rPr>
          <w:lang w:val="en-GB"/>
        </w:rPr>
        <w:t xml:space="preserve">A key methodological consideration in this study concerns the role of age. In analyses of later-life employment, age is an exceptionally strong predictor of labour market exit because it is closely tied to institutional retirement pathways and pension eligibility. </w:t>
      </w:r>
      <w:r w:rsidR="00191257" w:rsidRPr="00D57AE6">
        <w:rPr>
          <w:lang w:val="en-GB"/>
        </w:rPr>
        <w:t xml:space="preserve"> Additionally, o</w:t>
      </w:r>
      <w:r w:rsidR="00FE06FB" w:rsidRPr="00D57AE6">
        <w:rPr>
          <w:lang w:val="en-GB"/>
        </w:rPr>
        <w:t>lder age is statistically significantly associated with a lower probability of participating in CVET</w:t>
      </w:r>
      <w:r w:rsidR="00191257" w:rsidRPr="00D57AE6">
        <w:rPr>
          <w:lang w:val="en-GB"/>
        </w:rPr>
        <w:t xml:space="preserve">. </w:t>
      </w:r>
      <w:r w:rsidR="00EE1D2C" w:rsidRPr="00CD4D5A">
        <w:rPr>
          <w:lang w:val="en-GB"/>
        </w:rPr>
        <w:t>Age</w:t>
      </w:r>
      <w:r w:rsidR="00C50E6B" w:rsidRPr="00D57AE6">
        <w:rPr>
          <w:lang w:val="en-GB"/>
        </w:rPr>
        <w:t>, therefore,</w:t>
      </w:r>
      <w:r w:rsidR="00EE1D2C" w:rsidRPr="00CD4D5A">
        <w:rPr>
          <w:lang w:val="en-GB"/>
        </w:rPr>
        <w:t xml:space="preserve"> acts as a strong confounder that may obscure potential relationships between CVET and employment outcomes. Stratified analyses </w:t>
      </w:r>
      <w:r w:rsidR="00EE1D2C" w:rsidRPr="00CD4D5A">
        <w:rPr>
          <w:lang w:val="en-GB"/>
        </w:rPr>
        <w:lastRenderedPageBreak/>
        <w:t>(e.g. below and above age 60) would be desirable but were not feasible due to limited statistical power.</w:t>
      </w:r>
    </w:p>
    <w:p w14:paraId="26D6AE97" w14:textId="65298FED" w:rsidR="00A20381" w:rsidRPr="00D57AE6" w:rsidRDefault="00EE1D2C" w:rsidP="0052016F">
      <w:pPr>
        <w:spacing w:line="480" w:lineRule="auto"/>
        <w:jc w:val="both"/>
        <w:rPr>
          <w:lang w:val="en-GB"/>
        </w:rPr>
      </w:pPr>
      <w:r w:rsidRPr="00CD4D5A">
        <w:rPr>
          <w:lang w:val="en-GB"/>
        </w:rPr>
        <w:t xml:space="preserve">Furthermore, </w:t>
      </w:r>
      <w:r w:rsidR="00C50E6B" w:rsidRPr="00D57AE6">
        <w:rPr>
          <w:lang w:val="en-GB"/>
        </w:rPr>
        <w:t>including multiple mediator variables increases the risk of false-positive</w:t>
      </w:r>
      <w:r w:rsidRPr="00CD4D5A">
        <w:rPr>
          <w:lang w:val="en-GB"/>
        </w:rPr>
        <w:t xml:space="preserve"> findings due to multiple testing.</w:t>
      </w:r>
    </w:p>
    <w:p w14:paraId="5F7AF76B" w14:textId="5326C749" w:rsidR="00843628" w:rsidRPr="00D57AE6" w:rsidRDefault="00843628" w:rsidP="0052016F">
      <w:pPr>
        <w:spacing w:line="480" w:lineRule="auto"/>
        <w:jc w:val="both"/>
        <w:rPr>
          <w:lang w:val="en-GB"/>
        </w:rPr>
      </w:pPr>
      <w:r w:rsidRPr="00D57AE6">
        <w:rPr>
          <w:lang w:val="en-GB"/>
        </w:rPr>
        <w:t xml:space="preserve">Another </w:t>
      </w:r>
      <w:r w:rsidR="002D2E5F" w:rsidRPr="00D57AE6">
        <w:rPr>
          <w:lang w:val="en-GB"/>
        </w:rPr>
        <w:t xml:space="preserve">limitation concerns our sample. </w:t>
      </w:r>
      <w:r w:rsidR="00EE1D2C" w:rsidRPr="00CD4D5A">
        <w:rPr>
          <w:lang w:val="en-GB"/>
        </w:rPr>
        <w:t xml:space="preserve">The analysis was restricted to individuals who participated in all survey waves between 2017 and 2023. As panel attrition is unlikely to be random, the sample may be biased towards more motivated, healthier, or </w:t>
      </w:r>
      <w:r w:rsidR="00C50E6B" w:rsidRPr="00D57AE6">
        <w:rPr>
          <w:lang w:val="en-GB"/>
        </w:rPr>
        <w:t>more highly educated</w:t>
      </w:r>
      <w:r w:rsidR="00EE1D2C" w:rsidRPr="00CD4D5A">
        <w:rPr>
          <w:lang w:val="en-GB"/>
        </w:rPr>
        <w:t xml:space="preserve"> individuals. In addition, job changes were not explicitly modelled. While supplementary analyses did not indicate a significant association between CVET and job changes, unobserved transitions may still influence perceived workload and career opportunities.</w:t>
      </w:r>
    </w:p>
    <w:p w14:paraId="0BC39FC9" w14:textId="107F15B4" w:rsidR="00E169C4" w:rsidRPr="00D57AE6" w:rsidRDefault="00EE1D2C" w:rsidP="0052016F">
      <w:pPr>
        <w:spacing w:line="480" w:lineRule="auto"/>
        <w:jc w:val="both"/>
        <w:rPr>
          <w:highlight w:val="yellow"/>
          <w:lang w:val="en-GB"/>
        </w:rPr>
      </w:pPr>
      <w:r w:rsidRPr="00CD4D5A">
        <w:rPr>
          <w:lang w:val="en-GB"/>
        </w:rPr>
        <w:t xml:space="preserve">Finally, the DEAS data do not provide detailed information on the type, intensity, or funding of CVET. As a result, the analysis is limited to a broad measure of participation over a relatively </w:t>
      </w:r>
      <w:r w:rsidR="00C4267A" w:rsidRPr="00CD4D5A">
        <w:rPr>
          <w:lang w:val="en-GB"/>
        </w:rPr>
        <w:t>long-time</w:t>
      </w:r>
      <w:r w:rsidRPr="00CD4D5A">
        <w:rPr>
          <w:lang w:val="en-GB"/>
        </w:rPr>
        <w:t xml:space="preserve"> span. More fine-grained data would </w:t>
      </w:r>
      <w:r w:rsidR="00C50E6B" w:rsidRPr="00D57AE6">
        <w:rPr>
          <w:lang w:val="en-GB"/>
        </w:rPr>
        <w:t>enable a more differentiated assessment of the effects of different training methods</w:t>
      </w:r>
      <w:r w:rsidR="005E3B4B">
        <w:rPr>
          <w:lang w:val="en-GB"/>
        </w:rPr>
        <w:t xml:space="preserve"> and topics.</w:t>
      </w:r>
    </w:p>
    <w:p w14:paraId="4B0D8E14" w14:textId="7A5DE9D8" w:rsidR="00A64355" w:rsidRPr="00D57AE6" w:rsidRDefault="009477E3" w:rsidP="0052016F">
      <w:pPr>
        <w:pStyle w:val="Heading2"/>
        <w:spacing w:line="480" w:lineRule="auto"/>
        <w:rPr>
          <w:lang w:val="en-GB"/>
        </w:rPr>
      </w:pPr>
      <w:r w:rsidRPr="00D57AE6">
        <w:rPr>
          <w:lang w:val="en-GB"/>
        </w:rPr>
        <w:t>Conclusion</w:t>
      </w:r>
    </w:p>
    <w:p w14:paraId="024D4AF2" w14:textId="190379B9" w:rsidR="00947309" w:rsidRPr="00D57AE6" w:rsidRDefault="00EE1D2C" w:rsidP="0052016F">
      <w:pPr>
        <w:spacing w:line="480" w:lineRule="auto"/>
        <w:jc w:val="both"/>
        <w:rPr>
          <w:lang w:val="en-GB"/>
        </w:rPr>
      </w:pPr>
      <w:r w:rsidRPr="00CD4D5A">
        <w:rPr>
          <w:lang w:val="en-GB"/>
        </w:rPr>
        <w:t>The findings of this study suggest that participation in CVET in later life does not necessarily lead to delayed retirement. While CVET is associated with changes in work-related experiences, these changes do not translate into a higher likelihood of remaining in the labour market.</w:t>
      </w:r>
      <w:r w:rsidR="005D4F5D">
        <w:rPr>
          <w:lang w:val="en-GB"/>
        </w:rPr>
        <w:t xml:space="preserve"> </w:t>
      </w:r>
      <w:r w:rsidR="00947309" w:rsidRPr="00D57AE6">
        <w:rPr>
          <w:lang w:val="en-GB"/>
        </w:rPr>
        <w:t>For future research more</w:t>
      </w:r>
      <w:r w:rsidRPr="00D57AE6">
        <w:rPr>
          <w:lang w:val="en-GB"/>
        </w:rPr>
        <w:t xml:space="preserve"> detailed</w:t>
      </w:r>
      <w:r w:rsidR="00947309" w:rsidRPr="00D57AE6">
        <w:rPr>
          <w:lang w:val="en-GB"/>
        </w:rPr>
        <w:t xml:space="preserve"> information </w:t>
      </w:r>
      <w:r w:rsidRPr="00CD4D5A">
        <w:rPr>
          <w:lang w:val="en-GB"/>
        </w:rPr>
        <w:t xml:space="preserve">on the characteristics </w:t>
      </w:r>
      <w:r w:rsidR="002D558E">
        <w:rPr>
          <w:lang w:val="en-GB"/>
        </w:rPr>
        <w:t xml:space="preserve">of </w:t>
      </w:r>
      <w:r w:rsidR="00947309" w:rsidRPr="00D57AE6">
        <w:rPr>
          <w:lang w:val="en-GB"/>
        </w:rPr>
        <w:t xml:space="preserve">CVET and the actual retirement process would be </w:t>
      </w:r>
      <w:r w:rsidRPr="00D57AE6">
        <w:rPr>
          <w:lang w:val="en-GB"/>
        </w:rPr>
        <w:t>valuable.</w:t>
      </w:r>
      <w:r w:rsidR="00947309" w:rsidRPr="00D57AE6">
        <w:rPr>
          <w:lang w:val="en-GB"/>
        </w:rPr>
        <w:t xml:space="preserve"> </w:t>
      </w:r>
      <w:r w:rsidR="00C50E6B" w:rsidRPr="00D57AE6">
        <w:rPr>
          <w:lang w:val="en-GB"/>
        </w:rPr>
        <w:t>Larger samples would allow subgroup analyses by age group, and experimental or quasi-experimental designs could provide stronger evidence of</w:t>
      </w:r>
      <w:r w:rsidRPr="00CD4D5A">
        <w:rPr>
          <w:lang w:val="en-GB"/>
        </w:rPr>
        <w:t xml:space="preserve"> causal effects. Cross-national </w:t>
      </w:r>
      <w:r w:rsidRPr="00CD4D5A">
        <w:rPr>
          <w:lang w:val="en-GB"/>
        </w:rPr>
        <w:lastRenderedPageBreak/>
        <w:t>comparisons may also offer important insights, although differences in institutional contexts pose challenges for comparability.</w:t>
      </w:r>
    </w:p>
    <w:p w14:paraId="47382254" w14:textId="5648AE88" w:rsidR="00EE1D2C" w:rsidRPr="00CD4D5A" w:rsidRDefault="00EE1D2C" w:rsidP="00CD4D5A">
      <w:pPr>
        <w:spacing w:line="480" w:lineRule="auto"/>
        <w:jc w:val="both"/>
        <w:rPr>
          <w:lang w:val="en-GB"/>
        </w:rPr>
      </w:pPr>
      <w:r w:rsidRPr="00CD4D5A">
        <w:rPr>
          <w:lang w:val="en-GB"/>
        </w:rPr>
        <w:t xml:space="preserve">From a policy perspective, the results indicate that promoting CVET alone is unlikely to be sufficient to extend working lives. Instead, lifelong learning should be embedded in broader strategies that address working conditions, workload, and the specific needs of older workers. Training programmes should be designed </w:t>
      </w:r>
      <w:r w:rsidR="00C50E6B" w:rsidRPr="00D57AE6">
        <w:rPr>
          <w:lang w:val="en-GB"/>
        </w:rPr>
        <w:t>to enhance</w:t>
      </w:r>
      <w:r w:rsidRPr="00CD4D5A">
        <w:rPr>
          <w:lang w:val="en-GB"/>
        </w:rPr>
        <w:t xml:space="preserve"> not only skills and opportunities but also sustainable working conditions.</w:t>
      </w:r>
    </w:p>
    <w:p w14:paraId="1476EA3B" w14:textId="59378646" w:rsidR="00A20381" w:rsidRPr="00D57AE6" w:rsidRDefault="00EE1D2C" w:rsidP="00D1132A">
      <w:pPr>
        <w:spacing w:line="480" w:lineRule="auto"/>
        <w:jc w:val="both"/>
        <w:rPr>
          <w:lang w:val="en-GB"/>
        </w:rPr>
      </w:pPr>
      <w:r w:rsidRPr="00CD4D5A">
        <w:rPr>
          <w:lang w:val="en-GB"/>
        </w:rPr>
        <w:t xml:space="preserve">At the organisational level, CVET for older workers should be accompanied by supportive measures such as flexible working arrangements, workload management, and the recognition of experience-based roles. More broadly, the findings </w:t>
      </w:r>
      <w:r w:rsidR="00C50E6B" w:rsidRPr="00D57AE6">
        <w:rPr>
          <w:lang w:val="en-GB"/>
        </w:rPr>
        <w:t xml:space="preserve">underscore the importance of promoting lifelong learning across the life course rather than focusing on interventions only </w:t>
      </w:r>
      <w:r w:rsidRPr="00CD4D5A">
        <w:rPr>
          <w:lang w:val="en-GB"/>
        </w:rPr>
        <w:t>shortly before retirement.</w:t>
      </w:r>
      <w:r w:rsidR="00791937" w:rsidRPr="00D57AE6">
        <w:rPr>
          <w:lang w:val="en-GB"/>
        </w:rPr>
        <w:br w:type="page" w:clear="all"/>
      </w:r>
    </w:p>
    <w:p w14:paraId="57EE623F" w14:textId="48058B42" w:rsidR="00AD6250" w:rsidRPr="00D57AE6" w:rsidRDefault="00791937" w:rsidP="009477E3">
      <w:pPr>
        <w:pStyle w:val="Heading1"/>
        <w:spacing w:line="480" w:lineRule="auto"/>
        <w:rPr>
          <w:lang w:val="en-GB"/>
        </w:rPr>
      </w:pPr>
      <w:r w:rsidRPr="00D57AE6">
        <w:rPr>
          <w:lang w:val="en-GB"/>
        </w:rPr>
        <w:lastRenderedPageBreak/>
        <w:t>References</w:t>
      </w:r>
    </w:p>
    <w:p w14:paraId="5557688B" w14:textId="77777777" w:rsidR="004A3D0D" w:rsidRPr="004A3D0D" w:rsidRDefault="009477E3" w:rsidP="004A3D0D">
      <w:pPr>
        <w:pStyle w:val="Bibliography"/>
      </w:pPr>
      <w:r w:rsidRPr="00D57AE6">
        <w:rPr>
          <w:lang w:val="en-GB"/>
        </w:rPr>
        <w:fldChar w:fldCharType="begin"/>
      </w:r>
      <w:r w:rsidR="004A3D0D">
        <w:rPr>
          <w:lang w:val="en-GB"/>
        </w:rPr>
        <w:instrText xml:space="preserve"> ADDIN ZOTERO_BIBL {"uncited":[],"omitted":[],"custom":[]} CSL_BIBLIOGRAPHY </w:instrText>
      </w:r>
      <w:r w:rsidRPr="00D57AE6">
        <w:rPr>
          <w:lang w:val="en-GB"/>
        </w:rPr>
        <w:fldChar w:fldCharType="separate"/>
      </w:r>
      <w:r w:rsidR="004A3D0D" w:rsidRPr="004A3D0D">
        <w:t xml:space="preserve">Backhaus, T. (2023). </w:t>
      </w:r>
      <w:r w:rsidR="004A3D0D" w:rsidRPr="004A3D0D">
        <w:rPr>
          <w:i/>
          <w:iCs/>
        </w:rPr>
        <w:t>Training in Late Careers: A Structural Approach</w:t>
      </w:r>
      <w:r w:rsidR="004A3D0D" w:rsidRPr="004A3D0D">
        <w:t xml:space="preserve"> (No. 15875; IZA Discussion Papers). Institute of Labor Economics. https://www.econstor.eu/bitstream/10419/272502/1/dp15875.pdf</w:t>
      </w:r>
    </w:p>
    <w:p w14:paraId="15528BEB" w14:textId="77777777" w:rsidR="004A3D0D" w:rsidRPr="004A3D0D" w:rsidRDefault="004A3D0D" w:rsidP="004A3D0D">
      <w:pPr>
        <w:pStyle w:val="Bibliography"/>
      </w:pPr>
      <w:r w:rsidRPr="004A3D0D">
        <w:t xml:space="preserve">Baxter, S., Blank, L., Cantrell, A., &amp; Goyder, E. (2021). Is working in later life good for your health? A systematic review of health outcomes resulting from extended working lives. </w:t>
      </w:r>
      <w:r w:rsidRPr="004A3D0D">
        <w:rPr>
          <w:i/>
          <w:iCs/>
        </w:rPr>
        <w:t>BMC Public Health</w:t>
      </w:r>
      <w:r w:rsidRPr="004A3D0D">
        <w:t xml:space="preserve">, </w:t>
      </w:r>
      <w:r w:rsidRPr="004A3D0D">
        <w:rPr>
          <w:i/>
          <w:iCs/>
        </w:rPr>
        <w:t>21</w:t>
      </w:r>
      <w:r w:rsidRPr="004A3D0D">
        <w:t>(1), 1356. https://doi.org/10.1186/s12889-021-11423-2</w:t>
      </w:r>
    </w:p>
    <w:p w14:paraId="1ACE6DAC" w14:textId="77777777" w:rsidR="004A3D0D" w:rsidRPr="004A3D0D" w:rsidRDefault="004A3D0D" w:rsidP="004A3D0D">
      <w:pPr>
        <w:pStyle w:val="Bibliography"/>
      </w:pPr>
      <w:r w:rsidRPr="004A3D0D">
        <w:t xml:space="preserve">Belloni, M., Brugiavini, A., Meschi, E., &amp; Pasini, G. (2015). Does training help retaining older workers into employment? Evidence from the SHARE survey. In A. Börsch-Supan, T. Kneip, H. Litwin, &amp; M. Myck, </w:t>
      </w:r>
      <w:r w:rsidRPr="004A3D0D">
        <w:rPr>
          <w:i/>
          <w:iCs/>
        </w:rPr>
        <w:t>Ageing in Europe—Supporting Policies for an Inclusive Society</w:t>
      </w:r>
      <w:r w:rsidRPr="004A3D0D">
        <w:t xml:space="preserve"> (pp. 257–265). De Gruyter.</w:t>
      </w:r>
    </w:p>
    <w:p w14:paraId="7C5214E8" w14:textId="77777777" w:rsidR="004A3D0D" w:rsidRPr="004A3D0D" w:rsidRDefault="004A3D0D" w:rsidP="004A3D0D">
      <w:pPr>
        <w:pStyle w:val="Bibliography"/>
      </w:pPr>
      <w:r w:rsidRPr="004A3D0D">
        <w:t xml:space="preserve">Blau, P. M. (1964). Justice in Social Exchange. </w:t>
      </w:r>
      <w:r w:rsidRPr="004A3D0D">
        <w:rPr>
          <w:i/>
          <w:iCs/>
        </w:rPr>
        <w:t>Sociological Inquiry</w:t>
      </w:r>
      <w:r w:rsidRPr="004A3D0D">
        <w:t xml:space="preserve">, </w:t>
      </w:r>
      <w:r w:rsidRPr="004A3D0D">
        <w:rPr>
          <w:i/>
          <w:iCs/>
        </w:rPr>
        <w:t>34</w:t>
      </w:r>
      <w:r w:rsidRPr="004A3D0D">
        <w:t>(2), 193–206. https://doi.org/10.1111/j.1475-682X.1964.tb00583.x</w:t>
      </w:r>
    </w:p>
    <w:p w14:paraId="73F8F5AC" w14:textId="77777777" w:rsidR="004A3D0D" w:rsidRPr="004A3D0D" w:rsidRDefault="004A3D0D" w:rsidP="004A3D0D">
      <w:pPr>
        <w:pStyle w:val="Bibliography"/>
      </w:pPr>
      <w:r w:rsidRPr="004A3D0D">
        <w:t xml:space="preserve">BMAS. (2022). </w:t>
      </w:r>
      <w:r w:rsidRPr="004A3D0D">
        <w:rPr>
          <w:i/>
          <w:iCs/>
        </w:rPr>
        <w:t>Fachkräftestrategie der Bundesregierung</w:t>
      </w:r>
      <w:r w:rsidRPr="004A3D0D">
        <w:t>.</w:t>
      </w:r>
    </w:p>
    <w:p w14:paraId="30F5CF2E" w14:textId="77777777" w:rsidR="004A3D0D" w:rsidRPr="004A3D0D" w:rsidRDefault="004A3D0D" w:rsidP="004A3D0D">
      <w:pPr>
        <w:pStyle w:val="Bibliography"/>
      </w:pPr>
      <w:r w:rsidRPr="004A3D0D">
        <w:t xml:space="preserve">Boeren, E. (2023). Conceptualizing Lifelong Learning Participation – Theoretical Perspectives and Integrated Approaches. </w:t>
      </w:r>
      <w:r w:rsidRPr="004A3D0D">
        <w:rPr>
          <w:i/>
          <w:iCs/>
        </w:rPr>
        <w:t>Internationales Jahrbuch Der Erwachsenenbildung</w:t>
      </w:r>
      <w:r w:rsidRPr="004A3D0D">
        <w:t xml:space="preserve">, </w:t>
      </w:r>
      <w:r w:rsidRPr="004A3D0D">
        <w:rPr>
          <w:i/>
          <w:iCs/>
        </w:rPr>
        <w:t>46</w:t>
      </w:r>
      <w:r w:rsidRPr="004A3D0D">
        <w:t>, 17–31.</w:t>
      </w:r>
    </w:p>
    <w:p w14:paraId="6119EFC0" w14:textId="77777777" w:rsidR="004A3D0D" w:rsidRPr="004A3D0D" w:rsidRDefault="004A3D0D" w:rsidP="004A3D0D">
      <w:pPr>
        <w:pStyle w:val="Bibliography"/>
      </w:pPr>
      <w:r w:rsidRPr="004A3D0D">
        <w:t xml:space="preserve">Carstensen, L. L., Isaacowitz, D. M., &amp; Charles, S. T. (1999). Taking time seriously: A theory of socioemotional selectivity. </w:t>
      </w:r>
      <w:r w:rsidRPr="004A3D0D">
        <w:rPr>
          <w:i/>
          <w:iCs/>
        </w:rPr>
        <w:t>American Psychologist</w:t>
      </w:r>
      <w:r w:rsidRPr="004A3D0D">
        <w:t xml:space="preserve">, </w:t>
      </w:r>
      <w:r w:rsidRPr="004A3D0D">
        <w:rPr>
          <w:i/>
          <w:iCs/>
        </w:rPr>
        <w:t>54</w:t>
      </w:r>
      <w:r w:rsidRPr="004A3D0D">
        <w:t>(3), 165.</w:t>
      </w:r>
    </w:p>
    <w:p w14:paraId="3B0F8300" w14:textId="77777777" w:rsidR="004A3D0D" w:rsidRPr="004A3D0D" w:rsidRDefault="004A3D0D" w:rsidP="004A3D0D">
      <w:pPr>
        <w:pStyle w:val="Bibliography"/>
      </w:pPr>
      <w:r w:rsidRPr="004A3D0D">
        <w:t xml:space="preserve">Cummins, P., &amp; Kunkel, S. (2015). A Global Examination of Policies and Practices for Lifelong Learning. </w:t>
      </w:r>
      <w:r w:rsidRPr="004A3D0D">
        <w:rPr>
          <w:i/>
          <w:iCs/>
        </w:rPr>
        <w:t>New Horizons in Adult Education and Human Resource Development</w:t>
      </w:r>
      <w:r w:rsidRPr="004A3D0D">
        <w:t xml:space="preserve">, </w:t>
      </w:r>
      <w:r w:rsidRPr="004A3D0D">
        <w:rPr>
          <w:i/>
          <w:iCs/>
        </w:rPr>
        <w:t>27</w:t>
      </w:r>
      <w:r w:rsidRPr="004A3D0D">
        <w:t>(3), 3–17. https://doi.org/10.1002/nha3.20107</w:t>
      </w:r>
    </w:p>
    <w:p w14:paraId="5D216034" w14:textId="77777777" w:rsidR="004A3D0D" w:rsidRPr="004A3D0D" w:rsidRDefault="004A3D0D" w:rsidP="004A3D0D">
      <w:pPr>
        <w:pStyle w:val="Bibliography"/>
      </w:pPr>
      <w:r w:rsidRPr="004A3D0D">
        <w:lastRenderedPageBreak/>
        <w:t xml:space="preserve">d’Errico, A., Burr, H., Pattloch, D., Kersten, N., &amp; Rose, U. (2021). Working conditions as risk factors for early exit from work—In a cohort of 2351 employees in Germany. </w:t>
      </w:r>
      <w:r w:rsidRPr="004A3D0D">
        <w:rPr>
          <w:i/>
          <w:iCs/>
        </w:rPr>
        <w:t>International Archives of Occupational and Environmental Health</w:t>
      </w:r>
      <w:r w:rsidRPr="004A3D0D">
        <w:t xml:space="preserve">, </w:t>
      </w:r>
      <w:r w:rsidRPr="004A3D0D">
        <w:rPr>
          <w:i/>
          <w:iCs/>
        </w:rPr>
        <w:t>94</w:t>
      </w:r>
      <w:r w:rsidRPr="004A3D0D">
        <w:t>(1), 117–138. https://doi.org/10.1007/s00420-020-01566-x</w:t>
      </w:r>
    </w:p>
    <w:p w14:paraId="6474967C" w14:textId="77777777" w:rsidR="004A3D0D" w:rsidRPr="004A3D0D" w:rsidRDefault="004A3D0D" w:rsidP="004A3D0D">
      <w:pPr>
        <w:pStyle w:val="Bibliography"/>
      </w:pPr>
      <w:r w:rsidRPr="004A3D0D">
        <w:t xml:space="preserve">de Grip, A., Fouarge, D., Montizaan, R., &amp; Schreurs, B. (2020). Train to retain: Training opportunities, positive reciprocity, and expected retirement age. </w:t>
      </w:r>
      <w:r w:rsidRPr="004A3D0D">
        <w:rPr>
          <w:i/>
          <w:iCs/>
        </w:rPr>
        <w:t>Journal of Vocational Behavior, Sustainable Careers across the Lifespan: A Contemporary Perspective</w:t>
      </w:r>
      <w:r w:rsidRPr="004A3D0D">
        <w:t xml:space="preserve">, </w:t>
      </w:r>
      <w:r w:rsidRPr="004A3D0D">
        <w:rPr>
          <w:i/>
          <w:iCs/>
        </w:rPr>
        <w:t>117</w:t>
      </w:r>
      <w:r w:rsidRPr="004A3D0D">
        <w:t>, 103332. https://doi.org/10.1016/j.jvb.2019.103332</w:t>
      </w:r>
    </w:p>
    <w:p w14:paraId="67BE0CF4" w14:textId="77777777" w:rsidR="004A3D0D" w:rsidRPr="004A3D0D" w:rsidRDefault="004A3D0D" w:rsidP="004A3D0D">
      <w:pPr>
        <w:pStyle w:val="Bibliography"/>
      </w:pPr>
      <w:r w:rsidRPr="004A3D0D">
        <w:t xml:space="preserve">Deschermeier, P., &amp; Schäfer, H. (2024). </w:t>
      </w:r>
      <w:r w:rsidRPr="004A3D0D">
        <w:rPr>
          <w:i/>
          <w:iCs/>
        </w:rPr>
        <w:t>Die Babyboomer gehen in Rente</w:t>
      </w:r>
      <w:r w:rsidRPr="004A3D0D">
        <w:t xml:space="preserve"> (No. 78; IW-Kurzbericht). Institut der deutschen Wirtschaft. https://www.iwkoeln.de/fileadmin/user_upload/Studien/Kurzberichte/PDF/2024/IW-Kurzbericht_2024-Babyboomer.pdf</w:t>
      </w:r>
    </w:p>
    <w:p w14:paraId="0103DACA" w14:textId="77777777" w:rsidR="004A3D0D" w:rsidRPr="004A3D0D" w:rsidRDefault="004A3D0D" w:rsidP="004A3D0D">
      <w:pPr>
        <w:pStyle w:val="Bibliography"/>
      </w:pPr>
      <w:r w:rsidRPr="004A3D0D">
        <w:t xml:space="preserve">Driver, T., &amp; Henshon, A. (2020). Working Longer Solves (Almost) Everything: The Correlation between Employment, Social Engagement and Longevity. </w:t>
      </w:r>
      <w:r w:rsidRPr="004A3D0D">
        <w:rPr>
          <w:i/>
          <w:iCs/>
        </w:rPr>
        <w:t>SSRN Electronic Journal</w:t>
      </w:r>
      <w:r w:rsidRPr="004A3D0D">
        <w:t>. https://doi.org/10.2139/ssrn.3646467</w:t>
      </w:r>
    </w:p>
    <w:p w14:paraId="0BED2B50" w14:textId="77777777" w:rsidR="004A3D0D" w:rsidRPr="004A3D0D" w:rsidRDefault="004A3D0D" w:rsidP="004A3D0D">
      <w:pPr>
        <w:pStyle w:val="Bibliography"/>
      </w:pPr>
      <w:r w:rsidRPr="004A3D0D">
        <w:t xml:space="preserve">Eurostat. (2024). </w:t>
      </w:r>
      <w:r w:rsidRPr="004A3D0D">
        <w:rPr>
          <w:i/>
          <w:iCs/>
        </w:rPr>
        <w:t>Employment and activity by sex and age—Annual data</w:t>
      </w:r>
      <w:r w:rsidRPr="004A3D0D">
        <w:t xml:space="preserve"> [Data set]. https://doi.org/https://doi.org/10.2908/LFSI_EMP_A</w:t>
      </w:r>
    </w:p>
    <w:p w14:paraId="24A34AD2" w14:textId="77777777" w:rsidR="004A3D0D" w:rsidRPr="004A3D0D" w:rsidRDefault="004A3D0D" w:rsidP="004A3D0D">
      <w:pPr>
        <w:pStyle w:val="Bibliography"/>
      </w:pPr>
      <w:r w:rsidRPr="004A3D0D">
        <w:t xml:space="preserve">Fasbender, U., Froidevaux, A., &amp; Klehe, U.-C. (2026). Age-Inclusive HR Practices as Resource Passageways: Explaining Retirement Intentions Through Employability and Job Insecurity. </w:t>
      </w:r>
      <w:r w:rsidRPr="004A3D0D">
        <w:rPr>
          <w:i/>
          <w:iCs/>
        </w:rPr>
        <w:t>Human Resource Management</w:t>
      </w:r>
      <w:r w:rsidRPr="004A3D0D">
        <w:t xml:space="preserve">, </w:t>
      </w:r>
      <w:r w:rsidRPr="004A3D0D">
        <w:rPr>
          <w:i/>
          <w:iCs/>
        </w:rPr>
        <w:t>65</w:t>
      </w:r>
      <w:r w:rsidRPr="004A3D0D">
        <w:t>(2), 473–491. https://doi.org/10.1002/hrm.70036</w:t>
      </w:r>
    </w:p>
    <w:p w14:paraId="277A2675" w14:textId="77777777" w:rsidR="004A3D0D" w:rsidRPr="004A3D0D" w:rsidRDefault="004A3D0D" w:rsidP="004A3D0D">
      <w:pPr>
        <w:pStyle w:val="Bibliography"/>
      </w:pPr>
      <w:r w:rsidRPr="004A3D0D">
        <w:t xml:space="preserve">Friedman, A. L. (2023). Continuing professional development as lifelong learning and education. </w:t>
      </w:r>
      <w:r w:rsidRPr="004A3D0D">
        <w:rPr>
          <w:i/>
          <w:iCs/>
        </w:rPr>
        <w:t>International Journal of Lifelong Education</w:t>
      </w:r>
      <w:r w:rsidRPr="004A3D0D">
        <w:t xml:space="preserve">, </w:t>
      </w:r>
      <w:r w:rsidRPr="004A3D0D">
        <w:rPr>
          <w:i/>
          <w:iCs/>
        </w:rPr>
        <w:t>42</w:t>
      </w:r>
      <w:r w:rsidRPr="004A3D0D">
        <w:t>(6), 588–602. https://doi.org/10.1080/02601370.2023.2267770</w:t>
      </w:r>
    </w:p>
    <w:p w14:paraId="14220F44" w14:textId="77777777" w:rsidR="004A3D0D" w:rsidRPr="004A3D0D" w:rsidRDefault="004A3D0D" w:rsidP="004A3D0D">
      <w:pPr>
        <w:pStyle w:val="Bibliography"/>
      </w:pPr>
      <w:r w:rsidRPr="004A3D0D">
        <w:lastRenderedPageBreak/>
        <w:t xml:space="preserve">Garthe, N., &amp; Hasselhorn, H. M. (2023). Wollen und können ältere Beschäftigte länger erwerbstätig bleiben, wenn sich ihre Arbeit verbessert? </w:t>
      </w:r>
      <w:r w:rsidRPr="004A3D0D">
        <w:rPr>
          <w:i/>
          <w:iCs/>
        </w:rPr>
        <w:t>Zentralblatt für Arbeitsmedizin, Arbeitsschutz und Ergonomie</w:t>
      </w:r>
      <w:r w:rsidRPr="004A3D0D">
        <w:t xml:space="preserve">, </w:t>
      </w:r>
      <w:r w:rsidRPr="004A3D0D">
        <w:rPr>
          <w:i/>
          <w:iCs/>
        </w:rPr>
        <w:t>73</w:t>
      </w:r>
      <w:r w:rsidRPr="004A3D0D">
        <w:t>(2), 49–63. https://doi.org/10.1007/s40664-022-00490-w</w:t>
      </w:r>
    </w:p>
    <w:p w14:paraId="79B05ABC" w14:textId="77777777" w:rsidR="004A3D0D" w:rsidRPr="004A3D0D" w:rsidRDefault="004A3D0D" w:rsidP="004A3D0D">
      <w:pPr>
        <w:pStyle w:val="Bibliography"/>
      </w:pPr>
      <w:r w:rsidRPr="004A3D0D">
        <w:t xml:space="preserve">Huber, M., Lechner, M., &amp; Steinmayr, A. (2012). </w:t>
      </w:r>
      <w:r w:rsidRPr="004A3D0D">
        <w:rPr>
          <w:i/>
          <w:iCs/>
        </w:rPr>
        <w:t>Radius matching on the propensity score with bias adjustment: Finite sample behaviour, tuning parameters and software implementation</w:t>
      </w:r>
      <w:r w:rsidRPr="004A3D0D">
        <w:t>. University of St.Gallen, School of Economics and Political Science, Economics Working Paper Series No. 1226.</w:t>
      </w:r>
    </w:p>
    <w:p w14:paraId="7D95DB3D" w14:textId="77777777" w:rsidR="004A3D0D" w:rsidRPr="004A3D0D" w:rsidRDefault="004A3D0D" w:rsidP="004A3D0D">
      <w:pPr>
        <w:pStyle w:val="Bibliography"/>
      </w:pPr>
      <w:r w:rsidRPr="004A3D0D">
        <w:t xml:space="preserve">Huber, M., Lechner, M., &amp; Steinmayr, A. (2015). Radius matching on the propensity score with bias adjustment: Tuning parameters and finite sample behaviour. </w:t>
      </w:r>
      <w:r w:rsidRPr="004A3D0D">
        <w:rPr>
          <w:i/>
          <w:iCs/>
        </w:rPr>
        <w:t>Empirical Economics</w:t>
      </w:r>
      <w:r w:rsidRPr="004A3D0D">
        <w:t xml:space="preserve">, </w:t>
      </w:r>
      <w:r w:rsidRPr="004A3D0D">
        <w:rPr>
          <w:i/>
          <w:iCs/>
        </w:rPr>
        <w:t>49</w:t>
      </w:r>
      <w:r w:rsidRPr="004A3D0D">
        <w:t>(1), 1–31. https://doi.org/10.1007/s00181-014-0847-1</w:t>
      </w:r>
    </w:p>
    <w:p w14:paraId="79089BD5" w14:textId="77777777" w:rsidR="004A3D0D" w:rsidRPr="004A3D0D" w:rsidRDefault="004A3D0D" w:rsidP="004A3D0D">
      <w:pPr>
        <w:pStyle w:val="Bibliography"/>
      </w:pPr>
      <w:r w:rsidRPr="004A3D0D">
        <w:t xml:space="preserve">Kristensen, N. (2012). </w:t>
      </w:r>
      <w:r w:rsidRPr="004A3D0D">
        <w:rPr>
          <w:i/>
          <w:iCs/>
        </w:rPr>
        <w:t>Training and Retirement</w:t>
      </w:r>
      <w:r w:rsidRPr="004A3D0D">
        <w:t xml:space="preserve"> (No. 6301; IZA Discussion Papers). https://www.ssrn.com/abstract=1999329</w:t>
      </w:r>
    </w:p>
    <w:p w14:paraId="5A4F3124" w14:textId="77777777" w:rsidR="004A3D0D" w:rsidRPr="004A3D0D" w:rsidRDefault="004A3D0D" w:rsidP="004A3D0D">
      <w:pPr>
        <w:pStyle w:val="Bibliography"/>
      </w:pPr>
      <w:r w:rsidRPr="004A3D0D">
        <w:t xml:space="preserve">Kuitto, K., &amp; Helmdag, J. (2021). Extending working lives: How policies shape retirement and labour market participation of older workers. </w:t>
      </w:r>
      <w:r w:rsidRPr="004A3D0D">
        <w:rPr>
          <w:i/>
          <w:iCs/>
        </w:rPr>
        <w:t>Social Policy &amp; Administration</w:t>
      </w:r>
      <w:r w:rsidRPr="004A3D0D">
        <w:t xml:space="preserve">, </w:t>
      </w:r>
      <w:r w:rsidRPr="004A3D0D">
        <w:rPr>
          <w:i/>
          <w:iCs/>
        </w:rPr>
        <w:t>55</w:t>
      </w:r>
      <w:r w:rsidRPr="004A3D0D">
        <w:t>(3), 423–439. https://doi.org/10.1111/spol.12717</w:t>
      </w:r>
    </w:p>
    <w:p w14:paraId="2B1D082C" w14:textId="77777777" w:rsidR="004A3D0D" w:rsidRPr="004A3D0D" w:rsidRDefault="004A3D0D" w:rsidP="004A3D0D">
      <w:pPr>
        <w:pStyle w:val="Bibliography"/>
      </w:pPr>
      <w:r w:rsidRPr="004A3D0D">
        <w:t xml:space="preserve">Laaksonen, M. (2021). Increasing labor force participation in older age requires investments in work ability. </w:t>
      </w:r>
      <w:r w:rsidRPr="004A3D0D">
        <w:rPr>
          <w:i/>
          <w:iCs/>
        </w:rPr>
        <w:t>Scandinavian Journal of Work, Environment &amp; Health</w:t>
      </w:r>
      <w:r w:rsidRPr="004A3D0D">
        <w:t xml:space="preserve">, </w:t>
      </w:r>
      <w:r w:rsidRPr="004A3D0D">
        <w:rPr>
          <w:i/>
          <w:iCs/>
        </w:rPr>
        <w:t>47</w:t>
      </w:r>
      <w:r w:rsidRPr="004A3D0D">
        <w:t>(1), 1–3. https://doi.org/10.5271/sjweh.3941</w:t>
      </w:r>
    </w:p>
    <w:p w14:paraId="13CF4E83" w14:textId="77777777" w:rsidR="004A3D0D" w:rsidRPr="004A3D0D" w:rsidRDefault="004A3D0D" w:rsidP="004A3D0D">
      <w:pPr>
        <w:pStyle w:val="Bibliography"/>
      </w:pPr>
      <w:r w:rsidRPr="004A3D0D">
        <w:t xml:space="preserve">Lauder, H. (2020). The roles of higher education, further education and lifelong learning in the future economy. </w:t>
      </w:r>
      <w:r w:rsidRPr="004A3D0D">
        <w:rPr>
          <w:i/>
          <w:iCs/>
        </w:rPr>
        <w:t>Journal of Education and Work</w:t>
      </w:r>
      <w:r w:rsidRPr="004A3D0D">
        <w:t xml:space="preserve">, </w:t>
      </w:r>
      <w:r w:rsidRPr="004A3D0D">
        <w:rPr>
          <w:i/>
          <w:iCs/>
        </w:rPr>
        <w:t>33</w:t>
      </w:r>
      <w:r w:rsidRPr="004A3D0D">
        <w:t>(7–8), 460–467. https://doi.org/10.1080/13639080.2020.1852499</w:t>
      </w:r>
    </w:p>
    <w:p w14:paraId="1303B8DB" w14:textId="77777777" w:rsidR="004A3D0D" w:rsidRPr="004A3D0D" w:rsidRDefault="004A3D0D" w:rsidP="004A3D0D">
      <w:pPr>
        <w:pStyle w:val="Bibliography"/>
      </w:pPr>
      <w:r w:rsidRPr="004A3D0D">
        <w:t xml:space="preserve">Lee, J., &amp; Desjardins, R. (2019). Inequality in adult learning and education participation: The effects of social origins and social inequality. </w:t>
      </w:r>
      <w:r w:rsidRPr="004A3D0D">
        <w:rPr>
          <w:i/>
          <w:iCs/>
        </w:rPr>
        <w:t xml:space="preserve">International Journal of </w:t>
      </w:r>
      <w:r w:rsidRPr="004A3D0D">
        <w:rPr>
          <w:i/>
          <w:iCs/>
        </w:rPr>
        <w:lastRenderedPageBreak/>
        <w:t>Lifelong Education</w:t>
      </w:r>
      <w:r w:rsidRPr="004A3D0D">
        <w:t xml:space="preserve">, </w:t>
      </w:r>
      <w:r w:rsidRPr="004A3D0D">
        <w:rPr>
          <w:i/>
          <w:iCs/>
        </w:rPr>
        <w:t>38</w:t>
      </w:r>
      <w:r w:rsidRPr="004A3D0D">
        <w:t>(3), 339–359. https://doi.org/10.1080/02601370.2019.1618402</w:t>
      </w:r>
    </w:p>
    <w:p w14:paraId="10D7650E" w14:textId="77777777" w:rsidR="004A3D0D" w:rsidRPr="004A3D0D" w:rsidRDefault="004A3D0D" w:rsidP="004A3D0D">
      <w:pPr>
        <w:pStyle w:val="Bibliography"/>
      </w:pPr>
      <w:r w:rsidRPr="004A3D0D">
        <w:t xml:space="preserve">Lischewski, J., Seeber, S., Wuttke, E., &amp; Rosemann, T. (2020). What Influences Participation in Non-formal and Informal Modes of Continuous Vocational Education and Training? An Analysis of Individual and Institutional Influencing Factors. </w:t>
      </w:r>
      <w:r w:rsidRPr="004A3D0D">
        <w:rPr>
          <w:i/>
          <w:iCs/>
        </w:rPr>
        <w:t>Frontiers in Psychology</w:t>
      </w:r>
      <w:r w:rsidRPr="004A3D0D">
        <w:t xml:space="preserve">, </w:t>
      </w:r>
      <w:r w:rsidRPr="004A3D0D">
        <w:rPr>
          <w:i/>
          <w:iCs/>
        </w:rPr>
        <w:t>11</w:t>
      </w:r>
      <w:r w:rsidRPr="004A3D0D">
        <w:t>, 534485. https://doi.org/10.3389/fpsyg.2020.534485</w:t>
      </w:r>
    </w:p>
    <w:p w14:paraId="324C861B" w14:textId="77777777" w:rsidR="004A3D0D" w:rsidRPr="004A3D0D" w:rsidRDefault="004A3D0D" w:rsidP="004A3D0D">
      <w:pPr>
        <w:pStyle w:val="Bibliography"/>
      </w:pPr>
      <w:r w:rsidRPr="004A3D0D">
        <w:t xml:space="preserve">Luthans, F., Avey, J. B., Avolio, B. J., &amp; Peterson, S. J. (2010). The development and resulting performance impact of positive psychological capital. </w:t>
      </w:r>
      <w:r w:rsidRPr="004A3D0D">
        <w:rPr>
          <w:i/>
          <w:iCs/>
        </w:rPr>
        <w:t>Human Resource Development Quarterly</w:t>
      </w:r>
      <w:r w:rsidRPr="004A3D0D">
        <w:t xml:space="preserve">, </w:t>
      </w:r>
      <w:r w:rsidRPr="004A3D0D">
        <w:rPr>
          <w:i/>
          <w:iCs/>
        </w:rPr>
        <w:t>21</w:t>
      </w:r>
      <w:r w:rsidRPr="004A3D0D">
        <w:t>(1), 41–67. https://doi.org/10.1002/hrdq.20034</w:t>
      </w:r>
    </w:p>
    <w:p w14:paraId="3CC1803E" w14:textId="77777777" w:rsidR="004A3D0D" w:rsidRPr="004A3D0D" w:rsidRDefault="004A3D0D" w:rsidP="004A3D0D">
      <w:pPr>
        <w:pStyle w:val="Bibliography"/>
      </w:pPr>
      <w:r w:rsidRPr="004A3D0D">
        <w:t xml:space="preserve">Ma, X., Nakab, A., &amp; Vidart, D. (2024). Human Capital Investment and Development: The Role of On-the-Job Training. </w:t>
      </w:r>
      <w:r w:rsidRPr="004A3D0D">
        <w:rPr>
          <w:i/>
          <w:iCs/>
        </w:rPr>
        <w:t>Journal of Political Economy Macroeconomics</w:t>
      </w:r>
      <w:r w:rsidRPr="004A3D0D">
        <w:t xml:space="preserve">, </w:t>
      </w:r>
      <w:r w:rsidRPr="004A3D0D">
        <w:rPr>
          <w:i/>
          <w:iCs/>
        </w:rPr>
        <w:t>2</w:t>
      </w:r>
      <w:r w:rsidRPr="004A3D0D">
        <w:t>(1), 107–148. https://doi.org/10.1086/728667</w:t>
      </w:r>
    </w:p>
    <w:p w14:paraId="66619A78" w14:textId="77777777" w:rsidR="004A3D0D" w:rsidRPr="004A3D0D" w:rsidRDefault="004A3D0D" w:rsidP="004A3D0D">
      <w:pPr>
        <w:pStyle w:val="Bibliography"/>
      </w:pPr>
      <w:r w:rsidRPr="004A3D0D">
        <w:t xml:space="preserve">Müller, C. E. (2012). </w:t>
      </w:r>
      <w:r w:rsidRPr="004A3D0D">
        <w:rPr>
          <w:i/>
          <w:iCs/>
        </w:rPr>
        <w:t>Quasiexperimentelle Wirkungsevaluation mit Propensity Score Matching: Ein Leitfaden für die Umsetzung mit Stata</w:t>
      </w:r>
      <w:r w:rsidRPr="004A3D0D">
        <w:t>. CEval-Arbeitspapier, 19. https://www.ssoar.info/ssoar/bitstream/handle/document/42894/ssoar-2012-muller-Quasiexperimentelle_Wirkungsevaluation_mit_Propensity_Score.pdf?sequence=1&amp;isAllowed=y&amp;lnkname=ssoar-2012-muller-Quasiexperimentelle_Wirkungsevaluation_mit_Propensity_Score.pdf</w:t>
      </w:r>
    </w:p>
    <w:p w14:paraId="496FE687" w14:textId="77777777" w:rsidR="004A3D0D" w:rsidRPr="004A3D0D" w:rsidRDefault="004A3D0D" w:rsidP="004A3D0D">
      <w:pPr>
        <w:pStyle w:val="Bibliography"/>
      </w:pPr>
      <w:r w:rsidRPr="004A3D0D">
        <w:t xml:space="preserve">Naegele, L., Schmitz, W., Staniczek, S., &amp; Heß, M. (2025). Continuing Vocational Educational Training, Self-Directed Ageism, and Extending Working Lives: </w:t>
      </w:r>
      <w:r w:rsidRPr="004A3D0D">
        <w:lastRenderedPageBreak/>
        <w:t xml:space="preserve">Evidence from the German Ageing Survey. </w:t>
      </w:r>
      <w:r w:rsidRPr="004A3D0D">
        <w:rPr>
          <w:i/>
          <w:iCs/>
        </w:rPr>
        <w:t>KZfSS Kölner Zeitschrift Für Soziologie Und Sozialpsychologie</w:t>
      </w:r>
      <w:r w:rsidRPr="004A3D0D">
        <w:t>. https://doi.org/10.1007/s11577-025-01023-y</w:t>
      </w:r>
    </w:p>
    <w:p w14:paraId="64EBA953" w14:textId="77777777" w:rsidR="004A3D0D" w:rsidRPr="004A3D0D" w:rsidRDefault="004A3D0D" w:rsidP="004A3D0D">
      <w:pPr>
        <w:pStyle w:val="Bibliography"/>
      </w:pPr>
      <w:r w:rsidRPr="004A3D0D">
        <w:t xml:space="preserve">Nauman, S., Bhatti, S., Jalil, F., &amp; Bint E Riaz, M. (2021). How training at work influences employees’ job satisfaction: Roles of affective commitment and job performance. </w:t>
      </w:r>
      <w:r w:rsidRPr="004A3D0D">
        <w:rPr>
          <w:i/>
          <w:iCs/>
        </w:rPr>
        <w:t>International Journal of Training Research</w:t>
      </w:r>
      <w:r w:rsidRPr="004A3D0D">
        <w:t xml:space="preserve">, </w:t>
      </w:r>
      <w:r w:rsidRPr="004A3D0D">
        <w:rPr>
          <w:i/>
          <w:iCs/>
        </w:rPr>
        <w:t>19</w:t>
      </w:r>
      <w:r w:rsidRPr="004A3D0D">
        <w:t>(1), 61–76. https://doi.org/10.1080/14480220.2020.1864444</w:t>
      </w:r>
    </w:p>
    <w:p w14:paraId="3FCBBEA7" w14:textId="77777777" w:rsidR="004A3D0D" w:rsidRPr="004A3D0D" w:rsidRDefault="004A3D0D" w:rsidP="004A3D0D">
      <w:pPr>
        <w:pStyle w:val="Bibliography"/>
      </w:pPr>
      <w:r w:rsidRPr="004A3D0D">
        <w:t xml:space="preserve">Peter, R., &amp; Hasselhorn, H. M. (2013). Arbeit, Alter, Gesundheit und Erwerbsteilhabe: Ein Modell. </w:t>
      </w:r>
      <w:r w:rsidRPr="004A3D0D">
        <w:rPr>
          <w:i/>
          <w:iCs/>
        </w:rPr>
        <w:t>Bundesgesundheitsblatt - Gesundheitsforschung - Gesundheitsschutz</w:t>
      </w:r>
      <w:r w:rsidRPr="004A3D0D">
        <w:t xml:space="preserve">, </w:t>
      </w:r>
      <w:r w:rsidRPr="004A3D0D">
        <w:rPr>
          <w:i/>
          <w:iCs/>
        </w:rPr>
        <w:t>56</w:t>
      </w:r>
      <w:r w:rsidRPr="004A3D0D">
        <w:t>(3), 415–421. https://doi.org/10.1007/s00103-012-1615-z</w:t>
      </w:r>
    </w:p>
    <w:p w14:paraId="065DDCEC" w14:textId="77777777" w:rsidR="004A3D0D" w:rsidRPr="004A3D0D" w:rsidRDefault="004A3D0D" w:rsidP="004A3D0D">
      <w:pPr>
        <w:pStyle w:val="Bibliography"/>
      </w:pPr>
      <w:r w:rsidRPr="004A3D0D">
        <w:t xml:space="preserve">Seeberg, K. G. V., Skovlund, S. V., Sundstrup, E., Mortensen, O. S., &amp; Andersen, L. L. (2025). Participation in and use of skills development for work ability and expected retirement age: A cross-sectional study among senior workers. </w:t>
      </w:r>
      <w:r w:rsidRPr="004A3D0D">
        <w:rPr>
          <w:i/>
          <w:iCs/>
        </w:rPr>
        <w:t>Frontiers in Public Health</w:t>
      </w:r>
      <w:r w:rsidRPr="004A3D0D">
        <w:t xml:space="preserve">, </w:t>
      </w:r>
      <w:r w:rsidRPr="004A3D0D">
        <w:rPr>
          <w:i/>
          <w:iCs/>
        </w:rPr>
        <w:t>Volume 13-2025</w:t>
      </w:r>
      <w:r w:rsidRPr="004A3D0D">
        <w:t>. https://www.frontiersin.org/journals/public-health/articles/10.3389/fpubh.2025.1511204</w:t>
      </w:r>
    </w:p>
    <w:p w14:paraId="59F0EB73" w14:textId="77777777" w:rsidR="004A3D0D" w:rsidRPr="004A3D0D" w:rsidRDefault="004A3D0D" w:rsidP="004A3D0D">
      <w:pPr>
        <w:pStyle w:val="Bibliography"/>
      </w:pPr>
      <w:r w:rsidRPr="004A3D0D">
        <w:t xml:space="preserve">Simonson, J., Wünsche, J., Bünning, M., Svenja, S., Weinhardt, M., Ehrlich, U., Huxhold, O., Kelle, N., Lozano, A., Stuth, S., Hameister, N., &amp; Tesch-Römer, C. (2025). </w:t>
      </w:r>
      <w:r w:rsidRPr="004A3D0D">
        <w:rPr>
          <w:i/>
          <w:iCs/>
        </w:rPr>
        <w:t>Scientific Use Files German Ageing Survey (SUFs DEAS) 1996-2023, Version 1.0Scientific Use Files Deutscher Alterssurvey (SUFs DEAS) 1996-2023, Version 1.0</w:t>
      </w:r>
      <w:r w:rsidRPr="004A3D0D">
        <w:t xml:space="preserve"> (Version 1.0) [Data set]. German   Centre of Gerontology. https://doi.org/10.5156/DEAS.1996-2023.M.001</w:t>
      </w:r>
    </w:p>
    <w:p w14:paraId="0A8590F1" w14:textId="77777777" w:rsidR="004A3D0D" w:rsidRPr="004A3D0D" w:rsidRDefault="004A3D0D" w:rsidP="004A3D0D">
      <w:pPr>
        <w:pStyle w:val="Bibliography"/>
      </w:pPr>
      <w:r w:rsidRPr="004A3D0D">
        <w:t xml:space="preserve">Stenberg, A., de Luna, X., &amp; Westerlund, O. (2012). Can adult education delay retirement from the labour market? </w:t>
      </w:r>
      <w:r w:rsidRPr="004A3D0D">
        <w:rPr>
          <w:i/>
          <w:iCs/>
        </w:rPr>
        <w:t>Journal of Population Economics</w:t>
      </w:r>
      <w:r w:rsidRPr="004A3D0D">
        <w:t xml:space="preserve">, </w:t>
      </w:r>
      <w:r w:rsidRPr="004A3D0D">
        <w:rPr>
          <w:i/>
          <w:iCs/>
        </w:rPr>
        <w:t>25</w:t>
      </w:r>
      <w:r w:rsidRPr="004A3D0D">
        <w:t>(2), 677–696. https://doi.org/10.1007/s00148-010-0350-8</w:t>
      </w:r>
    </w:p>
    <w:p w14:paraId="4116322F" w14:textId="77777777" w:rsidR="004A3D0D" w:rsidRPr="004A3D0D" w:rsidRDefault="004A3D0D" w:rsidP="004A3D0D">
      <w:pPr>
        <w:pStyle w:val="Bibliography"/>
      </w:pPr>
      <w:r w:rsidRPr="004A3D0D">
        <w:lastRenderedPageBreak/>
        <w:t xml:space="preserve">Stengård, J., Leineweber, C., Virtanen, M., Westerlund, H., &amp; Wang, H.-X. (2022). Do good psychosocial working conditions prolong working lives? Findings from a prospective study in Sweden. </w:t>
      </w:r>
      <w:r w:rsidRPr="004A3D0D">
        <w:rPr>
          <w:i/>
          <w:iCs/>
        </w:rPr>
        <w:t>European Journal of Ageing</w:t>
      </w:r>
      <w:r w:rsidRPr="004A3D0D">
        <w:t xml:space="preserve">, </w:t>
      </w:r>
      <w:r w:rsidRPr="004A3D0D">
        <w:rPr>
          <w:i/>
          <w:iCs/>
        </w:rPr>
        <w:t>19</w:t>
      </w:r>
      <w:r w:rsidRPr="004A3D0D">
        <w:t>(3), 677–688. https://doi.org/10.1007/s10433-021-00672-0</w:t>
      </w:r>
    </w:p>
    <w:p w14:paraId="0B901D9A" w14:textId="77777777" w:rsidR="004A3D0D" w:rsidRPr="004A3D0D" w:rsidRDefault="004A3D0D" w:rsidP="004A3D0D">
      <w:pPr>
        <w:pStyle w:val="Bibliography"/>
      </w:pPr>
      <w:r w:rsidRPr="004A3D0D">
        <w:t xml:space="preserve">Stuth, S., Hameister, N., Schwichtenberg, B., Erdmann-Linge, A., Engstler, H., Lozano, A., Luitjens, M., Klaus, D., &amp; Kortmann, L. (2025). </w:t>
      </w:r>
      <w:r w:rsidRPr="004A3D0D">
        <w:rPr>
          <w:i/>
          <w:iCs/>
        </w:rPr>
        <w:t>Deutscher Alterssurvey (DEAS): Documentation of instruments and variables 1996-2023</w:t>
      </w:r>
      <w:r w:rsidRPr="004A3D0D">
        <w:t xml:space="preserve"> (Version 1.0) [Application/pdf]. German   Centre of Gerontology. https://doi.org/10.5156/DEAS.1996-2023.D.001</w:t>
      </w:r>
    </w:p>
    <w:p w14:paraId="32CC5F55" w14:textId="77777777" w:rsidR="004A3D0D" w:rsidRPr="004A3D0D" w:rsidRDefault="004A3D0D" w:rsidP="004A3D0D">
      <w:pPr>
        <w:pStyle w:val="Bibliography"/>
      </w:pPr>
      <w:r w:rsidRPr="004A3D0D">
        <w:t xml:space="preserve">Taneva, S. K., &amp; Arnold, J. (2018). Thriving, Surviving and Performing in Late Career: A Mixed-Method Study of Pathways to Successful Aging in Organizations. </w:t>
      </w:r>
      <w:r w:rsidRPr="004A3D0D">
        <w:rPr>
          <w:i/>
          <w:iCs/>
        </w:rPr>
        <w:t>Work, Aging and Retirement</w:t>
      </w:r>
      <w:r w:rsidRPr="004A3D0D">
        <w:t xml:space="preserve">, </w:t>
      </w:r>
      <w:r w:rsidRPr="004A3D0D">
        <w:rPr>
          <w:i/>
          <w:iCs/>
        </w:rPr>
        <w:t>4</w:t>
      </w:r>
      <w:r w:rsidRPr="004A3D0D">
        <w:t>(2), 189–212. https://doi.org/10.1093/workar/wax027</w:t>
      </w:r>
    </w:p>
    <w:p w14:paraId="6572172B" w14:textId="77777777" w:rsidR="004A3D0D" w:rsidRPr="004A3D0D" w:rsidRDefault="004A3D0D" w:rsidP="004A3D0D">
      <w:pPr>
        <w:pStyle w:val="Bibliography"/>
      </w:pPr>
      <w:r w:rsidRPr="004A3D0D">
        <w:t xml:space="preserve">Tikkanen, T., &amp; Nissinen, K. (2016). Participation in job-related lifelong learning among well-educated employees in the Nordic countries. </w:t>
      </w:r>
      <w:r w:rsidRPr="004A3D0D">
        <w:rPr>
          <w:i/>
          <w:iCs/>
        </w:rPr>
        <w:t>International Journal of Lifelong Education</w:t>
      </w:r>
      <w:r w:rsidRPr="004A3D0D">
        <w:t xml:space="preserve">, </w:t>
      </w:r>
      <w:r w:rsidRPr="004A3D0D">
        <w:rPr>
          <w:i/>
          <w:iCs/>
        </w:rPr>
        <w:t>35</w:t>
      </w:r>
      <w:r w:rsidRPr="004A3D0D">
        <w:t>(3), 216–234. https://doi.org/10.1080/02601370.2016.1165749</w:t>
      </w:r>
    </w:p>
    <w:p w14:paraId="64EFBDE9" w14:textId="77777777" w:rsidR="004A3D0D" w:rsidRPr="004A3D0D" w:rsidRDefault="004A3D0D" w:rsidP="004A3D0D">
      <w:pPr>
        <w:pStyle w:val="Bibliography"/>
      </w:pPr>
      <w:r w:rsidRPr="004A3D0D">
        <w:t xml:space="preserve">Turek, K., &amp; Henkens, K. (2021). Participation in training at older ages: A European perspective on path dependency in life course trajectories. </w:t>
      </w:r>
      <w:r w:rsidRPr="004A3D0D">
        <w:rPr>
          <w:i/>
          <w:iCs/>
        </w:rPr>
        <w:t>Advances in Life Course Research</w:t>
      </w:r>
      <w:r w:rsidRPr="004A3D0D">
        <w:t xml:space="preserve">, </w:t>
      </w:r>
      <w:r w:rsidRPr="004A3D0D">
        <w:rPr>
          <w:i/>
          <w:iCs/>
        </w:rPr>
        <w:t>48</w:t>
      </w:r>
      <w:r w:rsidRPr="004A3D0D">
        <w:t>, 100396. https://doi.org/10.1016/j.alcr.2020.100396</w:t>
      </w:r>
    </w:p>
    <w:p w14:paraId="5C55860F" w14:textId="77777777" w:rsidR="004A3D0D" w:rsidRPr="004A3D0D" w:rsidRDefault="004A3D0D" w:rsidP="004A3D0D">
      <w:pPr>
        <w:pStyle w:val="Bibliography"/>
      </w:pPr>
      <w:r w:rsidRPr="004A3D0D">
        <w:t xml:space="preserve">Van Solinge, H., &amp; Henkens, K. (2014). Work-related factors as predictors in the retirement decision-making process of older workers in the Netherlands. </w:t>
      </w:r>
      <w:r w:rsidRPr="004A3D0D">
        <w:rPr>
          <w:i/>
          <w:iCs/>
        </w:rPr>
        <w:t>Ageing &amp; Society</w:t>
      </w:r>
      <w:r w:rsidRPr="004A3D0D">
        <w:t xml:space="preserve">, </w:t>
      </w:r>
      <w:r w:rsidRPr="004A3D0D">
        <w:rPr>
          <w:i/>
          <w:iCs/>
        </w:rPr>
        <w:t>34</w:t>
      </w:r>
      <w:r w:rsidRPr="004A3D0D">
        <w:t>(9), 1551–1574. https://doi.org/10.1017/S0144686X13000330</w:t>
      </w:r>
    </w:p>
    <w:p w14:paraId="5804D54C" w14:textId="77777777" w:rsidR="004A3D0D" w:rsidRPr="004A3D0D" w:rsidRDefault="004A3D0D" w:rsidP="004A3D0D">
      <w:pPr>
        <w:pStyle w:val="Bibliography"/>
      </w:pPr>
      <w:r w:rsidRPr="004A3D0D">
        <w:t xml:space="preserve">Virtanen, M., Oksanen, T., Batty, G. D., Ala-Mursula, L., Salo, P., Elovainio, M., Pentti, J., Lybäck, K., Vahtera, J., &amp; Kivimäki, M. (2014). Extending Employment beyond the </w:t>
      </w:r>
      <w:r w:rsidRPr="004A3D0D">
        <w:lastRenderedPageBreak/>
        <w:t xml:space="preserve">Pensionable Age: A Cohort Study of the Influence of Chronic Diseases, Health Risk Factors, and Working Conditions. </w:t>
      </w:r>
      <w:r w:rsidRPr="004A3D0D">
        <w:rPr>
          <w:i/>
          <w:iCs/>
        </w:rPr>
        <w:t>PLoS ONE</w:t>
      </w:r>
      <w:r w:rsidRPr="004A3D0D">
        <w:t xml:space="preserve">, </w:t>
      </w:r>
      <w:r w:rsidRPr="004A3D0D">
        <w:rPr>
          <w:i/>
          <w:iCs/>
        </w:rPr>
        <w:t>9</w:t>
      </w:r>
      <w:r w:rsidRPr="004A3D0D">
        <w:t>(2), e88695. https://doi.org/10.1371/journal.pone.0088695</w:t>
      </w:r>
    </w:p>
    <w:p w14:paraId="4C77BB5F" w14:textId="77777777" w:rsidR="004A3D0D" w:rsidRPr="004A3D0D" w:rsidRDefault="004A3D0D" w:rsidP="004A3D0D">
      <w:pPr>
        <w:pStyle w:val="Bibliography"/>
      </w:pPr>
      <w:r w:rsidRPr="004A3D0D">
        <w:t xml:space="preserve">Xin, X., Gao, L., &amp; He, Y. (2025). Empowering older workers through self-regulation: How job crafting and leisure crafting enhance mindfulness and well-being at work. </w:t>
      </w:r>
      <w:r w:rsidRPr="004A3D0D">
        <w:rPr>
          <w:i/>
          <w:iCs/>
        </w:rPr>
        <w:t>Work, Aging and Retirement</w:t>
      </w:r>
      <w:r w:rsidRPr="004A3D0D">
        <w:t xml:space="preserve">, </w:t>
      </w:r>
      <w:r w:rsidRPr="004A3D0D">
        <w:rPr>
          <w:i/>
          <w:iCs/>
        </w:rPr>
        <w:t>11</w:t>
      </w:r>
      <w:r w:rsidRPr="004A3D0D">
        <w:t>(3), 266–281. https://doi.org/10.1093/workar/waae017</w:t>
      </w:r>
    </w:p>
    <w:p w14:paraId="285C0188" w14:textId="77777777" w:rsidR="004A3D0D" w:rsidRPr="004A3D0D" w:rsidRDefault="004A3D0D" w:rsidP="004A3D0D">
      <w:pPr>
        <w:pStyle w:val="Bibliography"/>
      </w:pPr>
      <w:r w:rsidRPr="004A3D0D">
        <w:t xml:space="preserve">Zwick, T. (2015). Training older employees: What is effective? </w:t>
      </w:r>
      <w:r w:rsidRPr="004A3D0D">
        <w:rPr>
          <w:i/>
          <w:iCs/>
        </w:rPr>
        <w:t>International Journal of Manpower</w:t>
      </w:r>
      <w:r w:rsidRPr="004A3D0D">
        <w:t xml:space="preserve">, </w:t>
      </w:r>
      <w:r w:rsidRPr="004A3D0D">
        <w:rPr>
          <w:i/>
          <w:iCs/>
        </w:rPr>
        <w:t>36</w:t>
      </w:r>
      <w:r w:rsidRPr="004A3D0D">
        <w:t>(2), 136–150. https://doi.org/10.1108/IJM-09-2012-0138</w:t>
      </w:r>
    </w:p>
    <w:p w14:paraId="2CCBC6BD" w14:textId="3E271A1D" w:rsidR="009477E3" w:rsidRPr="00D57AE6" w:rsidRDefault="009477E3" w:rsidP="009477E3">
      <w:pPr>
        <w:rPr>
          <w:lang w:val="en-GB"/>
        </w:rPr>
      </w:pPr>
      <w:r w:rsidRPr="00D57AE6">
        <w:rPr>
          <w:lang w:val="en-GB"/>
        </w:rPr>
        <w:fldChar w:fldCharType="end"/>
      </w:r>
    </w:p>
    <w:sectPr w:rsidR="009477E3" w:rsidRPr="00D57AE6" w:rsidSect="00EC7A36">
      <w:footerReference w:type="default" r:id="rId14"/>
      <w:pgSz w:w="11906" w:h="16838" w:orient="landscape"/>
      <w:pgMar w:top="1440" w:right="1440" w:bottom="1440" w:left="1440" w:header="706" w:footer="706"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04907" w14:textId="77777777" w:rsidR="00D35A0D" w:rsidRDefault="00D35A0D">
      <w:pPr>
        <w:spacing w:after="0" w:line="240" w:lineRule="auto"/>
      </w:pPr>
      <w:r>
        <w:separator/>
      </w:r>
    </w:p>
  </w:endnote>
  <w:endnote w:type="continuationSeparator" w:id="0">
    <w:p w14:paraId="416202E0" w14:textId="77777777" w:rsidR="00D35A0D" w:rsidRDefault="00D35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2383626"/>
      <w:docPartObj>
        <w:docPartGallery w:val="Page Numbers (Bottom of Page)"/>
        <w:docPartUnique/>
      </w:docPartObj>
    </w:sdtPr>
    <w:sdtEndPr/>
    <w:sdtContent>
      <w:p w14:paraId="46F87327" w14:textId="285401C9" w:rsidR="00AA5F33" w:rsidRDefault="00AA5F33">
        <w:pPr>
          <w:pStyle w:val="Footer"/>
          <w:jc w:val="right"/>
        </w:pPr>
        <w:r>
          <w:fldChar w:fldCharType="begin"/>
        </w:r>
        <w:r>
          <w:instrText>PAGE   \* MERGEFORMAT</w:instrText>
        </w:r>
        <w:r>
          <w:fldChar w:fldCharType="separate"/>
        </w:r>
        <w:r>
          <w:t>2</w:t>
        </w:r>
        <w:r>
          <w:fldChar w:fldCharType="end"/>
        </w:r>
      </w:p>
    </w:sdtContent>
  </w:sdt>
  <w:p w14:paraId="348A60FF" w14:textId="77777777" w:rsidR="00AA5F33" w:rsidRDefault="00AA5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45ABF" w14:textId="77777777" w:rsidR="00D35A0D" w:rsidRDefault="00D35A0D">
      <w:pPr>
        <w:spacing w:after="0" w:line="240" w:lineRule="auto"/>
      </w:pPr>
      <w:r>
        <w:separator/>
      </w:r>
    </w:p>
  </w:footnote>
  <w:footnote w:type="continuationSeparator" w:id="0">
    <w:p w14:paraId="3FD6F42A" w14:textId="77777777" w:rsidR="00D35A0D" w:rsidRDefault="00D35A0D">
      <w:pPr>
        <w:spacing w:after="0" w:line="240" w:lineRule="auto"/>
      </w:pPr>
      <w:r>
        <w:continuationSeparator/>
      </w:r>
    </w:p>
  </w:footnote>
  <w:footnote w:id="1">
    <w:p w14:paraId="1FEA5980" w14:textId="77777777" w:rsidR="00D30788" w:rsidRPr="00C83A13" w:rsidRDefault="00D30788" w:rsidP="00D30788">
      <w:pPr>
        <w:pStyle w:val="FootnoteText"/>
        <w:jc w:val="both"/>
        <w:rPr>
          <w:lang w:val="en-GB"/>
        </w:rPr>
      </w:pPr>
      <w:r w:rsidRPr="00C83A13">
        <w:rPr>
          <w:rStyle w:val="FootnoteReference"/>
          <w:lang w:val="en-GB"/>
        </w:rPr>
        <w:footnoteRef/>
      </w:r>
      <w:r w:rsidRPr="00C83A13">
        <w:rPr>
          <w:lang w:val="en-GB"/>
        </w:rPr>
        <w:t xml:space="preserve"> In the DEAS dataset, the lowest ISCED category refers to individuals who do not have a high school diploma AND no vocational training or a university degree. In this context, our dichotomous classification distinguishes between those in the highest category, who have an academic degree (including those with a degree from a technical college, such as a master craftsman’s certificate), and all others.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5B08D4"/>
    <w:multiLevelType w:val="multilevel"/>
    <w:tmpl w:val="AC2249E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num w:numId="1" w16cid:durableId="113609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381"/>
    <w:rsid w:val="00011FFA"/>
    <w:rsid w:val="00014D1E"/>
    <w:rsid w:val="00017C60"/>
    <w:rsid w:val="00021960"/>
    <w:rsid w:val="000277C3"/>
    <w:rsid w:val="0003413D"/>
    <w:rsid w:val="00036ADF"/>
    <w:rsid w:val="00041047"/>
    <w:rsid w:val="000429BC"/>
    <w:rsid w:val="00046F6E"/>
    <w:rsid w:val="00052251"/>
    <w:rsid w:val="00055955"/>
    <w:rsid w:val="00060B74"/>
    <w:rsid w:val="00064BDC"/>
    <w:rsid w:val="00066440"/>
    <w:rsid w:val="00066B18"/>
    <w:rsid w:val="0006797F"/>
    <w:rsid w:val="0007577E"/>
    <w:rsid w:val="00076011"/>
    <w:rsid w:val="0008159F"/>
    <w:rsid w:val="00083876"/>
    <w:rsid w:val="00091E03"/>
    <w:rsid w:val="00092BAB"/>
    <w:rsid w:val="00094120"/>
    <w:rsid w:val="000941EA"/>
    <w:rsid w:val="000957A8"/>
    <w:rsid w:val="000967B4"/>
    <w:rsid w:val="000A1265"/>
    <w:rsid w:val="000A5A94"/>
    <w:rsid w:val="000A6E52"/>
    <w:rsid w:val="000A785C"/>
    <w:rsid w:val="000B060D"/>
    <w:rsid w:val="000B411A"/>
    <w:rsid w:val="000B42F6"/>
    <w:rsid w:val="000B6F3B"/>
    <w:rsid w:val="000D1AE5"/>
    <w:rsid w:val="000D1F8F"/>
    <w:rsid w:val="000D6262"/>
    <w:rsid w:val="000D71DE"/>
    <w:rsid w:val="000D7B1D"/>
    <w:rsid w:val="000E42E7"/>
    <w:rsid w:val="000F010E"/>
    <w:rsid w:val="000F4F24"/>
    <w:rsid w:val="000F5B38"/>
    <w:rsid w:val="000F7525"/>
    <w:rsid w:val="00101FAE"/>
    <w:rsid w:val="0011118F"/>
    <w:rsid w:val="001112A5"/>
    <w:rsid w:val="00112F48"/>
    <w:rsid w:val="00113C8A"/>
    <w:rsid w:val="001141AC"/>
    <w:rsid w:val="00120B99"/>
    <w:rsid w:val="00121628"/>
    <w:rsid w:val="00122FCB"/>
    <w:rsid w:val="00122FF1"/>
    <w:rsid w:val="0012557E"/>
    <w:rsid w:val="00126713"/>
    <w:rsid w:val="001270A8"/>
    <w:rsid w:val="00130CE7"/>
    <w:rsid w:val="001322AE"/>
    <w:rsid w:val="00140A98"/>
    <w:rsid w:val="0016015A"/>
    <w:rsid w:val="00161996"/>
    <w:rsid w:val="0016765F"/>
    <w:rsid w:val="001770AB"/>
    <w:rsid w:val="00183430"/>
    <w:rsid w:val="00185064"/>
    <w:rsid w:val="00186DD4"/>
    <w:rsid w:val="00187A1B"/>
    <w:rsid w:val="00191257"/>
    <w:rsid w:val="001959B9"/>
    <w:rsid w:val="0019647F"/>
    <w:rsid w:val="001971AF"/>
    <w:rsid w:val="001A4CD6"/>
    <w:rsid w:val="001B1097"/>
    <w:rsid w:val="001B7FB7"/>
    <w:rsid w:val="001C048F"/>
    <w:rsid w:val="001C127A"/>
    <w:rsid w:val="001C45EA"/>
    <w:rsid w:val="001C4B70"/>
    <w:rsid w:val="001D092E"/>
    <w:rsid w:val="001D0B59"/>
    <w:rsid w:val="001D3177"/>
    <w:rsid w:val="001D434F"/>
    <w:rsid w:val="001D605C"/>
    <w:rsid w:val="001D6C48"/>
    <w:rsid w:val="001D7CD8"/>
    <w:rsid w:val="001E3CE5"/>
    <w:rsid w:val="001E422C"/>
    <w:rsid w:val="001E4936"/>
    <w:rsid w:val="001F2956"/>
    <w:rsid w:val="002109BF"/>
    <w:rsid w:val="0021590E"/>
    <w:rsid w:val="00215F2B"/>
    <w:rsid w:val="0021657C"/>
    <w:rsid w:val="002225B4"/>
    <w:rsid w:val="0022282C"/>
    <w:rsid w:val="0022322F"/>
    <w:rsid w:val="0023253C"/>
    <w:rsid w:val="0023496F"/>
    <w:rsid w:val="00240669"/>
    <w:rsid w:val="00240B20"/>
    <w:rsid w:val="00243160"/>
    <w:rsid w:val="00243B3A"/>
    <w:rsid w:val="0024664B"/>
    <w:rsid w:val="002474CD"/>
    <w:rsid w:val="002543A1"/>
    <w:rsid w:val="00255785"/>
    <w:rsid w:val="002616DC"/>
    <w:rsid w:val="00261BF5"/>
    <w:rsid w:val="00267893"/>
    <w:rsid w:val="0027072C"/>
    <w:rsid w:val="00271AFF"/>
    <w:rsid w:val="00271C3F"/>
    <w:rsid w:val="00272A1D"/>
    <w:rsid w:val="002748BE"/>
    <w:rsid w:val="00275B5A"/>
    <w:rsid w:val="002836EE"/>
    <w:rsid w:val="002878BB"/>
    <w:rsid w:val="00291331"/>
    <w:rsid w:val="002922D8"/>
    <w:rsid w:val="00296DB9"/>
    <w:rsid w:val="002A003F"/>
    <w:rsid w:val="002A647D"/>
    <w:rsid w:val="002B0B3A"/>
    <w:rsid w:val="002B493C"/>
    <w:rsid w:val="002C15BA"/>
    <w:rsid w:val="002C5276"/>
    <w:rsid w:val="002D2E5F"/>
    <w:rsid w:val="002D4F18"/>
    <w:rsid w:val="002D558E"/>
    <w:rsid w:val="002D59F9"/>
    <w:rsid w:val="002D6242"/>
    <w:rsid w:val="002E29EE"/>
    <w:rsid w:val="002E54DB"/>
    <w:rsid w:val="002E5A48"/>
    <w:rsid w:val="002E6352"/>
    <w:rsid w:val="002E7609"/>
    <w:rsid w:val="003070E4"/>
    <w:rsid w:val="0031050E"/>
    <w:rsid w:val="00314C51"/>
    <w:rsid w:val="0031571C"/>
    <w:rsid w:val="003161E9"/>
    <w:rsid w:val="00317644"/>
    <w:rsid w:val="0032354F"/>
    <w:rsid w:val="003255A1"/>
    <w:rsid w:val="00333A41"/>
    <w:rsid w:val="003350DC"/>
    <w:rsid w:val="0033664A"/>
    <w:rsid w:val="003375DC"/>
    <w:rsid w:val="0034031F"/>
    <w:rsid w:val="00352F60"/>
    <w:rsid w:val="00355C9D"/>
    <w:rsid w:val="00366851"/>
    <w:rsid w:val="0037309F"/>
    <w:rsid w:val="00374DF2"/>
    <w:rsid w:val="00383F3D"/>
    <w:rsid w:val="003852AC"/>
    <w:rsid w:val="003857F7"/>
    <w:rsid w:val="0039175D"/>
    <w:rsid w:val="00397942"/>
    <w:rsid w:val="003A0F86"/>
    <w:rsid w:val="003A2608"/>
    <w:rsid w:val="003A7B4C"/>
    <w:rsid w:val="003B2BEF"/>
    <w:rsid w:val="003D180D"/>
    <w:rsid w:val="003D2134"/>
    <w:rsid w:val="003D6998"/>
    <w:rsid w:val="003E20DA"/>
    <w:rsid w:val="00402BED"/>
    <w:rsid w:val="00405489"/>
    <w:rsid w:val="00405C67"/>
    <w:rsid w:val="00417591"/>
    <w:rsid w:val="004210F0"/>
    <w:rsid w:val="00421976"/>
    <w:rsid w:val="00424D02"/>
    <w:rsid w:val="00431342"/>
    <w:rsid w:val="00433DFC"/>
    <w:rsid w:val="004372F0"/>
    <w:rsid w:val="00437F77"/>
    <w:rsid w:val="00443734"/>
    <w:rsid w:val="00445AC8"/>
    <w:rsid w:val="0044649F"/>
    <w:rsid w:val="004500FD"/>
    <w:rsid w:val="004542EC"/>
    <w:rsid w:val="00457DED"/>
    <w:rsid w:val="00457E88"/>
    <w:rsid w:val="004664E4"/>
    <w:rsid w:val="004709CB"/>
    <w:rsid w:val="00472AD3"/>
    <w:rsid w:val="004761B8"/>
    <w:rsid w:val="00480C47"/>
    <w:rsid w:val="00486248"/>
    <w:rsid w:val="00486264"/>
    <w:rsid w:val="0049260C"/>
    <w:rsid w:val="004A3750"/>
    <w:rsid w:val="004A3C30"/>
    <w:rsid w:val="004A3D0D"/>
    <w:rsid w:val="004B0CA3"/>
    <w:rsid w:val="004B7720"/>
    <w:rsid w:val="004B7C39"/>
    <w:rsid w:val="004B7D12"/>
    <w:rsid w:val="004C1B87"/>
    <w:rsid w:val="004C2BAD"/>
    <w:rsid w:val="004C3A11"/>
    <w:rsid w:val="004C7A9A"/>
    <w:rsid w:val="004D277A"/>
    <w:rsid w:val="004D79BB"/>
    <w:rsid w:val="004E0243"/>
    <w:rsid w:val="004E0688"/>
    <w:rsid w:val="004E20B9"/>
    <w:rsid w:val="004E63E1"/>
    <w:rsid w:val="004F51DA"/>
    <w:rsid w:val="00512282"/>
    <w:rsid w:val="0051514D"/>
    <w:rsid w:val="00517EC0"/>
    <w:rsid w:val="0052016F"/>
    <w:rsid w:val="005209D9"/>
    <w:rsid w:val="00520A2E"/>
    <w:rsid w:val="0052183C"/>
    <w:rsid w:val="005252E5"/>
    <w:rsid w:val="00533D4A"/>
    <w:rsid w:val="00543915"/>
    <w:rsid w:val="0054735F"/>
    <w:rsid w:val="00552298"/>
    <w:rsid w:val="00556C99"/>
    <w:rsid w:val="00562EE1"/>
    <w:rsid w:val="00573CB8"/>
    <w:rsid w:val="00576BCD"/>
    <w:rsid w:val="005844F4"/>
    <w:rsid w:val="005908BE"/>
    <w:rsid w:val="00592555"/>
    <w:rsid w:val="00592C4A"/>
    <w:rsid w:val="005938D2"/>
    <w:rsid w:val="00593A28"/>
    <w:rsid w:val="005A7138"/>
    <w:rsid w:val="005A758A"/>
    <w:rsid w:val="005B644C"/>
    <w:rsid w:val="005C0E46"/>
    <w:rsid w:val="005C41BF"/>
    <w:rsid w:val="005C682A"/>
    <w:rsid w:val="005D3BF3"/>
    <w:rsid w:val="005D4F5D"/>
    <w:rsid w:val="005D691C"/>
    <w:rsid w:val="005E1E33"/>
    <w:rsid w:val="005E3B4B"/>
    <w:rsid w:val="005E7794"/>
    <w:rsid w:val="00600094"/>
    <w:rsid w:val="00606DEB"/>
    <w:rsid w:val="0060793A"/>
    <w:rsid w:val="00610555"/>
    <w:rsid w:val="006111C1"/>
    <w:rsid w:val="00613FA6"/>
    <w:rsid w:val="006166EC"/>
    <w:rsid w:val="0062014B"/>
    <w:rsid w:val="00622A2E"/>
    <w:rsid w:val="0062364C"/>
    <w:rsid w:val="00623E3E"/>
    <w:rsid w:val="006324CD"/>
    <w:rsid w:val="00636F8B"/>
    <w:rsid w:val="006375E1"/>
    <w:rsid w:val="0064354A"/>
    <w:rsid w:val="006516B6"/>
    <w:rsid w:val="00664913"/>
    <w:rsid w:val="00670224"/>
    <w:rsid w:val="00673A3C"/>
    <w:rsid w:val="00675213"/>
    <w:rsid w:val="006778A4"/>
    <w:rsid w:val="0068087E"/>
    <w:rsid w:val="00681CB9"/>
    <w:rsid w:val="006865EB"/>
    <w:rsid w:val="00686C0B"/>
    <w:rsid w:val="00687C94"/>
    <w:rsid w:val="006945DF"/>
    <w:rsid w:val="00695857"/>
    <w:rsid w:val="006A2D88"/>
    <w:rsid w:val="006A638A"/>
    <w:rsid w:val="006B1843"/>
    <w:rsid w:val="006B3A68"/>
    <w:rsid w:val="006D1179"/>
    <w:rsid w:val="006D24A5"/>
    <w:rsid w:val="006D2946"/>
    <w:rsid w:val="006D4725"/>
    <w:rsid w:val="006D6355"/>
    <w:rsid w:val="006D6EE9"/>
    <w:rsid w:val="006E28B9"/>
    <w:rsid w:val="006E5FC6"/>
    <w:rsid w:val="006E6214"/>
    <w:rsid w:val="006F3881"/>
    <w:rsid w:val="006F51F3"/>
    <w:rsid w:val="006F6CD0"/>
    <w:rsid w:val="006F7023"/>
    <w:rsid w:val="006F72F0"/>
    <w:rsid w:val="00701D0C"/>
    <w:rsid w:val="00703F48"/>
    <w:rsid w:val="007122CF"/>
    <w:rsid w:val="00716EA3"/>
    <w:rsid w:val="00720114"/>
    <w:rsid w:val="007242B4"/>
    <w:rsid w:val="007251CF"/>
    <w:rsid w:val="00726E23"/>
    <w:rsid w:val="00727B47"/>
    <w:rsid w:val="00734EE3"/>
    <w:rsid w:val="0073677F"/>
    <w:rsid w:val="00736B0F"/>
    <w:rsid w:val="007473A4"/>
    <w:rsid w:val="0074756C"/>
    <w:rsid w:val="00754EEA"/>
    <w:rsid w:val="00764038"/>
    <w:rsid w:val="00764140"/>
    <w:rsid w:val="0076787F"/>
    <w:rsid w:val="0077456D"/>
    <w:rsid w:val="0077488E"/>
    <w:rsid w:val="00780CA1"/>
    <w:rsid w:val="0078262E"/>
    <w:rsid w:val="00782C6C"/>
    <w:rsid w:val="007830D8"/>
    <w:rsid w:val="007853BA"/>
    <w:rsid w:val="007874F6"/>
    <w:rsid w:val="00791937"/>
    <w:rsid w:val="00791C1B"/>
    <w:rsid w:val="00794B8B"/>
    <w:rsid w:val="007961AE"/>
    <w:rsid w:val="00796D5C"/>
    <w:rsid w:val="00797A81"/>
    <w:rsid w:val="007A0282"/>
    <w:rsid w:val="007A1373"/>
    <w:rsid w:val="007A2DAE"/>
    <w:rsid w:val="007A4579"/>
    <w:rsid w:val="007A6EC6"/>
    <w:rsid w:val="007B104D"/>
    <w:rsid w:val="007B1536"/>
    <w:rsid w:val="007B1A8D"/>
    <w:rsid w:val="007B2F00"/>
    <w:rsid w:val="007B5F9A"/>
    <w:rsid w:val="007C0ECC"/>
    <w:rsid w:val="007C2B9F"/>
    <w:rsid w:val="007E3BC4"/>
    <w:rsid w:val="007E66A1"/>
    <w:rsid w:val="007E66C7"/>
    <w:rsid w:val="007E7883"/>
    <w:rsid w:val="00800188"/>
    <w:rsid w:val="00805F98"/>
    <w:rsid w:val="0081363F"/>
    <w:rsid w:val="00813711"/>
    <w:rsid w:val="00817D6B"/>
    <w:rsid w:val="008277BC"/>
    <w:rsid w:val="0083085E"/>
    <w:rsid w:val="00841FC6"/>
    <w:rsid w:val="00843628"/>
    <w:rsid w:val="00844B9C"/>
    <w:rsid w:val="0085129C"/>
    <w:rsid w:val="0085315B"/>
    <w:rsid w:val="008533AA"/>
    <w:rsid w:val="0085342E"/>
    <w:rsid w:val="00860E8D"/>
    <w:rsid w:val="00864AAC"/>
    <w:rsid w:val="00865F49"/>
    <w:rsid w:val="0087686D"/>
    <w:rsid w:val="00876884"/>
    <w:rsid w:val="00882701"/>
    <w:rsid w:val="00885B2D"/>
    <w:rsid w:val="008913EA"/>
    <w:rsid w:val="00891A77"/>
    <w:rsid w:val="00896799"/>
    <w:rsid w:val="008A6F8C"/>
    <w:rsid w:val="008A71CF"/>
    <w:rsid w:val="008A7B0F"/>
    <w:rsid w:val="008C0B8A"/>
    <w:rsid w:val="008C206D"/>
    <w:rsid w:val="008C57EE"/>
    <w:rsid w:val="008C58F5"/>
    <w:rsid w:val="008D142D"/>
    <w:rsid w:val="008D1521"/>
    <w:rsid w:val="008F6C22"/>
    <w:rsid w:val="00900E96"/>
    <w:rsid w:val="00900F05"/>
    <w:rsid w:val="00901DE3"/>
    <w:rsid w:val="00905DDB"/>
    <w:rsid w:val="00907EBD"/>
    <w:rsid w:val="0091115C"/>
    <w:rsid w:val="009137DD"/>
    <w:rsid w:val="00915FC7"/>
    <w:rsid w:val="009162BE"/>
    <w:rsid w:val="00916A27"/>
    <w:rsid w:val="00917F1B"/>
    <w:rsid w:val="0092543C"/>
    <w:rsid w:val="00936E9D"/>
    <w:rsid w:val="0094121D"/>
    <w:rsid w:val="00943BF6"/>
    <w:rsid w:val="009456A9"/>
    <w:rsid w:val="0094596D"/>
    <w:rsid w:val="009469D2"/>
    <w:rsid w:val="00947309"/>
    <w:rsid w:val="009477E3"/>
    <w:rsid w:val="00947BE0"/>
    <w:rsid w:val="00957CB4"/>
    <w:rsid w:val="009626B0"/>
    <w:rsid w:val="00971E50"/>
    <w:rsid w:val="00973F1D"/>
    <w:rsid w:val="00974A0C"/>
    <w:rsid w:val="00980C47"/>
    <w:rsid w:val="00983D06"/>
    <w:rsid w:val="00990D5A"/>
    <w:rsid w:val="00991174"/>
    <w:rsid w:val="00997B19"/>
    <w:rsid w:val="009A7B2C"/>
    <w:rsid w:val="009B134D"/>
    <w:rsid w:val="009B5065"/>
    <w:rsid w:val="009B51A4"/>
    <w:rsid w:val="009B5FD4"/>
    <w:rsid w:val="009B6700"/>
    <w:rsid w:val="009C638B"/>
    <w:rsid w:val="009D03E6"/>
    <w:rsid w:val="009D2149"/>
    <w:rsid w:val="009D62E9"/>
    <w:rsid w:val="009E2190"/>
    <w:rsid w:val="009E2FD8"/>
    <w:rsid w:val="009E3416"/>
    <w:rsid w:val="009F0049"/>
    <w:rsid w:val="009F72C5"/>
    <w:rsid w:val="009F7388"/>
    <w:rsid w:val="00A0103A"/>
    <w:rsid w:val="00A01977"/>
    <w:rsid w:val="00A02D3E"/>
    <w:rsid w:val="00A13738"/>
    <w:rsid w:val="00A17803"/>
    <w:rsid w:val="00A20381"/>
    <w:rsid w:val="00A2536A"/>
    <w:rsid w:val="00A31181"/>
    <w:rsid w:val="00A35E09"/>
    <w:rsid w:val="00A37A7F"/>
    <w:rsid w:val="00A42562"/>
    <w:rsid w:val="00A44127"/>
    <w:rsid w:val="00A603E1"/>
    <w:rsid w:val="00A6087E"/>
    <w:rsid w:val="00A626B7"/>
    <w:rsid w:val="00A64355"/>
    <w:rsid w:val="00A66B29"/>
    <w:rsid w:val="00A66BE1"/>
    <w:rsid w:val="00A70142"/>
    <w:rsid w:val="00A71738"/>
    <w:rsid w:val="00A7256A"/>
    <w:rsid w:val="00A734B7"/>
    <w:rsid w:val="00A8274C"/>
    <w:rsid w:val="00A84193"/>
    <w:rsid w:val="00A902E8"/>
    <w:rsid w:val="00A960C9"/>
    <w:rsid w:val="00AA4504"/>
    <w:rsid w:val="00AA4626"/>
    <w:rsid w:val="00AA4D34"/>
    <w:rsid w:val="00AA5B58"/>
    <w:rsid w:val="00AA5F33"/>
    <w:rsid w:val="00AA6116"/>
    <w:rsid w:val="00AA7A00"/>
    <w:rsid w:val="00AB6C8F"/>
    <w:rsid w:val="00AC0349"/>
    <w:rsid w:val="00AC2192"/>
    <w:rsid w:val="00AC48E9"/>
    <w:rsid w:val="00AD1D3F"/>
    <w:rsid w:val="00AD2228"/>
    <w:rsid w:val="00AD6250"/>
    <w:rsid w:val="00AE6920"/>
    <w:rsid w:val="00AF4446"/>
    <w:rsid w:val="00AF459A"/>
    <w:rsid w:val="00AF7766"/>
    <w:rsid w:val="00AF7D82"/>
    <w:rsid w:val="00B01015"/>
    <w:rsid w:val="00B04D9F"/>
    <w:rsid w:val="00B06A59"/>
    <w:rsid w:val="00B0713A"/>
    <w:rsid w:val="00B12340"/>
    <w:rsid w:val="00B171BC"/>
    <w:rsid w:val="00B212A6"/>
    <w:rsid w:val="00B24EA7"/>
    <w:rsid w:val="00B303D4"/>
    <w:rsid w:val="00B34A31"/>
    <w:rsid w:val="00B34D7B"/>
    <w:rsid w:val="00B36EFF"/>
    <w:rsid w:val="00B414C7"/>
    <w:rsid w:val="00B4484D"/>
    <w:rsid w:val="00B452B3"/>
    <w:rsid w:val="00B46303"/>
    <w:rsid w:val="00B477AB"/>
    <w:rsid w:val="00B50F23"/>
    <w:rsid w:val="00B53ECF"/>
    <w:rsid w:val="00B549A4"/>
    <w:rsid w:val="00B6760A"/>
    <w:rsid w:val="00B727AF"/>
    <w:rsid w:val="00B81662"/>
    <w:rsid w:val="00B81CED"/>
    <w:rsid w:val="00B87737"/>
    <w:rsid w:val="00B959D1"/>
    <w:rsid w:val="00BA6331"/>
    <w:rsid w:val="00BB36F7"/>
    <w:rsid w:val="00BB610E"/>
    <w:rsid w:val="00BB73E0"/>
    <w:rsid w:val="00BB766B"/>
    <w:rsid w:val="00BC1C21"/>
    <w:rsid w:val="00BC3B64"/>
    <w:rsid w:val="00BD19BA"/>
    <w:rsid w:val="00BD30DF"/>
    <w:rsid w:val="00BD7978"/>
    <w:rsid w:val="00BE2258"/>
    <w:rsid w:val="00BE44FB"/>
    <w:rsid w:val="00BF2A31"/>
    <w:rsid w:val="00BF48D9"/>
    <w:rsid w:val="00BF5C0C"/>
    <w:rsid w:val="00C00D27"/>
    <w:rsid w:val="00C00FDF"/>
    <w:rsid w:val="00C0241A"/>
    <w:rsid w:val="00C0387E"/>
    <w:rsid w:val="00C07534"/>
    <w:rsid w:val="00C10928"/>
    <w:rsid w:val="00C11D1D"/>
    <w:rsid w:val="00C151C2"/>
    <w:rsid w:val="00C15B3F"/>
    <w:rsid w:val="00C15E72"/>
    <w:rsid w:val="00C16BA6"/>
    <w:rsid w:val="00C21EB0"/>
    <w:rsid w:val="00C223EC"/>
    <w:rsid w:val="00C2499D"/>
    <w:rsid w:val="00C2655D"/>
    <w:rsid w:val="00C272EC"/>
    <w:rsid w:val="00C27A32"/>
    <w:rsid w:val="00C356E4"/>
    <w:rsid w:val="00C35F27"/>
    <w:rsid w:val="00C37505"/>
    <w:rsid w:val="00C37596"/>
    <w:rsid w:val="00C4267A"/>
    <w:rsid w:val="00C46956"/>
    <w:rsid w:val="00C506E5"/>
    <w:rsid w:val="00C50C12"/>
    <w:rsid w:val="00C50E6B"/>
    <w:rsid w:val="00C60C67"/>
    <w:rsid w:val="00C60C9A"/>
    <w:rsid w:val="00C63F94"/>
    <w:rsid w:val="00C66210"/>
    <w:rsid w:val="00C6624B"/>
    <w:rsid w:val="00C80EDC"/>
    <w:rsid w:val="00C8100E"/>
    <w:rsid w:val="00C830B9"/>
    <w:rsid w:val="00C83A13"/>
    <w:rsid w:val="00C87405"/>
    <w:rsid w:val="00C91151"/>
    <w:rsid w:val="00C97C33"/>
    <w:rsid w:val="00CA1542"/>
    <w:rsid w:val="00CA5384"/>
    <w:rsid w:val="00CA6D94"/>
    <w:rsid w:val="00CB57F2"/>
    <w:rsid w:val="00CB5B4D"/>
    <w:rsid w:val="00CC2DC2"/>
    <w:rsid w:val="00CC3C00"/>
    <w:rsid w:val="00CC4733"/>
    <w:rsid w:val="00CC6E4F"/>
    <w:rsid w:val="00CD127A"/>
    <w:rsid w:val="00CD16D1"/>
    <w:rsid w:val="00CD1937"/>
    <w:rsid w:val="00CD49AE"/>
    <w:rsid w:val="00CD4D5A"/>
    <w:rsid w:val="00CD6E7C"/>
    <w:rsid w:val="00CE55FA"/>
    <w:rsid w:val="00CF59EA"/>
    <w:rsid w:val="00D073BD"/>
    <w:rsid w:val="00D1039A"/>
    <w:rsid w:val="00D1132A"/>
    <w:rsid w:val="00D118CC"/>
    <w:rsid w:val="00D1266A"/>
    <w:rsid w:val="00D15C6E"/>
    <w:rsid w:val="00D1636F"/>
    <w:rsid w:val="00D25D36"/>
    <w:rsid w:val="00D30285"/>
    <w:rsid w:val="00D30788"/>
    <w:rsid w:val="00D3380C"/>
    <w:rsid w:val="00D355A6"/>
    <w:rsid w:val="00D35A0D"/>
    <w:rsid w:val="00D37EDE"/>
    <w:rsid w:val="00D4437E"/>
    <w:rsid w:val="00D505B7"/>
    <w:rsid w:val="00D53909"/>
    <w:rsid w:val="00D53D2B"/>
    <w:rsid w:val="00D57AE6"/>
    <w:rsid w:val="00D605DF"/>
    <w:rsid w:val="00D63D04"/>
    <w:rsid w:val="00D6471F"/>
    <w:rsid w:val="00D64D08"/>
    <w:rsid w:val="00D76225"/>
    <w:rsid w:val="00D92093"/>
    <w:rsid w:val="00DA177F"/>
    <w:rsid w:val="00DA2275"/>
    <w:rsid w:val="00DB43EC"/>
    <w:rsid w:val="00DB6C34"/>
    <w:rsid w:val="00DC1FCD"/>
    <w:rsid w:val="00DE4B1E"/>
    <w:rsid w:val="00DF0967"/>
    <w:rsid w:val="00E007EA"/>
    <w:rsid w:val="00E00CA9"/>
    <w:rsid w:val="00E02A97"/>
    <w:rsid w:val="00E07E98"/>
    <w:rsid w:val="00E12370"/>
    <w:rsid w:val="00E13C59"/>
    <w:rsid w:val="00E152F7"/>
    <w:rsid w:val="00E169C4"/>
    <w:rsid w:val="00E178FB"/>
    <w:rsid w:val="00E243BF"/>
    <w:rsid w:val="00E24CF0"/>
    <w:rsid w:val="00E312A3"/>
    <w:rsid w:val="00E31818"/>
    <w:rsid w:val="00E33973"/>
    <w:rsid w:val="00E36778"/>
    <w:rsid w:val="00E36D0F"/>
    <w:rsid w:val="00E41C9F"/>
    <w:rsid w:val="00E4337C"/>
    <w:rsid w:val="00E45877"/>
    <w:rsid w:val="00E47330"/>
    <w:rsid w:val="00E47F36"/>
    <w:rsid w:val="00E5258C"/>
    <w:rsid w:val="00E5577F"/>
    <w:rsid w:val="00E6189B"/>
    <w:rsid w:val="00E67D91"/>
    <w:rsid w:val="00E73536"/>
    <w:rsid w:val="00E80434"/>
    <w:rsid w:val="00E81988"/>
    <w:rsid w:val="00E8318F"/>
    <w:rsid w:val="00E851D8"/>
    <w:rsid w:val="00E8610F"/>
    <w:rsid w:val="00E90F4F"/>
    <w:rsid w:val="00EA1381"/>
    <w:rsid w:val="00EA2F7D"/>
    <w:rsid w:val="00EA4D6E"/>
    <w:rsid w:val="00EC0386"/>
    <w:rsid w:val="00EC13D0"/>
    <w:rsid w:val="00EC5716"/>
    <w:rsid w:val="00EC7468"/>
    <w:rsid w:val="00EC77A8"/>
    <w:rsid w:val="00EC7A36"/>
    <w:rsid w:val="00ED1633"/>
    <w:rsid w:val="00ED1BF2"/>
    <w:rsid w:val="00ED409A"/>
    <w:rsid w:val="00ED4A81"/>
    <w:rsid w:val="00ED797F"/>
    <w:rsid w:val="00EE1D2C"/>
    <w:rsid w:val="00EE3F93"/>
    <w:rsid w:val="00EE7B74"/>
    <w:rsid w:val="00EF107A"/>
    <w:rsid w:val="00F123A3"/>
    <w:rsid w:val="00F13B09"/>
    <w:rsid w:val="00F1720E"/>
    <w:rsid w:val="00F25DBB"/>
    <w:rsid w:val="00F37F64"/>
    <w:rsid w:val="00F50230"/>
    <w:rsid w:val="00F516F9"/>
    <w:rsid w:val="00F5300B"/>
    <w:rsid w:val="00F60CF9"/>
    <w:rsid w:val="00F643EC"/>
    <w:rsid w:val="00F71F70"/>
    <w:rsid w:val="00F749FB"/>
    <w:rsid w:val="00F83447"/>
    <w:rsid w:val="00F855BC"/>
    <w:rsid w:val="00F867D1"/>
    <w:rsid w:val="00F879AA"/>
    <w:rsid w:val="00F9151F"/>
    <w:rsid w:val="00F92A7B"/>
    <w:rsid w:val="00FA37A2"/>
    <w:rsid w:val="00FA401C"/>
    <w:rsid w:val="00FB33F9"/>
    <w:rsid w:val="00FB4B25"/>
    <w:rsid w:val="00FB4CB4"/>
    <w:rsid w:val="00FC28BA"/>
    <w:rsid w:val="00FC2C41"/>
    <w:rsid w:val="00FC742C"/>
    <w:rsid w:val="00FE06FB"/>
    <w:rsid w:val="00FE183F"/>
    <w:rsid w:val="00FE4501"/>
    <w:rsid w:val="00FF0F9E"/>
    <w:rsid w:val="00FF6672"/>
    <w:rsid w:val="00FF6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F5BE4"/>
  <w15:docId w15:val="{B06275A8-983B-492A-9A6C-6C0F8B74C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pPr>
      <w:keepNext/>
      <w:keepLines/>
      <w:spacing w:before="360" w:after="80"/>
      <w:outlineLvl w:val="0"/>
    </w:pPr>
    <w:rPr>
      <w:rFonts w:asciiTheme="majorHAnsi" w:eastAsiaTheme="majorEastAsia" w:hAnsiTheme="majorHAnsi" w:cstheme="majorBidi"/>
      <w:sz w:val="36"/>
      <w:szCs w:val="40"/>
    </w:rPr>
  </w:style>
  <w:style w:type="paragraph" w:styleId="Heading2">
    <w:name w:val="heading 2"/>
    <w:basedOn w:val="Normal"/>
    <w:next w:val="Normal"/>
    <w:link w:val="Heading2Char1"/>
    <w:uiPriority w:val="9"/>
    <w:unhideWhenUsed/>
    <w:qFormat/>
    <w:pPr>
      <w:keepNext/>
      <w:keepLines/>
      <w:spacing w:before="160" w:after="80"/>
      <w:outlineLvl w:val="1"/>
    </w:pPr>
    <w:rPr>
      <w:rFonts w:asciiTheme="majorHAnsi" w:eastAsiaTheme="majorEastAsia" w:hAnsiTheme="majorHAnsi" w:cstheme="majorBidi"/>
      <w:b/>
      <w:szCs w:val="32"/>
    </w:rPr>
  </w:style>
  <w:style w:type="paragraph" w:styleId="Heading3">
    <w:name w:val="heading 3"/>
    <w:basedOn w:val="Normal"/>
    <w:next w:val="Normal"/>
    <w:link w:val="Heading3Char1"/>
    <w:uiPriority w:val="9"/>
    <w:unhideWhenUsed/>
    <w:qFormat/>
    <w:pPr>
      <w:keepNext/>
      <w:keepLines/>
      <w:spacing w:before="160" w:after="80"/>
      <w:outlineLvl w:val="2"/>
    </w:pPr>
    <w:rPr>
      <w:rFonts w:eastAsiaTheme="majorEastAsia" w:cstheme="majorBidi"/>
      <w:szCs w:val="28"/>
      <w:u w:val="single"/>
    </w:rPr>
  </w:style>
  <w:style w:type="paragraph" w:styleId="Heading4">
    <w:name w:val="heading 4"/>
    <w:basedOn w:val="Normal"/>
    <w:next w:val="Normal"/>
    <w:link w:val="Heading4Char1"/>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1"/>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1"/>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1"/>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1"/>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character" w:customStyle="1" w:styleId="TitleChar">
    <w:name w:val="Title Char"/>
    <w:basedOn w:val="DefaultParagraphFont"/>
    <w:uiPriority w:val="10"/>
    <w:rPr>
      <w:sz w:val="48"/>
      <w:szCs w:val="48"/>
    </w:rPr>
  </w:style>
  <w:style w:type="character" w:customStyle="1" w:styleId="SubtitleChar">
    <w:name w:val="Subtitle Char"/>
    <w:basedOn w:val="DefaultParagraphFon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line="276" w:lineRule="auto"/>
    </w:pPr>
    <w:rPr>
      <w:b/>
      <w:bCs/>
      <w:color w:val="156082"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fr-CH" w:eastAsia="fr-CH"/>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fr-CH" w:eastAsia="fr-CH"/>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fr-CH" w:eastAsia="fr-CH"/>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fr-CH" w:eastAsia="fr-CH"/>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fr-CH" w:eastAsia="fr-CH"/>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fr-CH" w:eastAsia="fr-CH"/>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fr-CH" w:eastAsia="fr-CH"/>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fr-CH" w:eastAsia="fr-CH"/>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fr-CH" w:eastAsia="fr-CH"/>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fr-CH" w:eastAsia="fr-CH"/>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fr-CH" w:eastAsia="fr-CH"/>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fr-CH" w:eastAsia="fr-CH"/>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fr-CH" w:eastAsia="fr-CH"/>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fr-CH" w:eastAsia="fr-CH"/>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paragraph" w:styleId="FootnoteText">
    <w:name w:val="footnote text"/>
    <w:basedOn w:val="Normal"/>
    <w:link w:val="FootnoteTextChar"/>
    <w:uiPriority w:val="99"/>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Heading1Char1">
    <w:name w:val="Heading 1 Char1"/>
    <w:basedOn w:val="DefaultParagraphFont"/>
    <w:link w:val="Heading1"/>
    <w:uiPriority w:val="9"/>
    <w:rPr>
      <w:rFonts w:asciiTheme="majorHAnsi" w:eastAsiaTheme="majorEastAsia" w:hAnsiTheme="majorHAnsi" w:cstheme="majorBidi"/>
      <w:sz w:val="36"/>
      <w:szCs w:val="40"/>
    </w:rPr>
  </w:style>
  <w:style w:type="character" w:customStyle="1" w:styleId="Heading2Char1">
    <w:name w:val="Heading 2 Char1"/>
    <w:basedOn w:val="DefaultParagraphFont"/>
    <w:link w:val="Heading2"/>
    <w:uiPriority w:val="9"/>
    <w:rPr>
      <w:rFonts w:asciiTheme="majorHAnsi" w:eastAsiaTheme="majorEastAsia" w:hAnsiTheme="majorHAnsi" w:cstheme="majorBidi"/>
      <w:b/>
      <w:szCs w:val="32"/>
    </w:rPr>
  </w:style>
  <w:style w:type="character" w:customStyle="1" w:styleId="Heading3Char1">
    <w:name w:val="Heading 3 Char1"/>
    <w:basedOn w:val="DefaultParagraphFont"/>
    <w:link w:val="Heading3"/>
    <w:uiPriority w:val="9"/>
    <w:rPr>
      <w:rFonts w:eastAsiaTheme="majorEastAsia" w:cstheme="majorBidi"/>
      <w:szCs w:val="28"/>
      <w:u w:val="single"/>
    </w:rPr>
  </w:style>
  <w:style w:type="character" w:customStyle="1" w:styleId="Heading4Char1">
    <w:name w:val="Heading 4 Char1"/>
    <w:basedOn w:val="DefaultParagraphFont"/>
    <w:link w:val="Heading4"/>
    <w:uiPriority w:val="9"/>
    <w:semiHidden/>
    <w:rPr>
      <w:rFonts w:eastAsiaTheme="majorEastAsia" w:cstheme="majorBidi"/>
      <w:i/>
      <w:iCs/>
      <w:color w:val="0F4761" w:themeColor="accent1" w:themeShade="BF"/>
    </w:rPr>
  </w:style>
  <w:style w:type="character" w:customStyle="1" w:styleId="Heading5Char1">
    <w:name w:val="Heading 5 Char1"/>
    <w:basedOn w:val="DefaultParagraphFont"/>
    <w:link w:val="Heading5"/>
    <w:uiPriority w:val="9"/>
    <w:semiHidden/>
    <w:rPr>
      <w:rFonts w:eastAsiaTheme="majorEastAsia" w:cstheme="majorBidi"/>
      <w:color w:val="0F4761" w:themeColor="accent1" w:themeShade="BF"/>
    </w:rPr>
  </w:style>
  <w:style w:type="character" w:customStyle="1" w:styleId="Heading6Char1">
    <w:name w:val="Heading 6 Char1"/>
    <w:basedOn w:val="DefaultParagraphFont"/>
    <w:link w:val="Heading6"/>
    <w:uiPriority w:val="9"/>
    <w:semiHidden/>
    <w:rPr>
      <w:rFonts w:eastAsiaTheme="majorEastAsia" w:cstheme="majorBidi"/>
      <w:i/>
      <w:iCs/>
      <w:color w:val="595959" w:themeColor="text1" w:themeTint="A6"/>
    </w:rPr>
  </w:style>
  <w:style w:type="character" w:customStyle="1" w:styleId="Heading7Char1">
    <w:name w:val="Heading 7 Char1"/>
    <w:basedOn w:val="DefaultParagraphFont"/>
    <w:link w:val="Heading7"/>
    <w:uiPriority w:val="9"/>
    <w:semiHidden/>
    <w:rPr>
      <w:rFonts w:eastAsiaTheme="majorEastAsia" w:cstheme="majorBidi"/>
      <w:color w:val="595959" w:themeColor="text1" w:themeTint="A6"/>
    </w:rPr>
  </w:style>
  <w:style w:type="character" w:customStyle="1" w:styleId="Heading8Char1">
    <w:name w:val="Heading 8 Char1"/>
    <w:basedOn w:val="DefaultParagraphFont"/>
    <w:link w:val="Heading8"/>
    <w:uiPriority w:val="9"/>
    <w:semiHidden/>
    <w:rPr>
      <w:rFonts w:eastAsiaTheme="majorEastAsia" w:cstheme="majorBidi"/>
      <w:i/>
      <w:iCs/>
      <w:color w:val="272727" w:themeColor="text1" w:themeTint="D8"/>
    </w:rPr>
  </w:style>
  <w:style w:type="character" w:customStyle="1" w:styleId="Heading9Char1">
    <w:name w:val="Heading 9 Char1"/>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1"/>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uiPriority w:val="10"/>
    <w:rPr>
      <w:rFonts w:asciiTheme="majorHAnsi" w:eastAsiaTheme="majorEastAsia" w:hAnsiTheme="majorHAnsi" w:cstheme="majorBidi"/>
      <w:spacing w:val="-10"/>
      <w:sz w:val="56"/>
      <w:szCs w:val="56"/>
    </w:rPr>
  </w:style>
  <w:style w:type="paragraph" w:styleId="Subtitle">
    <w:name w:val="Subtitle"/>
    <w:basedOn w:val="Normal"/>
    <w:next w:val="Normal"/>
    <w:link w:val="SubtitleChar1"/>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1">
    <w:name w:val="Subtitle Char1"/>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1"/>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1">
    <w:name w:val="Intense Quote Char1"/>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Hyperlink">
    <w:name w:val="Hyperlink"/>
    <w:basedOn w:val="DefaultParagraphFont"/>
    <w:uiPriority w:val="99"/>
    <w:unhideWhenUsed/>
    <w:rPr>
      <w:color w:val="467886"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style>
  <w:style w:type="paragraph" w:styleId="Bibliography">
    <w:name w:val="Bibliography"/>
    <w:basedOn w:val="Normal"/>
    <w:next w:val="Normal"/>
    <w:uiPriority w:val="37"/>
    <w:unhideWhenUsed/>
    <w:rsid w:val="00AD6250"/>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913858">
      <w:bodyDiv w:val="1"/>
      <w:marLeft w:val="0"/>
      <w:marRight w:val="0"/>
      <w:marTop w:val="0"/>
      <w:marBottom w:val="0"/>
      <w:divBdr>
        <w:top w:val="none" w:sz="0" w:space="0" w:color="auto"/>
        <w:left w:val="none" w:sz="0" w:space="0" w:color="auto"/>
        <w:bottom w:val="none" w:sz="0" w:space="0" w:color="auto"/>
        <w:right w:val="none" w:sz="0" w:space="0" w:color="auto"/>
      </w:divBdr>
    </w:div>
    <w:div w:id="607087242">
      <w:bodyDiv w:val="1"/>
      <w:marLeft w:val="0"/>
      <w:marRight w:val="0"/>
      <w:marTop w:val="0"/>
      <w:marBottom w:val="0"/>
      <w:divBdr>
        <w:top w:val="none" w:sz="0" w:space="0" w:color="auto"/>
        <w:left w:val="none" w:sz="0" w:space="0" w:color="auto"/>
        <w:bottom w:val="none" w:sz="0" w:space="0" w:color="auto"/>
        <w:right w:val="none" w:sz="0" w:space="0" w:color="auto"/>
      </w:divBdr>
    </w:div>
    <w:div w:id="620261699">
      <w:bodyDiv w:val="1"/>
      <w:marLeft w:val="0"/>
      <w:marRight w:val="0"/>
      <w:marTop w:val="0"/>
      <w:marBottom w:val="0"/>
      <w:divBdr>
        <w:top w:val="none" w:sz="0" w:space="0" w:color="auto"/>
        <w:left w:val="none" w:sz="0" w:space="0" w:color="auto"/>
        <w:bottom w:val="none" w:sz="0" w:space="0" w:color="auto"/>
        <w:right w:val="none" w:sz="0" w:space="0" w:color="auto"/>
      </w:divBdr>
    </w:div>
    <w:div w:id="992637295">
      <w:bodyDiv w:val="1"/>
      <w:marLeft w:val="0"/>
      <w:marRight w:val="0"/>
      <w:marTop w:val="0"/>
      <w:marBottom w:val="0"/>
      <w:divBdr>
        <w:top w:val="none" w:sz="0" w:space="0" w:color="auto"/>
        <w:left w:val="none" w:sz="0" w:space="0" w:color="auto"/>
        <w:bottom w:val="none" w:sz="0" w:space="0" w:color="auto"/>
        <w:right w:val="none" w:sz="0" w:space="0" w:color="auto"/>
      </w:divBdr>
    </w:div>
    <w:div w:id="1719282819">
      <w:bodyDiv w:val="1"/>
      <w:marLeft w:val="0"/>
      <w:marRight w:val="0"/>
      <w:marTop w:val="0"/>
      <w:marBottom w:val="0"/>
      <w:divBdr>
        <w:top w:val="none" w:sz="0" w:space="0" w:color="auto"/>
        <w:left w:val="none" w:sz="0" w:space="0" w:color="auto"/>
        <w:bottom w:val="none" w:sz="0" w:space="0" w:color="auto"/>
        <w:right w:val="none" w:sz="0" w:space="0" w:color="auto"/>
      </w:divBdr>
    </w:div>
    <w:div w:id="195967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y@die-bonn.de"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f.io/r8y3k/overview?view_only=29fb9763a75c4cdab79be2ad56d218a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za.de/en/research/fdz/german-ageing-survey/access-to-deas-data" TargetMode="External"/><Relationship Id="rId4" Type="http://schemas.openxmlformats.org/officeDocument/2006/relationships/settings" Target="settings.xml"/><Relationship Id="rId9" Type="http://schemas.openxmlformats.org/officeDocument/2006/relationships/hyperlink" Target="mailto:manuela.schulz@uni-vechta.de"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495BB-B7C4-4D29-83A7-742D6F22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18220</Words>
  <Characters>114791</Characters>
  <Application>Microsoft Office Word</Application>
  <DocSecurity>0</DocSecurity>
  <Lines>956</Lines>
  <Paragraphs>265</Paragraphs>
  <ScaleCrop>false</ScaleCrop>
  <Company/>
  <LinksUpToDate>false</LinksUpToDate>
  <CharactersWithSpaces>132746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Fey, Jonas</dc:creator>
  <cp:keywords/>
  <dc:description/>
  <cp:lastModifiedBy>Fey, Jonas</cp:lastModifiedBy>
  <cp:revision>8</cp:revision>
  <dcterms:created xsi:type="dcterms:W3CDTF">2026-04-09T08:57:00Z</dcterms:created>
  <dcterms:modified xsi:type="dcterms:W3CDTF">2026-04-13T12:30:00Z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zotero-version="8.0.4"&gt;&lt;session id="hkiRVVPz"/&gt;&lt;style id="http://www.zotero.org/styles/apa" locale="en-GB" hasBibliography="1" bibliographyStyleHasBeenSet="1"/&gt;&lt;prefs&gt;&lt;pref name="fieldType" value="Field"/&gt;&lt;/prefs&gt;&lt;/data&gt;</vt:lpwstr>
  </property>
</Properties>
</file>