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C54C7" w14:textId="77777777" w:rsidR="009E36A6" w:rsidRDefault="009E36A6" w:rsidP="006A6F7E">
      <w:pPr>
        <w:pStyle w:val="berschrift1"/>
      </w:pPr>
      <w:r w:rsidRPr="009E36A6">
        <w:t>Educational differences in housing conditions and relocation patterns in later life</w:t>
      </w:r>
    </w:p>
    <w:p w14:paraId="49200F5E" w14:textId="47EE2A18" w:rsidR="006A6F7E" w:rsidRPr="006A6F7E" w:rsidRDefault="006A6F7E" w:rsidP="006A6F7E">
      <w:pPr>
        <w:rPr>
          <w:rFonts w:ascii="Times New Roman" w:hAnsi="Times New Roman" w:cs="Times New Roman"/>
          <w:lang w:val="en-GB"/>
        </w:rPr>
      </w:pPr>
      <w:r w:rsidRPr="006A6F7E">
        <w:rPr>
          <w:rFonts w:ascii="Times New Roman" w:hAnsi="Times New Roman" w:cs="Times New Roman"/>
          <w:lang w:val="en-GB"/>
        </w:rPr>
        <w:t>Manuela Schulz</w:t>
      </w:r>
    </w:p>
    <w:p w14:paraId="608981F4" w14:textId="49A698FF" w:rsidR="006A6F7E" w:rsidRDefault="006A6F7E" w:rsidP="006A6F7E">
      <w:pPr>
        <w:rPr>
          <w:rStyle w:val="Hyperlink"/>
          <w:rFonts w:ascii="Times New Roman" w:hAnsi="Times New Roman" w:cs="Times New Roman"/>
          <w:lang w:val="en-GB"/>
        </w:rPr>
      </w:pPr>
      <w:r w:rsidRPr="006A6F7E">
        <w:rPr>
          <w:rFonts w:ascii="Times New Roman" w:hAnsi="Times New Roman" w:cs="Times New Roman"/>
          <w:lang w:val="en-GB"/>
        </w:rPr>
        <w:t xml:space="preserve">University of </w:t>
      </w:r>
      <w:proofErr w:type="spellStart"/>
      <w:r w:rsidRPr="006A6F7E">
        <w:rPr>
          <w:rFonts w:ascii="Times New Roman" w:hAnsi="Times New Roman" w:cs="Times New Roman"/>
          <w:lang w:val="en-GB"/>
        </w:rPr>
        <w:t>Vechta</w:t>
      </w:r>
      <w:proofErr w:type="spellEnd"/>
      <w:r w:rsidRPr="006A6F7E">
        <w:rPr>
          <w:rFonts w:ascii="Times New Roman" w:hAnsi="Times New Roman" w:cs="Times New Roman"/>
          <w:lang w:val="en-GB"/>
        </w:rPr>
        <w:t xml:space="preserve">; </w:t>
      </w:r>
      <w:proofErr w:type="spellStart"/>
      <w:r w:rsidRPr="006A6F7E">
        <w:rPr>
          <w:rFonts w:ascii="Times New Roman" w:hAnsi="Times New Roman" w:cs="Times New Roman"/>
          <w:lang w:val="en-GB"/>
        </w:rPr>
        <w:t>Vechta</w:t>
      </w:r>
      <w:proofErr w:type="spellEnd"/>
      <w:r w:rsidRPr="006A6F7E">
        <w:rPr>
          <w:rFonts w:ascii="Times New Roman" w:hAnsi="Times New Roman" w:cs="Times New Roman"/>
          <w:lang w:val="en-GB"/>
        </w:rPr>
        <w:t xml:space="preserve">; Germany; ORCID: 0009-0004-7843-2193; </w:t>
      </w:r>
      <w:hyperlink r:id="rId6" w:tooltip="mailto:manuela.schulz@uni-vechta.de" w:history="1">
        <w:r w:rsidRPr="006A6F7E">
          <w:rPr>
            <w:rStyle w:val="Hyperlink"/>
            <w:rFonts w:ascii="Times New Roman" w:hAnsi="Times New Roman" w:cs="Times New Roman"/>
            <w:lang w:val="en-GB"/>
          </w:rPr>
          <w:t>Manuela.Schulz@uni-vechta.de</w:t>
        </w:r>
      </w:hyperlink>
    </w:p>
    <w:p w14:paraId="7C0637CC" w14:textId="77777777" w:rsidR="007D0253" w:rsidRPr="007D0253" w:rsidRDefault="007D0253" w:rsidP="007D0253">
      <w:pPr>
        <w:pStyle w:val="berschrift1"/>
      </w:pPr>
      <w:r w:rsidRPr="007D0253">
        <w:t>Acknowledgements</w:t>
      </w:r>
    </w:p>
    <w:p w14:paraId="02999E97" w14:textId="20B51497" w:rsidR="007D0253" w:rsidRPr="006A6F7E" w:rsidRDefault="007D0253" w:rsidP="007D0253">
      <w:pPr>
        <w:pStyle w:val="Paragraph"/>
      </w:pPr>
      <w:r w:rsidRPr="007D0253">
        <w:t xml:space="preserve">This manuscript was produced in the context of the workshop ‘Empirical Analyses of Education and Learning in Later Life’, which was held in March 2026 at the Catholic University of Applied Sciences in Freiburg by the Expert Commission for the Tenth Government Report on Older People and the Office of the Government Reports on Older People, based at the German Centre of Gerontology (DZA). This workshop was made possible by funding from the Federal Ministry of Education, Family Affairs, Senior Citizens, Women and Youth (BMBFSFJ). </w:t>
      </w:r>
      <w:r>
        <w:t>I</w:t>
      </w:r>
      <w:r w:rsidRPr="007D0253">
        <w:t xml:space="preserve"> would like to thank Matthias Kliegel and Cornelia </w:t>
      </w:r>
      <w:proofErr w:type="spellStart"/>
      <w:r w:rsidRPr="007D0253">
        <w:t>Kricheldorff</w:t>
      </w:r>
      <w:proofErr w:type="spellEnd"/>
      <w:r w:rsidRPr="007D0253">
        <w:t xml:space="preserve"> for their helpful feedback on earlier versions of the manuscript.</w:t>
      </w:r>
    </w:p>
    <w:p w14:paraId="66A2CAAC" w14:textId="799E21D3" w:rsidR="006A6F7E" w:rsidRPr="006A6F7E" w:rsidRDefault="006A6F7E" w:rsidP="006A6F7E">
      <w:pPr>
        <w:pStyle w:val="berschrift1"/>
      </w:pPr>
      <w:r w:rsidRPr="006A6F7E">
        <w:t>Background</w:t>
      </w:r>
    </w:p>
    <w:p w14:paraId="7FB5AD0F" w14:textId="726715BA" w:rsidR="00177521" w:rsidRPr="00CB2967" w:rsidRDefault="00177521" w:rsidP="00CB2967">
      <w:pPr>
        <w:pStyle w:val="berschrift2"/>
        <w:rPr>
          <w:lang w:val="en-GB"/>
        </w:rPr>
      </w:pPr>
      <w:r w:rsidRPr="00CB2967">
        <w:rPr>
          <w:lang w:val="en-GB"/>
        </w:rPr>
        <w:t xml:space="preserve">Education and lifelong learning as </w:t>
      </w:r>
      <w:r w:rsidR="00CB2967">
        <w:rPr>
          <w:lang w:val="en-GB"/>
        </w:rPr>
        <w:t>resources</w:t>
      </w:r>
      <w:r w:rsidRPr="00CB2967">
        <w:rPr>
          <w:lang w:val="en-GB"/>
        </w:rPr>
        <w:t xml:space="preserve"> for health and critical life transitions</w:t>
      </w:r>
    </w:p>
    <w:p w14:paraId="163EC48F" w14:textId="512F2955" w:rsidR="00177521" w:rsidRPr="00177521" w:rsidRDefault="00177521" w:rsidP="00C51661">
      <w:pPr>
        <w:pStyle w:val="Paragraph"/>
      </w:pPr>
      <w:r w:rsidRPr="00177521">
        <w:t>Educational attainment is a central determinant of social and health inequalities in later life. Individuals with higher levels of formal education typically possess greater economic resources, higher levels of health literacy, and more opportunities to shape their life courses</w:t>
      </w:r>
      <w:r w:rsidR="00E3704D">
        <w:t xml:space="preserve"> </w:t>
      </w:r>
      <w:r w:rsidR="00E3704D">
        <w:fldChar w:fldCharType="begin"/>
      </w:r>
      <w:r w:rsidR="00035000">
        <w:instrText xml:space="preserve"> ADDIN ZOTERO_ITEM CSL_CITATION {"citationID":"RO6PQ06L","properties":{"unsorted":false,"formattedCitation":"(Oshio, 2018; Y.-T. Wu et al., 2020)","plainCitation":"(Oshio, 2018; Y.-T. Wu et al., 2020)","noteIndex":0},"citationItems":[{"id":1023,"uris":["http://zotero.org/users/19409188/items/ZJEL7IUQ"],"itemData":{"id":1023,"type":"article-journal","container-title":"BMC Public Health","DOI":"10.1186/s12889-018-5181-7","ISSN":"1471-2458","issue":"1","journalAbbreviation":"BMC Public Health","language":"en","page":"278","source":"DOI.org (Crossref)","title":"Widening disparities in health between educational levels and their determinants in later life: evidence from a nine-year cohort study","title-short":"Widening disparities in health between educational levels and their determinants in later life","volume":"18","author":[{"family":"Oshio","given":"Takashi"}],"issued":{"date-parts":[["2018",12]]}}},{"id":1021,"uris":["http://zotero.org/users/19409188/items/XXQ7LYS6"],"itemData":{"id":1021,"type":"article-journal","container-title":"The Lancet Public Health","DOI":"10.1016/S2468-2667(20)30077-3","ISSN":"24682667","issue":"7","journalAbbreviation":"The Lancet Public Health","language":"en","page":"e386-e394","source":"DOI.org (Crossref)","title":"Education and wealth inequalities in healthy ageing in eight harmonised cohorts in the ATHLOS consortium: a population-based study","title-short":"Education and wealth inequalities in healthy ageing in eight harmonised cohorts in the ATHLOS consortium","volume":"5","author":[{"family":"Wu","given":"Yu-Tzu"},{"family":"Daskalopoulou","given":"Christina"},{"family":"Muniz Terrera","given":"Graciela"},{"family":"Sanchez Niubo","given":"Albert"},{"family":"Rodríguez-Artalejo","given":"Fernando"},{"family":"Ayuso-Mateos","given":"Jose Luis"},{"family":"Bobak","given":"Martin"},{"family":"Caballero","given":"Francisco Félix"},{"family":"De La Fuente","given":"Javier"},{"family":"De La Torre-Luque","given":"Alejandro"},{"family":"García-Esquinas","given":"Esther"},{"family":"Haro","given":"Jose Maria"},{"family":"Koskinen","given":"Seppo"},{"family":"Koupil","given":"Ilona"},{"family":"Leonardi","given":"Matilde"},{"family":"Pajak","given":"Andrzej"},{"family":"Panagiotakos","given":"Demosthenes"},{"family":"Stefler","given":"Denes"},{"family":"Tobias-Adamczyk","given":"Beata"},{"family":"Prince","given":"Martin"},{"family":"Prina","given":"A Matthew"}],"issued":{"date-parts":[["2020",7]]}}}],"schema":"https://github.com/citation-style-language/schema/raw/master/csl-citation.json"} </w:instrText>
      </w:r>
      <w:r w:rsidR="00E3704D">
        <w:fldChar w:fldCharType="separate"/>
      </w:r>
      <w:r w:rsidR="00035000" w:rsidRPr="00035000">
        <w:t>(Oshio, 2018; Y.-T. Wu et al., 2020)</w:t>
      </w:r>
      <w:r w:rsidR="00E3704D">
        <w:fldChar w:fldCharType="end"/>
      </w:r>
      <w:r w:rsidRPr="00177521">
        <w:t>. Accordingly, a large body of research has shown that formal educational attainment is associated with health behaviour</w:t>
      </w:r>
      <w:r w:rsidR="00E3704D">
        <w:t xml:space="preserve">, </w:t>
      </w:r>
      <w:r w:rsidR="00E3704D" w:rsidRPr="00177521">
        <w:t>subjective well-being</w:t>
      </w:r>
      <w:r w:rsidR="00E3704D">
        <w:t xml:space="preserve"> </w:t>
      </w:r>
      <w:r w:rsidR="00E3704D">
        <w:fldChar w:fldCharType="begin"/>
      </w:r>
      <w:r w:rsidR="00E3704D">
        <w:instrText xml:space="preserve"> ADDIN ZOTERO_ITEM CSL_CITATION {"citationID":"aKkFXSif","properties":{"unsorted":false,"formattedCitation":"(Clouston et al., 2015)","plainCitation":"(Clouston et al., 2015)","noteIndex":0},"citationItems":[{"id":1025,"uris":["http://zotero.org/users/19409188/items/WJ2XCL8K"],"itemData":{"id":1025,"type":"article-journal","abstract":"Education is a fundamental cause of social inequalities in health because it influences the distribution of resources, including money, knowledge, power, prestige, and beneficial social connections, that can be used in situ to influence health. Recent studies have highlighted early-life cognition as commonly indicating the propensity for educational attainment and determining health and age of mortality. Health behaviors provide a plausible mechanism linking both education and cognition to later-life health and mortality. We examine the role of education and cognition in predicting smoking, heavy drinking, and physical inactivity at midlife using data from the Wisconsin Longitudinal Study ( N = 10,317), National Survey of Health and Development ( N = 5,362), and National Childhood Development Study ( N = 16,782). Adolescent cognition was associated with education but was inconsistently associated with health behaviors. Education, however, was robustly associated with improved health behaviors after adjusting for cognition. Analyses highlight structural inequalities over individual capabilities when studying health behaviors.","container-title":"Journal of Health and Social Behavior","DOI":"10.1177/0022146515594188","ISSN":"0022-1465, 2150-6000","issue":"3","journalAbbreviation":"J Health Soc Behav","language":"en","page":"323-340","source":"DOI.org (Crossref)","title":"Educational Inequalities in Health Behaviors at Midlife: Is There a Role for Early-life Cognition?","title-short":"Educational Inequalities in Health Behaviors at Midlife","volume":"56","author":[{"family":"Clouston","given":"Sean A. P."},{"family":"Richards","given":"Marcus"},{"family":"Cadar","given":"Dorina"},{"family":"Hofer","given":"Scott M."}],"issued":{"date-parts":[["2015",9]]}}}],"schema":"https://github.com/citation-style-language/schema/raw/master/csl-citation.json"} </w:instrText>
      </w:r>
      <w:r w:rsidR="00E3704D">
        <w:fldChar w:fldCharType="separate"/>
      </w:r>
      <w:r w:rsidR="00E3704D" w:rsidRPr="00E3704D">
        <w:t>(Clouston et al., 2015)</w:t>
      </w:r>
      <w:r w:rsidR="00E3704D">
        <w:fldChar w:fldCharType="end"/>
      </w:r>
      <w:r w:rsidRPr="00177521">
        <w:t>, and social participation</w:t>
      </w:r>
      <w:r w:rsidR="00E3704D">
        <w:t xml:space="preserve"> </w:t>
      </w:r>
      <w:r w:rsidR="00E3704D">
        <w:fldChar w:fldCharType="begin"/>
      </w:r>
      <w:r w:rsidR="00035000">
        <w:instrText xml:space="preserve"> ADDIN ZOTERO_ITEM CSL_CITATION {"citationID":"0wJpIZhX","properties":{"unsorted":false,"formattedCitation":"(Y.-T. Wu et al., 2020)","plainCitation":"(Y.-T. Wu et al., 2020)","noteIndex":0},"citationItems":[{"id":1021,"uris":["http://zotero.org/users/19409188/items/XXQ7LYS6"],"itemData":{"id":1021,"type":"article-journal","container-title":"The Lancet Public Health","DOI":"10.1016/S2468-2667(20)30077-3","ISSN":"24682667","issue":"7","journalAbbreviation":"The Lancet Public Health","language":"en","page":"e386-e394","source":"DOI.org (Crossref)","title":"Education and wealth inequalities in healthy ageing in eight harmonised cohorts in the ATHLOS consortium: a population-based study","title-short":"Education and wealth inequalities in healthy ageing in eight harmonised cohorts in the ATHLOS consortium","volume":"5","author":[{"family":"Wu","given":"Yu-Tzu"},{"family":"Daskalopoulou","given":"Christina"},{"family":"Muniz Terrera","given":"Graciela"},{"family":"Sanchez Niubo","given":"Albert"},{"family":"Rodríguez-Artalejo","given":"Fernando"},{"family":"Ayuso-Mateos","given":"Jose Luis"},{"family":"Bobak","given":"Martin"},{"family":"Caballero","given":"Francisco Félix"},{"family":"De La Fuente","given":"Javier"},{"family":"De La Torre-Luque","given":"Alejandro"},{"family":"García-Esquinas","given":"Esther"},{"family":"Haro","given":"Jose Maria"},{"family":"Koskinen","given":"Seppo"},{"family":"Koupil","given":"Ilona"},{"family":"Leonardi","given":"Matilde"},{"family":"Pajak","given":"Andrzej"},{"family":"Panagiotakos","given":"Demosthenes"},{"family":"Stefler","given":"Denes"},{"family":"Tobias-Adamczyk","given":"Beata"},{"family":"Prince","given":"Martin"},{"family":"Prina","given":"A Matthew"}],"issued":{"date-parts":[["2020",7]]}}}],"schema":"https://github.com/citation-style-language/schema/raw/master/csl-citation.json"} </w:instrText>
      </w:r>
      <w:r w:rsidR="00E3704D">
        <w:fldChar w:fldCharType="separate"/>
      </w:r>
      <w:r w:rsidR="00035000" w:rsidRPr="00035000">
        <w:t>(Y.-T. Wu et al., 2020)</w:t>
      </w:r>
      <w:r w:rsidR="00E3704D">
        <w:fldChar w:fldCharType="end"/>
      </w:r>
      <w:r w:rsidRPr="00177521">
        <w:t xml:space="preserve"> in older age. Moreover, formal education has been linked to more proactive and planned responses to critical life transitions, including retirement, health shocks, and residential relocation, as it provides individuals with the cognitive and material resources necessary to anticipate and manage change</w:t>
      </w:r>
      <w:r w:rsidR="00E3704D">
        <w:t xml:space="preserve"> </w:t>
      </w:r>
      <w:r w:rsidR="00E3704D">
        <w:fldChar w:fldCharType="begin"/>
      </w:r>
      <w:r w:rsidR="00C51661">
        <w:instrText xml:space="preserve"> ADDIN ZOTERO_ITEM CSL_CITATION {"citationID":"tP5Bf8kv","properties":{"unsorted":false,"formattedCitation":"(Recksiedler &amp; Stawski, 2019; Walker et al., 2022)","plainCitation":"(Recksiedler &amp; Stawski, 2019; Walker et al., 2022)","noteIndex":0},"citationItems":[{"id":1028,"uris":["http://zotero.org/users/19409188/items/KHQSZY23"],"itemData":{"id":1028,"type":"article-journal","abstract":"&lt;b&gt;&lt;i&gt;Background:&lt;/i&gt;&lt;/b&gt; Later decades of the life course have undergone rapid transformations due to demographic changes in ageing societies, such as more frequent occurrences of later-life marital transitions. Adaption to these transitions, even when welcomed, brings novel chances and challenges in negotiating new social roles in old age, which could reinforce preexisting disparities in the acquisition and mastery of resources, social ties, and coping strategies. &lt;b&gt;&lt;i&gt;Objectives:&lt;/i&gt;&lt;/b&gt; Because the ability to weather later-life marital transitions may depend on the long arm of education acquired earlier in the life course, the present study aims to identify and track trends in the prevalence of marriage, divorce/separation, and widowhood among sociodemographic subgroups; link the occurrence of those transitions with mental health; and test the influence of educational attainment on these associations. &lt;b&gt;&lt;i&gt;Methods:&lt;/i&gt;&lt;/b&gt; We employ an intraindividual, within-person approach to quantify the occurrence of marital transitions and their impact using data from the Health and Retirement Study (&lt;i&gt;n&lt;/i&gt; = 22,013; 1992–2010). Measures of transition occurrence, depressive symptoms, and educational attainment were available across up to 10 biennial assessments. &lt;b&gt;&lt;i&gt;Results:&lt;/i&gt;&lt;/b&gt; Individuals with less than a high school diploma displayed the highest likelihood of losing their significant other through divorce/separation or death. Marital loss was associated with increasing, and marital gain with decreasing, depressive symptoms. Compared to those with less than a high school diploma, individuals with a high school or general equivalency diploma exhibited larger increases in depressive symptoms associated with widowhood, even though their average levels of depressive symptoms were lower in the absence of this transition. &lt;b&gt;&lt;i&gt;Conclusions:&lt;/i&gt;&lt;/b&gt; Our findings revealed a predictable educational gradient for the occurrence of marital transitions and later-life mental health. Yet higher, formalized education did not protect the participants from increased depression in the presence of a loss-related transition, which could suggest that the strains of spousal loss may to some degree function as a leveler of the preexisting social inequalities of stratified life courses. We conclude that the benefits conferred by education are not necessarily ubiquitous, and its impact on the adaptation to spousal loss may be more complex and nuanced depending on the range of prior experiences and available coping strategies.","container-title":"Gerontology","DOI":"10.1159/000493681","ISSN":"0304-324X, 1423-0003","issue":"4","journalAbbreviation":"Gerontology","language":"en","license":"https://www.karger.com/Services/SiteLicenses","page":"407-418","source":"DOI.org (Crossref)","title":"Marital Transitions and Depressive Symptoms among Older Adults: Examining Educational Differences","title-short":"Marital Transitions and Depressive Symptoms among Older Adults","volume":"65","author":[{"family":"Recksiedler","given":"Claudia"},{"family":"Stawski","given":"Robert S."}],"issued":{"date-parts":[["2019"]]}}},{"id":1030,"uris":["http://zotero.org/users/19409188/items/QYU4YZTQ"],"itemData":{"id":1030,"type":"article-journal","container-title":"Climate and Development","DOI":"10.1080/17565529.2021.1930508","ISSN":"1756-5529, 1756-5537","issue":"5","journalAbbreviation":"Climate and Development","language":"en","page":"409-418","source":"DOI.org (Crossref)","title":"Education and adaptive capacity: the influence of formal education on climate change adaptation of pastoral women","title-short":"Education and adaptive capacity","volume":"14","author":[{"family":"Walker","given":"Sarah E."},{"family":"Bruyere","given":"Brett L."},{"family":"Zarestky","given":"Jill"},{"family":"Yasin","given":"Apin"},{"family":"Lenaiyasa","given":"Elizabeth"},{"family":"Lolemu","given":"Anna"},{"family":"Pickering","given":"Tomas"}],"issued":{"date-parts":[["2022",5,28]]}}}],"schema":"https://github.com/citation-style-language/schema/raw/master/csl-citation.json"} </w:instrText>
      </w:r>
      <w:r w:rsidR="00E3704D">
        <w:fldChar w:fldCharType="separate"/>
      </w:r>
      <w:r w:rsidR="00C51661" w:rsidRPr="00C51661">
        <w:t>(Recksiedler &amp; Stawski, 2019; Walker et al., 2022)</w:t>
      </w:r>
      <w:r w:rsidR="00E3704D">
        <w:fldChar w:fldCharType="end"/>
      </w:r>
      <w:r w:rsidRPr="00177521">
        <w:t>.</w:t>
      </w:r>
      <w:r w:rsidR="00C51661">
        <w:t xml:space="preserve"> </w:t>
      </w:r>
    </w:p>
    <w:p w14:paraId="01077127" w14:textId="79083650" w:rsidR="00177521" w:rsidRPr="00177521" w:rsidRDefault="00177521" w:rsidP="00177521">
      <w:pPr>
        <w:pStyle w:val="Newparagraph"/>
      </w:pPr>
      <w:r w:rsidRPr="00177521">
        <w:lastRenderedPageBreak/>
        <w:t xml:space="preserve">However, education should not be understood solely as a fixed early-life characteristic. </w:t>
      </w:r>
      <w:r w:rsidR="00C51661" w:rsidRPr="00C51661">
        <w:t>A life</w:t>
      </w:r>
      <w:r w:rsidR="00C51661" w:rsidRPr="00C51661">
        <w:noBreakHyphen/>
        <w:t>course perspective treats education as a lifelong and life</w:t>
      </w:r>
      <w:r w:rsidR="00C51661" w:rsidRPr="00C51661">
        <w:noBreakHyphen/>
        <w:t xml:space="preserve">wide process that occurs in many settings, not only in schools. Research distinguishes formal, non-formal, and informal learning, but also shows that these forms are interrelated and often exist on a continuum </w:t>
      </w:r>
      <w:r w:rsidR="00C51661">
        <w:fldChar w:fldCharType="begin"/>
      </w:r>
      <w:r w:rsidR="00C51661">
        <w:instrText xml:space="preserve"> ADDIN ZOTERO_ITEM CSL_CITATION {"citationID":"6tyyvcjq","properties":{"unsorted":false,"formattedCitation":"(Jurczyszyn, 2024; Laal et al., 2014; Werquin, 2010)","plainCitation":"(Jurczyszyn, 2024; Laal et al., 2014; Werquin, 2010)","noteIndex":0},"citationItems":[{"id":1031,"uris":["http://zotero.org/users/19409188/items/UH5HWIBK"],"itemData":{"id":1031,"type":"article-journal","abstract":"This article explores the nuanced landscape of formal, informal and non-formal learning, transcending traditional educational boundaries. It scrutinizes the pervasive influence of unplanned learning throughout the lifespan, challenging the conventional emphasis on formal settings. Informal learning is a fundamental process in human development that persists throughout one's entire life. Both informal and non-formal learning are intricate yet highly impactful phenomena. The dynamically changing needs of society contribute to the increasing popularity of informal and non-formal learning as vital sources of knowledge and skills, driven by adaptation processes. The scale and impact of this phenomenon generates significant interest among contemporary researchers, governments, politicians, and educators, especially in the field of adult education. The lack of clarity in defining these terms may have serious consequences for further research and analyses. While a common understanding of these learning types is presented, it appears inadequate given the complex nature of the phenomenon. Theoretical models based on a learning continuum and gradation are deemed more appropriate, leading to relevant consequences for research approaches. The article delves into theoretical movements emphasizing context, learning outcomes, and recognition, suggesting a learning continuum for a nuanced view. It critically engages with complexities, emphasizing the contextual nature of formal, non-formal, and informal learning distinctions.","container-title":"International Journal of Pedagogy, Innovation and New Technologies","DOI":"10.5604/01.3001.0054.7069","ISSN":"2392-0092","issue":"1","journalAbbreviation":"IJPINT","page":"53-59","source":"DOI.org (Crossref)","title":"Exploring the Dynamic Landscape of Formal, Informal and Non-Formal Learning","volume":"11","author":[{"family":"Jurczyszyn","given":"Ewa"}],"issued":{"date-parts":[["2024",6,28]]}}},{"id":1033,"uris":["http://zotero.org/users/19409188/items/4JLVVUIH"],"itemData":{"id":1033,"type":"article-journal","container-title":"Procedia - Social and Behavioral Sciences","DOI":"10.1016/j.sbspro.2014.01.889","ISSN":"18770428","journalAbbreviation":"Procedia - Social and Behavioral Sciences","language":"en","license":"https://www.elsevier.com/tdm/userlicense/1.0/","page":"4052-4056","source":"DOI.org (Crossref)","title":"Continuing Education; Lifelong Learning","volume":"116","author":[{"family":"Laal","given":"Marjan"},{"family":"Laal","given":"Ashkan"},{"family":"Aliramaei","given":"Arsalan"}],"issued":{"date-parts":[["2014",2]]}}},{"id":1032,"uris":["http://zotero.org/users/19409188/items/BB7PK99Q"],"itemData":{"id":1032,"type":"book","DOI":"10.1787/9789264063853-en","ISBN":"978-92-64-06384-6","language":"en","publisher":"OECD","source":"DOI.org (Crossref)","title":"Recognising Non-Formal and Informal Learning: Outcomes, Policies and Practices","title-short":"Recognising Non-Formal and Informal Learning","URL":"https://www.oecd.org/en/publications/recognising-non-formal-and-informal-learning_9789264063853-en.html","author":[{"family":"Werquin","given":"Patrick"}],"accessed":{"date-parts":[["2026",4,2]]},"issued":{"date-parts":[["2010",4,15]]}}}],"schema":"https://github.com/citation-style-language/schema/raw/master/csl-citation.json"} </w:instrText>
      </w:r>
      <w:r w:rsidR="00C51661">
        <w:fldChar w:fldCharType="separate"/>
      </w:r>
      <w:r w:rsidR="00C51661" w:rsidRPr="00C51661">
        <w:t>(Jurczyszyn, 2024; Laal et al., 2014; Werquin, 2010)</w:t>
      </w:r>
      <w:r w:rsidR="00C51661">
        <w:fldChar w:fldCharType="end"/>
      </w:r>
      <w:r w:rsidRPr="00177521">
        <w:t xml:space="preserve">. In addition to formal education, individuals engage in non-formal learning activities, such as participation in </w:t>
      </w:r>
      <w:r w:rsidR="00312A8C">
        <w:t>organised</w:t>
      </w:r>
      <w:r w:rsidRPr="00177521">
        <w:t xml:space="preserve"> courses or training, as well as informal learning embedded in everyday practices, including reading, cultural engagement, or cognitively stimulating leisure activities.</w:t>
      </w:r>
    </w:p>
    <w:p w14:paraId="158C986C" w14:textId="18FC6D8B" w:rsidR="00177521" w:rsidRPr="00177521" w:rsidRDefault="00177521" w:rsidP="00177521">
      <w:pPr>
        <w:pStyle w:val="Newparagraph"/>
      </w:pPr>
      <w:r w:rsidRPr="00177521">
        <w:t xml:space="preserve">Non-formal learning may play a particularly important role in maintaining and updating competencies across adulthood. Participation in </w:t>
      </w:r>
      <w:r w:rsidR="00312A8C">
        <w:t>organised</w:t>
      </w:r>
      <w:r w:rsidRPr="00177521">
        <w:t xml:space="preserve"> learning environments has been associated with healthier lifestyles, greater social integration, and enhanced self-efficacy</w:t>
      </w:r>
      <w:r w:rsidR="00E3704D">
        <w:t xml:space="preserve"> and meaning in life </w:t>
      </w:r>
      <w:r w:rsidR="00E3704D">
        <w:fldChar w:fldCharType="begin"/>
      </w:r>
      <w:r w:rsidR="00E3704D">
        <w:instrText xml:space="preserve"> ADDIN ZOTERO_ITEM CSL_CITATION {"citationID":"kNyYsVy2","properties":{"unsorted":false,"formattedCitation":"(Oliveira et al., 2024)","plainCitation":"(Oliveira et al., 2024)","noteIndex":0},"citationItems":[{"id":1026,"uris":["http://zotero.org/users/19409188/items/NR3FFVI4"],"itemData":{"id":1026,"type":"article-journal","abstract":"Abstract Research in the field of adult education has shown the positive impact of formal education on overall well-being. However, research on the impact of non-formal education remains scarce, particularly among older people. Given the phenomenon of an increasingly global ageing population, this ex-post facto correlational study aims to investigate how participation in non-formal education through senior or third age universities has a transformative potential on subjective well-being (SWB), self-esteem, health self-efficacy, and meaning in life for those attending such educational institutions in Portugal. Sixty seniors participated in the study, evenly split between users of a senior university (SU) and seniors who did not attend an SU or similar institution. Data were collected using internationally recognised questionnaires appropriate to the studied variables. The results show substantial effects in the SU attendance group on life satisfaction, negative affect, health self-efficacy, and the search for meaning in life compared to the control group. No significant differences were found for positive affect, as an affective component of SWB, self-esteem, or for the presence of meaning in life, with small effect sizes. The study concludes that senior universities contribute positively, particularly in the cognitive dimension of SWB, to health self-efficacy and to a dimension of meaning in life, supporting their role as contexts for active and healthy ageing and personal development. The need for further research on the topic is highlighted in order to overcome the identified limitations.\n          , \n            Resumo A investigação no domínio da educação de adultos tem apontado para o efeito positivo da educação formal com relação ao bem-estar em sentido amplo, no entanto, quanto ao impacto da educação não formal os estudos são ainda escassos, particularmente com populações de idade avançada. Em face de uma população mundial cada vez mais idosa, este estudo, de tipo correlacional ex-post facto, busca investigar de que forma a participação na educação não formal, através de universidades seniores (US) ou da terceira idade, tem potencial transformador no bem-estar subjetivo (BES), autoestima, autoeficácia em saúde e no sentido da vida das pessoas que frequentam este tipo de estabelecimentos educacionais em Portugal. Participaram no estudo 60 seniores, repartidos de igual forma entre usuários de uma US e seniores que não frequentavam uma US ou outro estabelecimento similar. Os dados foram recolhidos mediante o emprego de questionários adequados às variáveis em estudo e de reconhecimento internacional. Os resultados revelam efeitos substanciais no grupo com frequência da US na satisfação com a vida e afetividade negativa, na autoeficácia em saúde e na procura de sentido na vida, em relação ao grupo de controle. Quanto à afetividade positiva, enquanto componente afetiva do BES, bem como a autoestima e a presença de sentido na vida, não foram encontradas diferenças significativas, revelando-se os tamanhos do efeito pequenos. Conclui-se pelo contributo positivo das US sobretudo na dimensão cognitiva do BES, na saúde e em uma das dimensões do sentido da vida, podendo ser consideradas contextos de envelhecimento ativo e saudável e de desenvolvimento pessoal, e salienta-se a necessidade de continuidade das investigações, no sentido de superação das limitações encontradas.","container-title":"Educação e Pesquisa","DOI":"10.1590/s1678-4634202450278304eng","ISSN":"1678-4634, 1517-9702","journalAbbreviation":"Educ. Pesqui.","license":"http://creativecommons.org/licenses/by/4.0/","page":"e278304","source":"DOI.org (Crossref)","title":"Education, well-being, and meaning in life: the case of a senior university in Portugal","title-short":"Education, well-being, and meaning in life","volume":"50","author":[{"family":"Oliveira","given":"Albertina L."},{"family":"Freitas","given":"Joana Ferreira"},{"family":"Reis","given":"Carlos Sousa"},{"family":"Gameiro","given":"Sílvia"}],"issued":{"date-parts":[["2024"]]}}}],"schema":"https://github.com/citation-style-language/schema/raw/master/csl-citation.json"} </w:instrText>
      </w:r>
      <w:r w:rsidR="00E3704D">
        <w:fldChar w:fldCharType="separate"/>
      </w:r>
      <w:r w:rsidR="00E3704D" w:rsidRPr="00E3704D">
        <w:t>(Oliveira et al., 2024)</w:t>
      </w:r>
      <w:r w:rsidR="00E3704D">
        <w:fldChar w:fldCharType="end"/>
      </w:r>
      <w:r w:rsidRPr="00177521">
        <w:t xml:space="preserve">, all of which may support adaptive responses to life-course transitions. Individuals engaged in non-formal education may be better equipped to seek </w:t>
      </w:r>
      <w:r w:rsidR="00312A8C">
        <w:t>information, mobilise support, and navigate institutional contexts, thereby facilitating more favourable</w:t>
      </w:r>
      <w:r w:rsidRPr="00177521">
        <w:t xml:space="preserve"> outcomes when facing changes in housing or care needs.</w:t>
      </w:r>
    </w:p>
    <w:p w14:paraId="4DC02400" w14:textId="01094244" w:rsidR="00177521" w:rsidRDefault="00177521" w:rsidP="00177521">
      <w:pPr>
        <w:pStyle w:val="Newparagraph"/>
      </w:pPr>
      <w:r w:rsidRPr="00177521">
        <w:t>Informal learning, in turn, reflects everyday engagement with cognitively and socially stimulating activities</w:t>
      </w:r>
      <w:r w:rsidR="00C51661">
        <w:t xml:space="preserve"> </w:t>
      </w:r>
      <w:r w:rsidR="00C51661">
        <w:fldChar w:fldCharType="begin"/>
      </w:r>
      <w:r w:rsidR="00C51661">
        <w:instrText xml:space="preserve"> ADDIN ZOTERO_ITEM CSL_CITATION {"citationID":"joCGzyG2","properties":{"unsorted":false,"formattedCitation":"(Rogoff et al., 2016)","plainCitation":"(Rogoff et al., 2016)","noteIndex":0},"citationItems":[{"id":1034,"uris":["http://zotero.org/users/19409188/items/F5WTUGMI"],"itemData":{"id":1034,"type":"article-journal","abstract":"Informal learning is often treated as simply an alternative to formal, didactic instruction. This chapter discusses how the organization of informal learning differs across distinct settings but with important commonalities distinguishing informal learning from formal learning: Informal learning is nondidactic, is embedded in meaningful activity, builds on the learner’s initiative or interest or choice (rather than resulting from external demands or requirements), and does not involve assessment external to the activity. The informal learning settings discussed all have learning and innovation as goals, and they all include guidance to newcomers through social interaction and/or the structure of activities. Along with the features in common, the organization of informal learning also differs in important ways across settings as distinct as everyday family and community engagements that are not organized around instruction; voluntary settings with an instructional focus, such as after-school programs; innovative schools that emphasize children’s initiative and choice; children’s “underground” informal learning in schools; and institutions such as science centers that have an instructional as well as a voluntary leisure focus. These informal learning settings differ in extent of focus on and ways of including play, instruction, collaborative or solo activity, contribution to “real” productive goals, and connection with a larger community.","container-title":"Review of Research in Education","DOI":"10.3102/0091732X16680994","ISSN":"0091-732X, 1935-1038","issue":"1","journalAbbreviation":"Review of Research in Education","language":"en","page":"356-401","source":"DOI.org (Crossref)","title":"The Organization of Informal Learning","volume":"40","author":[{"family":"Rogoff","given":"Barbara"},{"family":"Callanan","given":"Maureen"},{"family":"Gutiérrez","given":"Kris D."},{"family":"Erickson","given":"Frederick"}],"issued":{"date-parts":[["2016",3]]}}}],"schema":"https://github.com/citation-style-language/schema/raw/master/csl-citation.json"} </w:instrText>
      </w:r>
      <w:r w:rsidR="00C51661">
        <w:fldChar w:fldCharType="separate"/>
      </w:r>
      <w:r w:rsidR="00C51661" w:rsidRPr="00C51661">
        <w:t>(Rogoff et al., 2016)</w:t>
      </w:r>
      <w:r w:rsidR="00C51661">
        <w:fldChar w:fldCharType="end"/>
      </w:r>
      <w:r w:rsidRPr="00177521">
        <w:t xml:space="preserve">. </w:t>
      </w:r>
      <w:r w:rsidR="00035000" w:rsidRPr="00035000">
        <w:t xml:space="preserve">Such cognitively and socially engaging activities in later life are closely linked with how people think, feel, and manage their health. Research highlights both direct effects on cognition and mental health, and broader patterns of agency, adaptation, and an “active” lifestyle </w:t>
      </w:r>
      <w:r w:rsidR="00035000">
        <w:fldChar w:fldCharType="begin"/>
      </w:r>
      <w:r w:rsidR="00035000">
        <w:instrText xml:space="preserve"> ADDIN ZOTERO_ITEM CSL_CITATION {"citationID":"4TL01MC6","properties":{"unsorted":false,"formattedCitation":"(Chou et al., 2023; Narushima et al., 2018; Weziak-Bialowolska et al., 2023; Z. Wu et al., 2023)","plainCitation":"(Chou et al., 2023; Narushima et al., 2018; Weziak-Bialowolska et al., 2023; Z. Wu et al., 2023)","noteIndex":0},"citationItems":[{"id":1039,"uris":["http://zotero.org/users/19409188/items/U2CQS6BM"],"itemData":{"id":1039,"type":"article-journal","container-title":"Educational Gerontology","DOI":"10.1080/03601277.2022.2091330","ISSN":"0360-1277, 1521-0472","issue":"2","journalAbbreviation":"Educational Gerontology","language":"en","page":"143-157","source":"DOI.org (Crossref)","title":"Active aging of older adults in rural area after participating in senior self-directed learning groups","volume":"49","author":[{"family":"Chou","given":"Chun-Yang"},{"family":"Chen","given":"Chiao-Shan"},{"family":"Lee","given":"Mei-Chen"},{"family":"Lin","given":"Shun-Tzu"},{"family":"Sun","given":"Juo-Hsiang"}],"issued":{"date-parts":[["2023",2,1]]}}},{"id":1040,"uris":["http://zotero.org/users/19409188/items/3MYIULCP"],"itemData":{"id":1040,"type":"article-journal","abstract":"ABSTRACT\n            \n              The Active Ageing Framework has been adapted as a global strategy in ageing policies, practices and research over the last decade. Lifelong learning, however, has not been fully integrated into this discourse. Using survey data provided by 416 adults (aged 60 years and above) enrolled in non-formal general-interest courses in a public continuing education programme in Canada, this study examined the association between older adults’ duration of participation in the courses and their level of psychological wellbeing, while taking their age, gender, self-rated health and vulnerability level into consideration. An analytical framework was developed based on the literature of old-age vulnerabilities and the benefits of lifelong learning. Two logistic regression and trend analyses were conducted. The results indicate that older adults’ participation is independently and positively associated with their psychological wellbeing, even among those typically classified as ‘vulnerable’. This result provides additional evidence that suggests the\n              continuous participation\n              in non-formal lifelong learning may help sustain older adults’ psychological wellbeing. It provides older learners, even those who are most vulnerable, with a compensatory strategy to strengthen their reserve capacities, allowing them to be autonomous and fulfilled in their everyday life. The result of this study highlights the value of the strategic and unequivocal promotion of community-based non-formal lifelong learning opportunities for developing inclusive, equitable and caring active ageing societies.","container-title":"Ageing and Society","DOI":"10.1017/S0144686X16001136","ISSN":"0144-686X, 1469-1779","issue":"4","journalAbbreviation":"Ageing and Society","language":"en","license":"http://creativecommons.org/licenses/by/4.0/","page":"651-675","source":"DOI.org (Crossref)","title":"Lifelong learning in active ageing discourse: its conserving effect on wellbeing, health and vulnerability","title-short":"Lifelong learning in active ageing discourse","volume":"38","author":[{"family":"Narushima","given":"Miya"},{"family":"Liu","given":"Jian"},{"family":"Diestelkamp","given":"Naomi"}],"issued":{"date-parts":[["2018",4]]}}},{"id":1035,"uris":["http://zotero.org/users/19409188/items/NAX9BNCI"],"itemData":{"id":1035,"type":"article-journal","abstract":"Introduction\n              This study examines prospective associations within a 6-year perspective between three mind-stimulating leisure activities (relaxed and solitary: reading; serious and solitary: doing number and word games; serious and social: playing cards and games) and 21 outcomes in (1) physical health, (2) wellbeing, (3) daily life functioning, (4) cognitive impairment, and (5) longevity domains.\n            \n            \n              Methods\n              Data were obtained from 19,821 middle-aged and older adults from 15 countries participating in the Survey of Health, Ageing, and Retirement in Europe (SHARE). Temporal associations were obtained using generalized estimating equations. All models were controlled for prior sociodemographic, personality, lifestyle factors, health behaviors, and pre-baseline leisure activity values and all outcome variables. The Bonferroni correction was used to correct for multiple testing. E-values were calculated to examine the sensitivity of the associations to unmeasured confounding. Secondary analyses (1) under the complete case scenario, (2) after excluding respondents with health conditions, and (3) using a limited set of covariates were conducted to provide evidence for the robustness of the results.\n            \n            \n              Results\n              The relaxed solitary activity of reading almost daily was prospectively associated with a lower risk of depression, experiencing pain, daily functioning limitations, cognitive impairment, lower loneliness scores, and more favorable wellbeing outcomes. Engaging in serious solitary leisure activities almost daily was prospectively associated with a lower risk of depression, feeling full of energy, and a lower risk of death by any cause. Occasionally engaging in these activities was prospectively associated with greater optimism and a lower risk of cognitive impairment. Engaging in serious social activities was prospectively associated with greater happiness, lower scores on the loneliness scale, a lower risk of Alzheimer's disease, and an increased risk of cancer. Additionally, occasionally engaging in serious social activities was associated with greater optimism and lower risk of depression, pain, and mobility limitations. These associations were independent of demographics, socioeconomic status, personality, history of diseases, and prior lifestyle. The sensitivity analyses provided substantial evidence for the robustness of these associations.\n            \n            \n              Discussion\n              Mind-engaging leisure activities can be considered a health and wellbeing resource. Practitioners may consider them tools that help middle-aged and older adults maintain their health and quality of life.","container-title":"Frontiers in Public Health","DOI":"10.3389/fpubh.2023.1117822","ISSN":"2296-2565","journalAbbreviation":"Front. Public Health","page":"1117822","source":"DOI.org (Crossref)","title":"Mind-stimulating leisure activities: Prospective associations with health, wellbeing, and longevity","title-short":"Mind-stimulating leisure activities","volume":"11","author":[{"family":"Weziak-Bialowolska","given":"Dorota"},{"family":"Bialowolski","given":"Piotr"},{"family":"Sacco","given":"Pier Luigi"}],"issued":{"date-parts":[["2023",2,17]]}}},{"id":1037,"uris":["http://zotero.org/users/19409188/items/5E9385TJ"],"itemData":{"id":1037,"type":"article-journal","abstract":"Importance\n              Lifestyles enriched with socially and mentally stimulating activities in older age may help build cognitive reserve and reduce dementia risk.\n            \n            \n              Objective\n              To investigate the association of leisure activities and social networks with dementia risk among older individuals.\n            \n            \n              Design, Setting, and Participants\n              This longitudinal prospective cohort study used population-based data from the ASPREE Longitudinal Study of Older Persons (ALSOP) for March 1, 2010, to November 30, 2020. Community-dwelling individuals in Australia aged 70 years or older who were generally healthy and without major cognitive impairment at enrollment were recruited to the ALSOP study between March 1, 2010, and December 31, 2014. Data were analyzed from December 1, 2022, to March 31, 2023.\n            \n            \n              Exposures\n              A total of 19 measures of leisure activities and social networks assessed at baseline were classified using exploratory factor analysis.\n            \n            \n              Main Outcomes and Measures\n              \n                Dementia was adjudicated by an international expert panel according to\n                Diagnostic and Statistical Manual of Mental Disorders\n                (Fourth Edition) criteria. Cox proportional hazards regression examined dementia risk over 10 years, adjusting for education, socioeconomic status, and a range of health-related factors.\n              \n            \n            \n              Results\n              This study included 10 318 participants. Their median age was 73.8 (IQR, 71.6-77.2) years at baseline, more than half (52.6%) were women, and most self-identified as White (98.0%). In adusted analyses, more frequent engagement in adult literacy activities (eg, writing letters or journaling, using a computer, and taking education classes) and in active mental activities (eg, playing games, cards, or chess and doing crosswords or puzzles) was associated with an 11.0% (adjusted hazard ratio [AHR], 0.89 [95% CI, 0.85-0.93]) and a 9.0% (AHR, 0.91 [95% CI, 0.87-0.95]) lower risk of dementia, respectively. To a lesser extent, engagement in creative artistic activities (craftwork, woodwork, or metalwork and painting or drawing) (AHR, 0.93 [95% CI, 0.88-0.99]) and in passive mental activities (reading books, newspapers, or magazines; watching television; and listening to music or the radio) (</w:instrText>
      </w:r>
      <w:r w:rsidR="00035000" w:rsidRPr="00035000">
        <w:rPr>
          <w:lang w:val="de-DE"/>
        </w:rPr>
        <w:instrText xml:space="preserve">AHR, 0.93 [95% CI, 0.86-0.99]) was also associated with reduced dementia risk. In contrast, interpersonal networks, social activities, and external outings were not associated with dementia risk in this sample.\n            \n            \n              Conclusions and Relevance\n              These results suggest that engagement in adult literacy, creative art, and active and passive mental activities may help reduce dementia risk in late life. In addition, these findings may guide policies for geriatric care and interventions targeting dementia prevention for older adults.","container-title":"JAMA Network Open","DOI":"10.1001/jamanetworkopen.2023.23690","ISSN":"2574-3805","issue":"7","journalAbbreviation":"JAMA Netw Open","language":"en","page":"e2323690","source":"DOI.org (Crossref)","title":"Lifestyle Enrichment in Later Life and Its Association With Dementia Risk","volume":"6","author":[{"family":"Wu","given":"Zimu"},{"family":"Pandigama","given":"Danushika H."},{"family":"Wrigglesworth","given":"Jo"},{"family":"Owen","given":"Alice"},{"family":"Woods","given":"Robyn L."},{"family":"Chong","given":"Trevor T.-J."},{"family":"Orchard","given":"Suzanne G."},{"family":"Shah","given":"Raj C."},{"family":"Sheets","given":"Kerry M."},{"family":"McNeil","given":"John J."},{"family":"Murray","given":"Anne M."},{"family":"Ryan","given":"Joanne"}],"issued":{"date-parts":[["2023",7,14]]}}}],"schema":"https://github.com/citation-style-language/schema/raw/master/csl-citation.json"} </w:instrText>
      </w:r>
      <w:r w:rsidR="00035000">
        <w:fldChar w:fldCharType="separate"/>
      </w:r>
      <w:r w:rsidR="00035000" w:rsidRPr="00035000">
        <w:rPr>
          <w:lang w:val="de-DE"/>
        </w:rPr>
        <w:t>(Chou et al., 2023; Narushima et al., 2018; Weziak-Bialowolska et al., 2023; Z. Wu et al., 2023)</w:t>
      </w:r>
      <w:r w:rsidR="00035000">
        <w:fldChar w:fldCharType="end"/>
      </w:r>
      <w:r w:rsidR="00035000" w:rsidRPr="00035000">
        <w:rPr>
          <w:lang w:val="de-DE"/>
        </w:rPr>
        <w:t>.</w:t>
      </w:r>
      <w:r w:rsidRPr="00177521">
        <w:rPr>
          <w:lang w:val="de-DE"/>
        </w:rPr>
        <w:t xml:space="preserve"> </w:t>
      </w:r>
      <w:r w:rsidRPr="00177521">
        <w:t>Through continuous engagement in reading, cultural participation, or other leisure activities, individuals may accumulate experiential knowledge and adaptive strategies that become particularly relevant during critical life transitions.</w:t>
      </w:r>
    </w:p>
    <w:p w14:paraId="6CBFCFFF" w14:textId="77777777" w:rsidR="00CB2967" w:rsidRPr="00CB2967" w:rsidRDefault="00CB2967" w:rsidP="00CB2967">
      <w:pPr>
        <w:pStyle w:val="berschrift2"/>
        <w:rPr>
          <w:lang w:val="en-GB"/>
        </w:rPr>
      </w:pPr>
      <w:r w:rsidRPr="00CB2967">
        <w:rPr>
          <w:lang w:val="en-GB"/>
        </w:rPr>
        <w:t>Relocation as a critical transition and potential adaptation strategy</w:t>
      </w:r>
    </w:p>
    <w:p w14:paraId="351FEEA8" w14:textId="058534BB" w:rsidR="00171041" w:rsidRDefault="009A102F" w:rsidP="00CB2967">
      <w:pPr>
        <w:pStyle w:val="Paragraph"/>
      </w:pPr>
      <w:r w:rsidRPr="00171041">
        <w:t xml:space="preserve">One area that has received comparatively little attention is residential relocation in later life as </w:t>
      </w:r>
      <w:r w:rsidRPr="00171041">
        <w:lastRenderedPageBreak/>
        <w:t>a potential form of adaptive behaviour.</w:t>
      </w:r>
      <w:r>
        <w:t xml:space="preserve"> </w:t>
      </w:r>
      <w:r w:rsidR="00035000" w:rsidRPr="00035000">
        <w:t>In later life, moving home is often framed as a risk to continuity and wellbeing, yet recent research shows it can also be a deliberate adaptation to health changes, housing deficits, and changing preferences</w:t>
      </w:r>
      <w:r w:rsidR="00035000">
        <w:t xml:space="preserve"> </w:t>
      </w:r>
      <w:r w:rsidR="00035000">
        <w:fldChar w:fldCharType="begin"/>
      </w:r>
      <w:r w:rsidR="00035000">
        <w:instrText xml:space="preserve"> ADDIN ZOTERO_ITEM CSL_CITATION {"citationID":"FalyHjAr","properties":{"unsorted":false,"formattedCitation":"(Gopinath et al., 2021; Park et al., 2025; Stephens &amp; Allen, 2022)","plainCitation":"(Gopinath et al., 2021; Park et al., 2025; Stephens &amp; Allen, 2022)","noteIndex":0},"citationItems":[{"id":1042,"uris":["http://zotero.org/users/19409188/items/KDD7ZAZ5"],"itemData":{"id":1042,"type":"article-journal","abstract":"Policy discourse favours the idea of “ageing in place” but many older people move home and into different kinds of residential settings. This article extends the understanding of how relocation can promote as well as diminish older people’s well-being. Using relational understandings of place and capabilities (people’s freedoms and opportunities to be and to do what they value) we explored well-being across the relocation trajectories of 21 people aged 65–91 years living in diverse residential settings in Scotland. We found that a diverse array of capabilities mattered for well-being and that relocation was often motivated by concerns to secure “at-risk” capabilities for valued activities and relationships. Moving residence impacted several other capabilities, in addition to these, both, positively and negatively. We suggest that a capability approach offers a valuable lens for understanding and supporting well-being through behavioural models of late-life relocation.","container-title":"International Journal of Ageing and Later Life","DOI":"10.3384/ijal.1652-8670.1539","ISSN":"1652-8670","journalAbbreviation":"Int J Ageing Later Life","license":"https://creativecommons.org/licenses/by/4.0","source":"DOI.org (Crossref)","title":"Moving residence in later life: actively shaping place and wellbeing","title-short":"Moving residence in later life","URL":"https://ijal.se/article/view/1539","author":[{"family":"Gopinath","given":"Manik"},{"family":"Entwistle","given":"Vikki"},{"family":"Kelly","given":"Tim"},{"family":"Illsley","given":"Barbara"}],"accessed":{"date-parts":[["2026",4,2]]},"issued":{"date-parts":[["2021",9,14]]}}},{"id":1045,"uris":["http://zotero.org/users/19409188/items/ZXGPD9MD"],"itemData":{"id":1045,"type":"article-journal","abstract":"ABSTRACT\n            \n              Background\n              This study seeks to analyze the trajectories of residential satisfaction among older adults before and after relocation and explore the variability in the relationship between relocation and residential satisfaction based on changes in housing conditions during the relocation process.\n            \n            \n              Methods\n              \n                Utilizing a nationally representative longitudinal dataset of older adults (\n                N\n                 = 2718), this study employs individual‐level fixed effect regression models to estimate the association between the timing of relocation and residential satisfaction. Stratified analyses are also conducted to explore how this association varies based on changes in housing conditions.\n              \n            \n            \n              Results\n              Residential satisfaction tends to decrease before relocation, peaks at the time of relocation, and maintain higher levels as older adults adapt to their new environment. This adaptation process varies depending on changes in dwelling conditions during relocation, with transitions from poor to non‐poor housing conditions positively affecting psychological responses, while moves from non‐poor to poor conditions can lead to increased psychological burden and prolonged adjustment periods.\n            \n            \n              Discussion\n              Aging policies can prioritize programs that facilitate adjustment to new environments to improve residential satisfaction of older adults, thereby promoting healthy aging.","container-title":"International Journal of Geriatric Psychiatry","DOI":"10.1002/gps.70044","ISSN":"0885-6230, 1099-1166","issue":"1","journalAbbreviation":"Int J Geriat Psychiatry","language":"en","page":"e70044","source":"DOI.org (Crossref)","title":"Housing Relocation and Residential Satisfaction After Relocation: Effects of Dwelling Condition Changes on Older Adults in the Community","title-short":"Housing Relocation and Residential Satisfaction After Relocation","volume":"40","author":[{"family":"Park","given":"Gum‐Ryeong"},{"family":"Seo","given":"Bo Kyong"},{"family":"Namkung","given":"Eun Ha"}],"issued":{"date-parts":[["2025",1]]}}},{"id":1044,"uris":["http://zotero.org/users/19409188/items/UHZJRJ8W"],"itemData":{"id":1044,"type":"article-journal","abstract":"Abstract\n            \n              Background and Objectives\n              Neighborhood environments are an important aspect of well-being for older people. Developments of the general ecological model recognize older people as active agents who adapt their environments to fit their changing needs. We provide empirical support for a model suggested by Wahl et al., by examining interactions between neighborhood environments, personal situations, relocation, and quality of life (QoL) among older people.\n            \n            \n              Research Design and Methods\n              Two statistical models were tested with a sample of community-dwelling participants (aged 55–89) in the New Zealand Health, Work, and Retirement longitudinal surveys conducted in 2016 (T1) and 2018 (T2). Multiple linear regression assessed the association of perceptions of housing and neighborhood with QoL at T1 (n = 3682).\n            \n            \n              Results\n              QoL was predicted by housing satisfaction, and neighborhood satisfaction, accessibility, and trust (controlling for age, gender, marital status, home ownership, socioeconomic status, physical health, and mental health). Mixed analysis of variance showed that those who moved house between T1 and T2 reported lower housing and neighborhood satisfaction than nonmovers at T1. Over time T1–T2, movers reported less decline in housing satisfaction, and more positive change on all neighborhood perceptions, with higher perceptions of neighborhood accessibility than nonmovers at T2.\n            \n            \n              Discussion and Implications\n              These findings support the theoretical model and provide the impetus for a more detailed study of the effects of the environment on well-being in older age. Housing and neighborhood environments are a very practical focus for social policy change at local and national levels.","container-title":"The Gerontologist","DOI":"10.1093/geront/gnab065","ISSN":"0016-9013, 1758-5341","issue":"1","language":"en","license":"https://academic.oup.com/journals/pages/open_access/funder_policies/chorus/standard_publication_model","page":"56-65","source":"DOI.org (Crossref)","title":"Older People as Active Agents in Their Neighborhood Environments: Moving House Can Improve Quality of Life","title-short":"Older People as Active Agents in Their Neighborhood Environments","volume":"62","author":[{"family":"Stephens","given":"Christine"},{"family":"Allen","given":"Joanne"}],"editor":[{"family":"Castle","given":"Nicholas G"}],"issued":{"date-parts":[["2022",1,14]]}}}],"schema":"https://github.com/citation-style-language/schema/raw/master/csl-citation.json"} </w:instrText>
      </w:r>
      <w:r w:rsidR="00035000">
        <w:fldChar w:fldCharType="separate"/>
      </w:r>
      <w:r w:rsidR="00035000" w:rsidRPr="00035000">
        <w:t>(Gopinath et al., 2021; Park et al., 2025; Stephens &amp; Allen, 2022)</w:t>
      </w:r>
      <w:r w:rsidR="00035000">
        <w:fldChar w:fldCharType="end"/>
      </w:r>
      <w:r w:rsidR="00035000" w:rsidRPr="00035000">
        <w:t>. Housing quality remain</w:t>
      </w:r>
      <w:r w:rsidR="00035000">
        <w:t>s</w:t>
      </w:r>
      <w:r w:rsidR="00035000" w:rsidRPr="00035000">
        <w:t xml:space="preserve"> closely tied to older adults’ physical health, mental health, and subjective </w:t>
      </w:r>
      <w:r w:rsidR="00312A8C">
        <w:t>well-being</w:t>
      </w:r>
      <w:r w:rsidR="00035000" w:rsidRPr="00035000">
        <w:t>.</w:t>
      </w:r>
      <w:r w:rsidR="00035000">
        <w:t xml:space="preserve"> </w:t>
      </w:r>
      <w:r w:rsidRPr="00171041">
        <w:t>Inadequate housing environments can act as risk factors for reduced mobility, social isolation, and declining functional independence. Conversely, a high person–environment fit may support autonomy, facilitate social participation, and delay institutionalisation</w:t>
      </w:r>
      <w:r w:rsidR="00035000">
        <w:t xml:space="preserve"> </w:t>
      </w:r>
      <w:r w:rsidR="00035000">
        <w:fldChar w:fldCharType="begin"/>
      </w:r>
      <w:r w:rsidR="00EF4642">
        <w:instrText xml:space="preserve"> ADDIN ZOTERO_ITEM CSL_CITATION {"citationID":"RbP7kQnq","properties":{"unsorted":false,"formattedCitation":"(Lawton, 1977; Oswald et al., 2005; Yang &amp; Stone, 2024; Yaw et al., 2025)","plainCitation":"(Lawton, 1977; Oswald et al., 2005; Yang &amp; Stone, 2024; Yaw et al., 2025)","noteIndex":0},"citationItems":[{"id":827,"uris":["http://zotero.org/users/19409188/items/4JG7X5F7"],"itemData":{"id":827,"type":"article-journal","container-title":"Journal of architectural education","issue":"1","note":"ISBN: 1046-4883","page":"8-10","publisher":"Taylor &amp; Francis","title":"An ecological theory of aging applied to elderly housing","volume":"31","author":[{"family":"Lawton","given":"M. Powell"}],"issued":{"date-parts":[["1977"]]}}},{"id":889,"uris":["http://zotero.org/users/19409188/items/8JCV9A5I"],"itemData":{"id":889,"type":"article-journal","container-title":"European Journal of Ageing","DOI":"10.1007/s10433-005-0026-5","ISSN":"1613-9372, 1613-9380","issue":"2","journalAbbreviation":"Eur J Ageing","language":"en","license":"http://www.springer.com/tdm","page":"88-97","source":"DOI.org (Crossref)","title":"Ageing and person–environment fit in different urban neighbourhoods","volume":"2","author":[{"family":"Oswald","given":"Frank"},{"family":"Hieber","given":"Annette"},{"family":"Wahl","given":"Hans-Werner"},{"family":"Mollenkopf","given":"Heidrun"}],"issued":{"date-parts":[["2005",6]]}}},{"id":1065,"uris":["http://zotero.org/users/19409188/items/2U7659PA"],"itemData":{"id":1065,"type":"article-journal","abstract":"Background and Objectives. The built environment or physical environment consists of surroundings and conditions constructed by human activity. It includes urban design, neighborhoods, transportation, and smaller scale structures like the design and layout of rooms within buildings. The built environment can affect the physical, social, and functional wellbeing of older adults, both within their own homes and in the neighborhoods in which they live, and additionally plays a part in promoting healthy aging. This narrative review of the literature aims to present the ways in which the built environment can influence the functional ability of community-dwelling older adults, and affect their ability to live independently and age in place. \nMethods. Narrative literature review and inductive thematic analysis. \nResults. Forty-five full-text, English language publications from peer-reviewed sources were selected for this review, with the majority (35) presenting quantitative research findings and originating from North America (28). Older adults in rural and developing countries were underrepresented in the literature, despite acknowledgement that health of the aging population is a worldwide problem. Three major themes emerged. First, the built environment affects older adults in the most fundamental way at home through design considerations, modifications, and technological advances promoting aging in place and accessibility. Secondly, built environments outside the home can affect older adults’ physical activity and overall function with regard to mobility, transportation, and activities of daily living. The majority (22 of 45 publications) focused on this theme. Finally, the built environment in neighborhoods can affect older adults’ perception of social support, their social participation, and quality of life. \nConclusion. As the built environment is created by humans and can be substantially modified, it possesses considerable potential for enhancing functional ability, social participation, and overall quality of life in community-dwelling older adults. It is possible to design a better person-environment fit, promoting safety, independence, optimal health, and quality of life. In order to support healthy aging, improvements in the built environment need to be accompanied by appropriate health and social policies, systems, and services. These changes require political will, as well as material resources that may not be readily available especially in the global South. A socioecological approach with adequate resources directed to older adults’ health and healthcare is necessary in order to achieve the ultimate goal of healthy aging in this population.","container-title":"Acta Medica Philippina","DOI":"10.47895/amp.v58i20.8512","ISSN":"2094-9278, 0001-6071","issue":"20","journalAbbreviation":"Acta Med Philipp","license":"https://creativecommons.org/licenses/by-nc-nd/4.0","source":"DOI.org (Crossref)","title":"Exploring the Role of the Built Environment on the Functional Ability and Social Participation in Community-dwelling Older Adults","URL":"https://actamedicaphilippina.upm.edu.ph/index.php/acta/article/view/8512","volume":"58","author":[{"family":"Yang","given":"Jennifer Marie J."},{"family":"Stone","given":"Louise"}],"accessed":{"date-parts":[["2026",4,10]]},"issued":{"date-parts":[["2024",11,15]]}}},{"id":1047,"uris":["http://zotero.org/users/19409188/items/BLAPD7ME"],"itemData":{"id":1047,"type":"article-journal","abstract":"Introduction\n              The global population is projected to double by 2050 with most older adults expressing preference to age in place. Despite this demographic shift, indoor mobility challenges which directly impact independence, safety and quality of life remains poorly understudied, creating a critical knowledge gap for effective intervention development.\n            \n            \n              Methods\n              A systematic literature search was conducted on four databases from inception to September 2024. Inclusion criteria included: (1) participants aged 60 years and above; (2) were primary data on self-reported indoor mobility challenges; and (3) published in English language. Two reviewers independently performed data abstraction, evaluated the risk-of-bias and quality of included article using the NewCastle Ottawa Scale for cross-sectional or Joanna Briggs Institute Checklist for qualitative studies. Thematic synthesis with constant comparison analysis identified key mobility constraint factors.\n            \n            \n              Results\n              Nine studies encompassing 1,833 participants were identified. Older adults reported four main indoor mobility challenges: fatigability, poor balance, home environmental barriers, reduced strength and limb weakness. These limitations contributed to reduced endurance, even in indoor settings. The presence of various health conditions further compromised their mobility and ability to age in place healthily.\n            \n            \n              Conclusion\n              To support ageing in place, a comprehensive environmental assessments and home modifications can be considered. Multi-stakeholder collaborations are needed to support the independence, safety, and quality of life of older adults who wish to age in place. Further research is warranted in suburban and rural areas to explore socioeconomic factors and determinants of indoor mobility.","container-title":"PLOS One","DOI":"10.1371/journal.pone.0325064","ISSN":"1932-6203","issue":"6","journalAbbreviation":"PLoS One","language":"en","page":"e0325064","source":"DOI.org (Crossref)","title":"Indoor mobility challenges among older adults: A systematic review of barriers and limitations","title-short":"Indoor mobility challenges among older adults","volume":"20","author":[{"family":"Yaw","given":"Xin Er"},{"family":"Teh","given":"Pei Lee"},{"family":"Lim","given":"Weng Marc"},{"family":"Lee","given":"Shaun Wen Huey"}],"editor":[{"family":"Chrusciel","given":"Jan"}],"issued":{"date-parts":[["2025",6,4]]}}}],"schema":"https://github.com/citation-style-language/schema/raw/master/csl-citation.json"} </w:instrText>
      </w:r>
      <w:r w:rsidR="00035000">
        <w:fldChar w:fldCharType="separate"/>
      </w:r>
      <w:r w:rsidR="00EF4642" w:rsidRPr="00EF4642">
        <w:t>(Lawton, 1977; Oswald et al., 2005; Yang &amp; Stone, 2024; Yaw et al., 2025)</w:t>
      </w:r>
      <w:r w:rsidR="00035000">
        <w:fldChar w:fldCharType="end"/>
      </w:r>
      <w:r w:rsidRPr="00171041">
        <w:t>.</w:t>
      </w:r>
      <w:r>
        <w:t xml:space="preserve"> </w:t>
      </w:r>
      <w:r w:rsidRPr="00171041">
        <w:t xml:space="preserve">However, the </w:t>
      </w:r>
      <w:r>
        <w:t>person-environment fi</w:t>
      </w:r>
      <w:r w:rsidR="004D1A74">
        <w:t>t</w:t>
      </w:r>
      <w:r>
        <w:t xml:space="preserve"> is</w:t>
      </w:r>
      <w:r w:rsidRPr="00171041">
        <w:t xml:space="preserve"> increasingly </w:t>
      </w:r>
      <w:r>
        <w:t>at risk</w:t>
      </w:r>
      <w:r w:rsidRPr="00171041">
        <w:t xml:space="preserve"> with advancing age, as functional limitations, health changes, and household transitions alter the demands placed on the residential environment. Residential relocation may therefore represent a key mechanism through which older adults adjust their housing conditions to changing needs.</w:t>
      </w:r>
    </w:p>
    <w:p w14:paraId="50EAC1E9" w14:textId="2C8F81FF" w:rsidR="004D1A74" w:rsidRPr="004D1A74" w:rsidRDefault="004D1A74" w:rsidP="00944B49">
      <w:pPr>
        <w:pStyle w:val="Newparagraph"/>
      </w:pPr>
      <w:r w:rsidRPr="004D1A74">
        <w:t>From a life-course perspective, residential relocation can be conceptualised as a critical transition. Moves often involve substantial changes in living arrangements, daily routines, and social environments, and may require considerable cognitive, emotional, and financial resources</w:t>
      </w:r>
      <w:r w:rsidR="00EB6697">
        <w:t xml:space="preserve"> </w:t>
      </w:r>
      <w:r w:rsidR="00EB6697">
        <w:fldChar w:fldCharType="begin"/>
      </w:r>
      <w:r w:rsidR="00EB6697">
        <w:instrText xml:space="preserve"> ADDIN ZOTERO_ITEM CSL_CITATION {"citationID":"zzLzrKux","properties":{"unsorted":false,"formattedCitation":"(Mulder &amp; Hooimeijer, 1999; Orvin &amp; Fatmi, 2022; Yarina &amp; Wescoat, 2023)","plainCitation":"(Mulder &amp; Hooimeijer, 1999; Orvin &amp; Fatmi, 2022; Yarina &amp; Wescoat, 2023)","noteIndex":0},"citationItems":[{"id":1051,"uris":["http://zotero.org/users/19409188/items/JLQALVRW"],"itemData":{"id":1051,"type":"chapter","container-title":"Population Issues","DOI":"10.1007/978-94-011-4389-9_6","ISBN":"978-94-010-5885-8","page":"159-186","publisher":"Springer Netherlands","publisher-place":"Dordrecht","source":"DOI.org (Crossref)","title":"Residential Relocations in the Life Course","URL":"http://link.springer.com/10.1007/978-94-011-4389-9_6","editor":[{"family":"Wissen","given":"Leo J. G."},{"family":"Dykstra","given":"Pearl A."}],"author":[{"family":"Mulder","given":"Clara H."},{"family":"Hooimeijer","given":"Pieter"}],"accessed":{"date-parts":[["2026",4,2]]},"issued":{"date-parts":[["1999"]]}}},{"id":1052,"uris":["http://zotero.org/users/19409188/items/5G9VMAIL"],"itemData":{"id":1052,"type":"article-journal","container-title":"Transportation Letters","DOI":"10.1080/19427867.2021.1995585","ISSN":"1942-7867, 1942-7875","issue":"10","journalAbbreviation":"Transportation Letters","language":"en","page":"1100-1109","source":"DOI.org (Crossref)","title":"Modeling residential mobility decisions from a life history–oriented perspective","volume":"14","author":[{"family":"Orvin","given":"Muntahith Mehadil"},{"family":"Fatmi","given":"Mahmudur Rahman"}],"issued":{"date-parts":[["2022",11,26]]}}},{"id":1053,"uris":["http://zotero.org/users/19409188/items/HCDQUPN2"],"itemData":{"id":1053,"type":"article-journal","container-title":"Global Environmental Change","DOI":"10.1016/j.gloenvcha.2023.102650","ISSN":"09593780","journalAbbreviation":"Global Environmental Change","language":"en","page":"102650","source":"DOI.org (Crossref)","title":"Spectrums of Relocation: A typological framework for understanding risk-based relocation through space, time and power","title-short":"Spectrums of Relocation","volume":"79","author":[{"family":"Yarina","given":"Lizzie"},{"family":"Wescoat","given":"James L."}],"issued":{"date-parts":[["2023",3]]}}}],"schema":"https://github.com/citation-style-language/schema/raw/master/csl-citation.json"} </w:instrText>
      </w:r>
      <w:r w:rsidR="00EB6697">
        <w:fldChar w:fldCharType="separate"/>
      </w:r>
      <w:r w:rsidR="00EB6697" w:rsidRPr="00EB6697">
        <w:t>(Mulder &amp; Hooimeijer, 1999; Orvin &amp; Fatmi, 2022; Yarina &amp; Wescoat, 2023)</w:t>
      </w:r>
      <w:r w:rsidR="00EB6697">
        <w:fldChar w:fldCharType="end"/>
      </w:r>
      <w:r w:rsidRPr="004D1A74">
        <w:t>. At the same time, relocation may function as an important strategy of adaptation. By changing their housing situation, older adults may actively improve the fit between their living environment and evolving needs, thereby maintaining independence and quality of life.</w:t>
      </w:r>
      <w:r>
        <w:t xml:space="preserve"> </w:t>
      </w:r>
      <w:r w:rsidRPr="004D1A74">
        <w:t xml:space="preserve">Given the strong association between education and housing conditions, it is plausible that education also shapes how such transitions are initiated, timed, and experienced. Individuals with higher levels of education may be better positioned to anticipate future housing needs and actively adjust their living environments. Moreover, participation in learning activities may reflect ongoing capacities for planning, </w:t>
      </w:r>
      <w:r w:rsidR="00312A8C">
        <w:t>adapting, and making informed decisions</w:t>
      </w:r>
      <w:r w:rsidRPr="004D1A74">
        <w:t xml:space="preserve">, as well </w:t>
      </w:r>
      <w:r w:rsidRPr="004D1A74">
        <w:lastRenderedPageBreak/>
        <w:t>as increased awareness of available options and resources that facilitate proactive housing adjustments</w:t>
      </w:r>
      <w:r w:rsidR="00312A8C">
        <w:t>.</w:t>
      </w:r>
    </w:p>
    <w:p w14:paraId="5DC7F4AC" w14:textId="7057A4EF" w:rsidR="004D1A74" w:rsidRPr="00312A8C" w:rsidRDefault="004D1A74" w:rsidP="00CB2967">
      <w:pPr>
        <w:pStyle w:val="berschrift2"/>
        <w:rPr>
          <w:lang w:val="en-GB"/>
        </w:rPr>
      </w:pPr>
      <w:r w:rsidRPr="00312A8C">
        <w:rPr>
          <w:lang w:val="en-GB"/>
        </w:rPr>
        <w:t xml:space="preserve">Improved </w:t>
      </w:r>
      <w:r w:rsidR="00F92826" w:rsidRPr="00312A8C">
        <w:rPr>
          <w:lang w:val="en-GB"/>
        </w:rPr>
        <w:t>person-environment</w:t>
      </w:r>
      <w:r w:rsidRPr="00312A8C">
        <w:rPr>
          <w:lang w:val="en-GB"/>
        </w:rPr>
        <w:t xml:space="preserve"> fit through relocation</w:t>
      </w:r>
      <w:r w:rsidR="00312A8C" w:rsidRPr="00312A8C">
        <w:rPr>
          <w:lang w:val="en-GB"/>
        </w:rPr>
        <w:t>.</w:t>
      </w:r>
    </w:p>
    <w:p w14:paraId="4072A4D9" w14:textId="43C340F6" w:rsidR="004D1A74" w:rsidRPr="004D1A74" w:rsidRDefault="004D1A74" w:rsidP="00F92826">
      <w:pPr>
        <w:pStyle w:val="Paragraph"/>
      </w:pPr>
      <w:r w:rsidRPr="004D1A74">
        <w:t>Several dimensions of housing are particularly relevant for such adaptation processes. Improvements in housing equipment, such as barrier-free access or age-friendly modifications, may reduce physical strain and support continued independent living. Changes in the residential environment, including better access to medical services, shopping facilities, public transport, and recreational spaces, may enhance mobility and social participation. Adjustments in dwelling size may also reflect adaptive processes, as smaller</w:t>
      </w:r>
      <w:r>
        <w:t xml:space="preserve">, more manageable homes can reduce the </w:t>
      </w:r>
      <w:r w:rsidRPr="004D1A74">
        <w:t>maintenance burden and better align with changing household structures. In addition, relocation closer to family members may strengthen social support networks, facilitate intergenerational exchange, and contribute to well-being and informal care arrangements.</w:t>
      </w:r>
    </w:p>
    <w:p w14:paraId="4641BB78" w14:textId="0326187E" w:rsidR="009A102F" w:rsidRPr="00EF4642" w:rsidRDefault="009A102F" w:rsidP="00CB2967">
      <w:pPr>
        <w:pStyle w:val="berschrift2"/>
        <w:rPr>
          <w:lang w:val="en-GB"/>
        </w:rPr>
      </w:pPr>
      <w:r w:rsidRPr="00EF4642">
        <w:rPr>
          <w:lang w:val="en-GB"/>
        </w:rPr>
        <w:t>Timing and conditions of relocation</w:t>
      </w:r>
    </w:p>
    <w:p w14:paraId="36D59DE7" w14:textId="41670853" w:rsidR="00A070E7" w:rsidRDefault="00A070E7" w:rsidP="00A070E7">
      <w:pPr>
        <w:pStyle w:val="Paragraph"/>
      </w:pPr>
      <w:r w:rsidRPr="00A070E7">
        <w:t>Previous research suggests that relocations in later life occur under different circumstances</w:t>
      </w:r>
      <w:r w:rsidR="00EB6697">
        <w:t xml:space="preserve"> </w:t>
      </w:r>
      <w:r w:rsidR="00EB6697">
        <w:fldChar w:fldCharType="begin"/>
      </w:r>
      <w:r w:rsidR="00EB6697">
        <w:instrText xml:space="preserve"> ADDIN ZOTERO_ITEM CSL_CITATION {"citationID":"3UnvZF4G","properties":{"unsorted":false,"formattedCitation":"(Pope &amp; Kang, 2010)","plainCitation":"(Pope &amp; Kang, 2010)","noteIndex":0},"citationItems":[{"id":1054,"uris":["http://zotero.org/users/19409188/items/Q7GUJRFP"],"itemData":{"id":1054,"type":"article-journal","container-title":"Journal of Housing For the Elderly","DOI":"10.1080/02763891003757122","ISSN":"0276-3893, 1540-353X","issue":"2","journalAbbreviation":"Journal of Housing For the Elderly","language":"en","page":"193-207","source":"DOI.org (Crossref)","title":"Residential Relocation in Later Life: A Comparison of Proactive and Reactive Moves","title-short":"Residential Relocation in Later Life","volume":"24","author":[{"family":"Pope","given":"Natalie D."},{"family":"Kang","given":"Byungdeok"}],"issued":{"date-parts":[["2010",5,25]]}}}],"schema":"https://github.com/citation-style-language/schema/raw/master/csl-citation.json"} </w:instrText>
      </w:r>
      <w:r w:rsidR="00EB6697">
        <w:fldChar w:fldCharType="separate"/>
      </w:r>
      <w:r w:rsidR="00EB6697" w:rsidRPr="00EB6697">
        <w:t>(Pope &amp; Kang, 2010)</w:t>
      </w:r>
      <w:r w:rsidR="00EB6697">
        <w:fldChar w:fldCharType="end"/>
      </w:r>
      <w:r w:rsidRPr="00A070E7">
        <w:t>. Some moves are undertaken proactively, anticipating age-related changes and aiming to improve the fit between housing conditions and future needs</w:t>
      </w:r>
      <w:r w:rsidR="002134F9">
        <w:t xml:space="preserve">. </w:t>
      </w:r>
      <w:r w:rsidR="002134F9" w:rsidRPr="00A070E7">
        <w:t>Others occur reactively, for instance in response to health deterioration or critical life events, and may be associated with reduced resources and a diminished sense of control</w:t>
      </w:r>
      <w:r w:rsidR="00EB6697">
        <w:t xml:space="preserve"> </w:t>
      </w:r>
      <w:r w:rsidR="00EB6697">
        <w:fldChar w:fldCharType="begin"/>
      </w:r>
      <w:r w:rsidR="002134F9">
        <w:instrText xml:space="preserve"> ADDIN ZOTERO_ITEM CSL_CITATION {"citationID":"RH2041P2","properties":{"unsorted":false,"formattedCitation":"(Cho &amp; Dunkle, 2024; Kampfe, 2002; Oswald et al., 2002)","plainCitation":"(Cho &amp; Dunkle, 2024; Kampfe, 2002; Oswald et al., 2002)","noteIndex":0},"citationItems":[{"id":1056,"uris":["http://zotero.org/users/19409188/items/DFYS83EY"],"itemData":{"id":1056,"type":"article-journal","abstract":"Abstract\n            Although the majority of older adults in the United States stay in their current residence, there has been an increase in the number of housing transitions among older adults since 2000. While aging in their current dwelling is the preferred option for most older adults, according to the Ecological Theory of Aging, the Person-Environment fit changes over time, and relocation is one strategy older adults may use to promote better psychological well-being. The association between housing transition and psychological well-being has yet to be fully explored and the effects of housing transition on psychological well-being may vary across different settings and individuals. Using data from the National Health and Aging Trend Study (2011-2015 n=3,549), we applied multilevel growth modeling to examine the association between housing transition and psychological well-being across different settings including within the community, non-nursing residential facilities, and nursing homes over 5 waves. We found that within-community movers tended to report higher well-being over time compared to non-movers (adj. β= 0.32, p=0.021). In contrast, compared to non-movers, non-nursing facility movers and nursing home movers were no different in terms of changes in psychological well-being over time. (adj. β= 0.23, p=0.348; adj. β= 0.41, p=0.394). Our findings suggest that within-community housing transition can be viewed as one way to achieve aging in the right place.","container-title":"Innovation in Aging","DOI":"10.1093/geroni/igae098.2951","ISSN":"2399-5300","issue":"Supplement_1","language":"en","license":"https://creativecommons.org/licenses/by/4.0/","page":"914-914","source":"DOI.org (Crossref)","title":"IS AGING IN THEIR CURRENT DWELLING THE BEST OPTION FOR OLDER ADULTS?","volume":"8","author":[{"family":"Cho","given":"Joonyoung"},{"family":"Dunkle","given":"Ruth"}],"issued":{"date-parts":[["2024",12,31]]}}},{"id":1055,"uris":["http://zotero.org/users/19409188/items/9FV6A4FH"],"itemData":{"id":1055,"type":"article-journal","abstract":"This study is a companion to a larger study of older adults who had made residential relocations that involved moving from one level of independence to another level. The current study examined the degree to which older individuals perceived their moves to be important, controllable, stressful, disruptive, and positive.","container-title":"The Journal of Humanistic Counseling, Education and Development","DOI":"10.1002/j.2164-490X.2002.tb00133.x","ISSN":"1931-0293, 2164-490X","issue":"1","journalAbbreviation":"The Journal of Humanistic Counseling, Education and Development","language":"en","license":"http://onlinelibrary.wiley.com/termsAndConditions#vor","page":"103-113","source":"DOI.org (Crossref)","title":"Older Adults' Perceptions of Residential Relocation","volume":"41","author":[{"family":"Kampfe","given":"Charlene M."}],"issued":{"date-parts":[["2002",3]]}}},{"id":374,"uris":["http://zotero.org/users/19409188/items/DI65QETF"],"itemData":{"id":374,"type":"article-journal","abstract":"Drawing from an environmental gerontology perspective that highlights the proactivity of older adults, this study regards relocation from home to home predominantly as an active and goal-directed process of person–environment regulation. The main objectives of the study were to explore: (1) what kind of relocation motivations are prevalent, (2) what objective environmental changes are associated with relocation, and (3) what relations exist between motivations and environmental change. With respect to relocation motivations, the study differentiates between content (person, physical environment, social environment, other external or societal) and level of need (basic needs, anticipated basic needs, higher-order needs). Furthermore, four domains of objective change (household amenities, stimulation, availability of resources, social network) are addressed. Data collected by a phone interview procedure was drawn from a sample of 217 older adults (mean age=70·7; range 60–89; 37·8% male and 62·2% female) who moved from home to home within a 3-year period (M=1·9 years, S.D.=0·9) before assessment. Results indicate that subjects had multiple reasons for moving, a considerable portion of which addressed higher-order needs. Subjects generally improved all domains of the socio-physical setting as a consequence of the move. The relationship between objective environmental change and subjective motivation could only be partially confirmed. However, links were found between basic needs and barrier reduction, as well as between social motives and proximity of family after the move.","container-title":"Journal of Environmental Psychology","DOI":"10.1006/jevp.2002.0255","ISSN":"0272-4944","issue":"3","journalAbbreviation":"Journal of Environmental Psychology","page":"273-288","title":"Trouble in Paradise? Reasons to relocate and objective environmental changes among well-off older adults","volume":"22","author":[{"family":"Oswald","given":"Frank"},{"family":"Schilling","given":"Oliver"},{"family":"Wahl","given":"Hans-Werner"},{"family":"Gäng","given":"Karin"}],"issued":{"date-parts":[["2002",9,1]]}}}],"schema":"https://github.com/citation-style-language/schema/raw/master/csl-citation.json"} </w:instrText>
      </w:r>
      <w:r w:rsidR="00EB6697">
        <w:fldChar w:fldCharType="separate"/>
      </w:r>
      <w:r w:rsidR="002134F9" w:rsidRPr="002134F9">
        <w:t>(Cho &amp; Dunkle, 2024; Kampfe, 2002; Oswald et al., 2002)</w:t>
      </w:r>
      <w:r w:rsidR="00EB6697">
        <w:fldChar w:fldCharType="end"/>
      </w:r>
      <w:r w:rsidRPr="00A070E7">
        <w:t xml:space="preserve">. Such reactive relocations often take place at more advanced ages and under conditions of increased morbidity and reduced well-being. They can be stressful and disruptive, </w:t>
      </w:r>
      <w:r w:rsidR="00F92826">
        <w:t>often involving time pressure, limited choices, and emotional strain from</w:t>
      </w:r>
      <w:r w:rsidRPr="00A070E7">
        <w:t xml:space="preserve"> the loss of familiar environments and routines. In contrast, earlier and more proactive housing adjustments are typically associated with more favourable adaptation processes, greater perceived control, and higher levels of well-being.</w:t>
      </w:r>
    </w:p>
    <w:p w14:paraId="714680F9" w14:textId="2A31A420" w:rsidR="00A070E7" w:rsidRPr="00CB2967" w:rsidRDefault="00A070E7" w:rsidP="00CB2967">
      <w:pPr>
        <w:pStyle w:val="berschrift2"/>
        <w:rPr>
          <w:lang w:val="en-GB"/>
        </w:rPr>
      </w:pPr>
      <w:r w:rsidRPr="00CB2967">
        <w:rPr>
          <w:lang w:val="en-GB"/>
        </w:rPr>
        <w:t>The role of formal</w:t>
      </w:r>
      <w:r w:rsidR="00CB2967" w:rsidRPr="00CB2967">
        <w:rPr>
          <w:lang w:val="en-GB"/>
        </w:rPr>
        <w:t xml:space="preserve">, </w:t>
      </w:r>
      <w:r w:rsidRPr="00CB2967">
        <w:rPr>
          <w:lang w:val="en-GB"/>
        </w:rPr>
        <w:t xml:space="preserve">nonformal </w:t>
      </w:r>
      <w:r w:rsidR="00CB2967" w:rsidRPr="00CB2967">
        <w:rPr>
          <w:lang w:val="en-GB"/>
        </w:rPr>
        <w:t xml:space="preserve">and informal </w:t>
      </w:r>
      <w:r w:rsidRPr="00CB2967">
        <w:rPr>
          <w:lang w:val="en-GB"/>
        </w:rPr>
        <w:t>education</w:t>
      </w:r>
    </w:p>
    <w:p w14:paraId="6C9616DA" w14:textId="1C83CC7F" w:rsidR="00CB2967" w:rsidRPr="00CB2967" w:rsidRDefault="002134F9" w:rsidP="00CB2967">
      <w:pPr>
        <w:pStyle w:val="Paragraph"/>
      </w:pPr>
      <w:r w:rsidRPr="002134F9">
        <w:lastRenderedPageBreak/>
        <w:t xml:space="preserve">Educational attainment influences who </w:t>
      </w:r>
      <w:proofErr w:type="gramStart"/>
      <w:r w:rsidRPr="002134F9">
        <w:t>moves</w:t>
      </w:r>
      <w:proofErr w:type="gramEnd"/>
      <w:r w:rsidRPr="002134F9">
        <w:t>, where they move to, and the conditions they gain or lose through relocation. It operates both as a resource that opens options and as a marker of social stratification that structures unequal mobility paths</w:t>
      </w:r>
      <w:r>
        <w:t xml:space="preserve"> </w:t>
      </w:r>
      <w:r>
        <w:fldChar w:fldCharType="begin"/>
      </w:r>
      <w:r>
        <w:instrText xml:space="preserve"> ADDIN ZOTERO_ITEM CSL_CITATION {"citationID":"Yppd5wbz","properties":{"unsorted":false,"formattedCitation":"(Fischer et al., 2025; Lee et al., 2025)","plainCitation":"(Fischer et al., 2025; Lee et al., 2025)","noteIndex":0},"citationItems":[{"id":1058,"uris":["http://zotero.org/users/19409188/items/FVRPIDPK"],"itemData":{"id":1058,"type":"article-journal","abstract":"The article addresses residential mobility in later life from the perspective of the young-old, an under-explored topic in Austria. Data originating from a written survey conducted as part of a cross-sectional case study on people aged 60 to 74 years living in an Austrian small town are used to estimate prospective behaviour using logistic regression. The results show that women and people with a higher educational attainment are more likely to leave their current urban residential municipality, while men are more likely to relocate to a nursing home. Moreover, a duration of residence of 20 or more years decreases the probability of relocation. The findings confirm previous studies and highlight, that more spatially disaggregated data is needed to improve decision-making in town planning.","container-title":"Acta geographica Slovenica","DOI":"10.3986/AGS.13919","ISSN":"1581-8314, 1581-6613","issue":"1","journalAbbreviation":"AGS","license":"http://creativecommons.org/licenses/by-nc-nd/4.0","source":"DOI.org (Crossref)","title":"Predictors for residential mobility in later life: Empirical findings for the young-old living in an Austrian small town","title-short":"Predictors for residential mobility in later life","URL":"https://ojs.zrc-sazu.si/ags/article/view/13919","volume":"65","author":[{"family":"Fischer","given":"Tatjana"},{"family":"Jobst","given":"Markus"},{"family":"Moder","given":"Karl"}],"accessed":{"date-parts":[["2026",4,2]]},"issued":{"date-parts":[["2025",4,7]]}}},{"id":1060,"uris":["http://zotero.org/users/19409188/items/F65L48YD"],"itemData":{"id":1060,"type":"article-journal","abstract":"The older population in the United States is growing rapidly, yet their residential mobility patterns are understudied. Using the confidential version of the American Community Survey, this study examines variations in residential mobility outcomes across population subgroups, focusing on racial/ethnic and educational groups. Findings reveal disparities among older adult households: households of color and less-educated households often relocate to high-poverty areas, while non-Hispanic whites and college-educated households move to low-poverty areas. These trends highlight residential mobility’s role in perpetuating neighborhood inequality and underscore the need for improved neighborhood quality and accessibility for older adults, whether relocating or aging in place.","container-title":"Journal of Planning Education and Research","DOI":"10.1177/0739456X251326055","ISSN":"0739-456X, 1552-6577","journalAbbreviation":"Journal of Planning Education and Research","language":"en","page":"0739456X251326055","source":"DOI.org (Crossref)","title":"Disparities in Residential Mobility Outcomes Among Older Adults in the United States","author":[{"family":"Lee","given":"Hyojung"},{"family":"Airgood-Obrycki","given":"Whitney"},{"family":"Molinsky","given":"Jennifer"}],"issued":{"date-parts":[["2025",3,28]]}}}],"schema":"https://github.com/citation-style-language/schema/raw/master/csl-citation.json"} </w:instrText>
      </w:r>
      <w:r>
        <w:fldChar w:fldCharType="separate"/>
      </w:r>
      <w:r w:rsidRPr="002134F9">
        <w:t>(Fischer et al., 2025; Lee et al., 2025)</w:t>
      </w:r>
      <w:r>
        <w:fldChar w:fldCharType="end"/>
      </w:r>
      <w:r w:rsidRPr="002134F9">
        <w:t>.</w:t>
      </w:r>
      <w:r w:rsidR="00312A8C">
        <w:t xml:space="preserve"> </w:t>
      </w:r>
      <w:r w:rsidR="00CB2967" w:rsidRPr="00CB2967">
        <w:t>Individuals with higher levels of formal education generally possess greater financial resources, which may facilitate access to suitable housing options and enable relocation decisions to be made under less constrained conditions. In addition, higher educational attainment is associated with better health and health-related behaviours across the life course, including preventive health practices and more effective use of healthcare services. These advantages may delay the onset of functional limitations and create a broader time window for proactive, rather than reactive, relocation planning.</w:t>
      </w:r>
      <w:r w:rsidR="00CB2967">
        <w:t xml:space="preserve"> </w:t>
      </w:r>
    </w:p>
    <w:p w14:paraId="54F7A427" w14:textId="70A5FC57" w:rsidR="00CB2967" w:rsidRPr="00CB2967" w:rsidRDefault="00CB2967" w:rsidP="00CB2967">
      <w:pPr>
        <w:pStyle w:val="Newparagraph"/>
      </w:pPr>
      <w:r w:rsidRPr="00CB2967">
        <w:t xml:space="preserve">Beyond formal education, participation in non-formal learning activities may also be relevant for understanding relocation behaviour. Engagement in </w:t>
      </w:r>
      <w:r w:rsidR="00312A8C">
        <w:t>organised</w:t>
      </w:r>
      <w:r w:rsidRPr="00CB2967">
        <w:t xml:space="preserve"> educational settings, such as courses, training programmes, or community-based initiatives, may increase awareness of age-related housing needs, available support structures, and potential adaptation strategies, including financial support schemes or local initiatives that facilitate relocation. Such activities may also strengthen social integration and self-efficacy, thereby supporting individuals in actively navigating complex decision-making processes related to housing and care.</w:t>
      </w:r>
    </w:p>
    <w:p w14:paraId="3B6148DB" w14:textId="6AD5085D" w:rsidR="00CB2967" w:rsidRPr="00CB2967" w:rsidRDefault="00CB2967" w:rsidP="00CB2967">
      <w:pPr>
        <w:pStyle w:val="Newparagraph"/>
      </w:pPr>
      <w:r w:rsidRPr="00CB2967">
        <w:t xml:space="preserve">Informal learning, in turn, reflects everyday engagement with cognitively and socially stimulating activities, such as reading, cultural participation, or other leisure practices. These forms of learning may contribute to the accumulation of experiential knowledge and promote an active orientation toward ageing, </w:t>
      </w:r>
      <w:r>
        <w:t>facilitating</w:t>
      </w:r>
      <w:r w:rsidRPr="00CB2967">
        <w:t xml:space="preserve"> more flexible and informed responses to changing living conditions. Through continuous engagement with information and social environments, individuals may be better able to </w:t>
      </w:r>
      <w:r>
        <w:t>recognise</w:t>
      </w:r>
      <w:r w:rsidRPr="00CB2967">
        <w:t xml:space="preserve"> emerging needs, evaluate alternatives, and adapt their housing situations accordingly.</w:t>
      </w:r>
    </w:p>
    <w:p w14:paraId="19EFD93A" w14:textId="515738E8" w:rsidR="005B5B81" w:rsidRPr="005B5B81" w:rsidRDefault="00F92826" w:rsidP="00CB2967">
      <w:pPr>
        <w:pStyle w:val="berschrift2"/>
        <w:rPr>
          <w:lang w:val="en-GB" w:eastAsia="en-GB"/>
        </w:rPr>
      </w:pPr>
      <w:r w:rsidRPr="00F92826">
        <w:rPr>
          <w:lang w:val="en-GB" w:eastAsia="en-GB"/>
        </w:rPr>
        <w:t>Aim o</w:t>
      </w:r>
      <w:r>
        <w:rPr>
          <w:lang w:val="en-GB" w:eastAsia="en-GB"/>
        </w:rPr>
        <w:t>f this study</w:t>
      </w:r>
    </w:p>
    <w:p w14:paraId="216D3640" w14:textId="18C6FC5D" w:rsidR="005B5B81" w:rsidRPr="005B5B81" w:rsidRDefault="005B5B81" w:rsidP="009A102F">
      <w:pPr>
        <w:pStyle w:val="Paragraph"/>
      </w:pPr>
      <w:r w:rsidRPr="005B5B81">
        <w:lastRenderedPageBreak/>
        <w:t xml:space="preserve">Building on a life-course perspective that conceptualises residential relocation as a key transition in later life, this study examines whether educational resources shape housing conditions, relocation-related changes, and the circumstances </w:t>
      </w:r>
      <w:r w:rsidR="00F92826">
        <w:t>of relocation</w:t>
      </w:r>
      <w:r w:rsidRPr="005B5B81">
        <w:t>. In line with a broader understanding of education, both formal educational attainment and participation in learning activities are considered.</w:t>
      </w:r>
    </w:p>
    <w:p w14:paraId="75C70738" w14:textId="77777777" w:rsidR="005B5B81" w:rsidRPr="005B5B81" w:rsidRDefault="005B5B81" w:rsidP="00F92826">
      <w:pPr>
        <w:pStyle w:val="berschrift3"/>
      </w:pPr>
      <w:r w:rsidRPr="005B5B81">
        <w:t>Housing conditions in later life</w:t>
      </w:r>
    </w:p>
    <w:p w14:paraId="3B0B6220" w14:textId="6E275B31" w:rsidR="005974FB" w:rsidRDefault="005974FB" w:rsidP="005974FB">
      <w:pPr>
        <w:pStyle w:val="Paragraph"/>
      </w:pPr>
      <w:r w:rsidRPr="005974FB">
        <w:t>Housing conditions are strongly socially stratified and closely linked to individuals’ resources and opportunities. Previous research consistently shows that individuals with higher levels of education tend to live in larger dwellings, are more likely to be homeowners, and reside in neighbourhoods with better infrastructure and access to services. These patterns suggest that educational differences are reflected not only in economic resources but also in the quality and suitability of housing environments in later life. The present study</w:t>
      </w:r>
      <w:r w:rsidR="00312A8C">
        <w:t>, therefore,</w:t>
      </w:r>
      <w:r w:rsidRPr="005974FB">
        <w:t xml:space="preserve"> provides a descriptive assessment of educational differences in key housing characteristics, including dwelling size, housing equipment, residential environment, and tenure status.</w:t>
      </w:r>
    </w:p>
    <w:p w14:paraId="2B9AD57E" w14:textId="4C24CE4E" w:rsidR="005B5B81" w:rsidRPr="00F92826" w:rsidRDefault="005B5B81" w:rsidP="005974FB">
      <w:pPr>
        <w:pStyle w:val="berschrift3"/>
      </w:pPr>
      <w:r w:rsidRPr="00F92826">
        <w:t>Relocation as housing adaptation</w:t>
      </w:r>
    </w:p>
    <w:p w14:paraId="31C0DCB6" w14:textId="48A05652" w:rsidR="005974FB" w:rsidRPr="005974FB" w:rsidRDefault="005974FB" w:rsidP="005974FB">
      <w:pPr>
        <w:pStyle w:val="Paragraph"/>
      </w:pPr>
      <w:r w:rsidRPr="005974FB">
        <w:t xml:space="preserve">Residential relocation </w:t>
      </w:r>
      <w:r>
        <w:t xml:space="preserve">is a key mechanism by which older adults may adjust their housing conditions in response </w:t>
      </w:r>
      <w:r w:rsidRPr="005974FB">
        <w:t xml:space="preserve">to </w:t>
      </w:r>
      <w:r w:rsidR="00312A8C">
        <w:t>changes in functional capacity</w:t>
      </w:r>
      <w:r w:rsidRPr="005974FB">
        <w:t xml:space="preserve"> and life circumstances. However, such adjustments are multidimensional and cannot be interpreted unidirectionally. Improvements in housing conditions may be reflected in better housing equipment (e.g., barrier reduction), more favourable residential environments (e.g., access to services and infrastructure), or closer proximity to kin. At the same time, adaptive changes may also involve reductions in dwelling size, reflecting a shift towards more manageable</w:t>
      </w:r>
      <w:r w:rsidR="00312A8C">
        <w:t xml:space="preserve">, better-fitting housing rather than </w:t>
      </w:r>
      <w:r w:rsidRPr="005974FB">
        <w:t>deterioration in housing conditions. Against this background, the study examines whether relocation-related changes in housing conditions differ by educational attainment and participation in learning activities.</w:t>
      </w:r>
    </w:p>
    <w:p w14:paraId="21E388D9" w14:textId="26E939EE" w:rsidR="005B5B81" w:rsidRPr="005B5B81" w:rsidRDefault="005B5B81" w:rsidP="005B5B81">
      <w:pPr>
        <w:pStyle w:val="Paragraph"/>
      </w:pPr>
      <w:r w:rsidRPr="005B5B81">
        <w:rPr>
          <w:i/>
          <w:iCs/>
        </w:rPr>
        <w:lastRenderedPageBreak/>
        <w:t xml:space="preserve">H2: Older adults with higher levels of education experience greater </w:t>
      </w:r>
      <w:r w:rsidR="0022049D" w:rsidRPr="0022049D">
        <w:rPr>
          <w:i/>
          <w:iCs/>
        </w:rPr>
        <w:t xml:space="preserve">adaptive reconfiguration </w:t>
      </w:r>
      <w:r w:rsidRPr="005B5B81">
        <w:rPr>
          <w:i/>
          <w:iCs/>
        </w:rPr>
        <w:t>in housing conditions following relocation compared to those with lower levels of education.</w:t>
      </w:r>
      <w:r w:rsidRPr="00F92826">
        <w:rPr>
          <w:i/>
          <w:iCs/>
        </w:rPr>
        <w:t xml:space="preserve"> </w:t>
      </w:r>
      <w:r w:rsidRPr="005B5B81">
        <w:rPr>
          <w:i/>
          <w:iCs/>
        </w:rPr>
        <w:t xml:space="preserve">H2a: Participation in learning activities is associated with greater </w:t>
      </w:r>
      <w:r w:rsidR="0022049D" w:rsidRPr="0022049D">
        <w:rPr>
          <w:i/>
          <w:iCs/>
        </w:rPr>
        <w:t xml:space="preserve">adaptive reconfiguration </w:t>
      </w:r>
      <w:r w:rsidRPr="005B5B81">
        <w:rPr>
          <w:i/>
          <w:iCs/>
        </w:rPr>
        <w:t>in housing conditions following relocation.</w:t>
      </w:r>
    </w:p>
    <w:p w14:paraId="425C2BEB" w14:textId="77777777" w:rsidR="005B5B81" w:rsidRPr="005B5B81" w:rsidRDefault="005B5B81" w:rsidP="00F92826">
      <w:pPr>
        <w:pStyle w:val="berschrift3"/>
      </w:pPr>
      <w:r w:rsidRPr="005B5B81">
        <w:t>Conditions of relocation</w:t>
      </w:r>
    </w:p>
    <w:p w14:paraId="133005F5" w14:textId="716D36F7" w:rsidR="005974FB" w:rsidRPr="005974FB" w:rsidRDefault="005974FB" w:rsidP="005974FB">
      <w:pPr>
        <w:pStyle w:val="Paragraph"/>
      </w:pPr>
      <w:r w:rsidRPr="005974FB">
        <w:t>Relocations in later life may occur under different circumstances, ranging from proactive adjustments to reactive responses to constraints. To capture these conditions, the study focuses on characteristics measured close to the relocation event, including age at relocation, health-related quality of life, number of chronic diagnoses, and cognitive functioning. These indicators reflect the extent to which relocations take place under comparatively favourable or constrained conditions. The analyses</w:t>
      </w:r>
      <w:r w:rsidR="00312A8C">
        <w:t>, therefore,</w:t>
      </w:r>
      <w:r w:rsidRPr="005974FB">
        <w:t xml:space="preserve"> examine whether these relocation-related characteristics differ by educational attainment and participation in learning activities.</w:t>
      </w:r>
    </w:p>
    <w:p w14:paraId="5B3901C0" w14:textId="1A37C47B" w:rsidR="005B5B81" w:rsidRPr="005B5B81" w:rsidRDefault="005B5B81" w:rsidP="005B5B81">
      <w:pPr>
        <w:pStyle w:val="Paragraph"/>
        <w:rPr>
          <w:i/>
          <w:iCs/>
        </w:rPr>
      </w:pPr>
      <w:r w:rsidRPr="005B5B81">
        <w:rPr>
          <w:i/>
          <w:iCs/>
        </w:rPr>
        <w:t>H3: At the time of relocation, higher educated individuals are younger, report fewer health-related limitations, and exhibit higher levels of health-related quality of life than lower educated individuals. H3a: Individuals who participate in learning activities show patterns indicative of more proactive relocation, reflected in more favourable health and functional status at the time of relocation.</w:t>
      </w:r>
    </w:p>
    <w:p w14:paraId="304545C8" w14:textId="77777777" w:rsidR="00DC6A5A" w:rsidRPr="00171041" w:rsidRDefault="00DC6A5A" w:rsidP="006A6F7E">
      <w:pPr>
        <w:pStyle w:val="berschrift1"/>
      </w:pPr>
      <w:r w:rsidRPr="00171041">
        <w:t>Methods</w:t>
      </w:r>
    </w:p>
    <w:p w14:paraId="6C92DE2C" w14:textId="77777777" w:rsidR="00DC6A5A" w:rsidRPr="007D0253" w:rsidRDefault="00DC6A5A" w:rsidP="006A6F7E">
      <w:pPr>
        <w:pStyle w:val="berschrift2"/>
        <w:rPr>
          <w:lang w:val="en-GB"/>
        </w:rPr>
      </w:pPr>
      <w:r w:rsidRPr="007D0253">
        <w:rPr>
          <w:lang w:val="en-GB"/>
        </w:rPr>
        <w:t>Data</w:t>
      </w:r>
    </w:p>
    <w:p w14:paraId="596239FD" w14:textId="1B4ED5EC" w:rsidR="00DC6A5A" w:rsidRPr="00DC6A5A" w:rsidRDefault="00DC6A5A" w:rsidP="00DC6A5A">
      <w:pPr>
        <w:pStyle w:val="Paragraph"/>
      </w:pPr>
      <w:r w:rsidRPr="00DC6A5A">
        <w:t xml:space="preserve">The analyses are based on data from the German Ageing Survey (DEAS), a nationally representative longitudinal study of community-dwelling adults aged 40 years and older in Germany. The survey collects detailed information on housing conditions, health, socioeconomic characteristics, and life-course trajectories. For the present study, respondents aged </w:t>
      </w:r>
      <w:r w:rsidRPr="00DC6A5A">
        <w:rPr>
          <w:rFonts w:eastAsiaTheme="majorEastAsia"/>
        </w:rPr>
        <w:t>60 years and older</w:t>
      </w:r>
      <w:r w:rsidRPr="00DC6A5A">
        <w:t xml:space="preserve"> were considered. All currently available main waves were included, covering the period from </w:t>
      </w:r>
      <w:r w:rsidRPr="00DC6A5A">
        <w:rPr>
          <w:rFonts w:eastAsiaTheme="majorEastAsia"/>
        </w:rPr>
        <w:t>1996 to 2023</w:t>
      </w:r>
      <w:r w:rsidRPr="00DC6A5A">
        <w:t>.</w:t>
      </w:r>
      <w:r w:rsidR="00C91604">
        <w:t xml:space="preserve"> </w:t>
      </w:r>
    </w:p>
    <w:p w14:paraId="0CD2D114" w14:textId="301DE83D" w:rsidR="00DC6A5A" w:rsidRDefault="00DC6A5A" w:rsidP="00C91604">
      <w:pPr>
        <w:pStyle w:val="Newparagraph"/>
      </w:pPr>
      <w:r w:rsidRPr="00DC6A5A">
        <w:lastRenderedPageBreak/>
        <w:t>Different analytical samples were constructed depending on the research question. For analyses examining educational differences in housing conditions (Hypothesis 1), all respondents with valid information on educational attainment were included (</w:t>
      </w:r>
      <w:r w:rsidRPr="00DC6A5A">
        <w:rPr>
          <w:rFonts w:eastAsiaTheme="majorEastAsia"/>
        </w:rPr>
        <w:t>N</w:t>
      </w:r>
      <w:r w:rsidR="00C91604">
        <w:rPr>
          <w:rFonts w:eastAsiaTheme="majorEastAsia"/>
          <w:vertAlign w:val="subscript"/>
        </w:rPr>
        <w:t>H1</w:t>
      </w:r>
      <w:r w:rsidRPr="00DC6A5A">
        <w:rPr>
          <w:rFonts w:eastAsiaTheme="majorEastAsia"/>
        </w:rPr>
        <w:t xml:space="preserve"> </w:t>
      </w:r>
      <w:r w:rsidR="00770FFC">
        <w:rPr>
          <w:rFonts w:eastAsiaTheme="majorEastAsia"/>
        </w:rPr>
        <w:t>=</w:t>
      </w:r>
      <w:r w:rsidRPr="00DC6A5A">
        <w:rPr>
          <w:rFonts w:eastAsiaTheme="majorEastAsia"/>
        </w:rPr>
        <w:t xml:space="preserve"> </w:t>
      </w:r>
      <w:r w:rsidR="00C91604">
        <w:rPr>
          <w:rFonts w:eastAsiaTheme="majorEastAsia"/>
        </w:rPr>
        <w:t>11075</w:t>
      </w:r>
      <w:r w:rsidRPr="00DC6A5A">
        <w:rPr>
          <w:rFonts w:eastAsiaTheme="majorEastAsia"/>
        </w:rPr>
        <w:t xml:space="preserve"> observations across waves</w:t>
      </w:r>
      <w:r w:rsidRPr="00DC6A5A">
        <w:t>).</w:t>
      </w:r>
      <w:r w:rsidR="00C91604">
        <w:t xml:space="preserve"> </w:t>
      </w:r>
      <w:r w:rsidRPr="00DC6A5A">
        <w:t xml:space="preserve">For analyses of housing changes associated with residential relocation (Hypothesis 2), the sample was restricted to respondents who </w:t>
      </w:r>
      <w:r w:rsidR="00770FFC">
        <w:t>moved between the</w:t>
      </w:r>
      <w:r w:rsidRPr="00DC6A5A">
        <w:t xml:space="preserve"> two survey waves (</w:t>
      </w:r>
      <w:r w:rsidRPr="00DC6A5A">
        <w:rPr>
          <w:rFonts w:eastAsiaTheme="majorEastAsia"/>
        </w:rPr>
        <w:t>N</w:t>
      </w:r>
      <w:r w:rsidR="00C91604">
        <w:rPr>
          <w:rFonts w:eastAsiaTheme="majorEastAsia"/>
          <w:vertAlign w:val="subscript"/>
        </w:rPr>
        <w:t>H2</w:t>
      </w:r>
      <w:r w:rsidRPr="00DC6A5A">
        <w:rPr>
          <w:rFonts w:eastAsiaTheme="majorEastAsia"/>
        </w:rPr>
        <w:t xml:space="preserve"> = 491</w:t>
      </w:r>
      <w:r w:rsidRPr="00DC6A5A">
        <w:t>). For each mover, the last observation before the relocation and the first observation after the relocation were retained, resulting in a two-observation panel structure for each individual.</w:t>
      </w:r>
      <w:r w:rsidR="00C91604">
        <w:t xml:space="preserve"> </w:t>
      </w:r>
      <w:r w:rsidRPr="00DC6A5A">
        <w:t xml:space="preserve">Analyses examining the circumstances under which relocations occur (Hypothesis 3) were restricted to respondents whose move occurred </w:t>
      </w:r>
      <w:r w:rsidRPr="00DC6A5A">
        <w:rPr>
          <w:rFonts w:eastAsiaTheme="majorEastAsia"/>
        </w:rPr>
        <w:t>within the interview year or the year immediately following the interview</w:t>
      </w:r>
      <w:r w:rsidRPr="00DC6A5A">
        <w:t>, ensuring that observed characteristics reflect conditions close to the relocation event (</w:t>
      </w:r>
      <w:r w:rsidRPr="00DC6A5A">
        <w:rPr>
          <w:rFonts w:eastAsiaTheme="majorEastAsia"/>
        </w:rPr>
        <w:t>N</w:t>
      </w:r>
      <w:r w:rsidR="00860BFE">
        <w:rPr>
          <w:rFonts w:eastAsiaTheme="majorEastAsia"/>
          <w:vertAlign w:val="subscript"/>
        </w:rPr>
        <w:t>H3</w:t>
      </w:r>
      <w:r w:rsidRPr="00DC6A5A">
        <w:rPr>
          <w:rFonts w:eastAsiaTheme="majorEastAsia"/>
        </w:rPr>
        <w:t xml:space="preserve"> = 197</w:t>
      </w:r>
      <w:r w:rsidRPr="00DC6A5A">
        <w:t>).</w:t>
      </w:r>
      <w:r w:rsidR="00464B86">
        <w:t xml:space="preserve"> For an overview</w:t>
      </w:r>
      <w:r w:rsidR="00F44ABF">
        <w:t>,</w:t>
      </w:r>
      <w:r w:rsidR="00464B86">
        <w:t xml:space="preserve"> see Fig. 1.</w:t>
      </w:r>
    </w:p>
    <w:p w14:paraId="79615E15" w14:textId="5CE3EE69" w:rsidR="00464B86" w:rsidRPr="00464B86" w:rsidRDefault="00464B86" w:rsidP="00464B86">
      <w:pPr>
        <w:pStyle w:val="Beschriftung"/>
      </w:pPr>
      <w:r w:rsidRPr="00464B86">
        <w:lastRenderedPageBreak/>
        <w:t xml:space="preserve">Figure </w:t>
      </w:r>
      <w:r w:rsidR="00322764">
        <w:fldChar w:fldCharType="begin"/>
      </w:r>
      <w:r w:rsidR="00322764">
        <w:instrText xml:space="preserve"> SEQ Figure \* ARABIC </w:instrText>
      </w:r>
      <w:r w:rsidR="00322764">
        <w:fldChar w:fldCharType="separate"/>
      </w:r>
      <w:r w:rsidR="00322764">
        <w:rPr>
          <w:noProof/>
        </w:rPr>
        <w:t>1</w:t>
      </w:r>
      <w:r w:rsidR="00322764">
        <w:fldChar w:fldCharType="end"/>
      </w:r>
      <w:r w:rsidRPr="00464B86">
        <w:t xml:space="preserve">: Sample </w:t>
      </w:r>
      <w:proofErr w:type="spellStart"/>
      <w:r w:rsidRPr="00464B86">
        <w:t>sizes</w:t>
      </w:r>
      <w:proofErr w:type="spellEnd"/>
    </w:p>
    <w:p w14:paraId="0DA8648D" w14:textId="59EB2E36" w:rsidR="00464B86" w:rsidRDefault="00464B86" w:rsidP="00464B86">
      <w:pPr>
        <w:pStyle w:val="Paragraph"/>
      </w:pPr>
      <w:r>
        <w:rPr>
          <w:noProof/>
        </w:rPr>
        <w:drawing>
          <wp:inline distT="0" distB="0" distL="0" distR="0" wp14:anchorId="370DF30E" wp14:editId="78058D42">
            <wp:extent cx="3752850" cy="6357981"/>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5010" cy="6395523"/>
                    </a:xfrm>
                    <a:prstGeom prst="rect">
                      <a:avLst/>
                    </a:prstGeom>
                    <a:noFill/>
                  </pic:spPr>
                </pic:pic>
              </a:graphicData>
            </a:graphic>
          </wp:inline>
        </w:drawing>
      </w:r>
    </w:p>
    <w:p w14:paraId="67DCFC0C" w14:textId="77777777" w:rsidR="00DC6A5A" w:rsidRPr="00171041" w:rsidRDefault="00DC6A5A" w:rsidP="00CB2967">
      <w:pPr>
        <w:pStyle w:val="berschrift2"/>
        <w:rPr>
          <w:lang w:val="en-GB"/>
        </w:rPr>
      </w:pPr>
      <w:r w:rsidRPr="00171041">
        <w:rPr>
          <w:lang w:val="en-GB"/>
        </w:rPr>
        <w:t>Measures</w:t>
      </w:r>
    </w:p>
    <w:p w14:paraId="23BE5531" w14:textId="77777777" w:rsidR="00DC6A5A" w:rsidRPr="00DC6A5A" w:rsidRDefault="00DC6A5A" w:rsidP="00944B49">
      <w:pPr>
        <w:pStyle w:val="berschrift3"/>
      </w:pPr>
      <w:r w:rsidRPr="00DC6A5A">
        <w:t>Residential relocation</w:t>
      </w:r>
    </w:p>
    <w:p w14:paraId="57D703CE" w14:textId="616C16FA" w:rsidR="00DC6A5A" w:rsidRPr="00DC6A5A" w:rsidRDefault="00DC6A5A" w:rsidP="00DC6A5A">
      <w:pPr>
        <w:pStyle w:val="Paragraph"/>
      </w:pPr>
      <w:r w:rsidRPr="00DC6A5A">
        <w:t xml:space="preserve">Residential relocations were identified using the DEAS item </w:t>
      </w:r>
      <w:r w:rsidRPr="00DC6A5A">
        <w:rPr>
          <w:rFonts w:eastAsiaTheme="majorEastAsia"/>
        </w:rPr>
        <w:t>“year of entry into the current dwelling</w:t>
      </w:r>
      <w:r w:rsidR="00C91604">
        <w:rPr>
          <w:rFonts w:eastAsiaTheme="majorEastAsia"/>
        </w:rPr>
        <w:t>”.</w:t>
      </w:r>
      <w:r w:rsidRPr="00DC6A5A">
        <w:t xml:space="preserve"> A relocation between two survey waves was recorded when the reported entry year changed and the reported year fell within the interview interval</w:t>
      </w:r>
      <w:r w:rsidR="00C91604">
        <w:t xml:space="preserve">. </w:t>
      </w:r>
      <w:r w:rsidRPr="00DC6A5A">
        <w:t xml:space="preserve">This rule ensures that </w:t>
      </w:r>
      <w:r w:rsidR="00C91604">
        <w:t>inconsistent answers are identified.</w:t>
      </w:r>
    </w:p>
    <w:p w14:paraId="6EB9C8DB" w14:textId="24AED22D" w:rsidR="00DC6A5A" w:rsidRPr="00DC6A5A" w:rsidRDefault="00DC6A5A" w:rsidP="00DC6A5A">
      <w:pPr>
        <w:pStyle w:val="Newparagraph"/>
      </w:pPr>
      <w:r w:rsidRPr="00DC6A5A">
        <w:lastRenderedPageBreak/>
        <w:t>Because th</w:t>
      </w:r>
      <w:r w:rsidR="00C91604">
        <w:t xml:space="preserve">is strategy </w:t>
      </w:r>
      <w:r w:rsidRPr="00DC6A5A">
        <w:t xml:space="preserve">captures only the most recent move </w:t>
      </w:r>
      <w:r w:rsidR="00F44ABF">
        <w:t>before</w:t>
      </w:r>
      <w:r w:rsidRPr="00DC6A5A">
        <w:t xml:space="preserve"> each interview, the identification strategy prioritised </w:t>
      </w:r>
      <w:r w:rsidRPr="00DC6A5A">
        <w:rPr>
          <w:rFonts w:eastAsiaTheme="majorEastAsia"/>
        </w:rPr>
        <w:t>specificity over sensitivity</w:t>
      </w:r>
      <w:r w:rsidRPr="00DC6A5A">
        <w:t xml:space="preserve">. Minor inconsistencies in reported entry years (≤2 years) were harmonised around stable anchor values within respondents’ housing histories. Cases with persistent inconsistencies, ambiguous move status, or multiple relocations during the observation window were excluded. To ensure a clear </w:t>
      </w:r>
      <w:r w:rsidR="00464B86">
        <w:t>before–and–after</w:t>
      </w:r>
      <w:r w:rsidRPr="00DC6A5A">
        <w:t xml:space="preserve"> comparison, the final mover sample was restricted to respondents with </w:t>
      </w:r>
      <w:r w:rsidRPr="00DC6A5A">
        <w:rPr>
          <w:rFonts w:eastAsiaTheme="majorEastAsia"/>
        </w:rPr>
        <w:t>a single identifiable relocation</w:t>
      </w:r>
      <w:r w:rsidRPr="00DC6A5A">
        <w:t xml:space="preserve"> during the observation period.</w:t>
      </w:r>
    </w:p>
    <w:p w14:paraId="685B5D49" w14:textId="43CCF2AB" w:rsidR="00DC6A5A" w:rsidRDefault="00DC6A5A" w:rsidP="00DC6A5A">
      <w:pPr>
        <w:pStyle w:val="Newparagraph"/>
      </w:pPr>
      <w:r w:rsidRPr="00DC6A5A">
        <w:t xml:space="preserve">For respondents observed in only two waves with small </w:t>
      </w:r>
      <w:r w:rsidR="00C91604">
        <w:t>but technically possible</w:t>
      </w:r>
      <w:r w:rsidR="00C91604" w:rsidRPr="00DC6A5A">
        <w:t xml:space="preserve"> </w:t>
      </w:r>
      <w:r w:rsidR="00C91604">
        <w:t xml:space="preserve">changes </w:t>
      </w:r>
      <w:r w:rsidRPr="00DC6A5A">
        <w:t xml:space="preserve">in reported entry years (≤5 years), additional verification was conducted using restricted-access </w:t>
      </w:r>
      <w:r w:rsidR="00C91604">
        <w:t xml:space="preserve">on-site </w:t>
      </w:r>
      <w:r w:rsidRPr="00DC6A5A">
        <w:t>DEAS information and selected environmental indicators (district type, steps to the building entrance, and presence of an elevator). Changes in at least one of these indicators were interpreted as supporting evidence for a relocation</w:t>
      </w:r>
      <w:r w:rsidR="00464B86">
        <w:t xml:space="preserve"> (Fig. 1)</w:t>
      </w:r>
      <w:r w:rsidRPr="00DC6A5A">
        <w:t>.</w:t>
      </w:r>
    </w:p>
    <w:p w14:paraId="719C54D4" w14:textId="79ACED68" w:rsidR="008A708A" w:rsidRPr="00DC6A5A" w:rsidRDefault="008A708A" w:rsidP="008A708A">
      <w:pPr>
        <w:pStyle w:val="berschrift3"/>
      </w:pPr>
      <w:r>
        <w:t>Education and lifelong learning</w:t>
      </w:r>
    </w:p>
    <w:p w14:paraId="4586CF66" w14:textId="77777777" w:rsidR="00DC6A5A" w:rsidRPr="00DC6A5A" w:rsidRDefault="00DC6A5A" w:rsidP="008A708A">
      <w:pPr>
        <w:pStyle w:val="berschrift4"/>
      </w:pPr>
      <w:r w:rsidRPr="00DC6A5A">
        <w:t>Educational attainment</w:t>
      </w:r>
    </w:p>
    <w:p w14:paraId="6B986480" w14:textId="6477983C" w:rsidR="00DC6A5A" w:rsidRDefault="00DC6A5A" w:rsidP="00DC6A5A">
      <w:pPr>
        <w:pStyle w:val="Paragraph"/>
      </w:pPr>
      <w:r w:rsidRPr="00DC6A5A">
        <w:t xml:space="preserve">Educational attainment was measured using the DEAS variable </w:t>
      </w:r>
      <w:r w:rsidRPr="00464B86">
        <w:rPr>
          <w:rFonts w:eastAsiaTheme="majorEastAsia"/>
          <w:i/>
          <w:iCs/>
        </w:rPr>
        <w:t>schledu3</w:t>
      </w:r>
      <w:r w:rsidRPr="00DC6A5A">
        <w:t xml:space="preserve">, capturing respondents’ highest school-leaving qualification. Three educational categories were distinguished: </w:t>
      </w:r>
      <w:r w:rsidRPr="00DC6A5A">
        <w:rPr>
          <w:rFonts w:eastAsiaTheme="majorEastAsia"/>
        </w:rPr>
        <w:t>Low education</w:t>
      </w:r>
      <w:r w:rsidRPr="00DC6A5A">
        <w:t xml:space="preserve">: lower secondary education or no formal qualification (≤9 years of schooling). </w:t>
      </w:r>
      <w:r w:rsidRPr="00DC6A5A">
        <w:rPr>
          <w:rFonts w:eastAsiaTheme="majorEastAsia"/>
        </w:rPr>
        <w:t>Medium education</w:t>
      </w:r>
      <w:r w:rsidRPr="00DC6A5A">
        <w:t xml:space="preserve">: intermediate secondary education (10–11 years of schooling). </w:t>
      </w:r>
      <w:r w:rsidRPr="00DC6A5A">
        <w:rPr>
          <w:rFonts w:eastAsiaTheme="majorEastAsia"/>
        </w:rPr>
        <w:t>High education</w:t>
      </w:r>
      <w:r w:rsidRPr="00DC6A5A">
        <w:t>: upper secondary education or university entrance qualification (≥12 years of schooling)</w:t>
      </w:r>
    </w:p>
    <w:p w14:paraId="3E8840CA" w14:textId="3C0FC43E" w:rsidR="008A708A" w:rsidRPr="008A708A" w:rsidRDefault="008A708A" w:rsidP="008A708A">
      <w:pPr>
        <w:pStyle w:val="berschrift4"/>
      </w:pPr>
      <w:r>
        <w:t>Non-formal education</w:t>
      </w:r>
    </w:p>
    <w:p w14:paraId="3AFE7973" w14:textId="15234E1E" w:rsidR="008A708A" w:rsidRPr="008A708A" w:rsidRDefault="008A708A" w:rsidP="008A708A">
      <w:pPr>
        <w:pStyle w:val="Paragraph"/>
      </w:pPr>
      <w:r w:rsidRPr="008A708A">
        <w:t xml:space="preserve">Non-formal </w:t>
      </w:r>
      <w:r>
        <w:t>education</w:t>
      </w:r>
      <w:r w:rsidRPr="008A708A">
        <w:t xml:space="preserve"> was operationalised as participation in organised educational activities outside </w:t>
      </w:r>
      <w:r>
        <w:t>the formal education system</w:t>
      </w:r>
      <w:r w:rsidRPr="008A708A">
        <w:t xml:space="preserve">. Specifically, respondents were asked how often they attend courses or lectures (e.g., for further education or training). Responses were recoded such that higher values indicate more frequent participation. Due to the skewed distribution of the original variable, with a large proportion reporting no participation, an additional </w:t>
      </w:r>
      <w:r w:rsidRPr="008A708A">
        <w:lastRenderedPageBreak/>
        <w:t>dichotomous indicator was constructed</w:t>
      </w:r>
      <w:r w:rsidR="00312A8C">
        <w:t xml:space="preserve"> to distinguish individuals who reported any participation from</w:t>
      </w:r>
      <w:r w:rsidRPr="008A708A">
        <w:t xml:space="preserve"> those who did not.</w:t>
      </w:r>
    </w:p>
    <w:p w14:paraId="2A7CD1B0" w14:textId="60236D32" w:rsidR="008A708A" w:rsidRDefault="008A708A" w:rsidP="008A708A">
      <w:pPr>
        <w:pStyle w:val="berschrift4"/>
      </w:pPr>
      <w:r>
        <w:t>Informal learning</w:t>
      </w:r>
    </w:p>
    <w:p w14:paraId="6AA18A40" w14:textId="2C43A13C" w:rsidR="008A708A" w:rsidRPr="008A708A" w:rsidRDefault="008A708A" w:rsidP="008A708A">
      <w:pPr>
        <w:pStyle w:val="Paragraph"/>
      </w:pPr>
      <w:r w:rsidRPr="008A708A">
        <w:t xml:space="preserve">Informal learning was conceptualised as engagement in cognitively and socially stimulating everyday activities, following the </w:t>
      </w:r>
      <w:r w:rsidR="00312A8C">
        <w:t xml:space="preserve">European Commission's (2001) definition, which emphasises learning processes embedded in daily life rather than in </w:t>
      </w:r>
      <w:r w:rsidRPr="008A708A">
        <w:t xml:space="preserve">structured educational settings. Based on data availability across all survey waves, informal learning was operationalised using four indicators: frequency of reading newspapers, number of books read </w:t>
      </w:r>
      <w:r w:rsidR="00312A8C">
        <w:t>in the past year, attendance at cultural events (e.g., concerts or theatre), and engagement in cognitively stimulating leisure activities,</w:t>
      </w:r>
      <w:r w:rsidRPr="008A708A">
        <w:t xml:space="preserve"> such as games or puzzles.</w:t>
      </w:r>
      <w:r>
        <w:t xml:space="preserve"> </w:t>
      </w:r>
      <w:r w:rsidRPr="008A708A">
        <w:t xml:space="preserve">All frequency-based variables were recoded such that higher values indicate more frequent engagement. The number of books read was log-transformed to account for its skewed distribution. An aggregated index was initially considered; however, reliability analysis indicated low internal consistency (Cronbach’s </w:t>
      </w:r>
      <w:r w:rsidRPr="008A708A">
        <w:rPr>
          <w:lang w:val="de-DE"/>
        </w:rPr>
        <w:t>α</w:t>
      </w:r>
      <w:r w:rsidRPr="008A708A">
        <w:t xml:space="preserve"> = .26), suggesting that the indicators capture distinct domains of engagement rather than a single underlying construct. Consequently, all variables were included separately in the analyses.</w:t>
      </w:r>
    </w:p>
    <w:p w14:paraId="514A31A0" w14:textId="77777777" w:rsidR="00DC6A5A" w:rsidRPr="00171041" w:rsidRDefault="00DC6A5A" w:rsidP="00944B49">
      <w:pPr>
        <w:pStyle w:val="berschrift3"/>
      </w:pPr>
      <w:r w:rsidRPr="00171041">
        <w:t>Housing characteristics</w:t>
      </w:r>
    </w:p>
    <w:p w14:paraId="265EA5B0" w14:textId="77777777" w:rsidR="00DC6A5A" w:rsidRPr="008A708A" w:rsidRDefault="00DC6A5A" w:rsidP="008A708A">
      <w:pPr>
        <w:pStyle w:val="berschrift4"/>
      </w:pPr>
      <w:r w:rsidRPr="008A708A">
        <w:t>Living space</w:t>
      </w:r>
    </w:p>
    <w:p w14:paraId="18070D42" w14:textId="77777777" w:rsidR="00DC6A5A" w:rsidRPr="00DC6A5A" w:rsidRDefault="00DC6A5A" w:rsidP="00DC6A5A">
      <w:pPr>
        <w:pStyle w:val="Paragraph"/>
      </w:pPr>
      <w:r w:rsidRPr="00DC6A5A">
        <w:t xml:space="preserve">Living space was measured either as the </w:t>
      </w:r>
      <w:r w:rsidRPr="00DC6A5A">
        <w:rPr>
          <w:rFonts w:eastAsiaTheme="majorEastAsia"/>
        </w:rPr>
        <w:t>number of rooms</w:t>
      </w:r>
      <w:r w:rsidRPr="00DC6A5A">
        <w:t xml:space="preserve"> (1996–2017) or as </w:t>
      </w:r>
      <w:r w:rsidRPr="00DC6A5A">
        <w:rPr>
          <w:rFonts w:eastAsiaTheme="majorEastAsia"/>
        </w:rPr>
        <w:t>square meters</w:t>
      </w:r>
      <w:r w:rsidRPr="00DC6A5A">
        <w:t xml:space="preserve"> (2021–2023). Because these measures are not directly comparable, analyses involving living space were restricted to observation pairs measured within the same regime.</w:t>
      </w:r>
    </w:p>
    <w:p w14:paraId="619458EB" w14:textId="77777777" w:rsidR="00DC6A5A" w:rsidRPr="00DC6A5A" w:rsidRDefault="00DC6A5A" w:rsidP="008A708A">
      <w:pPr>
        <w:pStyle w:val="berschrift4"/>
      </w:pPr>
      <w:r w:rsidRPr="00DC6A5A">
        <w:t>Housing equipment</w:t>
      </w:r>
    </w:p>
    <w:p w14:paraId="13241534" w14:textId="77777777" w:rsidR="00DC6A5A" w:rsidRPr="00DC6A5A" w:rsidRDefault="00DC6A5A" w:rsidP="00DC6A5A">
      <w:pPr>
        <w:pStyle w:val="Paragraph"/>
      </w:pPr>
      <w:r w:rsidRPr="00DC6A5A">
        <w:t>Housing equipment captured barrier-reducing features of the dwelling, including step-free access inside and outside the building, handrails, absence of thresholds, wide or outward-opening doors, emergency call systems, and level-entry showers. All items were coded dichotomously and recoded so that higher values indicate greater accessibility. Bathroom-</w:t>
      </w:r>
      <w:r w:rsidRPr="00DC6A5A">
        <w:lastRenderedPageBreak/>
        <w:t xml:space="preserve">related items were combined into a single indicator capturing the presence of a </w:t>
      </w:r>
      <w:r w:rsidRPr="00DC6A5A">
        <w:rPr>
          <w:rFonts w:eastAsiaTheme="majorEastAsia"/>
        </w:rPr>
        <w:t>level-entry shower</w:t>
      </w:r>
      <w:r w:rsidRPr="00DC6A5A">
        <w:t xml:space="preserve">. An </w:t>
      </w:r>
      <w:r w:rsidRPr="00DC6A5A">
        <w:rPr>
          <w:rFonts w:eastAsiaTheme="majorEastAsia"/>
        </w:rPr>
        <w:t>equipment index</w:t>
      </w:r>
      <w:r w:rsidRPr="00DC6A5A">
        <w:t xml:space="preserve"> was calculated as the mean of available items. Information on housing equipment was available from </w:t>
      </w:r>
      <w:r w:rsidRPr="00DC6A5A">
        <w:rPr>
          <w:rFonts w:eastAsiaTheme="majorEastAsia"/>
        </w:rPr>
        <w:t>2011 onward</w:t>
      </w:r>
      <w:r w:rsidRPr="00DC6A5A">
        <w:t>.</w:t>
      </w:r>
    </w:p>
    <w:p w14:paraId="6A4E1998" w14:textId="77777777" w:rsidR="00DC6A5A" w:rsidRPr="00DC6A5A" w:rsidRDefault="00DC6A5A" w:rsidP="008A708A">
      <w:pPr>
        <w:pStyle w:val="berschrift4"/>
      </w:pPr>
      <w:r w:rsidRPr="00DC6A5A">
        <w:t>Residential environment</w:t>
      </w:r>
    </w:p>
    <w:p w14:paraId="0C47BA1A" w14:textId="24FA3E60" w:rsidR="00DC6A5A" w:rsidRPr="00DC6A5A" w:rsidRDefault="00F44ABF" w:rsidP="00DC6A5A">
      <w:pPr>
        <w:pStyle w:val="Paragraph"/>
      </w:pPr>
      <w:r>
        <w:t>The residential environment captured objective neighbourhood characteristics, including perceived safety, access to shopping facilities and</w:t>
      </w:r>
      <w:r w:rsidR="00DC6A5A" w:rsidRPr="00DC6A5A">
        <w:rPr>
          <w:rFonts w:eastAsiaTheme="majorEastAsia"/>
        </w:rPr>
        <w:t xml:space="preserve"> medical services, noise exposure, and public transport availability</w:t>
      </w:r>
      <w:r w:rsidR="00DC6A5A" w:rsidRPr="00DC6A5A">
        <w:t xml:space="preserve">. Items reflecting place attachment or social connectedness were </w:t>
      </w:r>
      <w:r w:rsidR="00464B86">
        <w:t>excluded. Because</w:t>
      </w:r>
      <w:r w:rsidR="00DC6A5A" w:rsidRPr="00DC6A5A">
        <w:t xml:space="preserve"> response scales changed across waves (binary in 1996/2002 and four-point from 2008 onward), indices were harmonised across measurement regimes. For analyses including all waves, a </w:t>
      </w:r>
      <w:r w:rsidR="00DC6A5A" w:rsidRPr="00DC6A5A">
        <w:rPr>
          <w:rFonts w:eastAsiaTheme="majorEastAsia"/>
        </w:rPr>
        <w:t>combined environment index ranging from 0 to 1</w:t>
      </w:r>
      <w:r w:rsidR="00DC6A5A" w:rsidRPr="00DC6A5A">
        <w:t xml:space="preserve"> was constructed to ensure comparability across time.</w:t>
      </w:r>
    </w:p>
    <w:p w14:paraId="36BB28D3" w14:textId="77777777" w:rsidR="00DC6A5A" w:rsidRPr="00DC6A5A" w:rsidRDefault="00DC6A5A" w:rsidP="008A708A">
      <w:pPr>
        <w:pStyle w:val="berschrift4"/>
      </w:pPr>
      <w:r w:rsidRPr="00DC6A5A">
        <w:t>Distance to kin</w:t>
      </w:r>
    </w:p>
    <w:p w14:paraId="4519F507" w14:textId="77777777" w:rsidR="00DC6A5A" w:rsidRPr="00DC6A5A" w:rsidRDefault="00DC6A5A" w:rsidP="00DC6A5A">
      <w:pPr>
        <w:pStyle w:val="Paragraph"/>
      </w:pPr>
      <w:r w:rsidRPr="00DC6A5A">
        <w:t xml:space="preserve">Distance to kin was measured using a five-category </w:t>
      </w:r>
      <w:r w:rsidRPr="00464B86">
        <w:t xml:space="preserve">item indicating spatial proximity to family members, ranging from </w:t>
      </w:r>
      <w:r w:rsidRPr="00464B86">
        <w:rPr>
          <w:rFonts w:eastAsiaTheme="majorEastAsia"/>
        </w:rPr>
        <w:t>living in the same neighbourhood</w:t>
      </w:r>
      <w:r w:rsidRPr="00464B86">
        <w:t xml:space="preserve"> to </w:t>
      </w:r>
      <w:r w:rsidRPr="00464B86">
        <w:rPr>
          <w:rFonts w:eastAsiaTheme="majorEastAsia"/>
        </w:rPr>
        <w:t>living abroad</w:t>
      </w:r>
      <w:r w:rsidRPr="00DC6A5A">
        <w:t>.</w:t>
      </w:r>
    </w:p>
    <w:p w14:paraId="3588AC88" w14:textId="77777777" w:rsidR="00DC6A5A" w:rsidRPr="00464B86" w:rsidRDefault="00DC6A5A" w:rsidP="00944B49">
      <w:pPr>
        <w:pStyle w:val="berschrift3"/>
      </w:pPr>
      <w:r w:rsidRPr="00464B86">
        <w:t>Health and cognitive indicators</w:t>
      </w:r>
    </w:p>
    <w:p w14:paraId="574FBF09" w14:textId="7A99E85A" w:rsidR="00DC6A5A" w:rsidRPr="00DC6A5A" w:rsidRDefault="00DC6A5A" w:rsidP="00DC6A5A">
      <w:pPr>
        <w:pStyle w:val="Paragraph"/>
      </w:pPr>
      <w:r w:rsidRPr="00DC6A5A">
        <w:t xml:space="preserve">Health status was measured using the </w:t>
      </w:r>
      <w:r w:rsidRPr="00DC6A5A">
        <w:rPr>
          <w:rFonts w:eastAsiaTheme="majorEastAsia"/>
        </w:rPr>
        <w:t>number of chronic diseases</w:t>
      </w:r>
      <w:r w:rsidRPr="00DC6A5A">
        <w:t xml:space="preserve"> reported by respondents. Health-related quality of life was assessed using the </w:t>
      </w:r>
      <w:r w:rsidRPr="00DC6A5A">
        <w:rPr>
          <w:rFonts w:eastAsiaTheme="majorEastAsia"/>
        </w:rPr>
        <w:t>SF-36 health survey</w:t>
      </w:r>
      <w:r w:rsidRPr="00DC6A5A">
        <w:t xml:space="preserve">, a widely used measure capturing physical and mental health status. Cognitive functioning was measured using the </w:t>
      </w:r>
      <w:r w:rsidRPr="00DC6A5A">
        <w:rPr>
          <w:rFonts w:eastAsiaTheme="majorEastAsia"/>
        </w:rPr>
        <w:t>Digit Symbol Substitution Test</w:t>
      </w:r>
      <w:r w:rsidR="00464B86">
        <w:rPr>
          <w:rFonts w:eastAsiaTheme="majorEastAsia"/>
        </w:rPr>
        <w:t xml:space="preserve">, </w:t>
      </w:r>
      <w:r w:rsidRPr="00DC6A5A">
        <w:t>which assesses processing speed and cognitive performance.</w:t>
      </w:r>
    </w:p>
    <w:p w14:paraId="7D50F4F7" w14:textId="77777777" w:rsidR="00DC6A5A" w:rsidRPr="00DC6A5A" w:rsidRDefault="00DC6A5A" w:rsidP="00CB2967">
      <w:pPr>
        <w:pStyle w:val="berschrift2"/>
        <w:rPr>
          <w:lang w:val="en-GB"/>
        </w:rPr>
      </w:pPr>
      <w:r w:rsidRPr="00DC6A5A">
        <w:rPr>
          <w:lang w:val="en-GB"/>
        </w:rPr>
        <w:t>Analytical strategy</w:t>
      </w:r>
    </w:p>
    <w:p w14:paraId="1BDAC082" w14:textId="29C54A94" w:rsidR="00DC6A5A" w:rsidRPr="00F57D12" w:rsidRDefault="00DC6A5A" w:rsidP="00DC6A5A">
      <w:pPr>
        <w:pStyle w:val="Paragraph"/>
      </w:pPr>
      <w:r w:rsidRPr="00DC6A5A">
        <w:t>The analyses were conducted in three steps.</w:t>
      </w:r>
      <w:r>
        <w:t xml:space="preserve"> </w:t>
      </w:r>
      <w:r w:rsidRPr="00DC6A5A">
        <w:t xml:space="preserve">First, descriptive analyses examined educational differences in housing conditions among older adults. Both characteristics of the dwelling (e.g., tenure status, living space, housing equipment) and features of the residential environment were considered. </w:t>
      </w:r>
      <w:r w:rsidR="00F57D12" w:rsidRPr="00F57D12">
        <w:t>Group differences were assessed using Welch’s t-tests for continuous variables and chi-square tests for categorical variables.</w:t>
      </w:r>
    </w:p>
    <w:p w14:paraId="5FA82D76" w14:textId="7A92DF4E" w:rsidR="00DC6A5A" w:rsidRPr="00DC6A5A" w:rsidRDefault="00DC6A5A" w:rsidP="00DC6A5A">
      <w:pPr>
        <w:pStyle w:val="Newparagraph"/>
      </w:pPr>
      <w:r w:rsidRPr="00DC6A5A">
        <w:lastRenderedPageBreak/>
        <w:t xml:space="preserve">Second, analyses examined housing changes associated with residential relocation. For each respondent who </w:t>
      </w:r>
      <w:r>
        <w:t>moved</w:t>
      </w:r>
      <w:r w:rsidRPr="00DC6A5A">
        <w:t xml:space="preserve">, the last observation before relocation and the first observation after relocation were retained. To assess whether relocation-related changes differ by educational attainment, </w:t>
      </w:r>
      <w:r w:rsidRPr="00DC6A5A">
        <w:rPr>
          <w:rFonts w:eastAsiaTheme="majorEastAsia"/>
        </w:rPr>
        <w:t>linear regression models were estimated in long format</w:t>
      </w:r>
      <w:r w:rsidR="00464B86">
        <w:rPr>
          <w:rFonts w:eastAsiaTheme="majorEastAsia"/>
        </w:rPr>
        <w:t>,</w:t>
      </w:r>
      <w:r w:rsidRPr="00DC6A5A">
        <w:t xml:space="preserve"> including an indicator for post-relocation </w:t>
      </w:r>
      <w:r w:rsidR="00464B86">
        <w:t>observations, educational attainment, and their interaction</w:t>
      </w:r>
      <w:r w:rsidRPr="00DC6A5A">
        <w:t xml:space="preserve">. The interaction between </w:t>
      </w:r>
      <w:r w:rsidRPr="00DC6A5A">
        <w:rPr>
          <w:rFonts w:eastAsiaTheme="majorEastAsia"/>
        </w:rPr>
        <w:t>post-relocation status and education</w:t>
      </w:r>
      <w:r w:rsidRPr="00DC6A5A">
        <w:t xml:space="preserve"> constitutes the primary test of </w:t>
      </w:r>
      <w:r w:rsidRPr="00DC6A5A">
        <w:rPr>
          <w:rFonts w:eastAsiaTheme="majorEastAsia"/>
        </w:rPr>
        <w:t>Hypothesis 2</w:t>
      </w:r>
      <w:r w:rsidRPr="00DC6A5A">
        <w:t xml:space="preserve">, capturing whether the magnitude of housing improvements following relocation differs across educational groups. Models additionally controlled for </w:t>
      </w:r>
      <w:r w:rsidRPr="00DC6A5A">
        <w:rPr>
          <w:rFonts w:eastAsiaTheme="majorEastAsia"/>
        </w:rPr>
        <w:t>age at relocation, gender, household size, number of children, social class, marital status, and interview year</w:t>
      </w:r>
      <w:r w:rsidRPr="00DC6A5A">
        <w:t>.</w:t>
      </w:r>
    </w:p>
    <w:p w14:paraId="51E4E693" w14:textId="4099A3E3" w:rsidR="00DC6A5A" w:rsidRPr="00DC6A5A" w:rsidRDefault="00DC6A5A" w:rsidP="00DC6A5A">
      <w:pPr>
        <w:pStyle w:val="Newparagraph"/>
      </w:pPr>
      <w:r w:rsidRPr="00DC6A5A">
        <w:t xml:space="preserve">Third, analyses examined whether the </w:t>
      </w:r>
      <w:r w:rsidRPr="00DC6A5A">
        <w:rPr>
          <w:rFonts w:eastAsiaTheme="majorEastAsia"/>
        </w:rPr>
        <w:t>conditions under which relocations occur</w:t>
      </w:r>
      <w:r w:rsidRPr="00DC6A5A">
        <w:t xml:space="preserve"> differ by educational attainment. Outcome variables captured characteristics measured close to the relocation event, including </w:t>
      </w:r>
      <w:r w:rsidRPr="00DC6A5A">
        <w:rPr>
          <w:rFonts w:eastAsiaTheme="majorEastAsia"/>
        </w:rPr>
        <w:t>age, number of chronic diagnoses, cognitive status</w:t>
      </w:r>
      <w:r w:rsidR="004B098F">
        <w:rPr>
          <w:rFonts w:eastAsiaTheme="majorEastAsia"/>
        </w:rPr>
        <w:t xml:space="preserve">, </w:t>
      </w:r>
      <w:r w:rsidRPr="00DC6A5A">
        <w:rPr>
          <w:rFonts w:eastAsiaTheme="majorEastAsia"/>
        </w:rPr>
        <w:t>and health-related quality of life</w:t>
      </w:r>
      <w:r w:rsidR="004B098F">
        <w:rPr>
          <w:rFonts w:eastAsiaTheme="majorEastAsia"/>
        </w:rPr>
        <w:t xml:space="preserve">. </w:t>
      </w:r>
      <w:r w:rsidRPr="00DC6A5A">
        <w:t xml:space="preserve">Educational attainment served as the main independent variable. All models controlled for </w:t>
      </w:r>
      <w:r w:rsidRPr="00DC6A5A">
        <w:rPr>
          <w:rFonts w:eastAsiaTheme="majorEastAsia"/>
        </w:rPr>
        <w:t>gender, household size, number of children, social class, marital status</w:t>
      </w:r>
      <w:r w:rsidRPr="00DC6A5A">
        <w:t xml:space="preserve">, and </w:t>
      </w:r>
      <w:r w:rsidRPr="00DC6A5A">
        <w:rPr>
          <w:rFonts w:eastAsiaTheme="majorEastAsia"/>
        </w:rPr>
        <w:t>interview year</w:t>
      </w:r>
      <w:r w:rsidRPr="00DC6A5A">
        <w:t>.</w:t>
      </w:r>
    </w:p>
    <w:p w14:paraId="0C1847E2" w14:textId="77777777" w:rsidR="00DC6A5A" w:rsidRPr="00DC6A5A" w:rsidRDefault="00DC6A5A" w:rsidP="00944B49">
      <w:pPr>
        <w:pStyle w:val="berschrift3"/>
      </w:pPr>
      <w:r w:rsidRPr="00DC6A5A">
        <w:t>Statistical software</w:t>
      </w:r>
    </w:p>
    <w:p w14:paraId="1A8A6951" w14:textId="56E46990" w:rsidR="00DC6A5A" w:rsidRPr="00DC6A5A" w:rsidRDefault="00DC6A5A" w:rsidP="00DC6A5A">
      <w:pPr>
        <w:pStyle w:val="Paragraph"/>
      </w:pPr>
      <w:r w:rsidRPr="00DC6A5A">
        <w:t xml:space="preserve">All analyses were conducted </w:t>
      </w:r>
      <w:r w:rsidRPr="004B098F">
        <w:t xml:space="preserve">using </w:t>
      </w:r>
      <w:r w:rsidRPr="004B098F">
        <w:rPr>
          <w:rFonts w:eastAsiaTheme="majorEastAsia"/>
        </w:rPr>
        <w:t>SPSS (</w:t>
      </w:r>
      <w:commentRangeStart w:id="0"/>
      <w:r w:rsidRPr="004B098F">
        <w:rPr>
          <w:rFonts w:eastAsiaTheme="majorEastAsia"/>
        </w:rPr>
        <w:t xml:space="preserve">version </w:t>
      </w:r>
      <w:r w:rsidR="004B098F">
        <w:rPr>
          <w:rFonts w:eastAsiaTheme="majorEastAsia"/>
        </w:rPr>
        <w:t>29</w:t>
      </w:r>
      <w:r w:rsidRPr="004B098F">
        <w:rPr>
          <w:rFonts w:eastAsiaTheme="majorEastAsia"/>
        </w:rPr>
        <w:t>)</w:t>
      </w:r>
      <w:r w:rsidR="00F44ABF">
        <w:rPr>
          <w:rFonts w:eastAsiaTheme="majorEastAsia"/>
        </w:rPr>
        <w:t xml:space="preserve"> and R (version 4xxxx)</w:t>
      </w:r>
      <w:r w:rsidRPr="004B098F">
        <w:t>.</w:t>
      </w:r>
      <w:commentRangeEnd w:id="0"/>
      <w:r w:rsidR="004B098F">
        <w:rPr>
          <w:rStyle w:val="Kommentarzeichen"/>
        </w:rPr>
        <w:commentReference w:id="0"/>
      </w:r>
    </w:p>
    <w:p w14:paraId="2F67A0ED" w14:textId="59EC4A54" w:rsidR="009805CB" w:rsidRPr="00171041" w:rsidRDefault="009805CB" w:rsidP="00CB2967">
      <w:pPr>
        <w:pStyle w:val="berschrift2"/>
        <w:rPr>
          <w:lang w:val="en-GB"/>
        </w:rPr>
      </w:pPr>
      <w:r w:rsidRPr="00171041">
        <w:rPr>
          <w:lang w:val="en-GB"/>
        </w:rPr>
        <w:t>Results</w:t>
      </w:r>
    </w:p>
    <w:p w14:paraId="6C98C2E7" w14:textId="24F7E938" w:rsidR="00131F46" w:rsidRDefault="00131F46" w:rsidP="00944B49">
      <w:pPr>
        <w:pStyle w:val="berschrift3"/>
      </w:pPr>
      <w:r w:rsidRPr="00047918">
        <w:t>Step 1:</w:t>
      </w:r>
    </w:p>
    <w:p w14:paraId="20A8DD46" w14:textId="66E27299" w:rsidR="00047918" w:rsidRPr="00047918" w:rsidRDefault="00047918" w:rsidP="00047918">
      <w:pPr>
        <w:pStyle w:val="Paragraph"/>
      </w:pPr>
      <w:r w:rsidRPr="00047918">
        <w:t xml:space="preserve">Table </w:t>
      </w:r>
      <w:r>
        <w:t>1</w:t>
      </w:r>
      <w:r w:rsidRPr="00047918">
        <w:t xml:space="preserve"> presents baseline differences in housing conditions by educational attainment. Household size did not differ significantly across educational groups.</w:t>
      </w:r>
      <w:r>
        <w:t xml:space="preserve"> </w:t>
      </w:r>
      <w:r w:rsidRPr="00047918">
        <w:t xml:space="preserve">In contrast, several indicators of housing conditions showed clear educational gradients. Individuals with higher levels of education reported shorter durations of residence (p &lt; .001) and lived in larger dwellings, as </w:t>
      </w:r>
      <w:r w:rsidR="00F44ABF">
        <w:t>indicated by a greater</w:t>
      </w:r>
      <w:r w:rsidRPr="00047918">
        <w:t xml:space="preserve"> number of rooms (p &lt; .001).</w:t>
      </w:r>
      <w:r>
        <w:t xml:space="preserve"> </w:t>
      </w:r>
      <w:r w:rsidRPr="00047918">
        <w:t xml:space="preserve">No significant differences were observed for housing equipment. However, residential environment quality differed markedly by education, with higher-educated individuals reporting more </w:t>
      </w:r>
      <w:r w:rsidR="00312A8C">
        <w:t>favourable</w:t>
      </w:r>
      <w:r w:rsidRPr="00047918">
        <w:t xml:space="preserve"> </w:t>
      </w:r>
      <w:r w:rsidRPr="00047918">
        <w:lastRenderedPageBreak/>
        <w:t>environmental conditions (p &lt; .001).</w:t>
      </w:r>
      <w:r>
        <w:t xml:space="preserve"> </w:t>
      </w:r>
      <w:r w:rsidRPr="00047918">
        <w:t xml:space="preserve">Tenure status also varied significantly across educational groups (p &lt; .001). Higher-educated individuals were more likely to own their homes, whereas lower-educated individuals were more </w:t>
      </w:r>
      <w:r w:rsidR="00F44ABF">
        <w:t>likely to be</w:t>
      </w:r>
      <w:r w:rsidRPr="00047918">
        <w:t xml:space="preserve"> renters.</w:t>
      </w:r>
    </w:p>
    <w:p w14:paraId="2C67CAFB" w14:textId="77777777" w:rsidR="00047918" w:rsidRPr="00047918" w:rsidRDefault="00047918" w:rsidP="00047918">
      <w:pPr>
        <w:rPr>
          <w:lang w:val="en-GB"/>
        </w:rPr>
      </w:pPr>
    </w:p>
    <w:p w14:paraId="5F8A4002" w14:textId="6DCA2365" w:rsidR="00047918" w:rsidRPr="00047918" w:rsidRDefault="00047918" w:rsidP="00047918">
      <w:pPr>
        <w:pStyle w:val="Beschriftung"/>
        <w:rPr>
          <w:lang w:val="en-GB"/>
        </w:rPr>
      </w:pPr>
      <w:r w:rsidRPr="00047918">
        <w:rPr>
          <w:lang w:val="en-GB"/>
        </w:rPr>
        <w:t xml:space="preserve">Table </w:t>
      </w:r>
      <w:r>
        <w:fldChar w:fldCharType="begin"/>
      </w:r>
      <w:r w:rsidRPr="00047918">
        <w:rPr>
          <w:lang w:val="en-GB"/>
        </w:rPr>
        <w:instrText xml:space="preserve"> SEQ Table \* ARABIC </w:instrText>
      </w:r>
      <w:r>
        <w:fldChar w:fldCharType="separate"/>
      </w:r>
      <w:r w:rsidRPr="00047918">
        <w:rPr>
          <w:noProof/>
          <w:lang w:val="en-GB"/>
        </w:rPr>
        <w:t>1</w:t>
      </w:r>
      <w:r>
        <w:fldChar w:fldCharType="end"/>
      </w:r>
      <w:r w:rsidRPr="00047918">
        <w:rPr>
          <w:lang w:val="en-GB"/>
        </w:rPr>
        <w:t>: Bas</w:t>
      </w:r>
      <w:r>
        <w:rPr>
          <w:lang w:val="en-GB"/>
        </w:rPr>
        <w:t>e</w:t>
      </w:r>
      <w:r w:rsidRPr="00047918">
        <w:rPr>
          <w:lang w:val="en-GB"/>
        </w:rPr>
        <w:t>line differences by educational attainment</w:t>
      </w:r>
    </w:p>
    <w:tbl>
      <w:tblPr>
        <w:tblStyle w:val="Tabellenraster"/>
        <w:tblW w:w="9019" w:type="dxa"/>
        <w:tblLook w:val="04A0" w:firstRow="1" w:lastRow="0" w:firstColumn="1" w:lastColumn="0" w:noHBand="0" w:noVBand="1"/>
      </w:tblPr>
      <w:tblGrid>
        <w:gridCol w:w="1515"/>
        <w:gridCol w:w="644"/>
        <w:gridCol w:w="553"/>
        <w:gridCol w:w="230"/>
        <w:gridCol w:w="840"/>
        <w:gridCol w:w="644"/>
        <w:gridCol w:w="553"/>
        <w:gridCol w:w="231"/>
        <w:gridCol w:w="840"/>
        <w:gridCol w:w="644"/>
        <w:gridCol w:w="553"/>
        <w:gridCol w:w="231"/>
        <w:gridCol w:w="840"/>
        <w:gridCol w:w="701"/>
      </w:tblGrid>
      <w:tr w:rsidR="00C40E0E" w:rsidRPr="00F57D12" w14:paraId="08E16142" w14:textId="77777777" w:rsidTr="00F57D12">
        <w:trPr>
          <w:trHeight w:val="113"/>
        </w:trPr>
        <w:tc>
          <w:tcPr>
            <w:tcW w:w="1515" w:type="dxa"/>
            <w:tcBorders>
              <w:left w:val="nil"/>
              <w:right w:val="nil"/>
            </w:tcBorders>
            <w:vAlign w:val="center"/>
          </w:tcPr>
          <w:p w14:paraId="1561C348" w14:textId="77777777" w:rsidR="00F92D60" w:rsidRPr="00F57D12" w:rsidRDefault="00F92D60" w:rsidP="00F92D60">
            <w:pPr>
              <w:pStyle w:val="Paragraph"/>
              <w:spacing w:before="0" w:line="360" w:lineRule="auto"/>
              <w:rPr>
                <w:rFonts w:asciiTheme="minorHAnsi" w:hAnsiTheme="minorHAnsi"/>
              </w:rPr>
            </w:pPr>
            <w:r w:rsidRPr="00F57D12">
              <w:rPr>
                <w:rFonts w:asciiTheme="minorHAnsi" w:hAnsiTheme="minorHAnsi"/>
              </w:rPr>
              <w:t>Variable</w:t>
            </w:r>
          </w:p>
        </w:tc>
        <w:tc>
          <w:tcPr>
            <w:tcW w:w="6803" w:type="dxa"/>
            <w:gridSpan w:val="12"/>
            <w:tcBorders>
              <w:left w:val="nil"/>
              <w:right w:val="nil"/>
            </w:tcBorders>
            <w:vAlign w:val="center"/>
          </w:tcPr>
          <w:p w14:paraId="35E4A5B9" w14:textId="18EB42EA" w:rsidR="00F92D60" w:rsidRPr="00F57D12" w:rsidRDefault="00F92D60" w:rsidP="00F92D60">
            <w:pPr>
              <w:pStyle w:val="Paragraph"/>
              <w:spacing w:before="0" w:line="360" w:lineRule="auto"/>
              <w:jc w:val="center"/>
              <w:rPr>
                <w:rFonts w:asciiTheme="minorHAnsi" w:hAnsiTheme="minorHAnsi"/>
              </w:rPr>
            </w:pPr>
            <w:r w:rsidRPr="00F57D12">
              <w:rPr>
                <w:rFonts w:asciiTheme="minorHAnsi" w:hAnsiTheme="minorHAnsi"/>
              </w:rPr>
              <w:t>Education</w:t>
            </w:r>
          </w:p>
        </w:tc>
        <w:tc>
          <w:tcPr>
            <w:tcW w:w="701" w:type="dxa"/>
            <w:tcBorders>
              <w:left w:val="nil"/>
              <w:right w:val="nil"/>
            </w:tcBorders>
          </w:tcPr>
          <w:p w14:paraId="407FFB88" w14:textId="77777777" w:rsidR="00F92D60" w:rsidRPr="00F57D12" w:rsidRDefault="00F92D60" w:rsidP="00F92D60">
            <w:pPr>
              <w:pStyle w:val="Paragraph"/>
              <w:spacing w:before="0" w:line="360" w:lineRule="auto"/>
              <w:jc w:val="center"/>
              <w:rPr>
                <w:rFonts w:asciiTheme="minorHAnsi" w:hAnsiTheme="minorHAnsi"/>
              </w:rPr>
            </w:pPr>
          </w:p>
        </w:tc>
      </w:tr>
      <w:tr w:rsidR="00F57D12" w:rsidRPr="00F57D12" w14:paraId="5ACF064E" w14:textId="77777777" w:rsidTr="00F57D12">
        <w:trPr>
          <w:trHeight w:val="113"/>
        </w:trPr>
        <w:tc>
          <w:tcPr>
            <w:tcW w:w="1515" w:type="dxa"/>
            <w:tcBorders>
              <w:left w:val="nil"/>
              <w:bottom w:val="nil"/>
              <w:right w:val="nil"/>
            </w:tcBorders>
            <w:vAlign w:val="center"/>
          </w:tcPr>
          <w:p w14:paraId="495CD414" w14:textId="77777777" w:rsidR="00F92D60" w:rsidRPr="00F57D12" w:rsidRDefault="00F92D60" w:rsidP="00F92D60">
            <w:pPr>
              <w:pStyle w:val="Paragraph"/>
              <w:spacing w:before="0" w:line="360" w:lineRule="auto"/>
              <w:rPr>
                <w:rFonts w:asciiTheme="minorHAnsi" w:hAnsiTheme="minorHAnsi"/>
              </w:rPr>
            </w:pPr>
          </w:p>
        </w:tc>
        <w:tc>
          <w:tcPr>
            <w:tcW w:w="2267" w:type="dxa"/>
            <w:gridSpan w:val="4"/>
            <w:tcBorders>
              <w:left w:val="nil"/>
              <w:bottom w:val="nil"/>
              <w:right w:val="nil"/>
            </w:tcBorders>
            <w:vAlign w:val="center"/>
          </w:tcPr>
          <w:p w14:paraId="2A9AB9B0" w14:textId="0205ECF3" w:rsidR="00F92D60" w:rsidRPr="00F57D12" w:rsidRDefault="00F92D60" w:rsidP="00F92D60">
            <w:pPr>
              <w:pStyle w:val="Paragraph"/>
              <w:spacing w:before="0" w:line="360" w:lineRule="auto"/>
              <w:jc w:val="center"/>
              <w:rPr>
                <w:rFonts w:asciiTheme="minorHAnsi" w:hAnsiTheme="minorHAnsi"/>
              </w:rPr>
            </w:pPr>
            <w:r w:rsidRPr="00F57D12">
              <w:rPr>
                <w:rFonts w:asciiTheme="minorHAnsi" w:hAnsiTheme="minorHAnsi"/>
              </w:rPr>
              <w:t>low</w:t>
            </w:r>
          </w:p>
        </w:tc>
        <w:tc>
          <w:tcPr>
            <w:tcW w:w="2268" w:type="dxa"/>
            <w:gridSpan w:val="4"/>
            <w:tcBorders>
              <w:left w:val="nil"/>
              <w:bottom w:val="nil"/>
              <w:right w:val="nil"/>
            </w:tcBorders>
            <w:vAlign w:val="center"/>
          </w:tcPr>
          <w:p w14:paraId="17BCEE80" w14:textId="0D99E001" w:rsidR="00F92D60" w:rsidRPr="00F57D12" w:rsidRDefault="00F92D60" w:rsidP="00F92D60">
            <w:pPr>
              <w:pStyle w:val="Paragraph"/>
              <w:spacing w:before="0" w:line="360" w:lineRule="auto"/>
              <w:jc w:val="center"/>
              <w:rPr>
                <w:rFonts w:asciiTheme="minorHAnsi" w:hAnsiTheme="minorHAnsi"/>
              </w:rPr>
            </w:pPr>
            <w:r w:rsidRPr="00F57D12">
              <w:rPr>
                <w:rFonts w:asciiTheme="minorHAnsi" w:hAnsiTheme="minorHAnsi"/>
              </w:rPr>
              <w:t>middle</w:t>
            </w:r>
          </w:p>
        </w:tc>
        <w:tc>
          <w:tcPr>
            <w:tcW w:w="2268" w:type="dxa"/>
            <w:gridSpan w:val="4"/>
            <w:tcBorders>
              <w:left w:val="nil"/>
              <w:bottom w:val="nil"/>
              <w:right w:val="nil"/>
            </w:tcBorders>
            <w:vAlign w:val="center"/>
          </w:tcPr>
          <w:p w14:paraId="461670DA" w14:textId="5F1B6105" w:rsidR="00F92D60" w:rsidRPr="00F57D12" w:rsidRDefault="00F92D60" w:rsidP="00F92D60">
            <w:pPr>
              <w:pStyle w:val="Paragraph"/>
              <w:spacing w:before="0" w:line="360" w:lineRule="auto"/>
              <w:jc w:val="center"/>
              <w:rPr>
                <w:rFonts w:asciiTheme="minorHAnsi" w:hAnsiTheme="minorHAnsi"/>
              </w:rPr>
            </w:pPr>
            <w:r w:rsidRPr="00F57D12">
              <w:rPr>
                <w:rFonts w:asciiTheme="minorHAnsi" w:hAnsiTheme="minorHAnsi"/>
              </w:rPr>
              <w:t>high</w:t>
            </w:r>
          </w:p>
        </w:tc>
        <w:tc>
          <w:tcPr>
            <w:tcW w:w="701" w:type="dxa"/>
            <w:tcBorders>
              <w:left w:val="nil"/>
              <w:bottom w:val="nil"/>
              <w:right w:val="nil"/>
            </w:tcBorders>
          </w:tcPr>
          <w:p w14:paraId="2B5E46CE" w14:textId="77777777" w:rsidR="00F92D60" w:rsidRPr="00F57D12" w:rsidRDefault="00F92D60" w:rsidP="00F92D60">
            <w:pPr>
              <w:pStyle w:val="Paragraph"/>
              <w:spacing w:before="0" w:line="360" w:lineRule="auto"/>
              <w:jc w:val="center"/>
              <w:rPr>
                <w:rFonts w:asciiTheme="minorHAnsi" w:hAnsiTheme="minorHAnsi"/>
              </w:rPr>
            </w:pPr>
          </w:p>
        </w:tc>
      </w:tr>
      <w:tr w:rsidR="00F57D12" w:rsidRPr="00F57D12" w14:paraId="38622C24" w14:textId="77777777" w:rsidTr="00F57D12">
        <w:trPr>
          <w:trHeight w:val="113"/>
        </w:trPr>
        <w:tc>
          <w:tcPr>
            <w:tcW w:w="1515" w:type="dxa"/>
            <w:tcBorders>
              <w:top w:val="nil"/>
              <w:left w:val="nil"/>
              <w:right w:val="nil"/>
            </w:tcBorders>
            <w:vAlign w:val="center"/>
          </w:tcPr>
          <w:p w14:paraId="5331C463" w14:textId="77777777" w:rsidR="00C40E0E" w:rsidRPr="00F57D12" w:rsidRDefault="00C40E0E" w:rsidP="00F92D60">
            <w:pPr>
              <w:pStyle w:val="Paragraph"/>
              <w:spacing w:before="0" w:line="360" w:lineRule="auto"/>
              <w:rPr>
                <w:rFonts w:asciiTheme="minorHAnsi" w:hAnsiTheme="minorHAnsi"/>
              </w:rPr>
            </w:pPr>
          </w:p>
        </w:tc>
        <w:tc>
          <w:tcPr>
            <w:tcW w:w="644" w:type="dxa"/>
            <w:tcBorders>
              <w:top w:val="nil"/>
              <w:left w:val="nil"/>
              <w:right w:val="nil"/>
            </w:tcBorders>
            <w:vAlign w:val="center"/>
          </w:tcPr>
          <w:p w14:paraId="3747F2F1" w14:textId="65374424"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n</w:t>
            </w:r>
          </w:p>
        </w:tc>
        <w:tc>
          <w:tcPr>
            <w:tcW w:w="783" w:type="dxa"/>
            <w:gridSpan w:val="2"/>
            <w:tcBorders>
              <w:top w:val="nil"/>
              <w:left w:val="nil"/>
              <w:right w:val="nil"/>
            </w:tcBorders>
            <w:vAlign w:val="center"/>
          </w:tcPr>
          <w:p w14:paraId="5E3FCD62" w14:textId="3A2EAC7A"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M</w:t>
            </w:r>
          </w:p>
        </w:tc>
        <w:tc>
          <w:tcPr>
            <w:tcW w:w="840" w:type="dxa"/>
            <w:tcBorders>
              <w:top w:val="nil"/>
              <w:left w:val="nil"/>
              <w:right w:val="nil"/>
            </w:tcBorders>
            <w:vAlign w:val="center"/>
          </w:tcPr>
          <w:p w14:paraId="7ED126E5" w14:textId="0A886E29"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SD</w:t>
            </w:r>
          </w:p>
        </w:tc>
        <w:tc>
          <w:tcPr>
            <w:tcW w:w="644" w:type="dxa"/>
            <w:tcBorders>
              <w:top w:val="nil"/>
              <w:left w:val="nil"/>
              <w:right w:val="nil"/>
            </w:tcBorders>
            <w:vAlign w:val="center"/>
          </w:tcPr>
          <w:p w14:paraId="0BA26A51" w14:textId="0B823D6A"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n</w:t>
            </w:r>
          </w:p>
        </w:tc>
        <w:tc>
          <w:tcPr>
            <w:tcW w:w="784" w:type="dxa"/>
            <w:gridSpan w:val="2"/>
            <w:tcBorders>
              <w:top w:val="nil"/>
              <w:left w:val="nil"/>
              <w:right w:val="nil"/>
            </w:tcBorders>
            <w:vAlign w:val="center"/>
          </w:tcPr>
          <w:p w14:paraId="70D56BDB" w14:textId="4B07BED3"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M</w:t>
            </w:r>
          </w:p>
        </w:tc>
        <w:tc>
          <w:tcPr>
            <w:tcW w:w="840" w:type="dxa"/>
            <w:tcBorders>
              <w:top w:val="nil"/>
              <w:left w:val="nil"/>
              <w:right w:val="nil"/>
            </w:tcBorders>
            <w:vAlign w:val="center"/>
          </w:tcPr>
          <w:p w14:paraId="50B70D87" w14:textId="771DF1AF"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SD</w:t>
            </w:r>
          </w:p>
        </w:tc>
        <w:tc>
          <w:tcPr>
            <w:tcW w:w="644" w:type="dxa"/>
            <w:tcBorders>
              <w:top w:val="nil"/>
              <w:left w:val="nil"/>
              <w:right w:val="nil"/>
            </w:tcBorders>
            <w:vAlign w:val="center"/>
          </w:tcPr>
          <w:p w14:paraId="0846A9D6" w14:textId="52CDB53F"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n</w:t>
            </w:r>
          </w:p>
        </w:tc>
        <w:tc>
          <w:tcPr>
            <w:tcW w:w="784" w:type="dxa"/>
            <w:gridSpan w:val="2"/>
            <w:tcBorders>
              <w:top w:val="nil"/>
              <w:left w:val="nil"/>
              <w:right w:val="nil"/>
            </w:tcBorders>
            <w:vAlign w:val="center"/>
          </w:tcPr>
          <w:p w14:paraId="198EE796" w14:textId="38AF073B"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M</w:t>
            </w:r>
          </w:p>
        </w:tc>
        <w:tc>
          <w:tcPr>
            <w:tcW w:w="840" w:type="dxa"/>
            <w:tcBorders>
              <w:top w:val="nil"/>
              <w:left w:val="nil"/>
              <w:right w:val="nil"/>
            </w:tcBorders>
            <w:vAlign w:val="center"/>
          </w:tcPr>
          <w:p w14:paraId="1A571C6B" w14:textId="1C32427A" w:rsidR="00C40E0E" w:rsidRPr="00F57D12" w:rsidRDefault="00C40E0E" w:rsidP="00C40E0E">
            <w:pPr>
              <w:pStyle w:val="Paragraph"/>
              <w:spacing w:before="0" w:line="360" w:lineRule="auto"/>
              <w:jc w:val="center"/>
              <w:rPr>
                <w:rFonts w:asciiTheme="minorHAnsi" w:hAnsiTheme="minorHAnsi"/>
              </w:rPr>
            </w:pPr>
            <w:r w:rsidRPr="00F57D12">
              <w:rPr>
                <w:rFonts w:asciiTheme="minorHAnsi" w:hAnsiTheme="minorHAnsi"/>
              </w:rPr>
              <w:t>SD</w:t>
            </w:r>
          </w:p>
        </w:tc>
        <w:tc>
          <w:tcPr>
            <w:tcW w:w="701" w:type="dxa"/>
            <w:tcBorders>
              <w:top w:val="nil"/>
              <w:left w:val="nil"/>
              <w:right w:val="nil"/>
            </w:tcBorders>
            <w:vAlign w:val="center"/>
          </w:tcPr>
          <w:p w14:paraId="1B554691" w14:textId="71F0DBF7" w:rsidR="00C40E0E" w:rsidRPr="00F57D12" w:rsidRDefault="00F57D12" w:rsidP="00F92D60">
            <w:pPr>
              <w:pStyle w:val="Paragraph"/>
              <w:spacing w:before="0" w:line="360" w:lineRule="auto"/>
              <w:jc w:val="center"/>
              <w:rPr>
                <w:rFonts w:asciiTheme="minorHAnsi" w:hAnsiTheme="minorHAnsi"/>
                <w:vertAlign w:val="superscript"/>
              </w:rPr>
            </w:pPr>
            <w:r>
              <w:rPr>
                <w:rFonts w:asciiTheme="minorHAnsi" w:hAnsiTheme="minorHAnsi"/>
                <w:lang w:val="de-DE" w:eastAsia="de-DE"/>
              </w:rPr>
              <w:t>p</w:t>
            </w:r>
            <w:r w:rsidR="00C40E0E" w:rsidRPr="00F57D12">
              <w:rPr>
                <w:rFonts w:asciiTheme="minorHAnsi" w:hAnsiTheme="minorHAnsi"/>
                <w:vertAlign w:val="superscript"/>
                <w:lang w:val="de-DE" w:eastAsia="de-DE"/>
              </w:rPr>
              <w:t>1</w:t>
            </w:r>
          </w:p>
        </w:tc>
      </w:tr>
      <w:tr w:rsidR="00F57D12" w:rsidRPr="00F57D12" w14:paraId="671D8D79" w14:textId="77777777" w:rsidTr="00F57D12">
        <w:trPr>
          <w:trHeight w:val="283"/>
        </w:trPr>
        <w:tc>
          <w:tcPr>
            <w:tcW w:w="1515" w:type="dxa"/>
            <w:tcBorders>
              <w:left w:val="nil"/>
              <w:bottom w:val="nil"/>
              <w:right w:val="nil"/>
            </w:tcBorders>
            <w:vAlign w:val="center"/>
          </w:tcPr>
          <w:p w14:paraId="21DC5F4A" w14:textId="3150F340" w:rsidR="00F57D12" w:rsidRPr="00F57D12" w:rsidRDefault="00C40E0E" w:rsidP="00F57D12">
            <w:pPr>
              <w:pStyle w:val="Paragraph"/>
              <w:spacing w:before="0" w:line="240" w:lineRule="auto"/>
              <w:jc w:val="center"/>
              <w:rPr>
                <w:rFonts w:asciiTheme="minorHAnsi" w:hAnsiTheme="minorHAnsi"/>
              </w:rPr>
            </w:pPr>
            <w:proofErr w:type="spellStart"/>
            <w:r w:rsidRPr="00F57D12">
              <w:rPr>
                <w:rFonts w:asciiTheme="minorHAnsi" w:hAnsiTheme="minorHAnsi"/>
              </w:rPr>
              <w:t>Householdsize</w:t>
            </w:r>
            <w:proofErr w:type="spellEnd"/>
          </w:p>
        </w:tc>
        <w:tc>
          <w:tcPr>
            <w:tcW w:w="644" w:type="dxa"/>
            <w:tcBorders>
              <w:left w:val="nil"/>
              <w:bottom w:val="nil"/>
              <w:right w:val="nil"/>
            </w:tcBorders>
            <w:vAlign w:val="center"/>
          </w:tcPr>
          <w:p w14:paraId="1E407021" w14:textId="5AFFCB0F"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6825</w:t>
            </w:r>
          </w:p>
        </w:tc>
        <w:tc>
          <w:tcPr>
            <w:tcW w:w="783" w:type="dxa"/>
            <w:gridSpan w:val="2"/>
            <w:tcBorders>
              <w:left w:val="nil"/>
              <w:bottom w:val="nil"/>
              <w:right w:val="nil"/>
            </w:tcBorders>
            <w:vAlign w:val="center"/>
          </w:tcPr>
          <w:p w14:paraId="291A5817" w14:textId="0B88A510"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1,8</w:t>
            </w:r>
            <w:r w:rsidRPr="00F57D12">
              <w:rPr>
                <w:rFonts w:asciiTheme="minorHAnsi" w:hAnsiTheme="minorHAnsi"/>
              </w:rPr>
              <w:t>9</w:t>
            </w:r>
          </w:p>
        </w:tc>
        <w:tc>
          <w:tcPr>
            <w:tcW w:w="840" w:type="dxa"/>
            <w:tcBorders>
              <w:left w:val="nil"/>
              <w:bottom w:val="nil"/>
              <w:right w:val="nil"/>
            </w:tcBorders>
            <w:vAlign w:val="center"/>
          </w:tcPr>
          <w:p w14:paraId="550A8949" w14:textId="7EF10298"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1,4</w:t>
            </w:r>
            <w:r w:rsidRPr="00F57D12">
              <w:rPr>
                <w:rFonts w:asciiTheme="minorHAnsi" w:hAnsiTheme="minorHAnsi"/>
              </w:rPr>
              <w:t>1</w:t>
            </w:r>
          </w:p>
        </w:tc>
        <w:tc>
          <w:tcPr>
            <w:tcW w:w="644" w:type="dxa"/>
            <w:tcBorders>
              <w:left w:val="nil"/>
              <w:bottom w:val="nil"/>
              <w:right w:val="nil"/>
            </w:tcBorders>
            <w:vAlign w:val="center"/>
          </w:tcPr>
          <w:p w14:paraId="7E78E75A" w14:textId="577404D7"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2161</w:t>
            </w:r>
          </w:p>
        </w:tc>
        <w:tc>
          <w:tcPr>
            <w:tcW w:w="784" w:type="dxa"/>
            <w:gridSpan w:val="2"/>
            <w:tcBorders>
              <w:left w:val="nil"/>
              <w:bottom w:val="nil"/>
              <w:right w:val="nil"/>
            </w:tcBorders>
            <w:vAlign w:val="center"/>
          </w:tcPr>
          <w:p w14:paraId="7F506D70" w14:textId="497B9BAD"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1,8</w:t>
            </w:r>
            <w:r w:rsidRPr="00F57D12">
              <w:rPr>
                <w:rFonts w:asciiTheme="minorHAnsi" w:hAnsiTheme="minorHAnsi"/>
              </w:rPr>
              <w:t>6</w:t>
            </w:r>
          </w:p>
        </w:tc>
        <w:tc>
          <w:tcPr>
            <w:tcW w:w="840" w:type="dxa"/>
            <w:tcBorders>
              <w:left w:val="nil"/>
              <w:bottom w:val="nil"/>
              <w:right w:val="nil"/>
            </w:tcBorders>
            <w:vAlign w:val="center"/>
          </w:tcPr>
          <w:p w14:paraId="72B22360" w14:textId="46F87613"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,62</w:t>
            </w:r>
          </w:p>
        </w:tc>
        <w:tc>
          <w:tcPr>
            <w:tcW w:w="644" w:type="dxa"/>
            <w:tcBorders>
              <w:left w:val="nil"/>
              <w:bottom w:val="nil"/>
              <w:right w:val="nil"/>
            </w:tcBorders>
            <w:vAlign w:val="center"/>
          </w:tcPr>
          <w:p w14:paraId="252E48B8" w14:textId="003E1A35"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1916</w:t>
            </w:r>
          </w:p>
        </w:tc>
        <w:tc>
          <w:tcPr>
            <w:tcW w:w="784" w:type="dxa"/>
            <w:gridSpan w:val="2"/>
            <w:tcBorders>
              <w:left w:val="nil"/>
              <w:bottom w:val="nil"/>
              <w:right w:val="nil"/>
            </w:tcBorders>
            <w:vAlign w:val="center"/>
          </w:tcPr>
          <w:p w14:paraId="3703FC7B" w14:textId="6BD746D6"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1,8</w:t>
            </w:r>
            <w:r w:rsidRPr="00F57D12">
              <w:rPr>
                <w:rFonts w:asciiTheme="minorHAnsi" w:hAnsiTheme="minorHAnsi"/>
              </w:rPr>
              <w:t>9</w:t>
            </w:r>
          </w:p>
        </w:tc>
        <w:tc>
          <w:tcPr>
            <w:tcW w:w="840" w:type="dxa"/>
            <w:tcBorders>
              <w:left w:val="nil"/>
              <w:bottom w:val="nil"/>
              <w:right w:val="nil"/>
            </w:tcBorders>
            <w:vAlign w:val="center"/>
          </w:tcPr>
          <w:p w14:paraId="2EF9D606" w14:textId="3CC571C9" w:rsidR="00C40E0E" w:rsidRPr="00F57D12" w:rsidRDefault="00C40E0E" w:rsidP="00F57D12">
            <w:pPr>
              <w:pStyle w:val="Paragraph"/>
              <w:spacing w:before="0" w:line="360" w:lineRule="auto"/>
              <w:jc w:val="center"/>
              <w:rPr>
                <w:rFonts w:asciiTheme="minorHAnsi" w:hAnsiTheme="minorHAnsi"/>
              </w:rPr>
            </w:pPr>
            <w:r w:rsidRPr="00195AF1">
              <w:rPr>
                <w:rFonts w:asciiTheme="minorHAnsi" w:hAnsiTheme="minorHAnsi"/>
              </w:rPr>
              <w:t>,59</w:t>
            </w:r>
          </w:p>
        </w:tc>
        <w:tc>
          <w:tcPr>
            <w:tcW w:w="701" w:type="dxa"/>
            <w:tcBorders>
              <w:left w:val="nil"/>
              <w:bottom w:val="nil"/>
              <w:right w:val="nil"/>
            </w:tcBorders>
            <w:vAlign w:val="center"/>
          </w:tcPr>
          <w:p w14:paraId="755D9DE5" w14:textId="121FC29E" w:rsidR="00C40E0E" w:rsidRPr="00F57D12" w:rsidRDefault="00C40E0E" w:rsidP="00F57D12">
            <w:pPr>
              <w:pStyle w:val="Paragraph"/>
              <w:spacing w:before="0" w:line="360" w:lineRule="auto"/>
              <w:jc w:val="center"/>
              <w:rPr>
                <w:rFonts w:asciiTheme="minorHAnsi" w:hAnsiTheme="minorHAnsi"/>
                <w:lang w:val="de-DE" w:eastAsia="de-DE"/>
              </w:rPr>
            </w:pPr>
            <w:r w:rsidRPr="00F57D12">
              <w:rPr>
                <w:rFonts w:asciiTheme="minorHAnsi" w:hAnsiTheme="minorHAnsi"/>
                <w:lang w:val="de-DE" w:eastAsia="de-DE"/>
              </w:rPr>
              <w:t>.562</w:t>
            </w:r>
          </w:p>
        </w:tc>
      </w:tr>
      <w:tr w:rsidR="00F57D12" w:rsidRPr="00F57D12" w14:paraId="0EA1876D" w14:textId="77777777" w:rsidTr="00F57D12">
        <w:trPr>
          <w:trHeight w:val="283"/>
        </w:trPr>
        <w:tc>
          <w:tcPr>
            <w:tcW w:w="1515" w:type="dxa"/>
            <w:tcBorders>
              <w:top w:val="nil"/>
              <w:left w:val="nil"/>
              <w:bottom w:val="nil"/>
              <w:right w:val="nil"/>
            </w:tcBorders>
            <w:vAlign w:val="center"/>
          </w:tcPr>
          <w:p w14:paraId="73C9572F" w14:textId="77777777" w:rsidR="00C40E0E" w:rsidRPr="00F57D12" w:rsidRDefault="00C40E0E" w:rsidP="00F57D12">
            <w:pPr>
              <w:pStyle w:val="Paragraph"/>
              <w:spacing w:before="0" w:line="240" w:lineRule="auto"/>
              <w:rPr>
                <w:rFonts w:asciiTheme="minorHAnsi" w:hAnsiTheme="minorHAnsi"/>
              </w:rPr>
            </w:pPr>
            <w:r w:rsidRPr="00F57D12">
              <w:rPr>
                <w:rFonts w:asciiTheme="minorHAnsi" w:hAnsiTheme="minorHAnsi"/>
              </w:rPr>
              <w:t>Duration of residence at entry</w:t>
            </w:r>
          </w:p>
        </w:tc>
        <w:tc>
          <w:tcPr>
            <w:tcW w:w="644" w:type="dxa"/>
            <w:tcBorders>
              <w:top w:val="nil"/>
              <w:left w:val="nil"/>
              <w:bottom w:val="nil"/>
              <w:right w:val="nil"/>
            </w:tcBorders>
            <w:vAlign w:val="center"/>
          </w:tcPr>
          <w:p w14:paraId="0E22AC6D" w14:textId="1F5B1E90"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6768</w:t>
            </w:r>
          </w:p>
        </w:tc>
        <w:tc>
          <w:tcPr>
            <w:tcW w:w="783" w:type="dxa"/>
            <w:gridSpan w:val="2"/>
            <w:tcBorders>
              <w:top w:val="nil"/>
              <w:left w:val="nil"/>
              <w:bottom w:val="nil"/>
              <w:right w:val="nil"/>
            </w:tcBorders>
            <w:vAlign w:val="center"/>
          </w:tcPr>
          <w:p w14:paraId="633D78EF" w14:textId="201499DE"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31,57</w:t>
            </w:r>
          </w:p>
        </w:tc>
        <w:tc>
          <w:tcPr>
            <w:tcW w:w="840" w:type="dxa"/>
            <w:tcBorders>
              <w:top w:val="nil"/>
              <w:left w:val="nil"/>
              <w:bottom w:val="nil"/>
              <w:right w:val="nil"/>
            </w:tcBorders>
            <w:vAlign w:val="center"/>
          </w:tcPr>
          <w:p w14:paraId="3E1CEE7B" w14:textId="7EFD6E7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19,56</w:t>
            </w:r>
          </w:p>
        </w:tc>
        <w:tc>
          <w:tcPr>
            <w:tcW w:w="644" w:type="dxa"/>
            <w:tcBorders>
              <w:top w:val="nil"/>
              <w:left w:val="nil"/>
              <w:bottom w:val="nil"/>
              <w:right w:val="nil"/>
            </w:tcBorders>
            <w:vAlign w:val="center"/>
          </w:tcPr>
          <w:p w14:paraId="0DCEF543" w14:textId="48D0F810"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2156</w:t>
            </w:r>
          </w:p>
        </w:tc>
        <w:tc>
          <w:tcPr>
            <w:tcW w:w="784" w:type="dxa"/>
            <w:gridSpan w:val="2"/>
            <w:tcBorders>
              <w:top w:val="nil"/>
              <w:left w:val="nil"/>
              <w:bottom w:val="nil"/>
              <w:right w:val="nil"/>
            </w:tcBorders>
            <w:vAlign w:val="center"/>
          </w:tcPr>
          <w:p w14:paraId="57A3B2E7" w14:textId="51EED4AE"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26,5</w:t>
            </w:r>
            <w:r w:rsidRPr="00F57D12">
              <w:rPr>
                <w:rFonts w:asciiTheme="minorHAnsi" w:hAnsiTheme="minorHAnsi"/>
              </w:rPr>
              <w:t>3</w:t>
            </w:r>
          </w:p>
        </w:tc>
        <w:tc>
          <w:tcPr>
            <w:tcW w:w="840" w:type="dxa"/>
            <w:tcBorders>
              <w:top w:val="nil"/>
              <w:left w:val="nil"/>
              <w:bottom w:val="nil"/>
              <w:right w:val="nil"/>
            </w:tcBorders>
            <w:vAlign w:val="center"/>
          </w:tcPr>
          <w:p w14:paraId="48555086" w14:textId="75ACA401"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16,5</w:t>
            </w:r>
            <w:r w:rsidRPr="00F57D12">
              <w:rPr>
                <w:rFonts w:asciiTheme="minorHAnsi" w:hAnsiTheme="minorHAnsi"/>
              </w:rPr>
              <w:t>6</w:t>
            </w:r>
          </w:p>
        </w:tc>
        <w:tc>
          <w:tcPr>
            <w:tcW w:w="644" w:type="dxa"/>
            <w:tcBorders>
              <w:top w:val="nil"/>
              <w:left w:val="nil"/>
              <w:bottom w:val="nil"/>
              <w:right w:val="nil"/>
            </w:tcBorders>
            <w:vAlign w:val="center"/>
          </w:tcPr>
          <w:p w14:paraId="52A23D75" w14:textId="01913D73"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1905</w:t>
            </w:r>
          </w:p>
        </w:tc>
        <w:tc>
          <w:tcPr>
            <w:tcW w:w="784" w:type="dxa"/>
            <w:gridSpan w:val="2"/>
            <w:tcBorders>
              <w:top w:val="nil"/>
              <w:left w:val="nil"/>
              <w:bottom w:val="nil"/>
              <w:right w:val="nil"/>
            </w:tcBorders>
            <w:vAlign w:val="center"/>
          </w:tcPr>
          <w:p w14:paraId="0BFF0D82" w14:textId="6E6CDF1B"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25,4</w:t>
            </w:r>
            <w:r w:rsidRPr="00F57D12">
              <w:rPr>
                <w:rFonts w:asciiTheme="minorHAnsi" w:hAnsiTheme="minorHAnsi"/>
              </w:rPr>
              <w:t>7</w:t>
            </w:r>
          </w:p>
        </w:tc>
        <w:tc>
          <w:tcPr>
            <w:tcW w:w="840" w:type="dxa"/>
            <w:tcBorders>
              <w:top w:val="nil"/>
              <w:left w:val="nil"/>
              <w:bottom w:val="nil"/>
              <w:right w:val="nil"/>
            </w:tcBorders>
            <w:vAlign w:val="center"/>
          </w:tcPr>
          <w:p w14:paraId="52B5EC1F" w14:textId="7DAAF12D"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15,49</w:t>
            </w:r>
          </w:p>
        </w:tc>
        <w:tc>
          <w:tcPr>
            <w:tcW w:w="701" w:type="dxa"/>
            <w:tcBorders>
              <w:top w:val="nil"/>
              <w:left w:val="nil"/>
              <w:bottom w:val="nil"/>
              <w:right w:val="nil"/>
            </w:tcBorders>
            <w:vAlign w:val="center"/>
          </w:tcPr>
          <w:p w14:paraId="603DC4C0" w14:textId="6EC1B660" w:rsidR="00C40E0E" w:rsidRPr="00F57D12" w:rsidRDefault="00C40E0E" w:rsidP="00195AF1">
            <w:pPr>
              <w:pStyle w:val="Paragraph"/>
              <w:spacing w:before="0" w:line="360" w:lineRule="auto"/>
              <w:jc w:val="center"/>
              <w:rPr>
                <w:rFonts w:asciiTheme="minorHAnsi" w:hAnsiTheme="minorHAnsi"/>
              </w:rPr>
            </w:pPr>
            <w:r w:rsidRPr="00F57D12">
              <w:rPr>
                <w:rFonts w:asciiTheme="minorHAnsi" w:hAnsiTheme="minorHAnsi"/>
              </w:rPr>
              <w:t>&lt;.001</w:t>
            </w:r>
          </w:p>
        </w:tc>
      </w:tr>
      <w:tr w:rsidR="00F57D12" w:rsidRPr="00F57D12" w14:paraId="6CD2A597" w14:textId="77777777" w:rsidTr="00F57D12">
        <w:trPr>
          <w:trHeight w:val="283"/>
        </w:trPr>
        <w:tc>
          <w:tcPr>
            <w:tcW w:w="1515" w:type="dxa"/>
            <w:tcBorders>
              <w:top w:val="nil"/>
              <w:left w:val="nil"/>
              <w:bottom w:val="nil"/>
              <w:right w:val="nil"/>
            </w:tcBorders>
            <w:vAlign w:val="center"/>
          </w:tcPr>
          <w:p w14:paraId="65D51220" w14:textId="77777777" w:rsidR="00C40E0E" w:rsidRPr="00F57D12" w:rsidRDefault="00C40E0E" w:rsidP="00F57D12">
            <w:pPr>
              <w:pStyle w:val="Paragraph"/>
              <w:spacing w:before="0" w:line="240" w:lineRule="auto"/>
              <w:rPr>
                <w:rFonts w:asciiTheme="minorHAnsi" w:hAnsiTheme="minorHAnsi"/>
              </w:rPr>
            </w:pPr>
            <w:r w:rsidRPr="00F57D12">
              <w:rPr>
                <w:rFonts w:asciiTheme="minorHAnsi" w:hAnsiTheme="minorHAnsi"/>
              </w:rPr>
              <w:t>Number of rooms</w:t>
            </w:r>
          </w:p>
        </w:tc>
        <w:tc>
          <w:tcPr>
            <w:tcW w:w="644" w:type="dxa"/>
            <w:tcBorders>
              <w:top w:val="nil"/>
              <w:left w:val="nil"/>
              <w:bottom w:val="nil"/>
              <w:right w:val="nil"/>
            </w:tcBorders>
            <w:vAlign w:val="center"/>
          </w:tcPr>
          <w:p w14:paraId="3A2531F0" w14:textId="3A4EBF7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6793</w:t>
            </w:r>
          </w:p>
        </w:tc>
        <w:tc>
          <w:tcPr>
            <w:tcW w:w="783" w:type="dxa"/>
            <w:gridSpan w:val="2"/>
            <w:tcBorders>
              <w:top w:val="nil"/>
              <w:left w:val="nil"/>
              <w:bottom w:val="nil"/>
              <w:right w:val="nil"/>
            </w:tcBorders>
            <w:vAlign w:val="center"/>
          </w:tcPr>
          <w:p w14:paraId="3FF995A3" w14:textId="5EA69D64"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3,5</w:t>
            </w:r>
            <w:r w:rsidRPr="00F57D12">
              <w:rPr>
                <w:rFonts w:asciiTheme="minorHAnsi" w:hAnsiTheme="minorHAnsi"/>
              </w:rPr>
              <w:t>3</w:t>
            </w:r>
          </w:p>
        </w:tc>
        <w:tc>
          <w:tcPr>
            <w:tcW w:w="840" w:type="dxa"/>
            <w:tcBorders>
              <w:top w:val="nil"/>
              <w:left w:val="nil"/>
              <w:bottom w:val="nil"/>
              <w:right w:val="nil"/>
            </w:tcBorders>
            <w:vAlign w:val="center"/>
          </w:tcPr>
          <w:p w14:paraId="4E63F7CA" w14:textId="5B83AA2A"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1,47</w:t>
            </w:r>
          </w:p>
        </w:tc>
        <w:tc>
          <w:tcPr>
            <w:tcW w:w="644" w:type="dxa"/>
            <w:tcBorders>
              <w:top w:val="nil"/>
              <w:left w:val="nil"/>
              <w:bottom w:val="nil"/>
              <w:right w:val="nil"/>
            </w:tcBorders>
            <w:vAlign w:val="center"/>
          </w:tcPr>
          <w:p w14:paraId="46D351F2" w14:textId="624B58BF"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2154</w:t>
            </w:r>
          </w:p>
        </w:tc>
        <w:tc>
          <w:tcPr>
            <w:tcW w:w="784" w:type="dxa"/>
            <w:gridSpan w:val="2"/>
            <w:tcBorders>
              <w:top w:val="nil"/>
              <w:left w:val="nil"/>
              <w:bottom w:val="nil"/>
              <w:right w:val="nil"/>
            </w:tcBorders>
            <w:vAlign w:val="center"/>
          </w:tcPr>
          <w:p w14:paraId="33FB7879" w14:textId="5261E5CF"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3,90</w:t>
            </w:r>
          </w:p>
        </w:tc>
        <w:tc>
          <w:tcPr>
            <w:tcW w:w="840" w:type="dxa"/>
            <w:tcBorders>
              <w:top w:val="nil"/>
              <w:left w:val="nil"/>
              <w:bottom w:val="nil"/>
              <w:right w:val="nil"/>
            </w:tcBorders>
            <w:vAlign w:val="center"/>
          </w:tcPr>
          <w:p w14:paraId="64EE52B3" w14:textId="1695F0CA"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1,5</w:t>
            </w:r>
            <w:r w:rsidRPr="00F57D12">
              <w:rPr>
                <w:rFonts w:asciiTheme="minorHAnsi" w:hAnsiTheme="minorHAnsi"/>
              </w:rPr>
              <w:t>2</w:t>
            </w:r>
          </w:p>
        </w:tc>
        <w:tc>
          <w:tcPr>
            <w:tcW w:w="644" w:type="dxa"/>
            <w:tcBorders>
              <w:top w:val="nil"/>
              <w:left w:val="nil"/>
              <w:bottom w:val="nil"/>
              <w:right w:val="nil"/>
            </w:tcBorders>
            <w:vAlign w:val="center"/>
          </w:tcPr>
          <w:p w14:paraId="02F90EAC" w14:textId="7F56687D"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1908</w:t>
            </w:r>
          </w:p>
        </w:tc>
        <w:tc>
          <w:tcPr>
            <w:tcW w:w="784" w:type="dxa"/>
            <w:gridSpan w:val="2"/>
            <w:tcBorders>
              <w:top w:val="nil"/>
              <w:left w:val="nil"/>
              <w:bottom w:val="nil"/>
              <w:right w:val="nil"/>
            </w:tcBorders>
            <w:vAlign w:val="center"/>
          </w:tcPr>
          <w:p w14:paraId="25E7779E" w14:textId="01AE169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4,3</w:t>
            </w:r>
            <w:r w:rsidRPr="00F57D12">
              <w:rPr>
                <w:rFonts w:asciiTheme="minorHAnsi" w:hAnsiTheme="minorHAnsi"/>
              </w:rPr>
              <w:t>9</w:t>
            </w:r>
          </w:p>
        </w:tc>
        <w:tc>
          <w:tcPr>
            <w:tcW w:w="840" w:type="dxa"/>
            <w:tcBorders>
              <w:top w:val="nil"/>
              <w:left w:val="nil"/>
              <w:bottom w:val="nil"/>
              <w:right w:val="nil"/>
            </w:tcBorders>
            <w:vAlign w:val="center"/>
          </w:tcPr>
          <w:p w14:paraId="3BE4B307" w14:textId="0BA968F0"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1,8</w:t>
            </w:r>
            <w:r w:rsidRPr="00F57D12">
              <w:rPr>
                <w:rFonts w:asciiTheme="minorHAnsi" w:hAnsiTheme="minorHAnsi"/>
              </w:rPr>
              <w:t>3</w:t>
            </w:r>
          </w:p>
        </w:tc>
        <w:tc>
          <w:tcPr>
            <w:tcW w:w="701" w:type="dxa"/>
            <w:tcBorders>
              <w:top w:val="nil"/>
              <w:left w:val="nil"/>
              <w:bottom w:val="nil"/>
              <w:right w:val="nil"/>
            </w:tcBorders>
            <w:vAlign w:val="center"/>
          </w:tcPr>
          <w:p w14:paraId="6A851FF6" w14:textId="47B902C5" w:rsidR="00C40E0E" w:rsidRPr="00F57D12" w:rsidRDefault="00C40E0E" w:rsidP="00195AF1">
            <w:pPr>
              <w:pStyle w:val="Paragraph"/>
              <w:spacing w:before="0" w:line="360" w:lineRule="auto"/>
              <w:jc w:val="center"/>
              <w:rPr>
                <w:rFonts w:asciiTheme="minorHAnsi" w:hAnsiTheme="minorHAnsi"/>
                <w:lang w:val="de-DE" w:eastAsia="de-DE"/>
              </w:rPr>
            </w:pPr>
            <w:r w:rsidRPr="00F57D12">
              <w:rPr>
                <w:rFonts w:asciiTheme="minorHAnsi" w:hAnsiTheme="minorHAnsi"/>
                <w:lang w:val="de-DE" w:eastAsia="de-DE"/>
              </w:rPr>
              <w:t>&lt;.001</w:t>
            </w:r>
          </w:p>
        </w:tc>
      </w:tr>
      <w:tr w:rsidR="00F57D12" w:rsidRPr="00F57D12" w14:paraId="32BFFE06" w14:textId="77777777" w:rsidTr="00F57D12">
        <w:trPr>
          <w:trHeight w:val="283"/>
        </w:trPr>
        <w:tc>
          <w:tcPr>
            <w:tcW w:w="1515" w:type="dxa"/>
            <w:tcBorders>
              <w:top w:val="nil"/>
              <w:left w:val="nil"/>
              <w:bottom w:val="nil"/>
              <w:right w:val="nil"/>
            </w:tcBorders>
            <w:vAlign w:val="center"/>
          </w:tcPr>
          <w:p w14:paraId="68278578" w14:textId="77777777" w:rsidR="00C40E0E" w:rsidRPr="00F57D12" w:rsidRDefault="00C40E0E" w:rsidP="00F57D12">
            <w:pPr>
              <w:pStyle w:val="Paragraph"/>
              <w:spacing w:before="0" w:line="240" w:lineRule="auto"/>
              <w:rPr>
                <w:rFonts w:asciiTheme="minorHAnsi" w:hAnsiTheme="minorHAnsi"/>
              </w:rPr>
            </w:pPr>
            <w:r w:rsidRPr="00F57D12">
              <w:rPr>
                <w:rFonts w:asciiTheme="minorHAnsi" w:hAnsiTheme="minorHAnsi"/>
              </w:rPr>
              <w:t>Housing equipment</w:t>
            </w:r>
          </w:p>
        </w:tc>
        <w:tc>
          <w:tcPr>
            <w:tcW w:w="644" w:type="dxa"/>
            <w:tcBorders>
              <w:top w:val="nil"/>
              <w:left w:val="nil"/>
              <w:bottom w:val="nil"/>
              <w:right w:val="nil"/>
            </w:tcBorders>
            <w:vAlign w:val="center"/>
          </w:tcPr>
          <w:p w14:paraId="4F3830EC" w14:textId="26814DF1"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1163</w:t>
            </w:r>
          </w:p>
        </w:tc>
        <w:tc>
          <w:tcPr>
            <w:tcW w:w="783" w:type="dxa"/>
            <w:gridSpan w:val="2"/>
            <w:tcBorders>
              <w:top w:val="nil"/>
              <w:left w:val="nil"/>
              <w:bottom w:val="nil"/>
              <w:right w:val="nil"/>
            </w:tcBorders>
            <w:vAlign w:val="center"/>
          </w:tcPr>
          <w:p w14:paraId="39B9AFE4" w14:textId="4A2815E5"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,36</w:t>
            </w:r>
          </w:p>
        </w:tc>
        <w:tc>
          <w:tcPr>
            <w:tcW w:w="840" w:type="dxa"/>
            <w:tcBorders>
              <w:top w:val="nil"/>
              <w:left w:val="nil"/>
              <w:bottom w:val="nil"/>
              <w:right w:val="nil"/>
            </w:tcBorders>
            <w:vAlign w:val="center"/>
          </w:tcPr>
          <w:p w14:paraId="02AD5455" w14:textId="2E347272"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,21</w:t>
            </w:r>
            <w:r w:rsidRPr="00F57D12">
              <w:rPr>
                <w:rFonts w:asciiTheme="minorHAnsi" w:hAnsiTheme="minorHAnsi"/>
              </w:rPr>
              <w:t>2</w:t>
            </w:r>
          </w:p>
        </w:tc>
        <w:tc>
          <w:tcPr>
            <w:tcW w:w="644" w:type="dxa"/>
            <w:tcBorders>
              <w:top w:val="nil"/>
              <w:left w:val="nil"/>
              <w:bottom w:val="nil"/>
              <w:right w:val="nil"/>
            </w:tcBorders>
            <w:vAlign w:val="center"/>
          </w:tcPr>
          <w:p w14:paraId="1E5C12F2" w14:textId="187DA155"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679</w:t>
            </w:r>
          </w:p>
        </w:tc>
        <w:tc>
          <w:tcPr>
            <w:tcW w:w="784" w:type="dxa"/>
            <w:gridSpan w:val="2"/>
            <w:tcBorders>
              <w:top w:val="nil"/>
              <w:left w:val="nil"/>
              <w:bottom w:val="nil"/>
              <w:right w:val="nil"/>
            </w:tcBorders>
            <w:vAlign w:val="center"/>
          </w:tcPr>
          <w:p w14:paraId="4D4F8F67" w14:textId="50225D7B"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w:t>
            </w:r>
            <w:r w:rsidRPr="00F57D12">
              <w:rPr>
                <w:rFonts w:asciiTheme="minorHAnsi" w:hAnsiTheme="minorHAnsi"/>
              </w:rPr>
              <w:t>6</w:t>
            </w:r>
          </w:p>
        </w:tc>
        <w:tc>
          <w:tcPr>
            <w:tcW w:w="840" w:type="dxa"/>
            <w:tcBorders>
              <w:top w:val="nil"/>
              <w:left w:val="nil"/>
              <w:bottom w:val="nil"/>
              <w:right w:val="nil"/>
            </w:tcBorders>
            <w:vAlign w:val="center"/>
          </w:tcPr>
          <w:p w14:paraId="239D95B9" w14:textId="5AF5F56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w:t>
            </w:r>
            <w:r w:rsidRPr="00F57D12">
              <w:rPr>
                <w:rFonts w:asciiTheme="minorHAnsi" w:hAnsiTheme="minorHAnsi"/>
              </w:rPr>
              <w:t>1</w:t>
            </w:r>
          </w:p>
        </w:tc>
        <w:tc>
          <w:tcPr>
            <w:tcW w:w="644" w:type="dxa"/>
            <w:tcBorders>
              <w:top w:val="nil"/>
              <w:left w:val="nil"/>
              <w:bottom w:val="nil"/>
              <w:right w:val="nil"/>
            </w:tcBorders>
            <w:vAlign w:val="center"/>
          </w:tcPr>
          <w:p w14:paraId="0B5BFDA0" w14:textId="17ED167E"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636</w:t>
            </w:r>
          </w:p>
        </w:tc>
        <w:tc>
          <w:tcPr>
            <w:tcW w:w="784" w:type="dxa"/>
            <w:gridSpan w:val="2"/>
            <w:tcBorders>
              <w:top w:val="nil"/>
              <w:left w:val="nil"/>
              <w:bottom w:val="nil"/>
              <w:right w:val="nil"/>
            </w:tcBorders>
            <w:vAlign w:val="center"/>
          </w:tcPr>
          <w:p w14:paraId="6F859027" w14:textId="7327525A"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w:t>
            </w:r>
            <w:r w:rsidRPr="00F57D12">
              <w:rPr>
                <w:rFonts w:asciiTheme="minorHAnsi" w:hAnsiTheme="minorHAnsi"/>
              </w:rPr>
              <w:t>5</w:t>
            </w:r>
          </w:p>
        </w:tc>
        <w:tc>
          <w:tcPr>
            <w:tcW w:w="840" w:type="dxa"/>
            <w:tcBorders>
              <w:top w:val="nil"/>
              <w:left w:val="nil"/>
              <w:bottom w:val="nil"/>
              <w:right w:val="nil"/>
            </w:tcBorders>
            <w:vAlign w:val="center"/>
          </w:tcPr>
          <w:p w14:paraId="71F81FFA" w14:textId="08F43D40"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,2</w:t>
            </w:r>
            <w:r w:rsidRPr="00F57D12">
              <w:rPr>
                <w:rFonts w:asciiTheme="minorHAnsi" w:hAnsiTheme="minorHAnsi"/>
              </w:rPr>
              <w:t>1</w:t>
            </w:r>
          </w:p>
        </w:tc>
        <w:tc>
          <w:tcPr>
            <w:tcW w:w="701" w:type="dxa"/>
            <w:tcBorders>
              <w:top w:val="nil"/>
              <w:left w:val="nil"/>
              <w:bottom w:val="nil"/>
              <w:right w:val="nil"/>
            </w:tcBorders>
            <w:vAlign w:val="center"/>
          </w:tcPr>
          <w:p w14:paraId="428FEEA8" w14:textId="4E254BAA" w:rsidR="00C40E0E" w:rsidRPr="00F57D12" w:rsidRDefault="00C40E0E" w:rsidP="00195AF1">
            <w:pPr>
              <w:pStyle w:val="Paragraph"/>
              <w:spacing w:before="0" w:line="360" w:lineRule="auto"/>
              <w:jc w:val="center"/>
              <w:rPr>
                <w:rFonts w:asciiTheme="minorHAnsi" w:hAnsiTheme="minorHAnsi"/>
                <w:lang w:val="de-DE" w:eastAsia="de-DE"/>
              </w:rPr>
            </w:pPr>
            <w:r w:rsidRPr="00F57D12">
              <w:rPr>
                <w:rFonts w:asciiTheme="minorHAnsi" w:hAnsiTheme="minorHAnsi"/>
                <w:lang w:val="de-DE" w:eastAsia="de-DE"/>
              </w:rPr>
              <w:t>.561</w:t>
            </w:r>
          </w:p>
        </w:tc>
      </w:tr>
      <w:tr w:rsidR="00F57D12" w:rsidRPr="00F57D12" w14:paraId="3674B31A" w14:textId="77777777" w:rsidTr="00F57D12">
        <w:trPr>
          <w:trHeight w:val="283"/>
        </w:trPr>
        <w:tc>
          <w:tcPr>
            <w:tcW w:w="1515" w:type="dxa"/>
            <w:tcBorders>
              <w:top w:val="nil"/>
              <w:left w:val="nil"/>
              <w:bottom w:val="nil"/>
              <w:right w:val="nil"/>
            </w:tcBorders>
            <w:vAlign w:val="center"/>
          </w:tcPr>
          <w:p w14:paraId="0A80FB02" w14:textId="77777777" w:rsidR="00C40E0E" w:rsidRPr="00F57D12" w:rsidRDefault="00C40E0E" w:rsidP="00F57D12">
            <w:pPr>
              <w:pStyle w:val="Paragraph"/>
              <w:spacing w:before="0" w:line="240" w:lineRule="auto"/>
              <w:rPr>
                <w:rFonts w:asciiTheme="minorHAnsi" w:hAnsiTheme="minorHAnsi"/>
              </w:rPr>
            </w:pPr>
            <w:r w:rsidRPr="00F57D12">
              <w:rPr>
                <w:rFonts w:asciiTheme="minorHAnsi" w:hAnsiTheme="minorHAnsi"/>
              </w:rPr>
              <w:t>Residential environment</w:t>
            </w:r>
          </w:p>
        </w:tc>
        <w:tc>
          <w:tcPr>
            <w:tcW w:w="644" w:type="dxa"/>
            <w:tcBorders>
              <w:top w:val="nil"/>
              <w:left w:val="nil"/>
              <w:bottom w:val="nil"/>
              <w:right w:val="nil"/>
            </w:tcBorders>
            <w:vAlign w:val="center"/>
          </w:tcPr>
          <w:p w14:paraId="112A3281" w14:textId="5A92C81C"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5120</w:t>
            </w:r>
          </w:p>
        </w:tc>
        <w:tc>
          <w:tcPr>
            <w:tcW w:w="783" w:type="dxa"/>
            <w:gridSpan w:val="2"/>
            <w:tcBorders>
              <w:top w:val="nil"/>
              <w:left w:val="nil"/>
              <w:bottom w:val="nil"/>
              <w:right w:val="nil"/>
            </w:tcBorders>
            <w:vAlign w:val="center"/>
          </w:tcPr>
          <w:p w14:paraId="1AE029E0" w14:textId="757E183E"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,3</w:t>
            </w:r>
            <w:r w:rsidRPr="00F57D12">
              <w:rPr>
                <w:rFonts w:asciiTheme="minorHAnsi" w:hAnsiTheme="minorHAnsi"/>
              </w:rPr>
              <w:t>7</w:t>
            </w:r>
          </w:p>
        </w:tc>
        <w:tc>
          <w:tcPr>
            <w:tcW w:w="840" w:type="dxa"/>
            <w:tcBorders>
              <w:top w:val="nil"/>
              <w:left w:val="nil"/>
              <w:bottom w:val="nil"/>
              <w:right w:val="nil"/>
            </w:tcBorders>
            <w:vAlign w:val="center"/>
          </w:tcPr>
          <w:p w14:paraId="76AB9D63" w14:textId="2D173CA2"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,40</w:t>
            </w:r>
          </w:p>
        </w:tc>
        <w:tc>
          <w:tcPr>
            <w:tcW w:w="644" w:type="dxa"/>
            <w:tcBorders>
              <w:top w:val="nil"/>
              <w:left w:val="nil"/>
              <w:bottom w:val="nil"/>
              <w:right w:val="nil"/>
            </w:tcBorders>
            <w:vAlign w:val="center"/>
          </w:tcPr>
          <w:p w14:paraId="134A3850" w14:textId="19F289B5"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1685</w:t>
            </w:r>
          </w:p>
        </w:tc>
        <w:tc>
          <w:tcPr>
            <w:tcW w:w="784" w:type="dxa"/>
            <w:gridSpan w:val="2"/>
            <w:tcBorders>
              <w:top w:val="nil"/>
              <w:left w:val="nil"/>
              <w:bottom w:val="nil"/>
              <w:right w:val="nil"/>
            </w:tcBorders>
            <w:vAlign w:val="center"/>
          </w:tcPr>
          <w:p w14:paraId="215F05FE" w14:textId="482823F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,5</w:t>
            </w:r>
            <w:r w:rsidRPr="00F57D12">
              <w:rPr>
                <w:rFonts w:asciiTheme="minorHAnsi" w:hAnsiTheme="minorHAnsi"/>
              </w:rPr>
              <w:t>5</w:t>
            </w:r>
          </w:p>
        </w:tc>
        <w:tc>
          <w:tcPr>
            <w:tcW w:w="840" w:type="dxa"/>
            <w:tcBorders>
              <w:top w:val="nil"/>
              <w:left w:val="nil"/>
              <w:bottom w:val="nil"/>
              <w:right w:val="nil"/>
            </w:tcBorders>
            <w:vAlign w:val="center"/>
          </w:tcPr>
          <w:p w14:paraId="24B333E5" w14:textId="28D439C6"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,40</w:t>
            </w:r>
          </w:p>
        </w:tc>
        <w:tc>
          <w:tcPr>
            <w:tcW w:w="644" w:type="dxa"/>
            <w:tcBorders>
              <w:top w:val="nil"/>
              <w:left w:val="nil"/>
              <w:bottom w:val="nil"/>
              <w:right w:val="nil"/>
            </w:tcBorders>
            <w:vAlign w:val="center"/>
          </w:tcPr>
          <w:p w14:paraId="48A089B0" w14:textId="0938EAB2"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1513</w:t>
            </w:r>
          </w:p>
        </w:tc>
        <w:tc>
          <w:tcPr>
            <w:tcW w:w="784" w:type="dxa"/>
            <w:gridSpan w:val="2"/>
            <w:tcBorders>
              <w:top w:val="nil"/>
              <w:left w:val="nil"/>
              <w:bottom w:val="nil"/>
              <w:right w:val="nil"/>
            </w:tcBorders>
            <w:vAlign w:val="center"/>
          </w:tcPr>
          <w:p w14:paraId="09DA908B" w14:textId="70B93419"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,59</w:t>
            </w:r>
          </w:p>
        </w:tc>
        <w:tc>
          <w:tcPr>
            <w:tcW w:w="840" w:type="dxa"/>
            <w:tcBorders>
              <w:top w:val="nil"/>
              <w:left w:val="nil"/>
              <w:bottom w:val="nil"/>
              <w:right w:val="nil"/>
            </w:tcBorders>
            <w:vAlign w:val="center"/>
          </w:tcPr>
          <w:p w14:paraId="20E7C864" w14:textId="1CDE6FFB" w:rsidR="00C40E0E" w:rsidRPr="00F57D12" w:rsidRDefault="00C40E0E" w:rsidP="00C40E0E">
            <w:pPr>
              <w:pStyle w:val="Paragraph"/>
              <w:spacing w:before="0" w:line="360" w:lineRule="auto"/>
              <w:jc w:val="center"/>
              <w:rPr>
                <w:rFonts w:asciiTheme="minorHAnsi" w:hAnsiTheme="minorHAnsi"/>
              </w:rPr>
            </w:pPr>
            <w:r w:rsidRPr="00195AF1">
              <w:rPr>
                <w:rFonts w:asciiTheme="minorHAnsi" w:hAnsiTheme="minorHAnsi"/>
              </w:rPr>
              <w:t>,40</w:t>
            </w:r>
          </w:p>
        </w:tc>
        <w:tc>
          <w:tcPr>
            <w:tcW w:w="701" w:type="dxa"/>
            <w:tcBorders>
              <w:top w:val="nil"/>
              <w:left w:val="nil"/>
              <w:bottom w:val="nil"/>
              <w:right w:val="nil"/>
            </w:tcBorders>
            <w:vAlign w:val="center"/>
          </w:tcPr>
          <w:p w14:paraId="3CE0EB1F" w14:textId="7A59F159" w:rsidR="00C40E0E" w:rsidRPr="00F57D12" w:rsidRDefault="00C40E0E" w:rsidP="00195AF1">
            <w:pPr>
              <w:pStyle w:val="Paragraph"/>
              <w:spacing w:before="0" w:line="360" w:lineRule="auto"/>
              <w:jc w:val="center"/>
              <w:rPr>
                <w:rFonts w:asciiTheme="minorHAnsi" w:hAnsiTheme="minorHAnsi"/>
                <w:lang w:val="de-DE" w:eastAsia="de-DE"/>
              </w:rPr>
            </w:pPr>
            <w:r w:rsidRPr="00F57D12">
              <w:rPr>
                <w:rFonts w:asciiTheme="minorHAnsi" w:hAnsiTheme="minorHAnsi"/>
                <w:lang w:val="de-DE" w:eastAsia="de-DE"/>
              </w:rPr>
              <w:t>&lt;.001</w:t>
            </w:r>
          </w:p>
        </w:tc>
      </w:tr>
      <w:tr w:rsidR="00F57D12" w:rsidRPr="00F57D12" w14:paraId="2CCF48C6" w14:textId="77777777" w:rsidTr="00F57D12">
        <w:trPr>
          <w:trHeight w:val="283"/>
        </w:trPr>
        <w:tc>
          <w:tcPr>
            <w:tcW w:w="1515" w:type="dxa"/>
            <w:tcBorders>
              <w:top w:val="nil"/>
              <w:left w:val="nil"/>
              <w:bottom w:val="nil"/>
              <w:right w:val="nil"/>
            </w:tcBorders>
            <w:vAlign w:val="center"/>
          </w:tcPr>
          <w:p w14:paraId="7940667A" w14:textId="77777777" w:rsidR="00F57D12" w:rsidRPr="00F57D12" w:rsidRDefault="00F57D12" w:rsidP="00F57D12">
            <w:pPr>
              <w:pStyle w:val="Paragraph"/>
              <w:spacing w:before="0" w:line="240" w:lineRule="auto"/>
              <w:rPr>
                <w:rFonts w:asciiTheme="minorHAnsi" w:hAnsiTheme="minorHAnsi"/>
              </w:rPr>
            </w:pPr>
            <w:r w:rsidRPr="00F57D12">
              <w:rPr>
                <w:rFonts w:asciiTheme="minorHAnsi" w:hAnsiTheme="minorHAnsi"/>
              </w:rPr>
              <w:t>Tenure status</w:t>
            </w:r>
          </w:p>
        </w:tc>
        <w:tc>
          <w:tcPr>
            <w:tcW w:w="1197" w:type="dxa"/>
            <w:gridSpan w:val="2"/>
            <w:tcBorders>
              <w:top w:val="nil"/>
              <w:left w:val="nil"/>
              <w:bottom w:val="nil"/>
              <w:right w:val="nil"/>
            </w:tcBorders>
            <w:vAlign w:val="center"/>
          </w:tcPr>
          <w:p w14:paraId="36A84358" w14:textId="347EAD0F"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N</w:t>
            </w:r>
          </w:p>
        </w:tc>
        <w:tc>
          <w:tcPr>
            <w:tcW w:w="1070" w:type="dxa"/>
            <w:gridSpan w:val="2"/>
            <w:tcBorders>
              <w:top w:val="nil"/>
              <w:left w:val="nil"/>
              <w:bottom w:val="nil"/>
              <w:right w:val="nil"/>
            </w:tcBorders>
            <w:vAlign w:val="center"/>
          </w:tcPr>
          <w:p w14:paraId="15794A61" w14:textId="7AC1D98F"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w:t>
            </w:r>
          </w:p>
        </w:tc>
        <w:tc>
          <w:tcPr>
            <w:tcW w:w="1197" w:type="dxa"/>
            <w:gridSpan w:val="2"/>
            <w:tcBorders>
              <w:top w:val="nil"/>
              <w:left w:val="nil"/>
              <w:bottom w:val="nil"/>
              <w:right w:val="nil"/>
            </w:tcBorders>
            <w:vAlign w:val="center"/>
          </w:tcPr>
          <w:p w14:paraId="75BBC833" w14:textId="79C43D3B"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N</w:t>
            </w:r>
          </w:p>
        </w:tc>
        <w:tc>
          <w:tcPr>
            <w:tcW w:w="1071" w:type="dxa"/>
            <w:gridSpan w:val="2"/>
            <w:tcBorders>
              <w:top w:val="nil"/>
              <w:left w:val="nil"/>
              <w:bottom w:val="nil"/>
              <w:right w:val="nil"/>
            </w:tcBorders>
            <w:vAlign w:val="center"/>
          </w:tcPr>
          <w:p w14:paraId="6D7465F1" w14:textId="786DEB0E"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w:t>
            </w:r>
          </w:p>
        </w:tc>
        <w:tc>
          <w:tcPr>
            <w:tcW w:w="1197" w:type="dxa"/>
            <w:gridSpan w:val="2"/>
            <w:tcBorders>
              <w:top w:val="nil"/>
              <w:left w:val="nil"/>
              <w:bottom w:val="nil"/>
              <w:right w:val="nil"/>
            </w:tcBorders>
            <w:vAlign w:val="center"/>
          </w:tcPr>
          <w:p w14:paraId="5D61593C" w14:textId="2BDF6436"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N</w:t>
            </w:r>
          </w:p>
        </w:tc>
        <w:tc>
          <w:tcPr>
            <w:tcW w:w="1071" w:type="dxa"/>
            <w:gridSpan w:val="2"/>
            <w:tcBorders>
              <w:top w:val="nil"/>
              <w:left w:val="nil"/>
              <w:bottom w:val="nil"/>
              <w:right w:val="nil"/>
            </w:tcBorders>
            <w:vAlign w:val="center"/>
          </w:tcPr>
          <w:p w14:paraId="00CD8DA8" w14:textId="3414234A"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w:t>
            </w:r>
          </w:p>
        </w:tc>
        <w:tc>
          <w:tcPr>
            <w:tcW w:w="701" w:type="dxa"/>
            <w:tcBorders>
              <w:top w:val="nil"/>
              <w:left w:val="nil"/>
              <w:bottom w:val="nil"/>
              <w:right w:val="nil"/>
            </w:tcBorders>
            <w:vAlign w:val="center"/>
          </w:tcPr>
          <w:p w14:paraId="2CB380FF" w14:textId="77777777" w:rsidR="00F57D12" w:rsidRPr="00F57D12" w:rsidRDefault="00F57D12" w:rsidP="00195AF1">
            <w:pPr>
              <w:pStyle w:val="Paragraph"/>
              <w:spacing w:before="0" w:line="360" w:lineRule="auto"/>
              <w:jc w:val="center"/>
              <w:rPr>
                <w:rFonts w:asciiTheme="minorHAnsi" w:hAnsiTheme="minorHAnsi"/>
              </w:rPr>
            </w:pPr>
          </w:p>
        </w:tc>
      </w:tr>
      <w:tr w:rsidR="00F57D12" w:rsidRPr="00F57D12" w14:paraId="1420097A" w14:textId="77777777" w:rsidTr="00F57D12">
        <w:trPr>
          <w:trHeight w:val="283"/>
        </w:trPr>
        <w:tc>
          <w:tcPr>
            <w:tcW w:w="1515" w:type="dxa"/>
            <w:tcBorders>
              <w:top w:val="nil"/>
              <w:left w:val="nil"/>
              <w:bottom w:val="nil"/>
              <w:right w:val="nil"/>
            </w:tcBorders>
            <w:vAlign w:val="center"/>
          </w:tcPr>
          <w:p w14:paraId="27279CB0" w14:textId="77777777" w:rsidR="00F57D12" w:rsidRPr="00F57D12" w:rsidRDefault="00F57D12" w:rsidP="00F57D12">
            <w:pPr>
              <w:pStyle w:val="Paragraph"/>
              <w:spacing w:before="0" w:line="240" w:lineRule="auto"/>
              <w:rPr>
                <w:rFonts w:asciiTheme="minorHAnsi" w:hAnsiTheme="minorHAnsi"/>
              </w:rPr>
            </w:pPr>
            <w:r w:rsidRPr="00F57D12">
              <w:rPr>
                <w:rFonts w:asciiTheme="minorHAnsi" w:hAnsiTheme="minorHAnsi"/>
              </w:rPr>
              <w:tab/>
              <w:t>Owner</w:t>
            </w:r>
          </w:p>
        </w:tc>
        <w:tc>
          <w:tcPr>
            <w:tcW w:w="1197" w:type="dxa"/>
            <w:gridSpan w:val="2"/>
            <w:tcBorders>
              <w:top w:val="nil"/>
              <w:left w:val="nil"/>
              <w:bottom w:val="nil"/>
              <w:right w:val="nil"/>
            </w:tcBorders>
            <w:vAlign w:val="center"/>
          </w:tcPr>
          <w:p w14:paraId="35B2CDBA" w14:textId="0EE3D216"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3636</w:t>
            </w:r>
          </w:p>
        </w:tc>
        <w:tc>
          <w:tcPr>
            <w:tcW w:w="1070" w:type="dxa"/>
            <w:gridSpan w:val="2"/>
            <w:tcBorders>
              <w:top w:val="nil"/>
              <w:left w:val="nil"/>
              <w:bottom w:val="nil"/>
              <w:right w:val="nil"/>
            </w:tcBorders>
            <w:vAlign w:val="center"/>
          </w:tcPr>
          <w:p w14:paraId="1C95C6DF" w14:textId="28202EF0"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53,6%</w:t>
            </w:r>
          </w:p>
        </w:tc>
        <w:tc>
          <w:tcPr>
            <w:tcW w:w="1197" w:type="dxa"/>
            <w:gridSpan w:val="2"/>
            <w:tcBorders>
              <w:top w:val="nil"/>
              <w:left w:val="nil"/>
              <w:bottom w:val="nil"/>
              <w:right w:val="nil"/>
            </w:tcBorders>
            <w:vAlign w:val="center"/>
          </w:tcPr>
          <w:p w14:paraId="23D59426" w14:textId="1B496A3E"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1317</w:t>
            </w:r>
          </w:p>
        </w:tc>
        <w:tc>
          <w:tcPr>
            <w:tcW w:w="1071" w:type="dxa"/>
            <w:gridSpan w:val="2"/>
            <w:tcBorders>
              <w:top w:val="nil"/>
              <w:left w:val="nil"/>
              <w:bottom w:val="nil"/>
              <w:right w:val="nil"/>
            </w:tcBorders>
            <w:vAlign w:val="center"/>
          </w:tcPr>
          <w:p w14:paraId="1F1D1A38" w14:textId="03E9AA90"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61,2%</w:t>
            </w:r>
          </w:p>
        </w:tc>
        <w:tc>
          <w:tcPr>
            <w:tcW w:w="1197" w:type="dxa"/>
            <w:gridSpan w:val="2"/>
            <w:tcBorders>
              <w:top w:val="nil"/>
              <w:left w:val="nil"/>
              <w:bottom w:val="nil"/>
              <w:right w:val="nil"/>
            </w:tcBorders>
            <w:vAlign w:val="center"/>
          </w:tcPr>
          <w:p w14:paraId="701E9B90" w14:textId="599AAB23"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1255</w:t>
            </w:r>
          </w:p>
        </w:tc>
        <w:tc>
          <w:tcPr>
            <w:tcW w:w="1071" w:type="dxa"/>
            <w:gridSpan w:val="2"/>
            <w:tcBorders>
              <w:top w:val="nil"/>
              <w:left w:val="nil"/>
              <w:bottom w:val="nil"/>
              <w:right w:val="nil"/>
            </w:tcBorders>
            <w:vAlign w:val="center"/>
          </w:tcPr>
          <w:p w14:paraId="6686E9B7" w14:textId="6B1F8D5A"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65,6%</w:t>
            </w:r>
          </w:p>
        </w:tc>
        <w:tc>
          <w:tcPr>
            <w:tcW w:w="701" w:type="dxa"/>
            <w:vMerge w:val="restart"/>
            <w:tcBorders>
              <w:top w:val="nil"/>
              <w:left w:val="nil"/>
              <w:right w:val="nil"/>
            </w:tcBorders>
            <w:vAlign w:val="center"/>
          </w:tcPr>
          <w:p w14:paraId="645B3719" w14:textId="454CFCF0"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rPr>
              <w:t>&lt;.001</w:t>
            </w:r>
          </w:p>
        </w:tc>
      </w:tr>
      <w:tr w:rsidR="00F57D12" w:rsidRPr="00F57D12" w14:paraId="0F74ABE5" w14:textId="77777777" w:rsidTr="00F57D12">
        <w:trPr>
          <w:trHeight w:val="283"/>
        </w:trPr>
        <w:tc>
          <w:tcPr>
            <w:tcW w:w="1515" w:type="dxa"/>
            <w:tcBorders>
              <w:top w:val="nil"/>
              <w:left w:val="nil"/>
              <w:bottom w:val="nil"/>
              <w:right w:val="nil"/>
            </w:tcBorders>
            <w:vAlign w:val="center"/>
          </w:tcPr>
          <w:p w14:paraId="2C184A3D" w14:textId="77777777" w:rsidR="00F57D12" w:rsidRPr="00F57D12" w:rsidRDefault="00F57D12" w:rsidP="00F57D12">
            <w:pPr>
              <w:pStyle w:val="Paragraph"/>
              <w:spacing w:before="0" w:line="240" w:lineRule="auto"/>
              <w:rPr>
                <w:rFonts w:asciiTheme="minorHAnsi" w:hAnsiTheme="minorHAnsi"/>
              </w:rPr>
            </w:pPr>
            <w:r w:rsidRPr="00F57D12">
              <w:rPr>
                <w:rFonts w:asciiTheme="minorHAnsi" w:hAnsiTheme="minorHAnsi"/>
              </w:rPr>
              <w:tab/>
              <w:t>Renter</w:t>
            </w:r>
          </w:p>
        </w:tc>
        <w:tc>
          <w:tcPr>
            <w:tcW w:w="1197" w:type="dxa"/>
            <w:gridSpan w:val="2"/>
            <w:tcBorders>
              <w:top w:val="nil"/>
              <w:left w:val="nil"/>
              <w:bottom w:val="nil"/>
              <w:right w:val="nil"/>
            </w:tcBorders>
            <w:vAlign w:val="center"/>
          </w:tcPr>
          <w:p w14:paraId="3AE4D37D" w14:textId="5D0CC574"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2681</w:t>
            </w:r>
          </w:p>
        </w:tc>
        <w:tc>
          <w:tcPr>
            <w:tcW w:w="1070" w:type="dxa"/>
            <w:gridSpan w:val="2"/>
            <w:tcBorders>
              <w:top w:val="nil"/>
              <w:left w:val="nil"/>
              <w:bottom w:val="nil"/>
              <w:right w:val="nil"/>
            </w:tcBorders>
            <w:vAlign w:val="center"/>
          </w:tcPr>
          <w:p w14:paraId="138238EB" w14:textId="6AA71541"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39,5%</w:t>
            </w:r>
          </w:p>
        </w:tc>
        <w:tc>
          <w:tcPr>
            <w:tcW w:w="1197" w:type="dxa"/>
            <w:gridSpan w:val="2"/>
            <w:tcBorders>
              <w:top w:val="nil"/>
              <w:left w:val="nil"/>
              <w:bottom w:val="nil"/>
              <w:right w:val="nil"/>
            </w:tcBorders>
            <w:vAlign w:val="center"/>
          </w:tcPr>
          <w:p w14:paraId="5ED20EF0" w14:textId="41B07FC5"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774</w:t>
            </w:r>
          </w:p>
        </w:tc>
        <w:tc>
          <w:tcPr>
            <w:tcW w:w="1071" w:type="dxa"/>
            <w:gridSpan w:val="2"/>
            <w:tcBorders>
              <w:top w:val="nil"/>
              <w:left w:val="nil"/>
              <w:bottom w:val="nil"/>
              <w:right w:val="nil"/>
            </w:tcBorders>
            <w:vAlign w:val="center"/>
          </w:tcPr>
          <w:p w14:paraId="3CF95922" w14:textId="4BDD2F4D"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35,9%</w:t>
            </w:r>
          </w:p>
        </w:tc>
        <w:tc>
          <w:tcPr>
            <w:tcW w:w="1197" w:type="dxa"/>
            <w:gridSpan w:val="2"/>
            <w:tcBorders>
              <w:top w:val="nil"/>
              <w:left w:val="nil"/>
              <w:bottom w:val="nil"/>
              <w:right w:val="nil"/>
            </w:tcBorders>
            <w:vAlign w:val="center"/>
          </w:tcPr>
          <w:p w14:paraId="42224BC4" w14:textId="66190524"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600</w:t>
            </w:r>
          </w:p>
        </w:tc>
        <w:tc>
          <w:tcPr>
            <w:tcW w:w="1071" w:type="dxa"/>
            <w:gridSpan w:val="2"/>
            <w:tcBorders>
              <w:top w:val="nil"/>
              <w:left w:val="nil"/>
              <w:bottom w:val="nil"/>
              <w:right w:val="nil"/>
            </w:tcBorders>
            <w:vAlign w:val="center"/>
          </w:tcPr>
          <w:p w14:paraId="78686FD0" w14:textId="1D6948EE"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31,4%</w:t>
            </w:r>
          </w:p>
        </w:tc>
        <w:tc>
          <w:tcPr>
            <w:tcW w:w="701" w:type="dxa"/>
            <w:vMerge/>
            <w:tcBorders>
              <w:left w:val="nil"/>
              <w:right w:val="nil"/>
            </w:tcBorders>
            <w:vAlign w:val="center"/>
          </w:tcPr>
          <w:p w14:paraId="7E3C2EEE" w14:textId="77777777" w:rsidR="00F57D12" w:rsidRPr="00F57D12" w:rsidRDefault="00F57D12" w:rsidP="00F57D12">
            <w:pPr>
              <w:pStyle w:val="Paragraph"/>
              <w:spacing w:before="0" w:line="360" w:lineRule="auto"/>
              <w:rPr>
                <w:rFonts w:asciiTheme="minorHAnsi" w:hAnsiTheme="minorHAnsi"/>
              </w:rPr>
            </w:pPr>
          </w:p>
        </w:tc>
      </w:tr>
      <w:tr w:rsidR="00F57D12" w:rsidRPr="00F57D12" w14:paraId="42292F28" w14:textId="77777777" w:rsidTr="00F57D12">
        <w:trPr>
          <w:trHeight w:val="283"/>
        </w:trPr>
        <w:tc>
          <w:tcPr>
            <w:tcW w:w="1515" w:type="dxa"/>
            <w:tcBorders>
              <w:top w:val="nil"/>
              <w:left w:val="nil"/>
              <w:right w:val="nil"/>
            </w:tcBorders>
            <w:vAlign w:val="center"/>
          </w:tcPr>
          <w:p w14:paraId="09F321CC" w14:textId="77777777" w:rsidR="00F57D12" w:rsidRPr="00F57D12" w:rsidRDefault="00F57D12" w:rsidP="00F57D12">
            <w:pPr>
              <w:pStyle w:val="Paragraph"/>
              <w:spacing w:before="0" w:line="240" w:lineRule="auto"/>
              <w:rPr>
                <w:rFonts w:asciiTheme="minorHAnsi" w:hAnsiTheme="minorHAnsi"/>
              </w:rPr>
            </w:pPr>
            <w:r w:rsidRPr="00F57D12">
              <w:rPr>
                <w:rFonts w:asciiTheme="minorHAnsi" w:hAnsiTheme="minorHAnsi"/>
              </w:rPr>
              <w:tab/>
              <w:t>Others</w:t>
            </w:r>
          </w:p>
        </w:tc>
        <w:tc>
          <w:tcPr>
            <w:tcW w:w="1197" w:type="dxa"/>
            <w:gridSpan w:val="2"/>
            <w:tcBorders>
              <w:top w:val="nil"/>
              <w:left w:val="nil"/>
              <w:right w:val="nil"/>
            </w:tcBorders>
            <w:vAlign w:val="center"/>
          </w:tcPr>
          <w:p w14:paraId="4F644C07" w14:textId="1C89642D"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469</w:t>
            </w:r>
          </w:p>
        </w:tc>
        <w:tc>
          <w:tcPr>
            <w:tcW w:w="1070" w:type="dxa"/>
            <w:gridSpan w:val="2"/>
            <w:tcBorders>
              <w:top w:val="nil"/>
              <w:left w:val="nil"/>
              <w:right w:val="nil"/>
            </w:tcBorders>
            <w:vAlign w:val="center"/>
          </w:tcPr>
          <w:p w14:paraId="58204B63" w14:textId="48066801"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6,9%</w:t>
            </w:r>
          </w:p>
        </w:tc>
        <w:tc>
          <w:tcPr>
            <w:tcW w:w="1197" w:type="dxa"/>
            <w:gridSpan w:val="2"/>
            <w:tcBorders>
              <w:top w:val="nil"/>
              <w:left w:val="nil"/>
              <w:right w:val="nil"/>
            </w:tcBorders>
            <w:vAlign w:val="center"/>
          </w:tcPr>
          <w:p w14:paraId="21A76EF1" w14:textId="0842C117"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62</w:t>
            </w:r>
          </w:p>
        </w:tc>
        <w:tc>
          <w:tcPr>
            <w:tcW w:w="1071" w:type="dxa"/>
            <w:gridSpan w:val="2"/>
            <w:tcBorders>
              <w:top w:val="nil"/>
              <w:left w:val="nil"/>
              <w:right w:val="nil"/>
            </w:tcBorders>
            <w:vAlign w:val="center"/>
          </w:tcPr>
          <w:p w14:paraId="1347B0E0" w14:textId="7D260119"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2,9%</w:t>
            </w:r>
          </w:p>
        </w:tc>
        <w:tc>
          <w:tcPr>
            <w:tcW w:w="1197" w:type="dxa"/>
            <w:gridSpan w:val="2"/>
            <w:tcBorders>
              <w:top w:val="nil"/>
              <w:left w:val="nil"/>
              <w:right w:val="nil"/>
            </w:tcBorders>
            <w:vAlign w:val="center"/>
          </w:tcPr>
          <w:p w14:paraId="4B9A1EF0" w14:textId="7651088D"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56</w:t>
            </w:r>
          </w:p>
        </w:tc>
        <w:tc>
          <w:tcPr>
            <w:tcW w:w="1071" w:type="dxa"/>
            <w:gridSpan w:val="2"/>
            <w:tcBorders>
              <w:top w:val="nil"/>
              <w:left w:val="nil"/>
              <w:right w:val="nil"/>
            </w:tcBorders>
            <w:vAlign w:val="center"/>
          </w:tcPr>
          <w:p w14:paraId="38E305A7" w14:textId="64C61039" w:rsidR="00F57D12" w:rsidRPr="00F57D12" w:rsidRDefault="00F57D12" w:rsidP="00F57D12">
            <w:pPr>
              <w:pStyle w:val="Paragraph"/>
              <w:spacing w:before="0" w:line="360" w:lineRule="auto"/>
              <w:jc w:val="center"/>
              <w:rPr>
                <w:rFonts w:asciiTheme="minorHAnsi" w:hAnsiTheme="minorHAnsi"/>
              </w:rPr>
            </w:pPr>
            <w:r w:rsidRPr="00F57D12">
              <w:rPr>
                <w:rFonts w:asciiTheme="minorHAnsi" w:hAnsiTheme="minorHAnsi"/>
                <w:lang w:val="de-DE"/>
              </w:rPr>
              <w:t>2,9%</w:t>
            </w:r>
          </w:p>
        </w:tc>
        <w:tc>
          <w:tcPr>
            <w:tcW w:w="701" w:type="dxa"/>
            <w:vMerge/>
            <w:tcBorders>
              <w:left w:val="nil"/>
              <w:right w:val="nil"/>
            </w:tcBorders>
            <w:vAlign w:val="center"/>
          </w:tcPr>
          <w:p w14:paraId="16DBFC5C" w14:textId="77777777" w:rsidR="00F57D12" w:rsidRPr="00F57D12" w:rsidRDefault="00F57D12" w:rsidP="00F57D12">
            <w:pPr>
              <w:pStyle w:val="Paragraph"/>
              <w:spacing w:before="0" w:line="360" w:lineRule="auto"/>
              <w:rPr>
                <w:rFonts w:asciiTheme="minorHAnsi" w:hAnsiTheme="minorHAnsi"/>
              </w:rPr>
            </w:pPr>
          </w:p>
        </w:tc>
      </w:tr>
      <w:tr w:rsidR="00F57D12" w:rsidRPr="007D0253" w14:paraId="1D8E4871" w14:textId="7115C1B8" w:rsidTr="000B2087">
        <w:trPr>
          <w:trHeight w:val="113"/>
        </w:trPr>
        <w:tc>
          <w:tcPr>
            <w:tcW w:w="9019" w:type="dxa"/>
            <w:gridSpan w:val="14"/>
            <w:tcBorders>
              <w:left w:val="nil"/>
              <w:bottom w:val="nil"/>
              <w:right w:val="nil"/>
            </w:tcBorders>
          </w:tcPr>
          <w:p w14:paraId="3C2D0A0A" w14:textId="77777777" w:rsidR="00F57D12" w:rsidRPr="00F57D12" w:rsidRDefault="00F57D12" w:rsidP="00F57D12">
            <w:pPr>
              <w:pStyle w:val="Paragraph"/>
              <w:spacing w:before="0" w:line="240" w:lineRule="auto"/>
              <w:rPr>
                <w:rFonts w:asciiTheme="minorHAnsi" w:hAnsiTheme="minorHAnsi"/>
              </w:rPr>
            </w:pPr>
            <w:r w:rsidRPr="00F57D12">
              <w:rPr>
                <w:rFonts w:asciiTheme="minorHAnsi" w:hAnsiTheme="minorHAnsi"/>
                <w:i/>
                <w:iCs/>
                <w:vertAlign w:val="superscript"/>
              </w:rPr>
              <w:t>1</w:t>
            </w:r>
            <w:r w:rsidRPr="00F57D12">
              <w:rPr>
                <w:rFonts w:asciiTheme="minorHAnsi" w:hAnsiTheme="minorHAnsi"/>
                <w:i/>
                <w:iCs/>
              </w:rPr>
              <w:t>p</w:t>
            </w:r>
            <w:r w:rsidRPr="00F57D12">
              <w:rPr>
                <w:rFonts w:asciiTheme="minorHAnsi" w:hAnsiTheme="minorHAnsi"/>
              </w:rPr>
              <w:t xml:space="preserve">-values from independent-samples </w:t>
            </w:r>
            <w:proofErr w:type="spellStart"/>
            <w:r w:rsidRPr="00F57D12">
              <w:rPr>
                <w:rFonts w:asciiTheme="minorHAnsi" w:hAnsiTheme="minorHAnsi"/>
              </w:rPr>
              <w:t>welch’s</w:t>
            </w:r>
            <w:proofErr w:type="spellEnd"/>
            <w:r w:rsidRPr="00F57D12">
              <w:rPr>
                <w:rFonts w:asciiTheme="minorHAnsi" w:hAnsiTheme="minorHAnsi"/>
              </w:rPr>
              <w:t xml:space="preserve"> </w:t>
            </w:r>
            <w:r w:rsidRPr="00F57D12">
              <w:rPr>
                <w:rFonts w:asciiTheme="minorHAnsi" w:hAnsiTheme="minorHAnsi"/>
                <w:i/>
                <w:iCs/>
              </w:rPr>
              <w:t>t</w:t>
            </w:r>
            <w:r w:rsidRPr="00F57D12">
              <w:rPr>
                <w:rFonts w:asciiTheme="minorHAnsi" w:hAnsiTheme="minorHAnsi"/>
              </w:rPr>
              <w:t xml:space="preserve">-tests or from chi-square test </w:t>
            </w:r>
          </w:p>
          <w:p w14:paraId="5712CF66" w14:textId="063862A5" w:rsidR="00F57D12" w:rsidRPr="00F57D12" w:rsidRDefault="00F57D12" w:rsidP="00F57D12">
            <w:pPr>
              <w:rPr>
                <w:rFonts w:asciiTheme="minorHAnsi" w:hAnsiTheme="minorHAnsi"/>
              </w:rPr>
            </w:pPr>
          </w:p>
          <w:p w14:paraId="6AB5AF4B" w14:textId="77777777" w:rsidR="00F57D12" w:rsidRPr="00F57D12" w:rsidRDefault="00F57D12" w:rsidP="00F57D12">
            <w:pPr>
              <w:pStyle w:val="Newparagraph"/>
              <w:ind w:firstLine="0"/>
              <w:rPr>
                <w:rFonts w:asciiTheme="minorHAnsi" w:hAnsiTheme="minorHAnsi"/>
              </w:rPr>
            </w:pPr>
          </w:p>
        </w:tc>
      </w:tr>
    </w:tbl>
    <w:p w14:paraId="30DF05A0" w14:textId="477859F2" w:rsidR="00856328" w:rsidRDefault="00B82325" w:rsidP="00944B49">
      <w:pPr>
        <w:pStyle w:val="berschrift3"/>
      </w:pPr>
      <w:r>
        <w:t>Formal education and relocation-related changes</w:t>
      </w:r>
    </w:p>
    <w:p w14:paraId="4F4BC3BE" w14:textId="77777777" w:rsidR="00131F46" w:rsidRPr="00131F46" w:rsidRDefault="00131F46" w:rsidP="00131F46">
      <w:pPr>
        <w:pStyle w:val="Paragraph"/>
      </w:pPr>
      <w:r w:rsidRPr="00131F46">
        <w:t>Linear regression models with respondent-clustered standard errors were estimated to examine whether relocation-related changes in housing conditions and proximity to kin differed by educational attainment.</w:t>
      </w:r>
    </w:p>
    <w:p w14:paraId="28A142AA" w14:textId="77777777" w:rsidR="00131F46" w:rsidRPr="00131F46" w:rsidRDefault="00131F46" w:rsidP="00131F46">
      <w:pPr>
        <w:pStyle w:val="Newparagraph"/>
      </w:pPr>
      <w:r w:rsidRPr="00131F46">
        <w:t>For dwelling size, relocation was associated with a modest reduction in the number of rooms (</w:t>
      </w:r>
      <w:r w:rsidRPr="00131F46">
        <w:rPr>
          <w:lang w:val="de-DE"/>
        </w:rPr>
        <w:t>β</w:t>
      </w:r>
      <w:r w:rsidRPr="00131F46">
        <w:t xml:space="preserve"> = −0.49, p &lt; .001). At the same time, higher educational attainment was associated with larger dwellings overall (</w:t>
      </w:r>
      <w:r w:rsidRPr="00131F46">
        <w:rPr>
          <w:lang w:val="de-DE"/>
        </w:rPr>
        <w:t>β</w:t>
      </w:r>
      <w:r w:rsidRPr="00131F46">
        <w:t xml:space="preserve"> = 0.28, p = .002). Importantly, the interaction between relocation phase and education was statistically significant (</w:t>
      </w:r>
      <w:r w:rsidRPr="00131F46">
        <w:rPr>
          <w:lang w:val="de-DE"/>
        </w:rPr>
        <w:t>β</w:t>
      </w:r>
      <w:r w:rsidRPr="00131F46">
        <w:t xml:space="preserve"> = −0.20, p = .032), indicating that the reduction in dwelling size following relocation was more pronounced among individuals with higher levels of education.</w:t>
      </w:r>
    </w:p>
    <w:p w14:paraId="4D874A26" w14:textId="4A592EEB" w:rsidR="00131F46" w:rsidRPr="00D629FB" w:rsidRDefault="00131F46" w:rsidP="00131F46">
      <w:pPr>
        <w:pStyle w:val="Newparagraph"/>
      </w:pPr>
      <w:r w:rsidRPr="00131F46">
        <w:lastRenderedPageBreak/>
        <w:t>A</w:t>
      </w:r>
      <w:r w:rsidR="00D629FB">
        <w:t>nother</w:t>
      </w:r>
      <w:r w:rsidRPr="00131F46">
        <w:t xml:space="preserve"> pattern emerged for proximity to kin. While neither relocation nor education showed significant main effects, their interaction was statistically significant (</w:t>
      </w:r>
      <w:r w:rsidRPr="00131F46">
        <w:rPr>
          <w:lang w:val="de-DE"/>
        </w:rPr>
        <w:t>β</w:t>
      </w:r>
      <w:r w:rsidRPr="00131F46">
        <w:t xml:space="preserve"> = −0.17, p = .027). This suggests that relocation was associated with greater reductions in distance to relatives among individuals with higher educational attainment.</w:t>
      </w:r>
      <w:r w:rsidR="00D629FB">
        <w:t xml:space="preserve"> </w:t>
      </w:r>
    </w:p>
    <w:p w14:paraId="6B2FFB6C" w14:textId="22FCCE62" w:rsidR="00047918" w:rsidRPr="009E36A6" w:rsidRDefault="00047918" w:rsidP="00047918">
      <w:pPr>
        <w:pStyle w:val="Beschriftung"/>
        <w:rPr>
          <w:lang w:val="en-GB"/>
        </w:rPr>
      </w:pPr>
      <w:r w:rsidRPr="009E36A6">
        <w:rPr>
          <w:lang w:val="en-GB"/>
        </w:rPr>
        <w:t xml:space="preserve">Figure </w:t>
      </w:r>
      <w:r w:rsidR="00322764">
        <w:rPr>
          <w:lang w:val="en-GB"/>
        </w:rPr>
        <w:fldChar w:fldCharType="begin"/>
      </w:r>
      <w:r w:rsidR="00322764">
        <w:rPr>
          <w:lang w:val="en-GB"/>
        </w:rPr>
        <w:instrText xml:space="preserve"> SEQ Figure \* ARABIC </w:instrText>
      </w:r>
      <w:r w:rsidR="00322764">
        <w:rPr>
          <w:lang w:val="en-GB"/>
        </w:rPr>
        <w:fldChar w:fldCharType="separate"/>
      </w:r>
      <w:r w:rsidR="00322764">
        <w:rPr>
          <w:noProof/>
          <w:lang w:val="en-GB"/>
        </w:rPr>
        <w:t>2</w:t>
      </w:r>
      <w:r w:rsidR="00322764">
        <w:rPr>
          <w:lang w:val="en-GB"/>
        </w:rPr>
        <w:fldChar w:fldCharType="end"/>
      </w:r>
      <w:r w:rsidRPr="009E36A6">
        <w:rPr>
          <w:lang w:val="en-GB"/>
        </w:rPr>
        <w:t xml:space="preserve">: Interactions with </w:t>
      </w:r>
      <w:r w:rsidR="00322764">
        <w:rPr>
          <w:lang w:val="en-GB"/>
        </w:rPr>
        <w:t xml:space="preserve">formal </w:t>
      </w:r>
      <w:r w:rsidRPr="009E36A6">
        <w:rPr>
          <w:lang w:val="en-GB"/>
        </w:rPr>
        <w:t xml:space="preserve">education </w:t>
      </w:r>
    </w:p>
    <w:p w14:paraId="6999658D" w14:textId="1F8F3DC2" w:rsidR="009D3AA8" w:rsidRDefault="00131F46" w:rsidP="009D3AA8">
      <w:pPr>
        <w:rPr>
          <w:lang w:val="en-GB"/>
        </w:rPr>
      </w:pPr>
      <w:r>
        <w:rPr>
          <w:noProof/>
          <w:lang w:val="en-GB"/>
        </w:rPr>
        <w:drawing>
          <wp:inline distT="0" distB="0" distL="0" distR="0" wp14:anchorId="256DD8B6" wp14:editId="2B52AD69">
            <wp:extent cx="3897986" cy="2880000"/>
            <wp:effectExtent l="0" t="0" r="762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7986" cy="2880000"/>
                    </a:xfrm>
                    <a:prstGeom prst="rect">
                      <a:avLst/>
                    </a:prstGeom>
                    <a:noFill/>
                    <a:ln>
                      <a:noFill/>
                    </a:ln>
                  </pic:spPr>
                </pic:pic>
              </a:graphicData>
            </a:graphic>
          </wp:inline>
        </w:drawing>
      </w:r>
      <w:r>
        <w:rPr>
          <w:noProof/>
          <w:lang w:val="en-GB"/>
        </w:rPr>
        <w:drawing>
          <wp:inline distT="0" distB="0" distL="0" distR="0" wp14:anchorId="1E429083" wp14:editId="6B796633">
            <wp:extent cx="3897986" cy="2880000"/>
            <wp:effectExtent l="0" t="0" r="762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7986" cy="2880000"/>
                    </a:xfrm>
                    <a:prstGeom prst="rect">
                      <a:avLst/>
                    </a:prstGeom>
                    <a:noFill/>
                    <a:ln>
                      <a:noFill/>
                    </a:ln>
                  </pic:spPr>
                </pic:pic>
              </a:graphicData>
            </a:graphic>
          </wp:inline>
        </w:drawing>
      </w:r>
    </w:p>
    <w:p w14:paraId="57A9464B" w14:textId="39CB3BF7" w:rsidR="00B82325" w:rsidRDefault="00B82325" w:rsidP="00B82325">
      <w:pPr>
        <w:pStyle w:val="berschrift3"/>
      </w:pPr>
      <w:r>
        <w:t>Informal learning and relocation-related changes</w:t>
      </w:r>
    </w:p>
    <w:p w14:paraId="58A54733" w14:textId="77777777" w:rsidR="00B82325" w:rsidRDefault="00B82325" w:rsidP="00322764">
      <w:pPr>
        <w:pStyle w:val="Newparagraph"/>
      </w:pPr>
    </w:p>
    <w:p w14:paraId="10F33515" w14:textId="587E2CFE" w:rsidR="00322764" w:rsidRPr="00322764" w:rsidRDefault="00B82325" w:rsidP="00B82325">
      <w:pPr>
        <w:pStyle w:val="Paragraph"/>
      </w:pPr>
      <w:r>
        <w:t>When</w:t>
      </w:r>
      <w:r w:rsidR="00322764" w:rsidRPr="00322764">
        <w:t xml:space="preserve"> extending the models to non-formal and informal learning activities</w:t>
      </w:r>
      <w:r>
        <w:t>,</w:t>
      </w:r>
      <w:r w:rsidR="00322764" w:rsidRPr="00322764">
        <w:t xml:space="preserve"> </w:t>
      </w:r>
      <w:r>
        <w:t xml:space="preserve">the </w:t>
      </w:r>
      <w:r w:rsidR="00322764" w:rsidRPr="00322764">
        <w:t xml:space="preserve">interaction between relocation phase and engagement in cultural activities was positive and statistically </w:t>
      </w:r>
      <w:r w:rsidR="00322764" w:rsidRPr="00322764">
        <w:lastRenderedPageBreak/>
        <w:t>significant (β = 0.07, p = .002).</w:t>
      </w:r>
      <w:r>
        <w:t xml:space="preserve"> </w:t>
      </w:r>
      <w:r w:rsidR="00322764" w:rsidRPr="00322764">
        <w:t xml:space="preserve">Substantively, this indicates that the association between cultural informal learning and housing equipment differs before and after relocation. </w:t>
      </w:r>
      <w:r w:rsidR="00312A8C">
        <w:t>Before</w:t>
      </w:r>
      <w:r w:rsidR="00322764" w:rsidRPr="00322764">
        <w:t xml:space="preserve"> relocation, higher levels of cultural engagement were associated with slightly lower levels of housing equipment (</w:t>
      </w:r>
      <w:r w:rsidR="00322764" w:rsidRPr="00322764">
        <w:rPr>
          <w:lang w:val="de-DE"/>
        </w:rPr>
        <w:t>β</w:t>
      </w:r>
      <w:r w:rsidR="00322764" w:rsidRPr="00322764">
        <w:t xml:space="preserve"> = −0.04, p = .005). Following relocation, however, this relationship became positive, suggesting that individuals with higher levels of cultural informal learning experienced more pronounced improvements in housing equipment.</w:t>
      </w:r>
    </w:p>
    <w:p w14:paraId="5D482D82" w14:textId="77777777" w:rsidR="00322764" w:rsidRPr="00322764" w:rsidRDefault="00322764" w:rsidP="00322764">
      <w:pPr>
        <w:pStyle w:val="Newparagraph"/>
      </w:pPr>
      <w:r w:rsidRPr="00322764">
        <w:t>No comparable interaction effects were found for other forms of informal learning or for participation in non-formal education, indicating that the observed pattern is specific to cultural activities rather than learning engagement more generally.</w:t>
      </w:r>
    </w:p>
    <w:p w14:paraId="0416888A" w14:textId="77777777" w:rsidR="00322764" w:rsidRPr="003A0D55" w:rsidRDefault="00322764" w:rsidP="009D3AA8">
      <w:pPr>
        <w:rPr>
          <w:lang w:val="en-GB"/>
        </w:rPr>
      </w:pPr>
    </w:p>
    <w:p w14:paraId="12DF9882" w14:textId="1A764EF4" w:rsidR="00322764" w:rsidRDefault="00322764" w:rsidP="00322764">
      <w:pPr>
        <w:pStyle w:val="Beschriftung"/>
      </w:pPr>
      <w:r>
        <w:t xml:space="preserve">Figure </w:t>
      </w:r>
      <w:r>
        <w:fldChar w:fldCharType="begin"/>
      </w:r>
      <w:r>
        <w:instrText xml:space="preserve"> SEQ Figure \* ARABIC </w:instrText>
      </w:r>
      <w:r>
        <w:fldChar w:fldCharType="separate"/>
      </w:r>
      <w:r>
        <w:rPr>
          <w:noProof/>
        </w:rPr>
        <w:t>3</w:t>
      </w:r>
      <w:r>
        <w:fldChar w:fldCharType="end"/>
      </w:r>
      <w:r>
        <w:t xml:space="preserve">: </w:t>
      </w:r>
      <w:r w:rsidRPr="00F903B8">
        <w:t xml:space="preserve">Interaction </w:t>
      </w:r>
      <w:proofErr w:type="spellStart"/>
      <w:r w:rsidRPr="00F903B8">
        <w:t>with</w:t>
      </w:r>
      <w:proofErr w:type="spellEnd"/>
      <w:r w:rsidRPr="00F903B8">
        <w:t xml:space="preserve"> </w:t>
      </w:r>
      <w:r>
        <w:t xml:space="preserve">informal </w:t>
      </w:r>
      <w:proofErr w:type="spellStart"/>
      <w:r>
        <w:t>learning</w:t>
      </w:r>
      <w:proofErr w:type="spellEnd"/>
    </w:p>
    <w:p w14:paraId="3F5EAC66" w14:textId="77777777" w:rsidR="00322764" w:rsidRDefault="00322764" w:rsidP="00322764">
      <w:pPr>
        <w:keepNext/>
      </w:pPr>
      <w:r>
        <w:rPr>
          <w:noProof/>
          <w:lang w:val="en-GB"/>
        </w:rPr>
        <w:drawing>
          <wp:inline distT="0" distB="0" distL="0" distR="0" wp14:anchorId="34E5DE1D" wp14:editId="4FD7082C">
            <wp:extent cx="3312292" cy="2880000"/>
            <wp:effectExtent l="0" t="0" r="2540" b="0"/>
            <wp:docPr id="6" name="Grafik 6" descr="Ein Bild, das Text, Reihe, Diagramm, parall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Text, Reihe, Diagramm, parallel enthält.&#10;&#10;KI-generierte Inhalte können fehlerhaft sein."/>
                    <pic:cNvPicPr/>
                  </pic:nvPicPr>
                  <pic:blipFill>
                    <a:blip r:embed="rId14">
                      <a:extLst>
                        <a:ext uri="{28A0092B-C50C-407E-A947-70E740481C1C}">
                          <a14:useLocalDpi xmlns:a14="http://schemas.microsoft.com/office/drawing/2010/main" val="0"/>
                        </a:ext>
                      </a:extLst>
                    </a:blip>
                    <a:stretch>
                      <a:fillRect/>
                    </a:stretch>
                  </pic:blipFill>
                  <pic:spPr>
                    <a:xfrm>
                      <a:off x="0" y="0"/>
                      <a:ext cx="3312292" cy="2880000"/>
                    </a:xfrm>
                    <a:prstGeom prst="rect">
                      <a:avLst/>
                    </a:prstGeom>
                  </pic:spPr>
                </pic:pic>
              </a:graphicData>
            </a:graphic>
          </wp:inline>
        </w:drawing>
      </w:r>
    </w:p>
    <w:p w14:paraId="43FB36A8" w14:textId="322212A3" w:rsidR="009D3AA8" w:rsidRDefault="00384449" w:rsidP="00944B49">
      <w:pPr>
        <w:pStyle w:val="berschrift3"/>
      </w:pPr>
      <w:r>
        <w:t>Formal education and the conditions of relocation</w:t>
      </w:r>
    </w:p>
    <w:p w14:paraId="168DAFCE" w14:textId="124E174A" w:rsidR="009E36A6" w:rsidRDefault="009E36A6" w:rsidP="009E36A6">
      <w:pPr>
        <w:pStyle w:val="Paragraph"/>
      </w:pPr>
      <w:r w:rsidRPr="009E36A6">
        <w:t xml:space="preserve">Figure </w:t>
      </w:r>
      <w:r>
        <w:t>3</w:t>
      </w:r>
      <w:r w:rsidRPr="009E36A6">
        <w:t xml:space="preserve"> displays the regression coefficients for educational attainment across outcomes measured </w:t>
      </w:r>
      <w:r w:rsidR="00D629FB">
        <w:t>before</w:t>
      </w:r>
      <w:r w:rsidRPr="009E36A6">
        <w:t xml:space="preserve"> relocation. Educational attainment was positively associated with health-related quality of life</w:t>
      </w:r>
      <w:r w:rsidR="00D629FB">
        <w:t xml:space="preserve"> at the time of relocation</w:t>
      </w:r>
      <w:r w:rsidRPr="009E36A6">
        <w:t>, with confidence intervals not crossing zero. In contrast, no significant associations were observed for age at relocation</w:t>
      </w:r>
      <w:r>
        <w:t>,</w:t>
      </w:r>
      <w:r w:rsidRPr="009E36A6">
        <w:t xml:space="preserve"> number of diagnoses</w:t>
      </w:r>
      <w:r w:rsidR="00D629FB">
        <w:t>,</w:t>
      </w:r>
      <w:r>
        <w:t xml:space="preserve"> or cognition</w:t>
      </w:r>
      <w:r w:rsidRPr="009E36A6">
        <w:t>, as indicated by confidence intervals overlapping with zero.</w:t>
      </w:r>
      <w:r w:rsidRPr="009E36A6">
        <w:rPr>
          <w:noProof/>
        </w:rPr>
        <w:t xml:space="preserve"> </w:t>
      </w:r>
    </w:p>
    <w:p w14:paraId="549E3A5E" w14:textId="6E6A4BCE" w:rsidR="009E36A6" w:rsidRPr="009E36A6" w:rsidRDefault="009E36A6" w:rsidP="009E36A6">
      <w:pPr>
        <w:pStyle w:val="Beschriftung"/>
        <w:rPr>
          <w:lang w:val="en-GB"/>
        </w:rPr>
      </w:pPr>
      <w:r w:rsidRPr="009E36A6">
        <w:rPr>
          <w:lang w:val="en-GB"/>
        </w:rPr>
        <w:lastRenderedPageBreak/>
        <w:t xml:space="preserve">Figure </w:t>
      </w:r>
      <w:r w:rsidR="00AB6764">
        <w:rPr>
          <w:lang w:val="en-GB"/>
        </w:rPr>
        <w:t>4</w:t>
      </w:r>
      <w:r w:rsidRPr="009E36A6">
        <w:rPr>
          <w:lang w:val="en-GB"/>
        </w:rPr>
        <w:t>: Regression coefficients for educational attainment across outcomes at relocation</w:t>
      </w:r>
    </w:p>
    <w:p w14:paraId="602FC8F7" w14:textId="4C1D2E80" w:rsidR="009E36A6" w:rsidRPr="009E36A6" w:rsidRDefault="009E36A6" w:rsidP="009E36A6">
      <w:pPr>
        <w:pStyle w:val="Paragraph"/>
      </w:pPr>
      <w:r>
        <w:rPr>
          <w:noProof/>
        </w:rPr>
        <w:drawing>
          <wp:inline distT="0" distB="0" distL="0" distR="0" wp14:anchorId="24F0C705" wp14:editId="137D390D">
            <wp:extent cx="5753100" cy="4067175"/>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3100" cy="4067175"/>
                    </a:xfrm>
                    <a:prstGeom prst="rect">
                      <a:avLst/>
                    </a:prstGeom>
                    <a:noFill/>
                    <a:ln>
                      <a:noFill/>
                    </a:ln>
                  </pic:spPr>
                </pic:pic>
              </a:graphicData>
            </a:graphic>
          </wp:inline>
        </w:drawing>
      </w:r>
    </w:p>
    <w:p w14:paraId="587DE667" w14:textId="38387C34" w:rsidR="009E36A6" w:rsidRDefault="009E36A6" w:rsidP="009E36A6">
      <w:pPr>
        <w:pStyle w:val="Newparagraph"/>
      </w:pPr>
      <w:r w:rsidRPr="009E36A6">
        <w:t xml:space="preserve">Across the models, several covariates showed consistent associations with the outcomes. A higher number of children was associated with </w:t>
      </w:r>
      <w:r w:rsidR="00D629FB">
        <w:t>an older age at relocation (β = 0.49, p = .050), whereas more recent interview years were linked to slightly younger ages at relocation</w:t>
      </w:r>
      <w:r w:rsidRPr="009E36A6">
        <w:t xml:space="preserve"> (</w:t>
      </w:r>
      <w:r w:rsidRPr="009E36A6">
        <w:rPr>
          <w:lang w:val="de-DE"/>
        </w:rPr>
        <w:t>β</w:t>
      </w:r>
      <w:r w:rsidRPr="009E36A6">
        <w:t xml:space="preserve"> = −0.15, p = .004). For cognitive functioning, women scored higher than men (</w:t>
      </w:r>
      <w:r w:rsidRPr="009E36A6">
        <w:rPr>
          <w:lang w:val="de-DE"/>
        </w:rPr>
        <w:t>β</w:t>
      </w:r>
      <w:r w:rsidRPr="009E36A6">
        <w:t xml:space="preserve"> = 8.72, p = .016)</w:t>
      </w:r>
      <w:r w:rsidR="00D629FB">
        <w:t>. In contrast, a larger</w:t>
      </w:r>
      <w:r w:rsidRPr="009E36A6">
        <w:t xml:space="preserve"> household size was associated with lower cognitive scores (</w:t>
      </w:r>
      <w:r w:rsidRPr="009E36A6">
        <w:rPr>
          <w:lang w:val="de-DE"/>
        </w:rPr>
        <w:t>β</w:t>
      </w:r>
      <w:r w:rsidRPr="009E36A6">
        <w:t xml:space="preserve"> = −9.67, p = .020), and being married was related to lower scores (</w:t>
      </w:r>
      <w:r w:rsidRPr="009E36A6">
        <w:rPr>
          <w:lang w:val="de-DE"/>
        </w:rPr>
        <w:t>β</w:t>
      </w:r>
      <w:r w:rsidRPr="009E36A6">
        <w:t xml:space="preserve"> = −4.61, p = .007). </w:t>
      </w:r>
      <w:r w:rsidRPr="00D629FB">
        <w:t>No further consistent associations were observed across outcomes.</w:t>
      </w:r>
    </w:p>
    <w:p w14:paraId="6DD569CE" w14:textId="755FA605" w:rsidR="00384449" w:rsidRDefault="00384449" w:rsidP="00384449">
      <w:pPr>
        <w:pStyle w:val="berschrift3"/>
      </w:pPr>
      <w:r>
        <w:t>Informal learning and the conditions of relocation</w:t>
      </w:r>
    </w:p>
    <w:p w14:paraId="07C6163D" w14:textId="3CA2AD49" w:rsidR="00AB6764" w:rsidRPr="00AB6764" w:rsidRDefault="00AB6764" w:rsidP="00384449">
      <w:pPr>
        <w:pStyle w:val="Paragraph"/>
      </w:pPr>
      <w:r w:rsidRPr="00AB6764">
        <w:t xml:space="preserve">Extending the analyses to </w:t>
      </w:r>
      <w:r w:rsidR="00384449">
        <w:t xml:space="preserve">non-formal and </w:t>
      </w:r>
      <w:r w:rsidRPr="00AB6764">
        <w:t xml:space="preserve">informal learning activities revealed a differentiated pattern across outcomes at the time of relocation. Overall, informal learning was not uniformly associated with </w:t>
      </w:r>
      <w:r w:rsidR="00384449">
        <w:t>relocation conditions</w:t>
      </w:r>
      <w:r w:rsidRPr="00AB6764">
        <w:t>, but several specific associations emerged.</w:t>
      </w:r>
    </w:p>
    <w:p w14:paraId="554FE9CA" w14:textId="77777777" w:rsidR="00AB6764" w:rsidRPr="00AB6764" w:rsidRDefault="00AB6764" w:rsidP="00AB6764">
      <w:pPr>
        <w:pStyle w:val="Newparagraph"/>
      </w:pPr>
    </w:p>
    <w:p w14:paraId="35D6E572" w14:textId="750DADA5" w:rsidR="00AB6764" w:rsidRPr="00AB6764" w:rsidRDefault="00AB6764" w:rsidP="00AB6764">
      <w:pPr>
        <w:pStyle w:val="Newparagraph"/>
      </w:pPr>
      <w:r w:rsidRPr="00AB6764">
        <w:lastRenderedPageBreak/>
        <w:t xml:space="preserve">For age at relocation, two indicators of informal learning </w:t>
      </w:r>
      <w:r w:rsidR="00FF744C">
        <w:t>were positively associated</w:t>
      </w:r>
      <w:r w:rsidR="00312A8C">
        <w:t xml:space="preserve"> with each other</w:t>
      </w:r>
      <w:r w:rsidRPr="00AB6764">
        <w:t xml:space="preserve">. More frequent </w:t>
      </w:r>
      <w:r w:rsidR="00384449">
        <w:t>book reading was significantly associated with later relocation (β = 0.83, p = .035).</w:t>
      </w:r>
      <w:r w:rsidRPr="00AB6764">
        <w:t xml:space="preserve"> No significant effects were observed for cultural activities or games.</w:t>
      </w:r>
    </w:p>
    <w:p w14:paraId="2A5E5BC6" w14:textId="1A56F65E" w:rsidR="00AB6764" w:rsidRPr="00AB6764" w:rsidRDefault="00AB6764" w:rsidP="00AB6764">
      <w:pPr>
        <w:pStyle w:val="Newparagraph"/>
      </w:pPr>
      <w:r w:rsidRPr="00AB6764">
        <w:t xml:space="preserve">For health-related quality of life, none of the informal learning indicators </w:t>
      </w:r>
      <w:r w:rsidR="00FF744C">
        <w:t>was statistically significant</w:t>
      </w:r>
      <w:r w:rsidR="00384449">
        <w:t>.</w:t>
      </w:r>
    </w:p>
    <w:p w14:paraId="1B48DF1F" w14:textId="570E4504" w:rsidR="00AB6764" w:rsidRPr="00AB6764" w:rsidRDefault="00AB6764" w:rsidP="00AB6764">
      <w:pPr>
        <w:pStyle w:val="Newparagraph"/>
      </w:pPr>
      <w:r w:rsidRPr="00AB6764">
        <w:t xml:space="preserve">A different pattern emerged for cognitive functioning. </w:t>
      </w:r>
      <w:r w:rsidR="00384449">
        <w:t>E</w:t>
      </w:r>
      <w:r w:rsidRPr="00AB6764">
        <w:t>ngagement in games showed a positive</w:t>
      </w:r>
      <w:r w:rsidR="00384449">
        <w:t xml:space="preserve">, statistically significant association (β = 4.66, p = .017), indicating higher cognitive scores among individuals who </w:t>
      </w:r>
      <w:r w:rsidRPr="00AB6764">
        <w:t>more frequently engaged in cognitively stimulating leisure activities.</w:t>
      </w:r>
    </w:p>
    <w:p w14:paraId="2EDF9225" w14:textId="2341174D" w:rsidR="00B82325" w:rsidRPr="00AB6764" w:rsidRDefault="00AB6764" w:rsidP="00B82325">
      <w:pPr>
        <w:pStyle w:val="Newparagraph"/>
      </w:pPr>
      <w:r w:rsidRPr="00AB6764">
        <w:t xml:space="preserve">Finally, </w:t>
      </w:r>
      <w:r w:rsidR="00384449">
        <w:t>regarding the number of diagnoses, cultural informal learning was significantly and negatively associated with morbidity (β = −0.40, p = .029), suggesting that individuals with greater</w:t>
      </w:r>
      <w:r w:rsidRPr="00AB6764">
        <w:t xml:space="preserve"> engagement in cultural activities had fewer diagnosed conditions at </w:t>
      </w:r>
      <w:r w:rsidRPr="00AB6764">
        <w:lastRenderedPageBreak/>
        <w:t xml:space="preserve">the time of relocation. </w:t>
      </w:r>
      <w:r w:rsidR="00B82325">
        <w:rPr>
          <w:noProof/>
        </w:rPr>
        <w:drawing>
          <wp:inline distT="0" distB="0" distL="0" distR="0" wp14:anchorId="34CA5EE7" wp14:editId="0D8C95F4">
            <wp:extent cx="5760720" cy="4742180"/>
            <wp:effectExtent l="0" t="0" r="0" b="1270"/>
            <wp:docPr id="7" name="Grafik 7" descr="Ein Bild, das Text, Diagramm, Zahl,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Diagramm, Zahl, Reihe enthält.&#10;&#10;KI-generierte Inhalte können fehlerhaft sein."/>
                    <pic:cNvPicPr/>
                  </pic:nvPicPr>
                  <pic:blipFill rotWithShape="1">
                    <a:blip r:embed="rId16">
                      <a:extLst>
                        <a:ext uri="{28A0092B-C50C-407E-A947-70E740481C1C}">
                          <a14:useLocalDpi xmlns:a14="http://schemas.microsoft.com/office/drawing/2010/main" val="0"/>
                        </a:ext>
                      </a:extLst>
                    </a:blip>
                    <a:srcRect t="5325"/>
                    <a:stretch/>
                  </pic:blipFill>
                  <pic:spPr bwMode="auto">
                    <a:xfrm>
                      <a:off x="0" y="0"/>
                      <a:ext cx="5760720" cy="4742180"/>
                    </a:xfrm>
                    <a:prstGeom prst="rect">
                      <a:avLst/>
                    </a:prstGeom>
                    <a:ln>
                      <a:noFill/>
                    </a:ln>
                    <a:extLst>
                      <a:ext uri="{53640926-AAD7-44D8-BBD7-CCE9431645EC}">
                        <a14:shadowObscured xmlns:a14="http://schemas.microsoft.com/office/drawing/2010/main"/>
                      </a:ext>
                    </a:extLst>
                  </pic:spPr>
                </pic:pic>
              </a:graphicData>
            </a:graphic>
          </wp:inline>
        </w:drawing>
      </w:r>
    </w:p>
    <w:p w14:paraId="61DF30AA" w14:textId="219BD699" w:rsidR="001C5FFD" w:rsidRPr="00EF4642" w:rsidRDefault="008B0B92" w:rsidP="006A6F7E">
      <w:pPr>
        <w:pStyle w:val="berschrift1"/>
      </w:pPr>
      <w:r w:rsidRPr="00EF4642">
        <w:t>Discussion</w:t>
      </w:r>
    </w:p>
    <w:p w14:paraId="4F01023D" w14:textId="5AAEF8C6" w:rsidR="0022049D" w:rsidRPr="0022049D" w:rsidRDefault="0022049D" w:rsidP="0022049D">
      <w:pPr>
        <w:pStyle w:val="Paragraph"/>
      </w:pPr>
      <w:r w:rsidRPr="0022049D">
        <w:t xml:space="preserve">This study examined whether educational resources, broadly understood </w:t>
      </w:r>
      <w:r w:rsidR="00312A8C">
        <w:t>to include formal educational attainment and</w:t>
      </w:r>
      <w:r w:rsidRPr="0022049D">
        <w:t xml:space="preserve"> participation in non-formal and informal learning activities, shape housing conditions, relocation-related changes, and the circumstances under which relocations occur in later life. Building on a life-course perspective, residential relocation was conceptualised as </w:t>
      </w:r>
      <w:r w:rsidR="00312A8C">
        <w:t>both a critical transition and a potential strategy for adapting</w:t>
      </w:r>
      <w:r w:rsidRPr="0022049D">
        <w:t xml:space="preserve"> to changing needs.</w:t>
      </w:r>
    </w:p>
    <w:p w14:paraId="74BFC2F0" w14:textId="77777777" w:rsidR="0022049D" w:rsidRPr="0022049D" w:rsidRDefault="0022049D" w:rsidP="0022049D">
      <w:pPr>
        <w:pStyle w:val="berschrift2"/>
        <w:rPr>
          <w:lang w:val="en-GB"/>
        </w:rPr>
      </w:pPr>
      <w:r w:rsidRPr="0022049D">
        <w:rPr>
          <w:lang w:val="en-GB"/>
        </w:rPr>
        <w:t>Educational inequalities in housing conditions</w:t>
      </w:r>
    </w:p>
    <w:p w14:paraId="7BA656C9" w14:textId="77777777" w:rsidR="0022049D" w:rsidRPr="0022049D" w:rsidRDefault="0022049D" w:rsidP="0022049D">
      <w:pPr>
        <w:pStyle w:val="Paragraph"/>
      </w:pPr>
      <w:r w:rsidRPr="0022049D">
        <w:t xml:space="preserve">Consistent with previous research, clear educational gradients in housing conditions were observed. Higher-educated individuals lived in larger dwellings, were more likely to own their homes, and reported more favourable residential environments. These findings reinforce </w:t>
      </w:r>
      <w:r w:rsidRPr="0022049D">
        <w:lastRenderedPageBreak/>
        <w:t>the notion that education operates as a key stratifying factor shaping material living conditions in later life. Importantly, however, no differences emerged in housing equipment, suggesting that certain aspects of age-related housing adaptations may be less strongly structured by education than broader socioeconomic housing characteristics.</w:t>
      </w:r>
    </w:p>
    <w:p w14:paraId="375C68E9" w14:textId="77777777" w:rsidR="0022049D" w:rsidRPr="0022049D" w:rsidRDefault="0022049D" w:rsidP="0022049D">
      <w:pPr>
        <w:pStyle w:val="berschrift2"/>
        <w:rPr>
          <w:lang w:val="en-GB"/>
        </w:rPr>
      </w:pPr>
      <w:r w:rsidRPr="0022049D">
        <w:rPr>
          <w:lang w:val="en-GB"/>
        </w:rPr>
        <w:t>Relocation as adaptive reconfiguration rather than uniform improvement</w:t>
      </w:r>
    </w:p>
    <w:p w14:paraId="6F319147" w14:textId="14349800" w:rsidR="0022049D" w:rsidRPr="0022049D" w:rsidRDefault="0022049D" w:rsidP="0022049D">
      <w:pPr>
        <w:pStyle w:val="Paragraph"/>
      </w:pPr>
      <w:r w:rsidRPr="0022049D">
        <w:t xml:space="preserve">The findings on relocation-related changes provide a more differentiated picture than initially hypothesised. While relocation was associated with changes in several housing dimensions, these changes cannot be interpreted as uniform improvements. In particular, </w:t>
      </w:r>
      <w:r>
        <w:t>more highly educated individuals experienced greater</w:t>
      </w:r>
      <w:r w:rsidRPr="0022049D">
        <w:t xml:space="preserve"> reductions in dwelling size, alongside greater reductions in distance to kin.</w:t>
      </w:r>
    </w:p>
    <w:p w14:paraId="5B9F3A71" w14:textId="32FF07E2" w:rsidR="0022049D" w:rsidRPr="0022049D" w:rsidRDefault="0022049D" w:rsidP="0022049D">
      <w:pPr>
        <w:pStyle w:val="Newparagraph"/>
      </w:pPr>
      <w:r w:rsidRPr="0022049D">
        <w:t xml:space="preserve">Rather than indicating a loss of housing quality, these patterns point towards processes of adaptive reconfiguration. Downsizing may reflect a deliberate adjustment to more manageable living arrangements, while moving closer to family members may strengthen support networks and facilitate ageing in place. In this sense, relocation appears less as a linear improvement process and more as a multidimensional adaptation aimed at improving person–environment fit. Educational differences in these patterns suggest that </w:t>
      </w:r>
      <w:r>
        <w:t>more highly educated</w:t>
      </w:r>
      <w:r w:rsidRPr="0022049D">
        <w:t xml:space="preserve"> individuals may be better able to anticipate and actively shape such adjustments.</w:t>
      </w:r>
    </w:p>
    <w:p w14:paraId="0691DF64" w14:textId="77777777" w:rsidR="0022049D" w:rsidRPr="0022049D" w:rsidRDefault="0022049D" w:rsidP="0022049D">
      <w:pPr>
        <w:pStyle w:val="berschrift2"/>
        <w:rPr>
          <w:lang w:val="en-GB"/>
        </w:rPr>
      </w:pPr>
      <w:r w:rsidRPr="0022049D">
        <w:rPr>
          <w:lang w:val="en-GB"/>
        </w:rPr>
        <w:t>Limited differences in relocation conditions</w:t>
      </w:r>
    </w:p>
    <w:p w14:paraId="2533A6BE" w14:textId="27D0F711" w:rsidR="0022049D" w:rsidRPr="0022049D" w:rsidRDefault="0022049D" w:rsidP="001069FB">
      <w:pPr>
        <w:pStyle w:val="Paragraph"/>
      </w:pPr>
      <w:r w:rsidRPr="0022049D">
        <w:t xml:space="preserve">Contrary to expectations, only limited educational differences were observed in the conditions under which relocations occurred. While </w:t>
      </w:r>
      <w:r w:rsidR="001069FB">
        <w:t>more highly educated individuals reported better health-related quality of life at the time of relocation, no differences emerged in</w:t>
      </w:r>
      <w:r w:rsidRPr="0022049D">
        <w:t xml:space="preserve"> age, number of diagnoses, or cognitive functioning. This suggests that, within the group of movers, educational inequalities in the timing and health context of relocation may be less pronounced than anticipated.</w:t>
      </w:r>
    </w:p>
    <w:p w14:paraId="49908F54" w14:textId="77777777" w:rsidR="0022049D" w:rsidRPr="0022049D" w:rsidRDefault="0022049D" w:rsidP="001069FB">
      <w:pPr>
        <w:pStyle w:val="Newparagraph"/>
      </w:pPr>
      <w:r w:rsidRPr="0022049D">
        <w:t xml:space="preserve">One possible explanation lies in the selective nature of relocation. Individuals who move in later life may already constitute a relatively selective subgroup with sufficient </w:t>
      </w:r>
      <w:r w:rsidRPr="0022049D">
        <w:lastRenderedPageBreak/>
        <w:t>resources and functional capacity to manage the demands of relocation. As a result, differences by education may be attenuated within this group. In addition, institutional and housing market contexts, such as the relatively regulated German rental market and availability of local infrastructure, may further constrain the extent to which educational resources translate into differential relocation conditions.</w:t>
      </w:r>
    </w:p>
    <w:p w14:paraId="49D76E38" w14:textId="77777777" w:rsidR="0022049D" w:rsidRPr="0022049D" w:rsidRDefault="0022049D" w:rsidP="001069FB">
      <w:pPr>
        <w:pStyle w:val="berschrift2"/>
        <w:rPr>
          <w:lang w:val="en-GB"/>
        </w:rPr>
      </w:pPr>
      <w:r w:rsidRPr="0022049D">
        <w:rPr>
          <w:lang w:val="en-GB"/>
        </w:rPr>
        <w:t>The role of lifelong learning: selective and domain-specific</w:t>
      </w:r>
    </w:p>
    <w:p w14:paraId="68AC38FA" w14:textId="77777777" w:rsidR="0022049D" w:rsidRPr="0022049D" w:rsidRDefault="0022049D" w:rsidP="001069FB">
      <w:pPr>
        <w:pStyle w:val="Paragraph"/>
      </w:pPr>
      <w:r w:rsidRPr="0022049D">
        <w:t>The analyses of non-formal and informal learning revealed a heterogeneous pattern. Non-formal learning showed no consistent associations with relocation-related outcomes, whereas informal learning was linked to specific dimensions. In particular, engagement in cultural activities was associated with more favourable changes in housing equipment following relocation and with fewer chronic conditions at the time of relocation.</w:t>
      </w:r>
    </w:p>
    <w:p w14:paraId="3212B878" w14:textId="77777777" w:rsidR="0022049D" w:rsidRPr="0022049D" w:rsidRDefault="0022049D" w:rsidP="001069FB">
      <w:pPr>
        <w:pStyle w:val="Newparagraph"/>
      </w:pPr>
      <w:r w:rsidRPr="0022049D">
        <w:t>These findings suggest that informal learning should not be understood as a uniform construct but rather as a set of distinct activities with potentially different implications. Cultural engagement, in particular, may reflect broader patterns of social participation, health, and proactive lifestyle orientation. Such engagement may facilitate access to information, social networks, and resources that support adaptive decision-making in later life. At the same time, the absence of consistent effects across other indicators points to the need for a more differentiated conceptualisation of informal learning in future research.</w:t>
      </w:r>
    </w:p>
    <w:p w14:paraId="133BB1C8" w14:textId="77777777" w:rsidR="0022049D" w:rsidRPr="0022049D" w:rsidRDefault="0022049D" w:rsidP="001069FB">
      <w:pPr>
        <w:pStyle w:val="berschrift2"/>
        <w:rPr>
          <w:lang w:val="en-GB"/>
        </w:rPr>
      </w:pPr>
      <w:r w:rsidRPr="0022049D">
        <w:rPr>
          <w:lang w:val="en-GB"/>
        </w:rPr>
        <w:t>Implications for understanding relocation in later life</w:t>
      </w:r>
    </w:p>
    <w:p w14:paraId="7420057E" w14:textId="77777777" w:rsidR="0022049D" w:rsidRPr="0022049D" w:rsidRDefault="0022049D" w:rsidP="001069FB">
      <w:pPr>
        <w:pStyle w:val="Paragraph"/>
      </w:pPr>
      <w:r w:rsidRPr="0022049D">
        <w:t>Taken together, the findings contribute to a growing body of research that conceptualises older adults as active agents in shaping their living environments. Rather than being solely reactive responses to health decline, relocations in later life may represent strategic adjustments aimed at maintaining autonomy and quality of life. Educational resources appear to play a role in shaping how these adjustments unfold, not necessarily by determining whether relocation occurs under more favourable conditions, but by influencing the form and direction of housing adaptations.</w:t>
      </w:r>
    </w:p>
    <w:p w14:paraId="0B7FA9B0" w14:textId="77777777" w:rsidR="0022049D" w:rsidRPr="0022049D" w:rsidRDefault="0022049D" w:rsidP="001069FB">
      <w:pPr>
        <w:pStyle w:val="berschrift2"/>
        <w:rPr>
          <w:lang w:val="en-GB"/>
        </w:rPr>
      </w:pPr>
      <w:r w:rsidRPr="0022049D">
        <w:rPr>
          <w:lang w:val="en-GB"/>
        </w:rPr>
        <w:lastRenderedPageBreak/>
        <w:t>Limitations</w:t>
      </w:r>
    </w:p>
    <w:p w14:paraId="3B9D829B" w14:textId="77777777" w:rsidR="0022049D" w:rsidRPr="0022049D" w:rsidRDefault="0022049D" w:rsidP="001069FB">
      <w:pPr>
        <w:pStyle w:val="Paragraph"/>
      </w:pPr>
      <w:r w:rsidRPr="0022049D">
        <w:t>Several limitations should be acknowledged. First, the identification of relocations relied on changes in reported entry years and prioritised specificity over sensitivity, which may have led to an underestimation of multiple or short-term moves. Second, the analytical design focuses on individuals who relocated, which introduces a degree of selection and limits conclusions about the broader population of older adults. Third, informal learning was measured using proxy indicators with low internal consistency, reflecting diverse domains of engagement rather than a single underlying construct. Finally, causal interpretations are limited, as the analyses cannot fully disentangle selection processes from the effects of education and learning.</w:t>
      </w:r>
    </w:p>
    <w:p w14:paraId="24A83A98" w14:textId="77777777" w:rsidR="0022049D" w:rsidRPr="0022049D" w:rsidRDefault="0022049D" w:rsidP="001069FB">
      <w:pPr>
        <w:pStyle w:val="berschrift2"/>
        <w:rPr>
          <w:lang w:val="en-GB"/>
        </w:rPr>
      </w:pPr>
      <w:r w:rsidRPr="0022049D">
        <w:rPr>
          <w:lang w:val="en-GB"/>
        </w:rPr>
        <w:t>Conclusion</w:t>
      </w:r>
    </w:p>
    <w:p w14:paraId="64DC9B3B" w14:textId="77777777" w:rsidR="0022049D" w:rsidRPr="0022049D" w:rsidRDefault="0022049D" w:rsidP="001069FB">
      <w:pPr>
        <w:pStyle w:val="Paragraph"/>
      </w:pPr>
      <w:r w:rsidRPr="0022049D">
        <w:t>This study highlights that educational inequalities in later life extend beyond static differences in housing conditions to encompass dynamic processes of adaptation. Relocation emerges as a complex and multidimensional strategy through which older adults adjust their living environments to changing needs. Educational attainment and, to a more limited extent, engagement in informal learning appear to shape these processes, not by uniformly improving outcomes, but by enabling more differentiated and potentially better-fitting housing adjustments. These findings underscore the importance of adopting a life-course perspective that recognises both structural inequalities and individual agency in shaping ageing trajectories.</w:t>
      </w:r>
    </w:p>
    <w:p w14:paraId="7670E4FB" w14:textId="77777777" w:rsidR="008B0B92" w:rsidRPr="0022049D" w:rsidRDefault="008B0B92" w:rsidP="008B0B92">
      <w:pPr>
        <w:rPr>
          <w:lang w:val="en-GB"/>
        </w:rPr>
      </w:pPr>
    </w:p>
    <w:p w14:paraId="52DFCC83" w14:textId="7C1B4565" w:rsidR="008B0B92" w:rsidRPr="00EF4642" w:rsidRDefault="008B0B92" w:rsidP="006A6F7E">
      <w:pPr>
        <w:pStyle w:val="berschrift1"/>
      </w:pPr>
      <w:r w:rsidRPr="00EF4642">
        <w:t>References</w:t>
      </w:r>
    </w:p>
    <w:p w14:paraId="531A5C11" w14:textId="77777777" w:rsidR="00EF4642" w:rsidRPr="00EF4642" w:rsidRDefault="008B0B92" w:rsidP="00EF4642">
      <w:pPr>
        <w:pStyle w:val="Literaturverzeichnis"/>
        <w:rPr>
          <w:lang w:val="en-GB"/>
        </w:rPr>
      </w:pPr>
      <w:r>
        <w:fldChar w:fldCharType="begin"/>
      </w:r>
      <w:r w:rsidRPr="008B0B92">
        <w:rPr>
          <w:lang w:val="en-GB"/>
        </w:rPr>
        <w:instrText xml:space="preserve"> ADDIN ZOTERO_BIBL {"uncited":[],"omitted":[],"custom":[]} CSL_BIBLIOGRAPHY </w:instrText>
      </w:r>
      <w:r>
        <w:fldChar w:fldCharType="separate"/>
      </w:r>
      <w:r w:rsidR="00EF4642" w:rsidRPr="00EF4642">
        <w:rPr>
          <w:lang w:val="en-GB"/>
        </w:rPr>
        <w:t xml:space="preserve">Cho, J., &amp; Dunkle, R. (2024). IS AGING IN THEIR CURRENT DWELLING THE BEST OPTION FOR OLDER ADULTS? </w:t>
      </w:r>
      <w:r w:rsidR="00EF4642" w:rsidRPr="00EF4642">
        <w:rPr>
          <w:i/>
          <w:iCs/>
          <w:lang w:val="en-GB"/>
        </w:rPr>
        <w:t>Innovation in Aging</w:t>
      </w:r>
      <w:r w:rsidR="00EF4642" w:rsidRPr="00EF4642">
        <w:rPr>
          <w:lang w:val="en-GB"/>
        </w:rPr>
        <w:t xml:space="preserve">, </w:t>
      </w:r>
      <w:r w:rsidR="00EF4642" w:rsidRPr="00EF4642">
        <w:rPr>
          <w:i/>
          <w:iCs/>
          <w:lang w:val="en-GB"/>
        </w:rPr>
        <w:t>8</w:t>
      </w:r>
      <w:r w:rsidR="00EF4642" w:rsidRPr="00EF4642">
        <w:rPr>
          <w:lang w:val="en-GB"/>
        </w:rPr>
        <w:t>(Supplement_1), 914–914. https://doi.org/10.1093/geroni/igae098.2951</w:t>
      </w:r>
    </w:p>
    <w:p w14:paraId="354AC953" w14:textId="77777777" w:rsidR="00EF4642" w:rsidRPr="00EF4642" w:rsidRDefault="00EF4642" w:rsidP="00EF4642">
      <w:pPr>
        <w:pStyle w:val="Literaturverzeichnis"/>
        <w:rPr>
          <w:lang w:val="en-GB"/>
        </w:rPr>
      </w:pPr>
      <w:r w:rsidRPr="00EF4642">
        <w:rPr>
          <w:lang w:val="en-GB"/>
        </w:rPr>
        <w:lastRenderedPageBreak/>
        <w:t xml:space="preserve">Chou, C.-Y., Chen, C.-S., Lee, M.-C., Lin, S.-T., &amp; Sun, J.-H. (2023). Active aging of older adults in rural area after participating in senior self-directed learning groups. </w:t>
      </w:r>
      <w:r w:rsidRPr="00EF4642">
        <w:rPr>
          <w:i/>
          <w:iCs/>
          <w:lang w:val="en-GB"/>
        </w:rPr>
        <w:t>Educational Gerontology</w:t>
      </w:r>
      <w:r w:rsidRPr="00EF4642">
        <w:rPr>
          <w:lang w:val="en-GB"/>
        </w:rPr>
        <w:t xml:space="preserve">, </w:t>
      </w:r>
      <w:r w:rsidRPr="00EF4642">
        <w:rPr>
          <w:i/>
          <w:iCs/>
          <w:lang w:val="en-GB"/>
        </w:rPr>
        <w:t>49</w:t>
      </w:r>
      <w:r w:rsidRPr="00EF4642">
        <w:rPr>
          <w:lang w:val="en-GB"/>
        </w:rPr>
        <w:t>(2), 143–157. https://doi.org/10.1080/03601277.2022.2091330</w:t>
      </w:r>
    </w:p>
    <w:p w14:paraId="111A4421" w14:textId="77777777" w:rsidR="00EF4642" w:rsidRPr="00EF4642" w:rsidRDefault="00EF4642" w:rsidP="00EF4642">
      <w:pPr>
        <w:pStyle w:val="Literaturverzeichnis"/>
        <w:rPr>
          <w:lang w:val="en-GB"/>
        </w:rPr>
      </w:pPr>
      <w:r w:rsidRPr="00EF4642">
        <w:rPr>
          <w:lang w:val="en-GB"/>
        </w:rPr>
        <w:t xml:space="preserve">Clouston, S. A. P., Richards, M., Cadar, D., &amp; Hofer, S. M. (2015). Educational Inequalities in Health Behaviors at Midlife: Is There a Role for Early-life Cognition? </w:t>
      </w:r>
      <w:r w:rsidRPr="00EF4642">
        <w:rPr>
          <w:i/>
          <w:iCs/>
          <w:lang w:val="en-GB"/>
        </w:rPr>
        <w:t>Journal of Health and Social Behavior</w:t>
      </w:r>
      <w:r w:rsidRPr="00EF4642">
        <w:rPr>
          <w:lang w:val="en-GB"/>
        </w:rPr>
        <w:t xml:space="preserve">, </w:t>
      </w:r>
      <w:r w:rsidRPr="00EF4642">
        <w:rPr>
          <w:i/>
          <w:iCs/>
          <w:lang w:val="en-GB"/>
        </w:rPr>
        <w:t>56</w:t>
      </w:r>
      <w:r w:rsidRPr="00EF4642">
        <w:rPr>
          <w:lang w:val="en-GB"/>
        </w:rPr>
        <w:t>(3), 323–340. https://doi.org/10.1177/0022146515594188</w:t>
      </w:r>
    </w:p>
    <w:p w14:paraId="37B46AB3" w14:textId="77777777" w:rsidR="00EF4642" w:rsidRPr="00EF4642" w:rsidRDefault="00EF4642" w:rsidP="00EF4642">
      <w:pPr>
        <w:pStyle w:val="Literaturverzeichnis"/>
        <w:rPr>
          <w:lang w:val="en-GB"/>
        </w:rPr>
      </w:pPr>
      <w:r w:rsidRPr="00EF4642">
        <w:rPr>
          <w:lang w:val="en-GB"/>
        </w:rPr>
        <w:t xml:space="preserve">Fischer, T., Jobst, M., &amp; Moder, K. (2025). Predictors for residential mobility in later life: Empirical findings for the young-old living in an Austrian small town. </w:t>
      </w:r>
      <w:r w:rsidRPr="00EF4642">
        <w:rPr>
          <w:i/>
          <w:iCs/>
          <w:lang w:val="en-GB"/>
        </w:rPr>
        <w:t>Acta Geographica Slovenica</w:t>
      </w:r>
      <w:r w:rsidRPr="00EF4642">
        <w:rPr>
          <w:lang w:val="en-GB"/>
        </w:rPr>
        <w:t xml:space="preserve">, </w:t>
      </w:r>
      <w:r w:rsidRPr="00EF4642">
        <w:rPr>
          <w:i/>
          <w:iCs/>
          <w:lang w:val="en-GB"/>
        </w:rPr>
        <w:t>65</w:t>
      </w:r>
      <w:r w:rsidRPr="00EF4642">
        <w:rPr>
          <w:lang w:val="en-GB"/>
        </w:rPr>
        <w:t>(1). https://doi.org/10.3986/AGS.13919</w:t>
      </w:r>
    </w:p>
    <w:p w14:paraId="1F6E1E29" w14:textId="77777777" w:rsidR="00EF4642" w:rsidRPr="00EF4642" w:rsidRDefault="00EF4642" w:rsidP="00EF4642">
      <w:pPr>
        <w:pStyle w:val="Literaturverzeichnis"/>
        <w:rPr>
          <w:lang w:val="en-GB"/>
        </w:rPr>
      </w:pPr>
      <w:r w:rsidRPr="00EF4642">
        <w:rPr>
          <w:lang w:val="en-GB"/>
        </w:rPr>
        <w:t xml:space="preserve">Gopinath, M., Entwistle, V., Kelly, T., &amp; Illsley, B. (2021). Moving residence in later life: Actively shaping place and wellbeing. </w:t>
      </w:r>
      <w:r w:rsidRPr="00EF4642">
        <w:rPr>
          <w:i/>
          <w:iCs/>
          <w:lang w:val="en-GB"/>
        </w:rPr>
        <w:t>International Journal of Ageing and Later Life</w:t>
      </w:r>
      <w:r w:rsidRPr="00EF4642">
        <w:rPr>
          <w:lang w:val="en-GB"/>
        </w:rPr>
        <w:t>. https://doi.org/10.3384/ijal.1652-8670.1539</w:t>
      </w:r>
    </w:p>
    <w:p w14:paraId="5E87C929" w14:textId="77777777" w:rsidR="00EF4642" w:rsidRPr="00EF4642" w:rsidRDefault="00EF4642" w:rsidP="00EF4642">
      <w:pPr>
        <w:pStyle w:val="Literaturverzeichnis"/>
        <w:rPr>
          <w:lang w:val="en-GB"/>
        </w:rPr>
      </w:pPr>
      <w:r w:rsidRPr="00EF4642">
        <w:rPr>
          <w:lang w:val="en-GB"/>
        </w:rPr>
        <w:t xml:space="preserve">Jurczyszyn, E. (2024). Exploring the Dynamic Landscape of Formal, Informal and Non-Formal Learning. </w:t>
      </w:r>
      <w:r w:rsidRPr="00EF4642">
        <w:rPr>
          <w:i/>
          <w:iCs/>
          <w:lang w:val="en-GB"/>
        </w:rPr>
        <w:t>International Journal of Pedagogy, Innovation and New Technologies</w:t>
      </w:r>
      <w:r w:rsidRPr="00EF4642">
        <w:rPr>
          <w:lang w:val="en-GB"/>
        </w:rPr>
        <w:t xml:space="preserve">, </w:t>
      </w:r>
      <w:r w:rsidRPr="00EF4642">
        <w:rPr>
          <w:i/>
          <w:iCs/>
          <w:lang w:val="en-GB"/>
        </w:rPr>
        <w:t>11</w:t>
      </w:r>
      <w:r w:rsidRPr="00EF4642">
        <w:rPr>
          <w:lang w:val="en-GB"/>
        </w:rPr>
        <w:t>(1), 53–59. https://doi.org/10.5604/01.3001.0054.7069</w:t>
      </w:r>
    </w:p>
    <w:p w14:paraId="1A3D0190" w14:textId="77777777" w:rsidR="00EF4642" w:rsidRPr="00EF4642" w:rsidRDefault="00EF4642" w:rsidP="00EF4642">
      <w:pPr>
        <w:pStyle w:val="Literaturverzeichnis"/>
        <w:rPr>
          <w:lang w:val="en-GB"/>
        </w:rPr>
      </w:pPr>
      <w:r w:rsidRPr="00EF4642">
        <w:rPr>
          <w:lang w:val="en-GB"/>
        </w:rPr>
        <w:t xml:space="preserve">Kampfe, C. M. (2002). Older Adults’ Perceptions of Residential Relocation. </w:t>
      </w:r>
      <w:r w:rsidRPr="00EF4642">
        <w:rPr>
          <w:i/>
          <w:iCs/>
          <w:lang w:val="en-GB"/>
        </w:rPr>
        <w:t>The Journal of Humanistic Counseling, Education and Development</w:t>
      </w:r>
      <w:r w:rsidRPr="00EF4642">
        <w:rPr>
          <w:lang w:val="en-GB"/>
        </w:rPr>
        <w:t xml:space="preserve">, </w:t>
      </w:r>
      <w:r w:rsidRPr="00EF4642">
        <w:rPr>
          <w:i/>
          <w:iCs/>
          <w:lang w:val="en-GB"/>
        </w:rPr>
        <w:t>41</w:t>
      </w:r>
      <w:r w:rsidRPr="00EF4642">
        <w:rPr>
          <w:lang w:val="en-GB"/>
        </w:rPr>
        <w:t>(1), 103–113. https://doi.org/10.1002/j.2164-490X.2002.tb00133.x</w:t>
      </w:r>
    </w:p>
    <w:p w14:paraId="3171B8B8" w14:textId="77777777" w:rsidR="00EF4642" w:rsidRPr="00EF4642" w:rsidRDefault="00EF4642" w:rsidP="00EF4642">
      <w:pPr>
        <w:pStyle w:val="Literaturverzeichnis"/>
        <w:rPr>
          <w:lang w:val="en-GB"/>
        </w:rPr>
      </w:pPr>
      <w:r w:rsidRPr="00EF4642">
        <w:rPr>
          <w:lang w:val="en-GB"/>
        </w:rPr>
        <w:t xml:space="preserve">Laal, M., Laal, A., &amp; Aliramaei, A. (2014). Continuing Education; Lifelong Learning. </w:t>
      </w:r>
      <w:r w:rsidRPr="00EF4642">
        <w:rPr>
          <w:i/>
          <w:iCs/>
          <w:lang w:val="en-GB"/>
        </w:rPr>
        <w:t>Procedia - Social and Behavioral Sciences</w:t>
      </w:r>
      <w:r w:rsidRPr="00EF4642">
        <w:rPr>
          <w:lang w:val="en-GB"/>
        </w:rPr>
        <w:t xml:space="preserve">, </w:t>
      </w:r>
      <w:r w:rsidRPr="00EF4642">
        <w:rPr>
          <w:i/>
          <w:iCs/>
          <w:lang w:val="en-GB"/>
        </w:rPr>
        <w:t>116</w:t>
      </w:r>
      <w:r w:rsidRPr="00EF4642">
        <w:rPr>
          <w:lang w:val="en-GB"/>
        </w:rPr>
        <w:t>, 4052–4056. https://doi.org/10.1016/j.sbspro.2014.01.889</w:t>
      </w:r>
    </w:p>
    <w:p w14:paraId="72C848A7" w14:textId="77777777" w:rsidR="00EF4642" w:rsidRPr="00EF4642" w:rsidRDefault="00EF4642" w:rsidP="00EF4642">
      <w:pPr>
        <w:pStyle w:val="Literaturverzeichnis"/>
        <w:rPr>
          <w:lang w:val="en-GB"/>
        </w:rPr>
      </w:pPr>
      <w:r w:rsidRPr="00EF4642">
        <w:rPr>
          <w:lang w:val="en-GB"/>
        </w:rPr>
        <w:lastRenderedPageBreak/>
        <w:t xml:space="preserve">Lawton, M. P. (1977). An ecological theory of aging applied to elderly housing. </w:t>
      </w:r>
      <w:r w:rsidRPr="00EF4642">
        <w:rPr>
          <w:i/>
          <w:iCs/>
          <w:lang w:val="en-GB"/>
        </w:rPr>
        <w:t>Journal of Architectural Education</w:t>
      </w:r>
      <w:r w:rsidRPr="00EF4642">
        <w:rPr>
          <w:lang w:val="en-GB"/>
        </w:rPr>
        <w:t xml:space="preserve">, </w:t>
      </w:r>
      <w:r w:rsidRPr="00EF4642">
        <w:rPr>
          <w:i/>
          <w:iCs/>
          <w:lang w:val="en-GB"/>
        </w:rPr>
        <w:t>31</w:t>
      </w:r>
      <w:r w:rsidRPr="00EF4642">
        <w:rPr>
          <w:lang w:val="en-GB"/>
        </w:rPr>
        <w:t>(1), 8–10.</w:t>
      </w:r>
    </w:p>
    <w:p w14:paraId="08981865" w14:textId="77777777" w:rsidR="00EF4642" w:rsidRPr="00EF4642" w:rsidRDefault="00EF4642" w:rsidP="00EF4642">
      <w:pPr>
        <w:pStyle w:val="Literaturverzeichnis"/>
        <w:rPr>
          <w:lang w:val="en-GB"/>
        </w:rPr>
      </w:pPr>
      <w:r w:rsidRPr="00EF4642">
        <w:rPr>
          <w:lang w:val="en-GB"/>
        </w:rPr>
        <w:t xml:space="preserve">Lee, H., Airgood-Obrycki, W., &amp; Molinsky, J. (2025). Disparities in Residential Mobility Outcomes Among Older Adults in the United States. </w:t>
      </w:r>
      <w:r w:rsidRPr="00EF4642">
        <w:rPr>
          <w:i/>
          <w:iCs/>
          <w:lang w:val="en-GB"/>
        </w:rPr>
        <w:t>Journal of Planning Education and Research</w:t>
      </w:r>
      <w:r w:rsidRPr="00EF4642">
        <w:rPr>
          <w:lang w:val="en-GB"/>
        </w:rPr>
        <w:t>, 0739456X251326055. https://doi.org/10.1177/0739456X251326055</w:t>
      </w:r>
    </w:p>
    <w:p w14:paraId="4DEC998E" w14:textId="77777777" w:rsidR="00EF4642" w:rsidRPr="00EF4642" w:rsidRDefault="00EF4642" w:rsidP="00EF4642">
      <w:pPr>
        <w:pStyle w:val="Literaturverzeichnis"/>
      </w:pPr>
      <w:r w:rsidRPr="00EF4642">
        <w:rPr>
          <w:lang w:val="en-GB"/>
        </w:rPr>
        <w:t xml:space="preserve">Mulder, C. H., &amp; Hooimeijer, P. (1999). Residential Relocations in the Life Course. </w:t>
      </w:r>
      <w:r w:rsidRPr="00EF4642">
        <w:t xml:space="preserve">In L. J. G. Wissen &amp; P. A. Dykstra (Eds.), </w:t>
      </w:r>
      <w:r w:rsidRPr="00EF4642">
        <w:rPr>
          <w:i/>
          <w:iCs/>
        </w:rPr>
        <w:t>Population Issues</w:t>
      </w:r>
      <w:r w:rsidRPr="00EF4642">
        <w:t xml:space="preserve"> (pp. 159–186). Springer Netherlands. https://doi.org/10.1007/978-94-011-4389-9_6</w:t>
      </w:r>
    </w:p>
    <w:p w14:paraId="08CBC5A4" w14:textId="77777777" w:rsidR="00EF4642" w:rsidRPr="00EF4642" w:rsidRDefault="00EF4642" w:rsidP="00EF4642">
      <w:pPr>
        <w:pStyle w:val="Literaturverzeichnis"/>
        <w:rPr>
          <w:lang w:val="en-GB"/>
        </w:rPr>
      </w:pPr>
      <w:r w:rsidRPr="00EF4642">
        <w:t xml:space="preserve">Narushima, M., Liu, J., &amp; Diestelkamp, N. (2018). </w:t>
      </w:r>
      <w:r w:rsidRPr="00EF4642">
        <w:rPr>
          <w:lang w:val="en-GB"/>
        </w:rPr>
        <w:t xml:space="preserve">Lifelong learning in active ageing discourse: Its conserving effect on wellbeing, health and vulnerability. </w:t>
      </w:r>
      <w:r w:rsidRPr="00EF4642">
        <w:rPr>
          <w:i/>
          <w:iCs/>
          <w:lang w:val="en-GB"/>
        </w:rPr>
        <w:t>Ageing and Society</w:t>
      </w:r>
      <w:r w:rsidRPr="00EF4642">
        <w:rPr>
          <w:lang w:val="en-GB"/>
        </w:rPr>
        <w:t xml:space="preserve">, </w:t>
      </w:r>
      <w:r w:rsidRPr="00EF4642">
        <w:rPr>
          <w:i/>
          <w:iCs/>
          <w:lang w:val="en-GB"/>
        </w:rPr>
        <w:t>38</w:t>
      </w:r>
      <w:r w:rsidRPr="00EF4642">
        <w:rPr>
          <w:lang w:val="en-GB"/>
        </w:rPr>
        <w:t>(4), 651–675. https://doi.org/10.1017/S0144686X16001136</w:t>
      </w:r>
    </w:p>
    <w:p w14:paraId="0C69CB05" w14:textId="77777777" w:rsidR="00EF4642" w:rsidRPr="00EF4642" w:rsidRDefault="00EF4642" w:rsidP="00EF4642">
      <w:pPr>
        <w:pStyle w:val="Literaturverzeichnis"/>
      </w:pPr>
      <w:r w:rsidRPr="00EF4642">
        <w:rPr>
          <w:lang w:val="en-GB"/>
        </w:rPr>
        <w:t xml:space="preserve">Oliveira, A. L., Freitas, J. F., Reis, C. S., &amp; Gameiro, S. (2024). Education, well-being, and meaning in life: The case of a senior university in Portugal. </w:t>
      </w:r>
      <w:r w:rsidRPr="00EF4642">
        <w:rPr>
          <w:i/>
          <w:iCs/>
        </w:rPr>
        <w:t>Educação e Pesquisa</w:t>
      </w:r>
      <w:r w:rsidRPr="00EF4642">
        <w:t xml:space="preserve">, </w:t>
      </w:r>
      <w:r w:rsidRPr="00EF4642">
        <w:rPr>
          <w:i/>
          <w:iCs/>
        </w:rPr>
        <w:t>50</w:t>
      </w:r>
      <w:r w:rsidRPr="00EF4642">
        <w:t>, e278304. https://doi.org/10.1590/s1678-4634202450278304eng</w:t>
      </w:r>
    </w:p>
    <w:p w14:paraId="519E3942" w14:textId="77777777" w:rsidR="00EF4642" w:rsidRPr="00EF4642" w:rsidRDefault="00EF4642" w:rsidP="00EF4642">
      <w:pPr>
        <w:pStyle w:val="Literaturverzeichnis"/>
        <w:rPr>
          <w:lang w:val="en-GB"/>
        </w:rPr>
      </w:pPr>
      <w:r w:rsidRPr="00EF4642">
        <w:t xml:space="preserve">Orvin, M. M., &amp; Fatmi, M. R. (2022). </w:t>
      </w:r>
      <w:r w:rsidRPr="00EF4642">
        <w:rPr>
          <w:lang w:val="en-GB"/>
        </w:rPr>
        <w:t xml:space="preserve">Modeling residential mobility decisions from a life history–oriented perspective. </w:t>
      </w:r>
      <w:r w:rsidRPr="00EF4642">
        <w:rPr>
          <w:i/>
          <w:iCs/>
          <w:lang w:val="en-GB"/>
        </w:rPr>
        <w:t>Transportation Letters</w:t>
      </w:r>
      <w:r w:rsidRPr="00EF4642">
        <w:rPr>
          <w:lang w:val="en-GB"/>
        </w:rPr>
        <w:t xml:space="preserve">, </w:t>
      </w:r>
      <w:r w:rsidRPr="00EF4642">
        <w:rPr>
          <w:i/>
          <w:iCs/>
          <w:lang w:val="en-GB"/>
        </w:rPr>
        <w:t>14</w:t>
      </w:r>
      <w:r w:rsidRPr="00EF4642">
        <w:rPr>
          <w:lang w:val="en-GB"/>
        </w:rPr>
        <w:t>(10), 1100–1109. https://doi.org/10.1080/19427867.2021.1995585</w:t>
      </w:r>
    </w:p>
    <w:p w14:paraId="3E078CE4" w14:textId="77777777" w:rsidR="00EF4642" w:rsidRPr="00EF4642" w:rsidRDefault="00EF4642" w:rsidP="00EF4642">
      <w:pPr>
        <w:pStyle w:val="Literaturverzeichnis"/>
        <w:rPr>
          <w:lang w:val="en-GB"/>
        </w:rPr>
      </w:pPr>
      <w:r w:rsidRPr="00EF4642">
        <w:rPr>
          <w:lang w:val="en-GB"/>
        </w:rPr>
        <w:t xml:space="preserve">Oshio, T. (2018). Widening disparities in health between educational levels and their determinants in later life: Evidence from a nine-year cohort study. </w:t>
      </w:r>
      <w:r w:rsidRPr="00EF4642">
        <w:rPr>
          <w:i/>
          <w:iCs/>
          <w:lang w:val="en-GB"/>
        </w:rPr>
        <w:t>BMC Public Health</w:t>
      </w:r>
      <w:r w:rsidRPr="00EF4642">
        <w:rPr>
          <w:lang w:val="en-GB"/>
        </w:rPr>
        <w:t xml:space="preserve">, </w:t>
      </w:r>
      <w:r w:rsidRPr="00EF4642">
        <w:rPr>
          <w:i/>
          <w:iCs/>
          <w:lang w:val="en-GB"/>
        </w:rPr>
        <w:t>18</w:t>
      </w:r>
      <w:r w:rsidRPr="00EF4642">
        <w:rPr>
          <w:lang w:val="en-GB"/>
        </w:rPr>
        <w:t>(1), 278. https://doi.org/10.1186/s12889-018-5181-7</w:t>
      </w:r>
    </w:p>
    <w:p w14:paraId="42B4E098" w14:textId="77777777" w:rsidR="00EF4642" w:rsidRPr="00EF4642" w:rsidRDefault="00EF4642" w:rsidP="00EF4642">
      <w:pPr>
        <w:pStyle w:val="Literaturverzeichnis"/>
        <w:rPr>
          <w:lang w:val="en-GB"/>
        </w:rPr>
      </w:pPr>
      <w:r w:rsidRPr="00EF4642">
        <w:rPr>
          <w:lang w:val="en-GB"/>
        </w:rPr>
        <w:t xml:space="preserve">Oswald, F., Hieber, A., Wahl, H.-W., &amp; Mollenkopf, H. (2005). Ageing and person–environment fit in different urban neighbourhoods. </w:t>
      </w:r>
      <w:r w:rsidRPr="00EF4642">
        <w:rPr>
          <w:i/>
          <w:iCs/>
          <w:lang w:val="en-GB"/>
        </w:rPr>
        <w:t>European Journal of Ageing</w:t>
      </w:r>
      <w:r w:rsidRPr="00EF4642">
        <w:rPr>
          <w:lang w:val="en-GB"/>
        </w:rPr>
        <w:t xml:space="preserve">, </w:t>
      </w:r>
      <w:r w:rsidRPr="00EF4642">
        <w:rPr>
          <w:i/>
          <w:iCs/>
          <w:lang w:val="en-GB"/>
        </w:rPr>
        <w:t>2</w:t>
      </w:r>
      <w:r w:rsidRPr="00EF4642">
        <w:rPr>
          <w:lang w:val="en-GB"/>
        </w:rPr>
        <w:t>(2), 88–97. https://doi.org/10.1007/s10433-005-0026-5</w:t>
      </w:r>
    </w:p>
    <w:p w14:paraId="3018F1EC" w14:textId="77777777" w:rsidR="00EF4642" w:rsidRPr="00EF4642" w:rsidRDefault="00EF4642" w:rsidP="00EF4642">
      <w:pPr>
        <w:pStyle w:val="Literaturverzeichnis"/>
        <w:rPr>
          <w:lang w:val="en-GB"/>
        </w:rPr>
      </w:pPr>
      <w:r w:rsidRPr="00EF4642">
        <w:rPr>
          <w:lang w:val="en-GB"/>
        </w:rPr>
        <w:lastRenderedPageBreak/>
        <w:t xml:space="preserve">Oswald, F., Schilling, O., Wahl, H.-W., &amp; Gäng, K. (2002). Trouble in Paradise? Reasons to relocate and objective environmental changes among well-off older adults. </w:t>
      </w:r>
      <w:r w:rsidRPr="00EF4642">
        <w:rPr>
          <w:i/>
          <w:iCs/>
          <w:lang w:val="en-GB"/>
        </w:rPr>
        <w:t>Journal of Environmental Psychology</w:t>
      </w:r>
      <w:r w:rsidRPr="00EF4642">
        <w:rPr>
          <w:lang w:val="en-GB"/>
        </w:rPr>
        <w:t xml:space="preserve">, </w:t>
      </w:r>
      <w:r w:rsidRPr="00EF4642">
        <w:rPr>
          <w:i/>
          <w:iCs/>
          <w:lang w:val="en-GB"/>
        </w:rPr>
        <w:t>22</w:t>
      </w:r>
      <w:r w:rsidRPr="00EF4642">
        <w:rPr>
          <w:lang w:val="en-GB"/>
        </w:rPr>
        <w:t>(3), 273–288. https://doi.org/10.1006/jevp.2002.0255</w:t>
      </w:r>
    </w:p>
    <w:p w14:paraId="4805C83F" w14:textId="77777777" w:rsidR="00EF4642" w:rsidRPr="00EF4642" w:rsidRDefault="00EF4642" w:rsidP="00EF4642">
      <w:pPr>
        <w:pStyle w:val="Literaturverzeichnis"/>
        <w:rPr>
          <w:lang w:val="en-GB"/>
        </w:rPr>
      </w:pPr>
      <w:r w:rsidRPr="00EF4642">
        <w:rPr>
          <w:lang w:val="en-GB"/>
        </w:rPr>
        <w:t xml:space="preserve">Park, G., Seo, B. K., &amp; Namkung, E. H. (2025). Housing Relocation and Residential Satisfaction After Relocation: Effects of Dwelling Condition Changes on Older Adults in the Community. </w:t>
      </w:r>
      <w:r w:rsidRPr="00EF4642">
        <w:rPr>
          <w:i/>
          <w:iCs/>
          <w:lang w:val="en-GB"/>
        </w:rPr>
        <w:t>International Journal of Geriatric Psychiatry</w:t>
      </w:r>
      <w:r w:rsidRPr="00EF4642">
        <w:rPr>
          <w:lang w:val="en-GB"/>
        </w:rPr>
        <w:t xml:space="preserve">, </w:t>
      </w:r>
      <w:r w:rsidRPr="00EF4642">
        <w:rPr>
          <w:i/>
          <w:iCs/>
          <w:lang w:val="en-GB"/>
        </w:rPr>
        <w:t>40</w:t>
      </w:r>
      <w:r w:rsidRPr="00EF4642">
        <w:rPr>
          <w:lang w:val="en-GB"/>
        </w:rPr>
        <w:t>(1), e70044. https://doi.org/10.1002/gps.70044</w:t>
      </w:r>
    </w:p>
    <w:p w14:paraId="20DFE6BD" w14:textId="77777777" w:rsidR="00EF4642" w:rsidRPr="00EF4642" w:rsidRDefault="00EF4642" w:rsidP="00EF4642">
      <w:pPr>
        <w:pStyle w:val="Literaturverzeichnis"/>
        <w:rPr>
          <w:lang w:val="en-GB"/>
        </w:rPr>
      </w:pPr>
      <w:r w:rsidRPr="00EF4642">
        <w:t xml:space="preserve">Pope, N. D., &amp; Kang, B. (2010). </w:t>
      </w:r>
      <w:r w:rsidRPr="00EF4642">
        <w:rPr>
          <w:lang w:val="en-GB"/>
        </w:rPr>
        <w:t xml:space="preserve">Residential Relocation in Later Life: A Comparison of Proactive and Reactive Moves. </w:t>
      </w:r>
      <w:r w:rsidRPr="00EF4642">
        <w:rPr>
          <w:i/>
          <w:iCs/>
          <w:lang w:val="en-GB"/>
        </w:rPr>
        <w:t>Journal of Housing For the Elderly</w:t>
      </w:r>
      <w:r w:rsidRPr="00EF4642">
        <w:rPr>
          <w:lang w:val="en-GB"/>
        </w:rPr>
        <w:t xml:space="preserve">, </w:t>
      </w:r>
      <w:r w:rsidRPr="00EF4642">
        <w:rPr>
          <w:i/>
          <w:iCs/>
          <w:lang w:val="en-GB"/>
        </w:rPr>
        <w:t>24</w:t>
      </w:r>
      <w:r w:rsidRPr="00EF4642">
        <w:rPr>
          <w:lang w:val="en-GB"/>
        </w:rPr>
        <w:t>(2), 193–207. https://doi.org/10.1080/02763891003757122</w:t>
      </w:r>
    </w:p>
    <w:p w14:paraId="48A3AFEF" w14:textId="77777777" w:rsidR="00EF4642" w:rsidRPr="00EF4642" w:rsidRDefault="00EF4642" w:rsidP="00EF4642">
      <w:pPr>
        <w:pStyle w:val="Literaturverzeichnis"/>
        <w:rPr>
          <w:lang w:val="en-GB"/>
        </w:rPr>
      </w:pPr>
      <w:r w:rsidRPr="00EF4642">
        <w:rPr>
          <w:lang w:val="en-GB"/>
        </w:rPr>
        <w:t xml:space="preserve">Recksiedler, C., &amp; Stawski, R. S. (2019). Marital Transitions and Depressive Symptoms among Older Adults: Examining Educational Differences. </w:t>
      </w:r>
      <w:r w:rsidRPr="00EF4642">
        <w:rPr>
          <w:i/>
          <w:iCs/>
          <w:lang w:val="en-GB"/>
        </w:rPr>
        <w:t>Gerontology</w:t>
      </w:r>
      <w:r w:rsidRPr="00EF4642">
        <w:rPr>
          <w:lang w:val="en-GB"/>
        </w:rPr>
        <w:t xml:space="preserve">, </w:t>
      </w:r>
      <w:r w:rsidRPr="00EF4642">
        <w:rPr>
          <w:i/>
          <w:iCs/>
          <w:lang w:val="en-GB"/>
        </w:rPr>
        <w:t>65</w:t>
      </w:r>
      <w:r w:rsidRPr="00EF4642">
        <w:rPr>
          <w:lang w:val="en-GB"/>
        </w:rPr>
        <w:t>(4), 407–418. https://doi.org/10.1159/000493681</w:t>
      </w:r>
    </w:p>
    <w:p w14:paraId="4AA14468" w14:textId="77777777" w:rsidR="00EF4642" w:rsidRPr="00EF4642" w:rsidRDefault="00EF4642" w:rsidP="00EF4642">
      <w:pPr>
        <w:pStyle w:val="Literaturverzeichnis"/>
        <w:rPr>
          <w:lang w:val="en-GB"/>
        </w:rPr>
      </w:pPr>
      <w:r w:rsidRPr="00EF4642">
        <w:rPr>
          <w:lang w:val="en-GB"/>
        </w:rPr>
        <w:t xml:space="preserve">Rogoff, B., Callanan, M., Gutiérrez, K. D., &amp; Erickson, F. (2016). The Organization of Informal Learning. </w:t>
      </w:r>
      <w:r w:rsidRPr="00EF4642">
        <w:rPr>
          <w:i/>
          <w:iCs/>
          <w:lang w:val="en-GB"/>
        </w:rPr>
        <w:t>Review of Research in Education</w:t>
      </w:r>
      <w:r w:rsidRPr="00EF4642">
        <w:rPr>
          <w:lang w:val="en-GB"/>
        </w:rPr>
        <w:t xml:space="preserve">, </w:t>
      </w:r>
      <w:r w:rsidRPr="00EF4642">
        <w:rPr>
          <w:i/>
          <w:iCs/>
          <w:lang w:val="en-GB"/>
        </w:rPr>
        <w:t>40</w:t>
      </w:r>
      <w:r w:rsidRPr="00EF4642">
        <w:rPr>
          <w:lang w:val="en-GB"/>
        </w:rPr>
        <w:t>(1), 356–401. https://doi.org/10.3102/0091732X16680994</w:t>
      </w:r>
    </w:p>
    <w:p w14:paraId="27CA28CB" w14:textId="77777777" w:rsidR="00EF4642" w:rsidRPr="00EF4642" w:rsidRDefault="00EF4642" w:rsidP="00EF4642">
      <w:pPr>
        <w:pStyle w:val="Literaturverzeichnis"/>
        <w:rPr>
          <w:lang w:val="en-GB"/>
        </w:rPr>
      </w:pPr>
      <w:r w:rsidRPr="00EF4642">
        <w:rPr>
          <w:lang w:val="en-GB"/>
        </w:rPr>
        <w:t xml:space="preserve">Stephens, C., &amp; Allen, J. (2022). Older People as Active Agents in Their Neighborhood Environments: Moving House Can Improve Quality of Life. </w:t>
      </w:r>
      <w:r w:rsidRPr="00EF4642">
        <w:rPr>
          <w:i/>
          <w:iCs/>
          <w:lang w:val="en-GB"/>
        </w:rPr>
        <w:t>The Gerontologist</w:t>
      </w:r>
      <w:r w:rsidRPr="00EF4642">
        <w:rPr>
          <w:lang w:val="en-GB"/>
        </w:rPr>
        <w:t xml:space="preserve">, </w:t>
      </w:r>
      <w:r w:rsidRPr="00EF4642">
        <w:rPr>
          <w:i/>
          <w:iCs/>
          <w:lang w:val="en-GB"/>
        </w:rPr>
        <w:t>62</w:t>
      </w:r>
      <w:r w:rsidRPr="00EF4642">
        <w:rPr>
          <w:lang w:val="en-GB"/>
        </w:rPr>
        <w:t>(1), 56–65. https://doi.org/10.1093/geront/gnab065</w:t>
      </w:r>
    </w:p>
    <w:p w14:paraId="118BB383" w14:textId="77777777" w:rsidR="00EF4642" w:rsidRPr="00EF4642" w:rsidRDefault="00EF4642" w:rsidP="00EF4642">
      <w:pPr>
        <w:pStyle w:val="Literaturverzeichnis"/>
        <w:rPr>
          <w:lang w:val="en-GB"/>
        </w:rPr>
      </w:pPr>
      <w:r w:rsidRPr="00EF4642">
        <w:rPr>
          <w:lang w:val="en-GB"/>
        </w:rPr>
        <w:t xml:space="preserve">Walker, S. E., Bruyere, B. L., Zarestky, J., Yasin, A., Lenaiyasa, E., Lolemu, A., &amp; Pickering, T. (2022). Education and adaptive capacity: The influence of formal education on climate change adaptation of pastoral women. </w:t>
      </w:r>
      <w:r w:rsidRPr="00EF4642">
        <w:rPr>
          <w:i/>
          <w:iCs/>
          <w:lang w:val="en-GB"/>
        </w:rPr>
        <w:t>Climate and Development</w:t>
      </w:r>
      <w:r w:rsidRPr="00EF4642">
        <w:rPr>
          <w:lang w:val="en-GB"/>
        </w:rPr>
        <w:t xml:space="preserve">, </w:t>
      </w:r>
      <w:r w:rsidRPr="00EF4642">
        <w:rPr>
          <w:i/>
          <w:iCs/>
          <w:lang w:val="en-GB"/>
        </w:rPr>
        <w:t>14</w:t>
      </w:r>
      <w:r w:rsidRPr="00EF4642">
        <w:rPr>
          <w:lang w:val="en-GB"/>
        </w:rPr>
        <w:t>(5), 409–418. https://doi.org/10.1080/17565529.2021.1930508</w:t>
      </w:r>
    </w:p>
    <w:p w14:paraId="3772722C" w14:textId="77777777" w:rsidR="00EF4642" w:rsidRPr="00EF4642" w:rsidRDefault="00EF4642" w:rsidP="00EF4642">
      <w:pPr>
        <w:pStyle w:val="Literaturverzeichnis"/>
        <w:rPr>
          <w:lang w:val="en-GB"/>
        </w:rPr>
      </w:pPr>
      <w:r w:rsidRPr="00EF4642">
        <w:rPr>
          <w:lang w:val="en-GB"/>
        </w:rPr>
        <w:lastRenderedPageBreak/>
        <w:t xml:space="preserve">Werquin, P. (2010). </w:t>
      </w:r>
      <w:r w:rsidRPr="00EF4642">
        <w:rPr>
          <w:i/>
          <w:iCs/>
          <w:lang w:val="en-GB"/>
        </w:rPr>
        <w:t>Recognising Non-Formal and Informal Learning: Outcomes, Policies and Practices</w:t>
      </w:r>
      <w:r w:rsidRPr="00EF4642">
        <w:rPr>
          <w:lang w:val="en-GB"/>
        </w:rPr>
        <w:t>. OECD. https://doi.org/10.1787/9789264063853-en</w:t>
      </w:r>
    </w:p>
    <w:p w14:paraId="3C92C3B2" w14:textId="77777777" w:rsidR="00EF4642" w:rsidRPr="00EF4642" w:rsidRDefault="00EF4642" w:rsidP="00EF4642">
      <w:pPr>
        <w:pStyle w:val="Literaturverzeichnis"/>
        <w:rPr>
          <w:lang w:val="en-GB"/>
        </w:rPr>
      </w:pPr>
      <w:r w:rsidRPr="00EF4642">
        <w:rPr>
          <w:lang w:val="en-GB"/>
        </w:rPr>
        <w:t xml:space="preserve">Weziak-Bialowolska, D., Bialowolski, P., &amp; Sacco, P. L. (2023). Mind-stimulating leisure activities: Prospective associations with health, wellbeing, and longevity. </w:t>
      </w:r>
      <w:r w:rsidRPr="00EF4642">
        <w:rPr>
          <w:i/>
          <w:iCs/>
          <w:lang w:val="en-GB"/>
        </w:rPr>
        <w:t>Frontiers in Public Health</w:t>
      </w:r>
      <w:r w:rsidRPr="00EF4642">
        <w:rPr>
          <w:lang w:val="en-GB"/>
        </w:rPr>
        <w:t xml:space="preserve">, </w:t>
      </w:r>
      <w:r w:rsidRPr="00EF4642">
        <w:rPr>
          <w:i/>
          <w:iCs/>
          <w:lang w:val="en-GB"/>
        </w:rPr>
        <w:t>11</w:t>
      </w:r>
      <w:r w:rsidRPr="00EF4642">
        <w:rPr>
          <w:lang w:val="en-GB"/>
        </w:rPr>
        <w:t>, 1117822. https://doi.org/10.3389/fpubh.2023.1117822</w:t>
      </w:r>
    </w:p>
    <w:p w14:paraId="656A68F7" w14:textId="77777777" w:rsidR="00EF4642" w:rsidRPr="00EF4642" w:rsidRDefault="00EF4642" w:rsidP="00EF4642">
      <w:pPr>
        <w:pStyle w:val="Literaturverzeichnis"/>
        <w:rPr>
          <w:lang w:val="en-GB"/>
        </w:rPr>
      </w:pPr>
      <w:r w:rsidRPr="00EF4642">
        <w:rPr>
          <w:lang w:val="en-GB"/>
        </w:rPr>
        <w:t xml:space="preserve">Wu, Y.-T., Daskalopoulou, C., Muniz Terrera, G., Sanchez Niubo, A., Rodríguez-Artalejo, F., Ayuso-Mateos, J. L., Bobak, M., Caballero, F. F., De La Fuente, J., De La Torre-Luque, A., García-Esquinas, E., Haro, J. M., Koskinen, S., Koupil, I., Leonardi, M., Pajak, A., Panagiotakos, D., Stefler, D., Tobias-Adamczyk, B., … </w:t>
      </w:r>
      <w:proofErr w:type="spellStart"/>
      <w:r w:rsidRPr="007D0253">
        <w:rPr>
          <w:lang w:val="en-GB"/>
        </w:rPr>
        <w:t>Prina</w:t>
      </w:r>
      <w:proofErr w:type="spellEnd"/>
      <w:r w:rsidRPr="007D0253">
        <w:rPr>
          <w:lang w:val="en-GB"/>
        </w:rPr>
        <w:t xml:space="preserve">, A. M. (2020). </w:t>
      </w:r>
      <w:r w:rsidRPr="00EF4642">
        <w:rPr>
          <w:lang w:val="en-GB"/>
        </w:rPr>
        <w:t xml:space="preserve">Education and wealth inequalities in healthy ageing in eight harmonised cohorts in the ATHLOS consortium: A population-based study. </w:t>
      </w:r>
      <w:r w:rsidRPr="00EF4642">
        <w:rPr>
          <w:i/>
          <w:iCs/>
          <w:lang w:val="en-GB"/>
        </w:rPr>
        <w:t>The Lancet Public Health</w:t>
      </w:r>
      <w:r w:rsidRPr="00EF4642">
        <w:rPr>
          <w:lang w:val="en-GB"/>
        </w:rPr>
        <w:t xml:space="preserve">, </w:t>
      </w:r>
      <w:r w:rsidRPr="00EF4642">
        <w:rPr>
          <w:i/>
          <w:iCs/>
          <w:lang w:val="en-GB"/>
        </w:rPr>
        <w:t>5</w:t>
      </w:r>
      <w:r w:rsidRPr="00EF4642">
        <w:rPr>
          <w:lang w:val="en-GB"/>
        </w:rPr>
        <w:t>(7), e386–e394. https://doi.org/10.1016/S2468-2667(20)30077-3</w:t>
      </w:r>
    </w:p>
    <w:p w14:paraId="3E49BBC0" w14:textId="77777777" w:rsidR="00EF4642" w:rsidRPr="00EF4642" w:rsidRDefault="00EF4642" w:rsidP="00EF4642">
      <w:pPr>
        <w:pStyle w:val="Literaturverzeichnis"/>
        <w:rPr>
          <w:lang w:val="en-GB"/>
        </w:rPr>
      </w:pPr>
      <w:r w:rsidRPr="00EF4642">
        <w:rPr>
          <w:lang w:val="en-GB"/>
        </w:rPr>
        <w:t xml:space="preserve">Wu, Z., Pandigama, D. H., Wrigglesworth, J., Owen, A., Woods, R. L., Chong, T. T.-J., Orchard, S. G., Shah, R. C., Sheets, K. M., McNeil, J. J., Murray, A. M., &amp; Ryan, J. (2023). Lifestyle Enrichment in Later Life and Its Association With Dementia Risk. </w:t>
      </w:r>
      <w:r w:rsidRPr="00EF4642">
        <w:rPr>
          <w:i/>
          <w:iCs/>
          <w:lang w:val="en-GB"/>
        </w:rPr>
        <w:t>JAMA Network Open</w:t>
      </w:r>
      <w:r w:rsidRPr="00EF4642">
        <w:rPr>
          <w:lang w:val="en-GB"/>
        </w:rPr>
        <w:t xml:space="preserve">, </w:t>
      </w:r>
      <w:r w:rsidRPr="00EF4642">
        <w:rPr>
          <w:i/>
          <w:iCs/>
          <w:lang w:val="en-GB"/>
        </w:rPr>
        <w:t>6</w:t>
      </w:r>
      <w:r w:rsidRPr="00EF4642">
        <w:rPr>
          <w:lang w:val="en-GB"/>
        </w:rPr>
        <w:t>(7), e2323690. https://doi.org/10.1001/jamanetworkopen.2023.23690</w:t>
      </w:r>
    </w:p>
    <w:p w14:paraId="2DB47D6F" w14:textId="77777777" w:rsidR="00EF4642" w:rsidRPr="00EF4642" w:rsidRDefault="00EF4642" w:rsidP="00EF4642">
      <w:pPr>
        <w:pStyle w:val="Literaturverzeichnis"/>
        <w:rPr>
          <w:lang w:val="en-GB"/>
        </w:rPr>
      </w:pPr>
      <w:r w:rsidRPr="00EF4642">
        <w:rPr>
          <w:lang w:val="en-GB"/>
        </w:rPr>
        <w:t xml:space="preserve">Yang, J. M. J., &amp; Stone, L. (2024). Exploring the Role of the Built Environment on the Functional Ability and Social Participation in Community-dwelling Older Adults. </w:t>
      </w:r>
      <w:r w:rsidRPr="00EF4642">
        <w:rPr>
          <w:i/>
          <w:iCs/>
          <w:lang w:val="en-GB"/>
        </w:rPr>
        <w:t>Acta Medica Philippina</w:t>
      </w:r>
      <w:r w:rsidRPr="00EF4642">
        <w:rPr>
          <w:lang w:val="en-GB"/>
        </w:rPr>
        <w:t xml:space="preserve">, </w:t>
      </w:r>
      <w:r w:rsidRPr="00EF4642">
        <w:rPr>
          <w:i/>
          <w:iCs/>
          <w:lang w:val="en-GB"/>
        </w:rPr>
        <w:t>58</w:t>
      </w:r>
      <w:r w:rsidRPr="00EF4642">
        <w:rPr>
          <w:lang w:val="en-GB"/>
        </w:rPr>
        <w:t>(20). https://doi.org/10.47895/amp.v58i20.8512</w:t>
      </w:r>
    </w:p>
    <w:p w14:paraId="003CC626" w14:textId="77777777" w:rsidR="00EF4642" w:rsidRPr="00EF4642" w:rsidRDefault="00EF4642" w:rsidP="00EF4642">
      <w:pPr>
        <w:pStyle w:val="Literaturverzeichnis"/>
        <w:rPr>
          <w:lang w:val="en-GB"/>
        </w:rPr>
      </w:pPr>
      <w:r w:rsidRPr="00EF4642">
        <w:rPr>
          <w:lang w:val="en-GB"/>
        </w:rPr>
        <w:t xml:space="preserve">Yarina, L., &amp; Wescoat, J. L. (2023). Spectrums of Relocation: A typological framework for understanding risk-based relocation through space, time and power. </w:t>
      </w:r>
      <w:r w:rsidRPr="00EF4642">
        <w:rPr>
          <w:i/>
          <w:iCs/>
          <w:lang w:val="en-GB"/>
        </w:rPr>
        <w:t xml:space="preserve">Global </w:t>
      </w:r>
      <w:r w:rsidRPr="00EF4642">
        <w:rPr>
          <w:i/>
          <w:iCs/>
          <w:lang w:val="en-GB"/>
        </w:rPr>
        <w:lastRenderedPageBreak/>
        <w:t>Environmental Change</w:t>
      </w:r>
      <w:r w:rsidRPr="00EF4642">
        <w:rPr>
          <w:lang w:val="en-GB"/>
        </w:rPr>
        <w:t xml:space="preserve">, </w:t>
      </w:r>
      <w:r w:rsidRPr="00EF4642">
        <w:rPr>
          <w:i/>
          <w:iCs/>
          <w:lang w:val="en-GB"/>
        </w:rPr>
        <w:t>79</w:t>
      </w:r>
      <w:r w:rsidRPr="00EF4642">
        <w:rPr>
          <w:lang w:val="en-GB"/>
        </w:rPr>
        <w:t>, 102650. https://doi.org/10.1016/j.gloenvcha.2023.102650</w:t>
      </w:r>
    </w:p>
    <w:p w14:paraId="368A4379" w14:textId="77777777" w:rsidR="00EF4642" w:rsidRPr="00EF4642" w:rsidRDefault="00EF4642" w:rsidP="00EF4642">
      <w:pPr>
        <w:pStyle w:val="Literaturverzeichnis"/>
      </w:pPr>
      <w:r w:rsidRPr="00EF4642">
        <w:rPr>
          <w:lang w:val="en-GB"/>
        </w:rPr>
        <w:t xml:space="preserve">Yaw, X. E., Teh, P. L., Lim, W. M., &amp; Lee, S. W. H. (2025). Indoor mobility challenges among older adults: A systematic review of barriers and limitations. </w:t>
      </w:r>
      <w:r w:rsidRPr="00EF4642">
        <w:rPr>
          <w:i/>
          <w:iCs/>
        </w:rPr>
        <w:t>PLOS One</w:t>
      </w:r>
      <w:r w:rsidRPr="00EF4642">
        <w:t xml:space="preserve">, </w:t>
      </w:r>
      <w:r w:rsidRPr="00EF4642">
        <w:rPr>
          <w:i/>
          <w:iCs/>
        </w:rPr>
        <w:t>20</w:t>
      </w:r>
      <w:r w:rsidRPr="00EF4642">
        <w:t>(6), e0325064. https://doi.org/10.1371/journal.pone.0325064</w:t>
      </w:r>
    </w:p>
    <w:p w14:paraId="5E0BAB03" w14:textId="6E9ADFDC" w:rsidR="008B0B92" w:rsidRPr="008B0B92" w:rsidRDefault="008B0B92" w:rsidP="008B0B92">
      <w:r>
        <w:fldChar w:fldCharType="end"/>
      </w:r>
    </w:p>
    <w:sectPr w:rsidR="008B0B92" w:rsidRPr="008B0B92">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nuela Schulz" w:date="2026-03-17T10:13:00Z" w:initials="MS">
    <w:p w14:paraId="2DEDC50E" w14:textId="4508915D" w:rsidR="004B098F" w:rsidRDefault="004B098F">
      <w:pPr>
        <w:pStyle w:val="Kommentartext"/>
      </w:pPr>
      <w:r>
        <w:rPr>
          <w:rStyle w:val="Kommentarzeichen"/>
        </w:rPr>
        <w:annotationRef/>
      </w:r>
      <w:r>
        <w:t>Versionsnummer prüfen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EDC5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CE475D4" w16cex:dateUtc="2026-03-17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EDC50E" w16cid:durableId="6CE475D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6EA"/>
    <w:multiLevelType w:val="multilevel"/>
    <w:tmpl w:val="8E10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28340E"/>
    <w:multiLevelType w:val="multilevel"/>
    <w:tmpl w:val="629A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3711987">
    <w:abstractNumId w:val="1"/>
  </w:num>
  <w:num w:numId="2" w16cid:durableId="1766992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uela Schulz">
    <w15:presenceInfo w15:providerId="Windows Live" w15:userId="87096f4cc87c3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D"/>
    <w:rsid w:val="00035000"/>
    <w:rsid w:val="00036ADF"/>
    <w:rsid w:val="00047918"/>
    <w:rsid w:val="00052832"/>
    <w:rsid w:val="001069FB"/>
    <w:rsid w:val="00131F46"/>
    <w:rsid w:val="00164915"/>
    <w:rsid w:val="00171041"/>
    <w:rsid w:val="00177521"/>
    <w:rsid w:val="00186349"/>
    <w:rsid w:val="00195AF1"/>
    <w:rsid w:val="001C5FFD"/>
    <w:rsid w:val="002134F9"/>
    <w:rsid w:val="0022049D"/>
    <w:rsid w:val="002A65CC"/>
    <w:rsid w:val="002F2AAA"/>
    <w:rsid w:val="00312A8C"/>
    <w:rsid w:val="00322764"/>
    <w:rsid w:val="00364D48"/>
    <w:rsid w:val="00384449"/>
    <w:rsid w:val="003A0D55"/>
    <w:rsid w:val="003E58E0"/>
    <w:rsid w:val="0040466B"/>
    <w:rsid w:val="00417FCA"/>
    <w:rsid w:val="00464B86"/>
    <w:rsid w:val="004B098F"/>
    <w:rsid w:val="004D1A74"/>
    <w:rsid w:val="00510761"/>
    <w:rsid w:val="005478AC"/>
    <w:rsid w:val="005974FB"/>
    <w:rsid w:val="005B5B81"/>
    <w:rsid w:val="005E6325"/>
    <w:rsid w:val="006A6F7E"/>
    <w:rsid w:val="006C444B"/>
    <w:rsid w:val="00736FA0"/>
    <w:rsid w:val="00770FFC"/>
    <w:rsid w:val="007D0253"/>
    <w:rsid w:val="007F3AC4"/>
    <w:rsid w:val="00856328"/>
    <w:rsid w:val="00860BFE"/>
    <w:rsid w:val="00883438"/>
    <w:rsid w:val="008A708A"/>
    <w:rsid w:val="008B0B92"/>
    <w:rsid w:val="00912FFE"/>
    <w:rsid w:val="00944B49"/>
    <w:rsid w:val="009805CB"/>
    <w:rsid w:val="0099299C"/>
    <w:rsid w:val="009A102F"/>
    <w:rsid w:val="009D3AA8"/>
    <w:rsid w:val="009D5F27"/>
    <w:rsid w:val="009E36A6"/>
    <w:rsid w:val="00A070E7"/>
    <w:rsid w:val="00A8136B"/>
    <w:rsid w:val="00A9228D"/>
    <w:rsid w:val="00AB6764"/>
    <w:rsid w:val="00B43C99"/>
    <w:rsid w:val="00B702F3"/>
    <w:rsid w:val="00B82325"/>
    <w:rsid w:val="00BF64DD"/>
    <w:rsid w:val="00C34ECF"/>
    <w:rsid w:val="00C40E0E"/>
    <w:rsid w:val="00C51661"/>
    <w:rsid w:val="00C91604"/>
    <w:rsid w:val="00CB2967"/>
    <w:rsid w:val="00D629FB"/>
    <w:rsid w:val="00DA262A"/>
    <w:rsid w:val="00DC6A5A"/>
    <w:rsid w:val="00E211A0"/>
    <w:rsid w:val="00E3704D"/>
    <w:rsid w:val="00EA6369"/>
    <w:rsid w:val="00EB6697"/>
    <w:rsid w:val="00EC54C8"/>
    <w:rsid w:val="00EF4642"/>
    <w:rsid w:val="00F44ABF"/>
    <w:rsid w:val="00F57D12"/>
    <w:rsid w:val="00F92826"/>
    <w:rsid w:val="00F92D60"/>
    <w:rsid w:val="00FF1491"/>
    <w:rsid w:val="00FF74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8A01F"/>
  <w15:chartTrackingRefBased/>
  <w15:docId w15:val="{9D853CF1-8498-4CB1-812D-C13A2D4B2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A6F7E"/>
    <w:pPr>
      <w:outlineLvl w:val="0"/>
    </w:pPr>
    <w:rPr>
      <w:rFonts w:ascii="Times New Roman" w:hAnsi="Times New Roman" w:cs="Times New Roman"/>
      <w:b/>
      <w:bCs/>
      <w:sz w:val="28"/>
      <w:szCs w:val="28"/>
      <w:lang w:val="en-GB"/>
    </w:rPr>
  </w:style>
  <w:style w:type="paragraph" w:styleId="berschrift2">
    <w:name w:val="heading 2"/>
    <w:basedOn w:val="Standard"/>
    <w:next w:val="Standard"/>
    <w:link w:val="berschrift2Zchn"/>
    <w:uiPriority w:val="9"/>
    <w:unhideWhenUsed/>
    <w:qFormat/>
    <w:rsid w:val="00CB2967"/>
    <w:pPr>
      <w:outlineLvl w:val="1"/>
    </w:pPr>
    <w:rPr>
      <w:rFonts w:ascii="Times New Roman" w:hAnsi="Times New Roman" w:cs="Times New Roman"/>
      <w:b/>
      <w:bCs/>
    </w:rPr>
  </w:style>
  <w:style w:type="paragraph" w:styleId="berschrift3">
    <w:name w:val="heading 3"/>
    <w:basedOn w:val="Standard"/>
    <w:next w:val="Standard"/>
    <w:link w:val="berschrift3Zchn"/>
    <w:uiPriority w:val="9"/>
    <w:unhideWhenUsed/>
    <w:qFormat/>
    <w:rsid w:val="00944B49"/>
    <w:pPr>
      <w:outlineLvl w:val="2"/>
    </w:pPr>
    <w:rPr>
      <w:rFonts w:ascii="Times New Roman" w:hAnsi="Times New Roman" w:cs="Times New Roman"/>
      <w:u w:val="single"/>
      <w:lang w:val="en-GB" w:eastAsia="en-GB"/>
    </w:rPr>
  </w:style>
  <w:style w:type="paragraph" w:styleId="berschrift4">
    <w:name w:val="heading 4"/>
    <w:basedOn w:val="Standard"/>
    <w:next w:val="Standard"/>
    <w:link w:val="berschrift4Zchn"/>
    <w:uiPriority w:val="9"/>
    <w:unhideWhenUsed/>
    <w:qFormat/>
    <w:rsid w:val="008A708A"/>
    <w:pPr>
      <w:keepNext/>
      <w:keepLines/>
      <w:spacing w:before="80" w:after="40"/>
      <w:outlineLvl w:val="3"/>
    </w:pPr>
    <w:rPr>
      <w:rFonts w:ascii="Times New Roman" w:eastAsiaTheme="majorEastAsia" w:hAnsi="Times New Roman" w:cs="Times New Roman"/>
      <w:i/>
      <w:iCs/>
      <w:color w:val="000000" w:themeColor="text1"/>
      <w:lang w:val="en-GB"/>
    </w:rPr>
  </w:style>
  <w:style w:type="paragraph" w:styleId="berschrift5">
    <w:name w:val="heading 5"/>
    <w:basedOn w:val="Standard"/>
    <w:next w:val="Standard"/>
    <w:link w:val="berschrift5Zchn"/>
    <w:uiPriority w:val="9"/>
    <w:semiHidden/>
    <w:unhideWhenUsed/>
    <w:qFormat/>
    <w:rsid w:val="001C5FF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C5FF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C5FF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C5FF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C5FF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6F7E"/>
    <w:rPr>
      <w:rFonts w:ascii="Times New Roman" w:hAnsi="Times New Roman" w:cs="Times New Roman"/>
      <w:b/>
      <w:bCs/>
      <w:sz w:val="28"/>
      <w:szCs w:val="28"/>
      <w:lang w:val="en-GB"/>
    </w:rPr>
  </w:style>
  <w:style w:type="character" w:customStyle="1" w:styleId="berschrift2Zchn">
    <w:name w:val="Überschrift 2 Zchn"/>
    <w:basedOn w:val="Absatz-Standardschriftart"/>
    <w:link w:val="berschrift2"/>
    <w:uiPriority w:val="9"/>
    <w:rsid w:val="00CB2967"/>
    <w:rPr>
      <w:rFonts w:ascii="Times New Roman" w:hAnsi="Times New Roman" w:cs="Times New Roman"/>
      <w:b/>
      <w:bCs/>
    </w:rPr>
  </w:style>
  <w:style w:type="character" w:customStyle="1" w:styleId="berschrift3Zchn">
    <w:name w:val="Überschrift 3 Zchn"/>
    <w:basedOn w:val="Absatz-Standardschriftart"/>
    <w:link w:val="berschrift3"/>
    <w:uiPriority w:val="9"/>
    <w:rsid w:val="00944B49"/>
    <w:rPr>
      <w:rFonts w:ascii="Times New Roman" w:hAnsi="Times New Roman" w:cs="Times New Roman"/>
      <w:u w:val="single"/>
      <w:lang w:val="en-GB" w:eastAsia="en-GB"/>
    </w:rPr>
  </w:style>
  <w:style w:type="character" w:customStyle="1" w:styleId="berschrift4Zchn">
    <w:name w:val="Überschrift 4 Zchn"/>
    <w:basedOn w:val="Absatz-Standardschriftart"/>
    <w:link w:val="berschrift4"/>
    <w:uiPriority w:val="9"/>
    <w:rsid w:val="008A708A"/>
    <w:rPr>
      <w:rFonts w:ascii="Times New Roman" w:eastAsiaTheme="majorEastAsia" w:hAnsi="Times New Roman" w:cs="Times New Roman"/>
      <w:i/>
      <w:iCs/>
      <w:color w:val="000000" w:themeColor="text1"/>
      <w:lang w:val="en-GB"/>
    </w:rPr>
  </w:style>
  <w:style w:type="character" w:customStyle="1" w:styleId="berschrift5Zchn">
    <w:name w:val="Überschrift 5 Zchn"/>
    <w:basedOn w:val="Absatz-Standardschriftart"/>
    <w:link w:val="berschrift5"/>
    <w:uiPriority w:val="9"/>
    <w:semiHidden/>
    <w:rsid w:val="001C5FF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C5FF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C5FF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C5FF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C5FFD"/>
    <w:rPr>
      <w:rFonts w:eastAsiaTheme="majorEastAsia" w:cstheme="majorBidi"/>
      <w:color w:val="272727" w:themeColor="text1" w:themeTint="D8"/>
    </w:rPr>
  </w:style>
  <w:style w:type="paragraph" w:styleId="Titel">
    <w:name w:val="Title"/>
    <w:basedOn w:val="Standard"/>
    <w:next w:val="Standard"/>
    <w:link w:val="TitelZchn"/>
    <w:uiPriority w:val="10"/>
    <w:qFormat/>
    <w:rsid w:val="001C5F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C5FF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C5FF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C5FF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C5FF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C5FFD"/>
    <w:rPr>
      <w:i/>
      <w:iCs/>
      <w:color w:val="404040" w:themeColor="text1" w:themeTint="BF"/>
    </w:rPr>
  </w:style>
  <w:style w:type="paragraph" w:styleId="Listenabsatz">
    <w:name w:val="List Paragraph"/>
    <w:basedOn w:val="Standard"/>
    <w:uiPriority w:val="34"/>
    <w:qFormat/>
    <w:rsid w:val="001C5FFD"/>
    <w:pPr>
      <w:ind w:left="720"/>
      <w:contextualSpacing/>
    </w:pPr>
  </w:style>
  <w:style w:type="character" w:styleId="IntensiveHervorhebung">
    <w:name w:val="Intense Emphasis"/>
    <w:basedOn w:val="Absatz-Standardschriftart"/>
    <w:uiPriority w:val="21"/>
    <w:qFormat/>
    <w:rsid w:val="001C5FFD"/>
    <w:rPr>
      <w:i/>
      <w:iCs/>
      <w:color w:val="0F4761" w:themeColor="accent1" w:themeShade="BF"/>
    </w:rPr>
  </w:style>
  <w:style w:type="paragraph" w:styleId="IntensivesZitat">
    <w:name w:val="Intense Quote"/>
    <w:basedOn w:val="Standard"/>
    <w:next w:val="Standard"/>
    <w:link w:val="IntensivesZitatZchn"/>
    <w:uiPriority w:val="30"/>
    <w:qFormat/>
    <w:rsid w:val="001C5F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C5FFD"/>
    <w:rPr>
      <w:i/>
      <w:iCs/>
      <w:color w:val="0F4761" w:themeColor="accent1" w:themeShade="BF"/>
    </w:rPr>
  </w:style>
  <w:style w:type="character" w:styleId="IntensiverVerweis">
    <w:name w:val="Intense Reference"/>
    <w:basedOn w:val="Absatz-Standardschriftart"/>
    <w:uiPriority w:val="32"/>
    <w:qFormat/>
    <w:rsid w:val="001C5FFD"/>
    <w:rPr>
      <w:b/>
      <w:bCs/>
      <w:smallCaps/>
      <w:color w:val="0F4761" w:themeColor="accent1" w:themeShade="BF"/>
      <w:spacing w:val="5"/>
    </w:rPr>
  </w:style>
  <w:style w:type="paragraph" w:customStyle="1" w:styleId="Paragraph">
    <w:name w:val="Paragraph"/>
    <w:basedOn w:val="Standard"/>
    <w:next w:val="Newparagraph"/>
    <w:qFormat/>
    <w:rsid w:val="009805CB"/>
    <w:pPr>
      <w:widowControl w:val="0"/>
      <w:spacing w:before="240" w:after="0" w:line="480" w:lineRule="auto"/>
    </w:pPr>
    <w:rPr>
      <w:rFonts w:ascii="Times New Roman" w:eastAsia="Times New Roman" w:hAnsi="Times New Roman" w:cs="Times New Roman"/>
      <w:kern w:val="0"/>
      <w:lang w:val="en-GB" w:eastAsia="en-GB"/>
      <w14:ligatures w14:val="none"/>
    </w:rPr>
  </w:style>
  <w:style w:type="paragraph" w:customStyle="1" w:styleId="Newparagraph">
    <w:name w:val="New paragraph"/>
    <w:basedOn w:val="Standard"/>
    <w:qFormat/>
    <w:rsid w:val="009805CB"/>
    <w:pPr>
      <w:spacing w:after="0" w:line="480" w:lineRule="auto"/>
      <w:ind w:firstLine="720"/>
    </w:pPr>
    <w:rPr>
      <w:rFonts w:ascii="Times New Roman" w:eastAsia="Times New Roman" w:hAnsi="Times New Roman" w:cs="Times New Roman"/>
      <w:kern w:val="0"/>
      <w:lang w:val="en-GB" w:eastAsia="en-GB"/>
      <w14:ligatures w14:val="none"/>
    </w:rPr>
  </w:style>
  <w:style w:type="table" w:styleId="Tabellenraster">
    <w:name w:val="Table Grid"/>
    <w:basedOn w:val="NormaleTabelle"/>
    <w:rsid w:val="009805C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A262A"/>
    <w:rPr>
      <w:sz w:val="16"/>
      <w:szCs w:val="16"/>
    </w:rPr>
  </w:style>
  <w:style w:type="paragraph" w:styleId="Kommentartext">
    <w:name w:val="annotation text"/>
    <w:basedOn w:val="Standard"/>
    <w:link w:val="KommentartextZchn"/>
    <w:semiHidden/>
    <w:unhideWhenUsed/>
    <w:rsid w:val="00DA262A"/>
    <w:pPr>
      <w:spacing w:after="0" w:line="240" w:lineRule="auto"/>
    </w:pPr>
    <w:rPr>
      <w:rFonts w:ascii="Times New Roman" w:eastAsia="Times New Roman" w:hAnsi="Times New Roman" w:cs="Times New Roman"/>
      <w:kern w:val="0"/>
      <w:sz w:val="20"/>
      <w:szCs w:val="20"/>
      <w:lang w:val="en-GB" w:eastAsia="en-GB"/>
      <w14:ligatures w14:val="none"/>
    </w:rPr>
  </w:style>
  <w:style w:type="character" w:customStyle="1" w:styleId="KommentartextZchn">
    <w:name w:val="Kommentartext Zchn"/>
    <w:basedOn w:val="Absatz-Standardschriftart"/>
    <w:link w:val="Kommentartext"/>
    <w:semiHidden/>
    <w:rsid w:val="00DA262A"/>
    <w:rPr>
      <w:rFonts w:ascii="Times New Roman" w:eastAsia="Times New Roman" w:hAnsi="Times New Roman" w:cs="Times New Roman"/>
      <w:kern w:val="0"/>
      <w:sz w:val="20"/>
      <w:szCs w:val="20"/>
      <w:lang w:val="en-GB" w:eastAsia="en-GB"/>
      <w14:ligatures w14:val="none"/>
    </w:rPr>
  </w:style>
  <w:style w:type="paragraph" w:styleId="Kommentarthema">
    <w:name w:val="annotation subject"/>
    <w:basedOn w:val="Kommentartext"/>
    <w:next w:val="Kommentartext"/>
    <w:link w:val="KommentarthemaZchn"/>
    <w:uiPriority w:val="99"/>
    <w:semiHidden/>
    <w:unhideWhenUsed/>
    <w:rsid w:val="005E6325"/>
    <w:pPr>
      <w:spacing w:after="160"/>
    </w:pPr>
    <w:rPr>
      <w:rFonts w:asciiTheme="minorHAnsi" w:eastAsiaTheme="minorHAnsi" w:hAnsiTheme="minorHAnsi" w:cstheme="minorBidi"/>
      <w:b/>
      <w:bCs/>
      <w:kern w:val="2"/>
      <w:lang w:val="de-DE" w:eastAsia="en-US"/>
      <w14:ligatures w14:val="standardContextual"/>
    </w:rPr>
  </w:style>
  <w:style w:type="character" w:customStyle="1" w:styleId="KommentarthemaZchn">
    <w:name w:val="Kommentarthema Zchn"/>
    <w:basedOn w:val="KommentartextZchn"/>
    <w:link w:val="Kommentarthema"/>
    <w:uiPriority w:val="99"/>
    <w:semiHidden/>
    <w:rsid w:val="005E6325"/>
    <w:rPr>
      <w:rFonts w:ascii="Times New Roman" w:eastAsia="Times New Roman" w:hAnsi="Times New Roman" w:cs="Times New Roman"/>
      <w:b/>
      <w:bCs/>
      <w:kern w:val="0"/>
      <w:sz w:val="20"/>
      <w:szCs w:val="20"/>
      <w:lang w:val="en-GB" w:eastAsia="en-GB"/>
      <w14:ligatures w14:val="none"/>
    </w:rPr>
  </w:style>
  <w:style w:type="paragraph" w:styleId="Beschriftung">
    <w:name w:val="caption"/>
    <w:basedOn w:val="Standard"/>
    <w:next w:val="Standard"/>
    <w:uiPriority w:val="35"/>
    <w:unhideWhenUsed/>
    <w:qFormat/>
    <w:rsid w:val="00464B86"/>
    <w:pPr>
      <w:keepNext/>
      <w:spacing w:after="200" w:line="240" w:lineRule="auto"/>
    </w:pPr>
    <w:rPr>
      <w:color w:val="000000" w:themeColor="text1"/>
      <w:sz w:val="22"/>
      <w:szCs w:val="22"/>
    </w:rPr>
  </w:style>
  <w:style w:type="paragraph" w:styleId="Literaturverzeichnis">
    <w:name w:val="Bibliography"/>
    <w:basedOn w:val="Standard"/>
    <w:next w:val="Standard"/>
    <w:uiPriority w:val="37"/>
    <w:unhideWhenUsed/>
    <w:rsid w:val="008B0B92"/>
    <w:pPr>
      <w:spacing w:after="0" w:line="480" w:lineRule="auto"/>
      <w:ind w:left="720" w:hanging="720"/>
    </w:pPr>
  </w:style>
  <w:style w:type="character" w:styleId="Hyperlink">
    <w:name w:val="Hyperlink"/>
    <w:basedOn w:val="Absatz-Standardschriftart"/>
    <w:uiPriority w:val="99"/>
    <w:unhideWhenUsed/>
    <w:rsid w:val="006A6F7E"/>
    <w:rPr>
      <w:color w:val="467886" w:themeColor="hyperlink"/>
      <w:u w:val="single"/>
    </w:rPr>
  </w:style>
  <w:style w:type="character" w:styleId="NichtaufgelsteErwhnung">
    <w:name w:val="Unresolved Mention"/>
    <w:basedOn w:val="Absatz-Standardschriftart"/>
    <w:uiPriority w:val="99"/>
    <w:semiHidden/>
    <w:unhideWhenUsed/>
    <w:rsid w:val="006A6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5793">
      <w:bodyDiv w:val="1"/>
      <w:marLeft w:val="0"/>
      <w:marRight w:val="0"/>
      <w:marTop w:val="0"/>
      <w:marBottom w:val="0"/>
      <w:divBdr>
        <w:top w:val="none" w:sz="0" w:space="0" w:color="auto"/>
        <w:left w:val="none" w:sz="0" w:space="0" w:color="auto"/>
        <w:bottom w:val="none" w:sz="0" w:space="0" w:color="auto"/>
        <w:right w:val="none" w:sz="0" w:space="0" w:color="auto"/>
      </w:divBdr>
    </w:div>
    <w:div w:id="134569802">
      <w:bodyDiv w:val="1"/>
      <w:marLeft w:val="0"/>
      <w:marRight w:val="0"/>
      <w:marTop w:val="0"/>
      <w:marBottom w:val="0"/>
      <w:divBdr>
        <w:top w:val="none" w:sz="0" w:space="0" w:color="auto"/>
        <w:left w:val="none" w:sz="0" w:space="0" w:color="auto"/>
        <w:bottom w:val="none" w:sz="0" w:space="0" w:color="auto"/>
        <w:right w:val="none" w:sz="0" w:space="0" w:color="auto"/>
      </w:divBdr>
    </w:div>
    <w:div w:id="162283280">
      <w:bodyDiv w:val="1"/>
      <w:marLeft w:val="0"/>
      <w:marRight w:val="0"/>
      <w:marTop w:val="0"/>
      <w:marBottom w:val="0"/>
      <w:divBdr>
        <w:top w:val="none" w:sz="0" w:space="0" w:color="auto"/>
        <w:left w:val="none" w:sz="0" w:space="0" w:color="auto"/>
        <w:bottom w:val="none" w:sz="0" w:space="0" w:color="auto"/>
        <w:right w:val="none" w:sz="0" w:space="0" w:color="auto"/>
      </w:divBdr>
    </w:div>
    <w:div w:id="190994428">
      <w:bodyDiv w:val="1"/>
      <w:marLeft w:val="0"/>
      <w:marRight w:val="0"/>
      <w:marTop w:val="0"/>
      <w:marBottom w:val="0"/>
      <w:divBdr>
        <w:top w:val="none" w:sz="0" w:space="0" w:color="auto"/>
        <w:left w:val="none" w:sz="0" w:space="0" w:color="auto"/>
        <w:bottom w:val="none" w:sz="0" w:space="0" w:color="auto"/>
        <w:right w:val="none" w:sz="0" w:space="0" w:color="auto"/>
      </w:divBdr>
    </w:div>
    <w:div w:id="238247898">
      <w:bodyDiv w:val="1"/>
      <w:marLeft w:val="0"/>
      <w:marRight w:val="0"/>
      <w:marTop w:val="0"/>
      <w:marBottom w:val="0"/>
      <w:divBdr>
        <w:top w:val="none" w:sz="0" w:space="0" w:color="auto"/>
        <w:left w:val="none" w:sz="0" w:space="0" w:color="auto"/>
        <w:bottom w:val="none" w:sz="0" w:space="0" w:color="auto"/>
        <w:right w:val="none" w:sz="0" w:space="0" w:color="auto"/>
      </w:divBdr>
    </w:div>
    <w:div w:id="314770178">
      <w:bodyDiv w:val="1"/>
      <w:marLeft w:val="0"/>
      <w:marRight w:val="0"/>
      <w:marTop w:val="0"/>
      <w:marBottom w:val="0"/>
      <w:divBdr>
        <w:top w:val="none" w:sz="0" w:space="0" w:color="auto"/>
        <w:left w:val="none" w:sz="0" w:space="0" w:color="auto"/>
        <w:bottom w:val="none" w:sz="0" w:space="0" w:color="auto"/>
        <w:right w:val="none" w:sz="0" w:space="0" w:color="auto"/>
      </w:divBdr>
    </w:div>
    <w:div w:id="342168393">
      <w:bodyDiv w:val="1"/>
      <w:marLeft w:val="0"/>
      <w:marRight w:val="0"/>
      <w:marTop w:val="0"/>
      <w:marBottom w:val="0"/>
      <w:divBdr>
        <w:top w:val="none" w:sz="0" w:space="0" w:color="auto"/>
        <w:left w:val="none" w:sz="0" w:space="0" w:color="auto"/>
        <w:bottom w:val="none" w:sz="0" w:space="0" w:color="auto"/>
        <w:right w:val="none" w:sz="0" w:space="0" w:color="auto"/>
      </w:divBdr>
    </w:div>
    <w:div w:id="403377860">
      <w:bodyDiv w:val="1"/>
      <w:marLeft w:val="0"/>
      <w:marRight w:val="0"/>
      <w:marTop w:val="0"/>
      <w:marBottom w:val="0"/>
      <w:divBdr>
        <w:top w:val="none" w:sz="0" w:space="0" w:color="auto"/>
        <w:left w:val="none" w:sz="0" w:space="0" w:color="auto"/>
        <w:bottom w:val="none" w:sz="0" w:space="0" w:color="auto"/>
        <w:right w:val="none" w:sz="0" w:space="0" w:color="auto"/>
      </w:divBdr>
    </w:div>
    <w:div w:id="533348993">
      <w:bodyDiv w:val="1"/>
      <w:marLeft w:val="0"/>
      <w:marRight w:val="0"/>
      <w:marTop w:val="0"/>
      <w:marBottom w:val="0"/>
      <w:divBdr>
        <w:top w:val="none" w:sz="0" w:space="0" w:color="auto"/>
        <w:left w:val="none" w:sz="0" w:space="0" w:color="auto"/>
        <w:bottom w:val="none" w:sz="0" w:space="0" w:color="auto"/>
        <w:right w:val="none" w:sz="0" w:space="0" w:color="auto"/>
      </w:divBdr>
    </w:div>
    <w:div w:id="574365139">
      <w:bodyDiv w:val="1"/>
      <w:marLeft w:val="0"/>
      <w:marRight w:val="0"/>
      <w:marTop w:val="0"/>
      <w:marBottom w:val="0"/>
      <w:divBdr>
        <w:top w:val="none" w:sz="0" w:space="0" w:color="auto"/>
        <w:left w:val="none" w:sz="0" w:space="0" w:color="auto"/>
        <w:bottom w:val="none" w:sz="0" w:space="0" w:color="auto"/>
        <w:right w:val="none" w:sz="0" w:space="0" w:color="auto"/>
      </w:divBdr>
    </w:div>
    <w:div w:id="578297799">
      <w:bodyDiv w:val="1"/>
      <w:marLeft w:val="0"/>
      <w:marRight w:val="0"/>
      <w:marTop w:val="0"/>
      <w:marBottom w:val="0"/>
      <w:divBdr>
        <w:top w:val="none" w:sz="0" w:space="0" w:color="auto"/>
        <w:left w:val="none" w:sz="0" w:space="0" w:color="auto"/>
        <w:bottom w:val="none" w:sz="0" w:space="0" w:color="auto"/>
        <w:right w:val="none" w:sz="0" w:space="0" w:color="auto"/>
      </w:divBdr>
    </w:div>
    <w:div w:id="608902102">
      <w:bodyDiv w:val="1"/>
      <w:marLeft w:val="0"/>
      <w:marRight w:val="0"/>
      <w:marTop w:val="0"/>
      <w:marBottom w:val="0"/>
      <w:divBdr>
        <w:top w:val="none" w:sz="0" w:space="0" w:color="auto"/>
        <w:left w:val="none" w:sz="0" w:space="0" w:color="auto"/>
        <w:bottom w:val="none" w:sz="0" w:space="0" w:color="auto"/>
        <w:right w:val="none" w:sz="0" w:space="0" w:color="auto"/>
      </w:divBdr>
    </w:div>
    <w:div w:id="641471151">
      <w:bodyDiv w:val="1"/>
      <w:marLeft w:val="0"/>
      <w:marRight w:val="0"/>
      <w:marTop w:val="0"/>
      <w:marBottom w:val="0"/>
      <w:divBdr>
        <w:top w:val="none" w:sz="0" w:space="0" w:color="auto"/>
        <w:left w:val="none" w:sz="0" w:space="0" w:color="auto"/>
        <w:bottom w:val="none" w:sz="0" w:space="0" w:color="auto"/>
        <w:right w:val="none" w:sz="0" w:space="0" w:color="auto"/>
      </w:divBdr>
    </w:div>
    <w:div w:id="821502444">
      <w:bodyDiv w:val="1"/>
      <w:marLeft w:val="0"/>
      <w:marRight w:val="0"/>
      <w:marTop w:val="0"/>
      <w:marBottom w:val="0"/>
      <w:divBdr>
        <w:top w:val="none" w:sz="0" w:space="0" w:color="auto"/>
        <w:left w:val="none" w:sz="0" w:space="0" w:color="auto"/>
        <w:bottom w:val="none" w:sz="0" w:space="0" w:color="auto"/>
        <w:right w:val="none" w:sz="0" w:space="0" w:color="auto"/>
      </w:divBdr>
    </w:div>
    <w:div w:id="867916461">
      <w:bodyDiv w:val="1"/>
      <w:marLeft w:val="0"/>
      <w:marRight w:val="0"/>
      <w:marTop w:val="0"/>
      <w:marBottom w:val="0"/>
      <w:divBdr>
        <w:top w:val="none" w:sz="0" w:space="0" w:color="auto"/>
        <w:left w:val="none" w:sz="0" w:space="0" w:color="auto"/>
        <w:bottom w:val="none" w:sz="0" w:space="0" w:color="auto"/>
        <w:right w:val="none" w:sz="0" w:space="0" w:color="auto"/>
      </w:divBdr>
    </w:div>
    <w:div w:id="884953543">
      <w:bodyDiv w:val="1"/>
      <w:marLeft w:val="0"/>
      <w:marRight w:val="0"/>
      <w:marTop w:val="0"/>
      <w:marBottom w:val="0"/>
      <w:divBdr>
        <w:top w:val="none" w:sz="0" w:space="0" w:color="auto"/>
        <w:left w:val="none" w:sz="0" w:space="0" w:color="auto"/>
        <w:bottom w:val="none" w:sz="0" w:space="0" w:color="auto"/>
        <w:right w:val="none" w:sz="0" w:space="0" w:color="auto"/>
      </w:divBdr>
    </w:div>
    <w:div w:id="914508713">
      <w:bodyDiv w:val="1"/>
      <w:marLeft w:val="0"/>
      <w:marRight w:val="0"/>
      <w:marTop w:val="0"/>
      <w:marBottom w:val="0"/>
      <w:divBdr>
        <w:top w:val="none" w:sz="0" w:space="0" w:color="auto"/>
        <w:left w:val="none" w:sz="0" w:space="0" w:color="auto"/>
        <w:bottom w:val="none" w:sz="0" w:space="0" w:color="auto"/>
        <w:right w:val="none" w:sz="0" w:space="0" w:color="auto"/>
      </w:divBdr>
    </w:div>
    <w:div w:id="980310164">
      <w:bodyDiv w:val="1"/>
      <w:marLeft w:val="0"/>
      <w:marRight w:val="0"/>
      <w:marTop w:val="0"/>
      <w:marBottom w:val="0"/>
      <w:divBdr>
        <w:top w:val="none" w:sz="0" w:space="0" w:color="auto"/>
        <w:left w:val="none" w:sz="0" w:space="0" w:color="auto"/>
        <w:bottom w:val="none" w:sz="0" w:space="0" w:color="auto"/>
        <w:right w:val="none" w:sz="0" w:space="0" w:color="auto"/>
      </w:divBdr>
    </w:div>
    <w:div w:id="988090541">
      <w:bodyDiv w:val="1"/>
      <w:marLeft w:val="0"/>
      <w:marRight w:val="0"/>
      <w:marTop w:val="0"/>
      <w:marBottom w:val="0"/>
      <w:divBdr>
        <w:top w:val="none" w:sz="0" w:space="0" w:color="auto"/>
        <w:left w:val="none" w:sz="0" w:space="0" w:color="auto"/>
        <w:bottom w:val="none" w:sz="0" w:space="0" w:color="auto"/>
        <w:right w:val="none" w:sz="0" w:space="0" w:color="auto"/>
      </w:divBdr>
    </w:div>
    <w:div w:id="997072510">
      <w:bodyDiv w:val="1"/>
      <w:marLeft w:val="0"/>
      <w:marRight w:val="0"/>
      <w:marTop w:val="0"/>
      <w:marBottom w:val="0"/>
      <w:divBdr>
        <w:top w:val="none" w:sz="0" w:space="0" w:color="auto"/>
        <w:left w:val="none" w:sz="0" w:space="0" w:color="auto"/>
        <w:bottom w:val="none" w:sz="0" w:space="0" w:color="auto"/>
        <w:right w:val="none" w:sz="0" w:space="0" w:color="auto"/>
      </w:divBdr>
    </w:div>
    <w:div w:id="1006716330">
      <w:bodyDiv w:val="1"/>
      <w:marLeft w:val="0"/>
      <w:marRight w:val="0"/>
      <w:marTop w:val="0"/>
      <w:marBottom w:val="0"/>
      <w:divBdr>
        <w:top w:val="none" w:sz="0" w:space="0" w:color="auto"/>
        <w:left w:val="none" w:sz="0" w:space="0" w:color="auto"/>
        <w:bottom w:val="none" w:sz="0" w:space="0" w:color="auto"/>
        <w:right w:val="none" w:sz="0" w:space="0" w:color="auto"/>
      </w:divBdr>
    </w:div>
    <w:div w:id="1078403000">
      <w:bodyDiv w:val="1"/>
      <w:marLeft w:val="0"/>
      <w:marRight w:val="0"/>
      <w:marTop w:val="0"/>
      <w:marBottom w:val="0"/>
      <w:divBdr>
        <w:top w:val="none" w:sz="0" w:space="0" w:color="auto"/>
        <w:left w:val="none" w:sz="0" w:space="0" w:color="auto"/>
        <w:bottom w:val="none" w:sz="0" w:space="0" w:color="auto"/>
        <w:right w:val="none" w:sz="0" w:space="0" w:color="auto"/>
      </w:divBdr>
    </w:div>
    <w:div w:id="1119379224">
      <w:bodyDiv w:val="1"/>
      <w:marLeft w:val="0"/>
      <w:marRight w:val="0"/>
      <w:marTop w:val="0"/>
      <w:marBottom w:val="0"/>
      <w:divBdr>
        <w:top w:val="none" w:sz="0" w:space="0" w:color="auto"/>
        <w:left w:val="none" w:sz="0" w:space="0" w:color="auto"/>
        <w:bottom w:val="none" w:sz="0" w:space="0" w:color="auto"/>
        <w:right w:val="none" w:sz="0" w:space="0" w:color="auto"/>
      </w:divBdr>
    </w:div>
    <w:div w:id="1277299161">
      <w:bodyDiv w:val="1"/>
      <w:marLeft w:val="0"/>
      <w:marRight w:val="0"/>
      <w:marTop w:val="0"/>
      <w:marBottom w:val="0"/>
      <w:divBdr>
        <w:top w:val="none" w:sz="0" w:space="0" w:color="auto"/>
        <w:left w:val="none" w:sz="0" w:space="0" w:color="auto"/>
        <w:bottom w:val="none" w:sz="0" w:space="0" w:color="auto"/>
        <w:right w:val="none" w:sz="0" w:space="0" w:color="auto"/>
      </w:divBdr>
    </w:div>
    <w:div w:id="1495803989">
      <w:bodyDiv w:val="1"/>
      <w:marLeft w:val="0"/>
      <w:marRight w:val="0"/>
      <w:marTop w:val="0"/>
      <w:marBottom w:val="0"/>
      <w:divBdr>
        <w:top w:val="none" w:sz="0" w:space="0" w:color="auto"/>
        <w:left w:val="none" w:sz="0" w:space="0" w:color="auto"/>
        <w:bottom w:val="none" w:sz="0" w:space="0" w:color="auto"/>
        <w:right w:val="none" w:sz="0" w:space="0" w:color="auto"/>
      </w:divBdr>
    </w:div>
    <w:div w:id="1637486534">
      <w:bodyDiv w:val="1"/>
      <w:marLeft w:val="0"/>
      <w:marRight w:val="0"/>
      <w:marTop w:val="0"/>
      <w:marBottom w:val="0"/>
      <w:divBdr>
        <w:top w:val="none" w:sz="0" w:space="0" w:color="auto"/>
        <w:left w:val="none" w:sz="0" w:space="0" w:color="auto"/>
        <w:bottom w:val="none" w:sz="0" w:space="0" w:color="auto"/>
        <w:right w:val="none" w:sz="0" w:space="0" w:color="auto"/>
      </w:divBdr>
    </w:div>
    <w:div w:id="1678385541">
      <w:bodyDiv w:val="1"/>
      <w:marLeft w:val="0"/>
      <w:marRight w:val="0"/>
      <w:marTop w:val="0"/>
      <w:marBottom w:val="0"/>
      <w:divBdr>
        <w:top w:val="none" w:sz="0" w:space="0" w:color="auto"/>
        <w:left w:val="none" w:sz="0" w:space="0" w:color="auto"/>
        <w:bottom w:val="none" w:sz="0" w:space="0" w:color="auto"/>
        <w:right w:val="none" w:sz="0" w:space="0" w:color="auto"/>
      </w:divBdr>
    </w:div>
    <w:div w:id="1707634518">
      <w:bodyDiv w:val="1"/>
      <w:marLeft w:val="0"/>
      <w:marRight w:val="0"/>
      <w:marTop w:val="0"/>
      <w:marBottom w:val="0"/>
      <w:divBdr>
        <w:top w:val="none" w:sz="0" w:space="0" w:color="auto"/>
        <w:left w:val="none" w:sz="0" w:space="0" w:color="auto"/>
        <w:bottom w:val="none" w:sz="0" w:space="0" w:color="auto"/>
        <w:right w:val="none" w:sz="0" w:space="0" w:color="auto"/>
      </w:divBdr>
    </w:div>
    <w:div w:id="1850558058">
      <w:bodyDiv w:val="1"/>
      <w:marLeft w:val="0"/>
      <w:marRight w:val="0"/>
      <w:marTop w:val="0"/>
      <w:marBottom w:val="0"/>
      <w:divBdr>
        <w:top w:val="none" w:sz="0" w:space="0" w:color="auto"/>
        <w:left w:val="none" w:sz="0" w:space="0" w:color="auto"/>
        <w:bottom w:val="none" w:sz="0" w:space="0" w:color="auto"/>
        <w:right w:val="none" w:sz="0" w:space="0" w:color="auto"/>
      </w:divBdr>
    </w:div>
    <w:div w:id="1904020952">
      <w:bodyDiv w:val="1"/>
      <w:marLeft w:val="0"/>
      <w:marRight w:val="0"/>
      <w:marTop w:val="0"/>
      <w:marBottom w:val="0"/>
      <w:divBdr>
        <w:top w:val="none" w:sz="0" w:space="0" w:color="auto"/>
        <w:left w:val="none" w:sz="0" w:space="0" w:color="auto"/>
        <w:bottom w:val="none" w:sz="0" w:space="0" w:color="auto"/>
        <w:right w:val="none" w:sz="0" w:space="0" w:color="auto"/>
      </w:divBdr>
    </w:div>
    <w:div w:id="1935824155">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74167604">
      <w:bodyDiv w:val="1"/>
      <w:marLeft w:val="0"/>
      <w:marRight w:val="0"/>
      <w:marTop w:val="0"/>
      <w:marBottom w:val="0"/>
      <w:divBdr>
        <w:top w:val="none" w:sz="0" w:space="0" w:color="auto"/>
        <w:left w:val="none" w:sz="0" w:space="0" w:color="auto"/>
        <w:bottom w:val="none" w:sz="0" w:space="0" w:color="auto"/>
        <w:right w:val="none" w:sz="0" w:space="0" w:color="auto"/>
      </w:divBdr>
    </w:div>
    <w:div w:id="1984456591">
      <w:bodyDiv w:val="1"/>
      <w:marLeft w:val="0"/>
      <w:marRight w:val="0"/>
      <w:marTop w:val="0"/>
      <w:marBottom w:val="0"/>
      <w:divBdr>
        <w:top w:val="none" w:sz="0" w:space="0" w:color="auto"/>
        <w:left w:val="none" w:sz="0" w:space="0" w:color="auto"/>
        <w:bottom w:val="none" w:sz="0" w:space="0" w:color="auto"/>
        <w:right w:val="none" w:sz="0" w:space="0" w:color="auto"/>
      </w:divBdr>
    </w:div>
    <w:div w:id="1993673195">
      <w:bodyDiv w:val="1"/>
      <w:marLeft w:val="0"/>
      <w:marRight w:val="0"/>
      <w:marTop w:val="0"/>
      <w:marBottom w:val="0"/>
      <w:divBdr>
        <w:top w:val="none" w:sz="0" w:space="0" w:color="auto"/>
        <w:left w:val="none" w:sz="0" w:space="0" w:color="auto"/>
        <w:bottom w:val="none" w:sz="0" w:space="0" w:color="auto"/>
        <w:right w:val="none" w:sz="0" w:space="0" w:color="auto"/>
      </w:divBdr>
    </w:div>
    <w:div w:id="2010790313">
      <w:bodyDiv w:val="1"/>
      <w:marLeft w:val="0"/>
      <w:marRight w:val="0"/>
      <w:marTop w:val="0"/>
      <w:marBottom w:val="0"/>
      <w:divBdr>
        <w:top w:val="none" w:sz="0" w:space="0" w:color="auto"/>
        <w:left w:val="none" w:sz="0" w:space="0" w:color="auto"/>
        <w:bottom w:val="none" w:sz="0" w:space="0" w:color="auto"/>
        <w:right w:val="none" w:sz="0" w:space="0" w:color="auto"/>
      </w:divBdr>
    </w:div>
    <w:div w:id="2035419878">
      <w:bodyDiv w:val="1"/>
      <w:marLeft w:val="0"/>
      <w:marRight w:val="0"/>
      <w:marTop w:val="0"/>
      <w:marBottom w:val="0"/>
      <w:divBdr>
        <w:top w:val="none" w:sz="0" w:space="0" w:color="auto"/>
        <w:left w:val="none" w:sz="0" w:space="0" w:color="auto"/>
        <w:bottom w:val="none" w:sz="0" w:space="0" w:color="auto"/>
        <w:right w:val="none" w:sz="0" w:space="0" w:color="auto"/>
      </w:divBdr>
    </w:div>
    <w:div w:id="2040813179">
      <w:bodyDiv w:val="1"/>
      <w:marLeft w:val="0"/>
      <w:marRight w:val="0"/>
      <w:marTop w:val="0"/>
      <w:marBottom w:val="0"/>
      <w:divBdr>
        <w:top w:val="none" w:sz="0" w:space="0" w:color="auto"/>
        <w:left w:val="none" w:sz="0" w:space="0" w:color="auto"/>
        <w:bottom w:val="none" w:sz="0" w:space="0" w:color="auto"/>
        <w:right w:val="none" w:sz="0" w:space="0" w:color="auto"/>
      </w:divBdr>
    </w:div>
    <w:div w:id="2075853469">
      <w:bodyDiv w:val="1"/>
      <w:marLeft w:val="0"/>
      <w:marRight w:val="0"/>
      <w:marTop w:val="0"/>
      <w:marBottom w:val="0"/>
      <w:divBdr>
        <w:top w:val="none" w:sz="0" w:space="0" w:color="auto"/>
        <w:left w:val="none" w:sz="0" w:space="0" w:color="auto"/>
        <w:bottom w:val="none" w:sz="0" w:space="0" w:color="auto"/>
        <w:right w:val="none" w:sz="0" w:space="0" w:color="auto"/>
      </w:divBdr>
    </w:div>
    <w:div w:id="208156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hyperlink" Target="mailto:manuela.schulz@uni-vechta.de" TargetMode="Externa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5.png"/><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417E-41A9-42B9-8DD7-2D7B377F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14205</Words>
  <Characters>89497</Characters>
  <Application>Microsoft Office Word</Application>
  <DocSecurity>0</DocSecurity>
  <Lines>745</Lines>
  <Paragraphs>206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Schulz</dc:creator>
  <cp:keywords/>
  <dc:description/>
  <cp:lastModifiedBy>Manuela Schulz</cp:lastModifiedBy>
  <cp:revision>2</cp:revision>
  <dcterms:created xsi:type="dcterms:W3CDTF">2026-04-13T12:00:00Z</dcterms:created>
  <dcterms:modified xsi:type="dcterms:W3CDTF">2026-04-13T12:00:00Z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0ffcbf85-0cca-4566-9473-e5cbad061e38</vt:lpwstr>
  </property>
  <property fmtid="{D5CDD505-2E9C-101B-9397-08002B2CF9AE}" pid="3" name="ZOTERO_PREF_1">
    <vt:lpwstr>&lt;data data-version="3" zotero-version="8.0.4"&gt;&lt;session id="rvPedAJk"/&gt;&lt;style id="http://www.zotero.org/styles/apa" locale="en-US" hasBibliography="1" bibliographyStyleHasBeenSet="1"/&gt;&lt;prefs&gt;&lt;pref name="fieldType" value="Field"/&gt;&lt;pref name="automaticJourna</vt:lpwstr>
  </property>
  <property fmtid="{D5CDD505-2E9C-101B-9397-08002B2CF9AE}" pid="4" name="ZOTERO_PREF_2">
    <vt:lpwstr>lAbbreviations" value="true"/&gt;&lt;/prefs&gt;&lt;/data&gt;</vt:lpwstr>
  </property>
</Properties>
</file>