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0"/>
      </w:pPr>
      <w:r>
        <w:t xml:space="preserve"/>
      </w:r>
    </w:p>
    <w:p>
      <w:pPr>
        <w:spacing w:after="120" w:before="0"/>
      </w:pPr>
      <w:r>
        <w:t xml:space="preserve"/>
      </w:r>
    </w:p>
    <w:p>
      <w:pPr>
        <w:spacing w:after="120" w:before="0"/>
      </w:pPr>
      <w:r>
        <w:t xml:space="preserve"/>
      </w:r>
    </w:p>
    <w:p>
      <w:pPr>
        <w:spacing w:after="80" w:before="80"/>
        <w:jc w:val="center"/>
      </w:pPr>
      <w:r>
        <w:rPr>
          <w:rFonts w:ascii="Arial" w:cs="Arial" w:eastAsia="Arial" w:hAnsi="Arial"/>
          <w:b/>
          <w:bCs/>
          <w:color w:val="1F3864"/>
          <w:sz w:val="52"/>
          <w:szCs w:val="52"/>
        </w:rPr>
        <w:t xml:space="preserve">GENERATIVE CONTACT MECHANICS</w:t>
      </w:r>
    </w:p>
    <w:p>
      <w:pPr>
        <w:spacing w:after="120" w:before="0"/>
      </w:pPr>
      <w:r>
        <w:t xml:space="preserve"/>
      </w:r>
    </w:p>
    <w:p>
      <w:pPr>
        <w:spacing w:after="80" w:before="80"/>
        <w:jc w:val="center"/>
      </w:pPr>
      <w:r>
        <w:rPr>
          <w:rFonts w:ascii="Arial" w:cs="Arial" w:eastAsia="Arial" w:hAnsi="Arial"/>
          <w:i/>
          <w:iCs/>
          <w:color w:val="B8860B"/>
          <w:sz w:val="28"/>
          <w:szCs w:val="28"/>
        </w:rPr>
        <w:t xml:space="preserve">A Common Language for Dissipative Oscillatory Systems</w:t>
      </w:r>
    </w:p>
    <w:p>
      <w:pPr>
        <w:spacing w:after="120" w:before="0"/>
      </w:pPr>
      <w:r>
        <w:t xml:space="preserve"/>
      </w:r>
    </w:p>
    <w:p>
      <w:pPr>
        <w:spacing w:after="80" w:before="80"/>
        <w:jc w:val="center"/>
      </w:pPr>
      <w:r>
        <w:rPr>
          <w:rFonts w:ascii="Arial" w:cs="Arial" w:eastAsia="Arial" w:hAnsi="Arial"/>
          <w:color w:val="555555"/>
          <w:sz w:val="24"/>
          <w:szCs w:val="24"/>
        </w:rPr>
        <w:t xml:space="preserve">Institutional Edition  •  2025</w:t>
      </w:r>
    </w:p>
    <w:p>
      <w:pPr>
        <w:spacing w:after="120" w:before="0"/>
      </w:pPr>
      <w:r>
        <w:t xml:space="preserve"/>
      </w:r>
    </w:p>
    <w:p>
      <w:pPr>
        <w:spacing w:after="120" w:before="0"/>
      </w:pPr>
      <w:r>
        <w:t xml:space="preserve"/>
      </w:r>
    </w:p>
    <w:p>
      <w:pPr>
        <w:pBdr>
          <w:bottom w:val="single" w:color="B8860B" w:sz="6" w:space="1"/>
        </w:pBdr>
        <w:spacing w:after="200" w:before="200"/>
      </w:pPr>
      <w:r>
        <w:t xml:space="preserve"/>
      </w:r>
    </w:p>
    <w:p>
      <w:pPr>
        <w:spacing w:after="120" w:before="0"/>
      </w:pPr>
      <w:r>
        <w:t xml:space="preserve"/>
      </w:r>
    </w:p>
    <w:p>
      <w:pPr>
        <w:spacing w:after="80" w:before="80"/>
        <w:jc w:val="center"/>
      </w:pPr>
      <w:r>
        <w:rPr>
          <w:rFonts w:ascii="Arial" w:cs="Arial" w:eastAsia="Arial" w:hAnsi="Arial"/>
          <w:b/>
          <w:bCs/>
          <w:color w:val="1F3864"/>
          <w:sz w:val="26"/>
          <w:szCs w:val="26"/>
        </w:rPr>
        <w:t xml:space="preserve">Pablo Nogueira Grossi</w:t>
      </w:r>
    </w:p>
    <w:p>
      <w:pPr>
        <w:spacing w:after="80" w:before="80"/>
        <w:jc w:val="center"/>
      </w:pPr>
      <w:r>
        <w:rPr>
          <w:rFonts w:ascii="Arial" w:cs="Arial" w:eastAsia="Arial" w:hAnsi="Arial"/>
          <w:color w:val="444444"/>
          <w:sz w:val="22"/>
          <w:szCs w:val="22"/>
        </w:rPr>
        <w:t xml:space="preserve">Independent Researcher  •  Founder, G6 LLC</w:t>
      </w:r>
    </w:p>
    <w:p>
      <w:pPr>
        <w:spacing w:after="80" w:before="80"/>
        <w:jc w:val="center"/>
      </w:pPr>
      <w:r>
        <w:rPr>
          <w:rFonts w:ascii="Arial" w:cs="Arial" w:eastAsia="Arial" w:hAnsi="Arial"/>
          <w:color w:val="444444"/>
          <w:sz w:val="22"/>
          <w:szCs w:val="22"/>
        </w:rPr>
        <w:t xml:space="preserve">Newark, New Jersey, USA</w:t>
      </w:r>
    </w:p>
    <w:p>
      <w:pPr>
        <w:spacing w:after="80" w:before="80"/>
        <w:jc w:val="center"/>
      </w:pPr>
      <w:r>
        <w:rPr>
          <w:rFonts w:ascii="Arial" w:cs="Arial" w:eastAsia="Arial" w:hAnsi="Arial"/>
          <w:color w:val="444444"/>
          <w:sz w:val="22"/>
          <w:szCs w:val="22"/>
        </w:rPr>
        <w:t xml:space="preserve">ORCID: 0009-0000-6496-2186</w:t>
      </w:r>
    </w:p>
    <w:p>
      <w:pPr>
        <w:spacing w:after="120" w:before="0"/>
      </w:pPr>
      <w:r>
        <w:t xml:space="preserve"/>
      </w:r>
    </w:p>
    <w:p>
      <w:pPr>
        <w:pBdr>
          <w:bottom w:val="single" w:color="B8860B" w:sz="6" w:space="1"/>
        </w:pBdr>
        <w:spacing w:after="200" w:before="200"/>
      </w:pPr>
      <w:r>
        <w:t xml:space="preserve"/>
      </w:r>
    </w:p>
    <w:p>
      <w:pPr>
        <w:spacing w:after="120" w:before="0"/>
      </w:pPr>
      <w:r>
        <w:t xml:space="preserve"/>
      </w:r>
    </w:p>
    <w:p>
      <w:pPr>
        <w:spacing w:after="120" w:before="0"/>
      </w:pPr>
      <w:r>
        <w:t xml:space="preserve"/>
      </w:r>
    </w:p>
    <w:p>
      <w:pPr>
        <w:spacing w:after="80" w:before="80"/>
        <w:jc w:val="center"/>
      </w:pPr>
      <w:r>
        <w:rPr>
          <w:rFonts w:ascii="Arial" w:cs="Arial" w:eastAsia="Arial" w:hAnsi="Arial"/>
          <w:b/>
          <w:bCs/>
          <w:color w:val="1F3864"/>
          <w:sz w:val="24"/>
          <w:szCs w:val="24"/>
        </w:rPr>
        <w:t xml:space="preserve">Cover Page Addendum</w:t>
      </w:r>
    </w:p>
    <w:p>
      <w:pPr>
        <w:spacing w:after="120" w:before="0"/>
      </w:pPr>
      <w:r>
        <w:t xml:space="preserve"/>
      </w:r>
    </w:p>
    <w:p>
      <w:pPr>
        <w:spacing w:after="160" w:before="0"/>
        <w:jc w:val="both"/>
      </w:pPr>
      <w:r>
        <w:rPr>
          <w:rFonts w:ascii="Georgia" w:cs="Georgia" w:eastAsia="Georgia" w:hAnsi="Georgia"/>
          <w:b/>
          <w:bCs/>
          <w:sz w:val="22"/>
          <w:szCs w:val="22"/>
        </w:rPr>
        <w:t xml:space="preserve">This institutional edition contains:</w:t>
      </w:r>
    </w:p>
    <w:p>
      <w:pPr>
        <w:spacing w:after="160" w:before="0"/>
        <w:jc w:val="both"/>
      </w:pPr>
      <w:r>
        <w:rPr>
          <w:rFonts w:ascii="Georgia" w:cs="Georgia" w:eastAsia="Georgia" w:hAnsi="Georgia"/>
          <w:sz w:val="22"/>
          <w:szCs w:val="22"/>
        </w:rPr>
        <w:t xml:space="preserve">•  The full Generative Contact Mechanics Manifesto (2025)</w:t>
      </w:r>
    </w:p>
    <w:p>
      <w:pPr>
        <w:spacing w:after="160" w:before="0"/>
        <w:jc w:val="both"/>
      </w:pPr>
      <w:r>
        <w:rPr>
          <w:rFonts w:ascii="Georgia" w:cs="Georgia" w:eastAsia="Georgia" w:hAnsi="Georgia"/>
          <w:sz w:val="22"/>
          <w:szCs w:val="22"/>
        </w:rPr>
        <w:t xml:space="preserve">•  Six cross-domain applications (physics, neuroscience, biology, economics, climate, engineering)</w:t>
      </w:r>
    </w:p>
    <w:p>
      <w:pPr>
        <w:spacing w:after="160" w:before="0"/>
        <w:jc w:val="both"/>
      </w:pPr>
      <w:r>
        <w:rPr>
          <w:rFonts w:ascii="Georgia" w:cs="Georgia" w:eastAsia="Georgia" w:hAnsi="Georgia"/>
          <w:sz w:val="22"/>
          <w:szCs w:val="22"/>
        </w:rPr>
        <w:t xml:space="preserve">•  Letter to the Editors of the International Journal of Lexicography</w:t>
      </w:r>
    </w:p>
    <w:p>
      <w:pPr>
        <w:spacing w:after="160" w:before="0"/>
        <w:jc w:val="both"/>
      </w:pPr>
      <w:r>
        <w:rPr>
          <w:rFonts w:ascii="Georgia" w:cs="Georgia" w:eastAsia="Georgia" w:hAnsi="Georgia"/>
          <w:sz w:val="22"/>
          <w:szCs w:val="22"/>
        </w:rPr>
        <w:t xml:space="preserve">•  Appendix A: Unified Lexicon for GCM / DM³ / Operator Grammar</w:t>
      </w:r>
    </w:p>
    <w:p>
      <w:pPr>
        <w:spacing w:after="160" w:before="0"/>
        <w:jc w:val="both"/>
      </w:pPr>
      <w:r>
        <w:rPr>
          <w:rFonts w:ascii="Georgia" w:cs="Georgia" w:eastAsia="Georgia" w:hAnsi="Georgia"/>
          <w:sz w:val="22"/>
          <w:szCs w:val="22"/>
        </w:rPr>
        <w:t xml:space="preserve">•  Appendix C: Lexical Generativity in English — An Empirical Study of Verb Classes, Noun Polysemy, and Prepositions (original academic article, ~14,000 words)</w:t>
      </w:r>
    </w:p>
    <w:p>
      <w:r>
        <w:br w:type="page"/>
      </w:r>
    </w:p>
    <w:p>
      <w:pPr>
        <w:pStyle w:val="Heading1"/>
        <w:pBdr>
          <w:bottom w:val="single" w:color="1F3864" w:sz="12" w:space="1"/>
        </w:pBdr>
        <w:spacing w:after="180" w:before="360"/>
      </w:pPr>
      <w:r>
        <w:rPr>
          <w:rFonts w:ascii="Arial" w:cs="Arial" w:eastAsia="Arial" w:hAnsi="Arial"/>
          <w:b/>
          <w:bCs/>
          <w:color w:val="1F3864"/>
          <w:sz w:val="32"/>
          <w:szCs w:val="32"/>
        </w:rPr>
        <w:t xml:space="preserve">1.  The Problem of Fragmented Languages</w:t>
      </w:r>
    </w:p>
    <w:p>
      <w:pPr>
        <w:spacing w:after="160" w:before="0"/>
        <w:jc w:val="both"/>
      </w:pPr>
      <w:r>
        <w:rPr>
          <w:rFonts w:ascii="Georgia" w:cs="Georgia" w:eastAsia="Georgia" w:hAnsi="Georgia"/>
          <w:sz w:val="22"/>
          <w:szCs w:val="22"/>
        </w:rPr>
        <w:t xml:space="preserve">Across the sciences, oscillatory and dissipative systems appear with remarkable regularity. They govern the firing of neurons, the cycling of economies, the rhythms of climate, the dynamics of biochemical pathways, and the behavior of engineered circuits. Yet despite this ubiquity, each discipline describes these systems in its own vocabulary, shaped by its own history, metaphors, and modeling traditions. The result is a landscape rich in insight but poor in coherence: a patchwork of local languages without a shared grammar.</w:t>
      </w:r>
    </w:p>
    <w:p>
      <w:pPr>
        <w:spacing w:after="160" w:before="0"/>
        <w:jc w:val="both"/>
      </w:pPr>
      <w:r>
        <w:rPr>
          <w:rFonts w:ascii="Georgia" w:cs="Georgia" w:eastAsia="Georgia" w:hAnsi="Georgia"/>
          <w:sz w:val="22"/>
          <w:szCs w:val="22"/>
        </w:rPr>
        <w:t xml:space="preserve">This fragmentation is not merely terminological. It shapes how scientists perceive structure. A physicist studying a limit cycle in a nonlinear oscillator may use concepts of energy balance and damping; a neuroscientist analyzing population rhythms may speak of excitatory–inhibitory balance; an economist modeling business cycles may invoke feedback between wages and employment; a biologist examining circadian clocks may describe entrainment and molecular feedback loops. Each description is internally consistent, yet the underlying generative patterns often rhyme across fields. Without a common language, these rhymes remain hidden.</w:t>
      </w:r>
    </w:p>
    <w:p>
      <w:pPr>
        <w:spacing w:after="160" w:before="0"/>
        <w:jc w:val="both"/>
      </w:pPr>
      <w:r>
        <w:rPr>
          <w:rFonts w:ascii="Georgia" w:cs="Georgia" w:eastAsia="Georgia" w:hAnsi="Georgia"/>
          <w:sz w:val="22"/>
          <w:szCs w:val="22"/>
        </w:rPr>
        <w:t xml:space="preserve">The cost of this fragmentation is cumulative. When each field reinvents its own conceptual tools, opportunities for analogy and transfer are lost. Structural features that appear universal—such as the emergence of coherent modes, the presence of dissipative cycles, or the stability of oscillatory regimes under perturbation—are rarely recognized as belonging to a shared class. Predictions that could be strengthened by cross-disciplinary comparison remain confined within disciplinary boundaries. Even the simplest question—what makes one oscillatory system resemble another?—has no standard answer.</w:t>
      </w:r>
    </w:p>
    <w:p>
      <w:pPr>
        <w:spacing w:after="160" w:before="0"/>
        <w:jc w:val="both"/>
      </w:pPr>
      <w:r>
        <w:rPr>
          <w:rFonts w:ascii="Georgia" w:cs="Georgia" w:eastAsia="Georgia" w:hAnsi="Georgia"/>
          <w:sz w:val="22"/>
          <w:szCs w:val="22"/>
        </w:rPr>
        <w:t xml:space="preserve">A shared language for generative dynamics would change this. It would not replace domain-specific models or impose a single mathematical formalism. Instead, it would provide a conceptual scaffold: a way to describe how systems generate, sustain, and transform structure, regardless of the substrate in which they live. Such a language would make it possible to compare systems that currently appear unrelated, to identify invariants that persist across scales, and to articulate generative mechanisms in a way that is intelligible to scientists in different fields.</w:t>
      </w:r>
    </w:p>
    <w:p>
      <w:pPr>
        <w:spacing w:after="160" w:before="0"/>
        <w:jc w:val="both"/>
      </w:pPr>
      <w:r>
        <w:rPr>
          <w:rFonts w:ascii="Georgia" w:cs="Georgia" w:eastAsia="Georgia" w:hAnsi="Georgia"/>
          <w:sz w:val="22"/>
          <w:szCs w:val="22"/>
        </w:rPr>
        <w:t xml:space="preserve">Generative Contact Mechanics (GCM) is proposed in this manifesto as such a language. It begins from the observation that many dissipative oscillatory systems share a common geometric structure—one that becomes visible when we focus not on the equations themselves, but on the contacts between their modes, operators, and invariants. Before introducing that framework, this manifesto begins by naming the problem it seeks to address: the absence of a shared vocabulary for the generative behavior of dissipative systems. The sections that follow outline one possible solution.</w:t>
      </w:r>
    </w:p>
    <w:p>
      <w:pPr>
        <w:pStyle w:val="Heading1"/>
        <w:pBdr>
          <w:bottom w:val="single" w:color="1F3864" w:sz="12" w:space="1"/>
        </w:pBdr>
        <w:spacing w:after="180" w:before="360"/>
      </w:pPr>
      <w:r>
        <w:rPr>
          <w:rFonts w:ascii="Arial" w:cs="Arial" w:eastAsia="Arial" w:hAnsi="Arial"/>
          <w:b/>
          <w:bCs/>
          <w:color w:val="1F3864"/>
          <w:sz w:val="32"/>
          <w:szCs w:val="32"/>
        </w:rPr>
        <w:t xml:space="preserve">2.  What Generative Contact Mechanics Is</w:t>
      </w:r>
    </w:p>
    <w:p>
      <w:pPr>
        <w:spacing w:after="120" w:before="120"/>
        <w:ind w:left="720" w:right="720"/>
        <w:jc w:val="both"/>
      </w:pPr>
      <w:r>
        <w:rPr>
          <w:rFonts w:ascii="Georgia" w:cs="Georgia" w:eastAsia="Georgia" w:hAnsi="Georgia"/>
          <w:i/>
          <w:iCs/>
          <w:color w:val="444444"/>
          <w:sz w:val="20"/>
          <w:szCs w:val="20"/>
        </w:rPr>
        <w:t xml:space="preserve">Generative Contact Mechanics offers a shared language for describing how dissipative systems generate, sustain, and transform dynamical structure through structured contact.</w:t>
      </w:r>
    </w:p>
    <w:p>
      <w:pPr>
        <w:pStyle w:val="Heading2"/>
        <w:spacing w:after="120" w:before="280"/>
      </w:pPr>
      <w:r>
        <w:rPr>
          <w:rFonts w:ascii="Arial" w:cs="Arial" w:eastAsia="Arial" w:hAnsi="Arial"/>
          <w:b/>
          <w:bCs/>
          <w:color w:val="1F3864"/>
          <w:sz w:val="26"/>
          <w:szCs w:val="26"/>
        </w:rPr>
        <w:t xml:space="preserve">2.1  The Core Claim</w:t>
      </w:r>
    </w:p>
    <w:p>
      <w:pPr>
        <w:spacing w:after="160" w:before="0"/>
        <w:jc w:val="both"/>
      </w:pPr>
      <w:r>
        <w:rPr>
          <w:rFonts w:ascii="Georgia" w:cs="Georgia" w:eastAsia="Georgia" w:hAnsi="Georgia"/>
          <w:sz w:val="22"/>
          <w:szCs w:val="22"/>
        </w:rPr>
        <w:t xml:space="preserve">GCM rests on a single observation: many dissipative oscillatory systems, across wildly different substrates, share a common geometry. This geometry becomes visible not at the level of equations but at the level of structure—the way modes interact, the way stability is maintained against perturbation, the way the system’s generative capacity is organized around an invariant core.</w:t>
      </w:r>
    </w:p>
    <w:p>
      <w:pPr>
        <w:spacing w:after="160" w:before="0"/>
        <w:jc w:val="both"/>
      </w:pPr>
      <w:r>
        <w:rPr>
          <w:rFonts w:ascii="Georgia" w:cs="Georgia" w:eastAsia="Georgia" w:hAnsi="Georgia"/>
          <w:sz w:val="22"/>
          <w:szCs w:val="22"/>
        </w:rPr>
        <w:t xml:space="preserve">The claim is not that all oscillatory systems are the same. It is that they share a family resemblance precise enough to support a common language—one that identifies what they have in common without erasing what makes each one distinct. GCM is the attempt to articulate that language.</w:t>
      </w:r>
    </w:p>
    <w:p>
      <w:pPr>
        <w:pStyle w:val="Heading2"/>
        <w:spacing w:after="120" w:before="280"/>
      </w:pPr>
      <w:r>
        <w:rPr>
          <w:rFonts w:ascii="Arial" w:cs="Arial" w:eastAsia="Arial" w:hAnsi="Arial"/>
          <w:b/>
          <w:bCs/>
          <w:color w:val="1F3864"/>
          <w:sz w:val="26"/>
          <w:szCs w:val="26"/>
        </w:rPr>
        <w:t xml:space="preserve">2.2  The dm³ Operator: A Minimal Generative Grammar</w:t>
      </w:r>
    </w:p>
    <w:p>
      <w:pPr>
        <w:spacing w:after="160" w:before="0"/>
        <w:jc w:val="both"/>
      </w:pPr>
      <w:r>
        <w:rPr>
          <w:rFonts w:ascii="Georgia" w:cs="Georgia" w:eastAsia="Georgia" w:hAnsi="Georgia"/>
          <w:sz w:val="22"/>
          <w:szCs w:val="22"/>
        </w:rPr>
        <w:t xml:space="preserve">The mathematical spine of GCM is the dm³ operator: a dissipative dynamical system defined on a Riemannian manifold whose long-term behavior organizes around a hyperbolic limit cycle. The dm³ operator is not a model of any particular physical system. It is a minimal formal object that captures the essential features shared by all systems in the GCM class: dissipation, generation of coherent structure, and stability under perturbation.</w:t>
      </w:r>
    </w:p>
    <w:p>
      <w:pPr>
        <w:spacing w:after="160" w:before="0"/>
        <w:jc w:val="both"/>
      </w:pPr>
      <w:r>
        <w:rPr>
          <w:rFonts w:ascii="Georgia" w:cs="Georgia" w:eastAsia="Georgia" w:hAnsi="Georgia"/>
          <w:sz w:val="22"/>
          <w:szCs w:val="22"/>
        </w:rPr>
        <w:t xml:space="preserve">Around the dm³ operator, a grammar of five operators has been developed—denoted g, L, R, U, and B—each encoding a distinct aspect of how generative dynamics proceed. Together with a contact geometric structure and four main theorems (on existence and stability, categorical closure, contact normal form, and structural stability), these operators constitute the formal core of GCM.</w:t>
      </w:r>
    </w:p>
    <w:p>
      <w:pPr>
        <w:pStyle w:val="Heading2"/>
        <w:spacing w:after="120" w:before="280"/>
      </w:pPr>
      <w:r>
        <w:rPr>
          <w:rFonts w:ascii="Arial" w:cs="Arial" w:eastAsia="Arial" w:hAnsi="Arial"/>
          <w:b/>
          <w:bCs/>
          <w:color w:val="1F3864"/>
          <w:sz w:val="26"/>
          <w:szCs w:val="26"/>
        </w:rPr>
        <w:t xml:space="preserve">2.3  What ‘Contact’ Means in This Language</w:t>
      </w:r>
    </w:p>
    <w:p>
      <w:pPr>
        <w:spacing w:after="160" w:before="0"/>
        <w:jc w:val="both"/>
      </w:pPr>
      <w:r>
        <w:rPr>
          <w:rFonts w:ascii="Georgia" w:cs="Georgia" w:eastAsia="Georgia" w:hAnsi="Georgia"/>
          <w:sz w:val="22"/>
          <w:szCs w:val="22"/>
        </w:rPr>
        <w:t xml:space="preserve">The word ‘contact’ in GCM is precise. In mathematics, contact geometry is a branch of differential geometry that studies odd-dimensional manifolds equipped with a maximally non-integrable hyperplane field—a contact structure. This structure is the natural home of dissipative systems: it encodes the way energy is exchanged, modes interact, and invariants are preserved or broken.</w:t>
      </w:r>
    </w:p>
    <w:p>
      <w:pPr>
        <w:spacing w:after="160" w:before="0"/>
        <w:jc w:val="both"/>
      </w:pPr>
      <w:r>
        <w:rPr>
          <w:rFonts w:ascii="Georgia" w:cs="Georgia" w:eastAsia="Georgia" w:hAnsi="Georgia"/>
          <w:sz w:val="22"/>
          <w:szCs w:val="22"/>
        </w:rPr>
        <w:t xml:space="preserve">In GCM, ‘contact’ refers to the structured interaction between a system’s dynamical modes. It is not collision or connection in the naive sense—it is the precise geometric relationship that governs how different parts of a system’s behavior constrain and generate one another.</w:t>
      </w:r>
    </w:p>
    <w:p>
      <w:pPr>
        <w:pStyle w:val="Heading2"/>
        <w:spacing w:after="120" w:before="280"/>
      </w:pPr>
      <w:r>
        <w:rPr>
          <w:rFonts w:ascii="Arial" w:cs="Arial" w:eastAsia="Arial" w:hAnsi="Arial"/>
          <w:b/>
          <w:bCs/>
          <w:color w:val="1F3864"/>
          <w:sz w:val="26"/>
          <w:szCs w:val="26"/>
        </w:rPr>
        <w:t xml:space="preserve">2.4  What ‘Generative’ Means</w:t>
      </w:r>
    </w:p>
    <w:p>
      <w:pPr>
        <w:spacing w:after="160" w:before="0"/>
        <w:jc w:val="both"/>
      </w:pPr>
      <w:r>
        <w:rPr>
          <w:rFonts w:ascii="Georgia" w:cs="Georgia" w:eastAsia="Georgia" w:hAnsi="Georgia"/>
          <w:sz w:val="22"/>
          <w:szCs w:val="22"/>
        </w:rPr>
        <w:t xml:space="preserve">The word ‘generative’ is equally precise. A system is generative in the GCM sense if it does not merely evolve—if it actively produces, sustains, and transforms dynamical structure over time. Dissipative systems that possess structured limit cycles are paradigmatically generative: they continuously regenerate their characteristic behavior against the dissipative tendency toward equilibrium.</w:t>
      </w:r>
    </w:p>
    <w:p>
      <w:pPr>
        <w:spacing w:after="160" w:before="0"/>
        <w:jc w:val="both"/>
      </w:pPr>
      <w:r>
        <w:rPr>
          <w:rFonts w:ascii="Georgia" w:cs="Georgia" w:eastAsia="Georgia" w:hAnsi="Georgia"/>
          <w:sz w:val="22"/>
          <w:szCs w:val="22"/>
        </w:rPr>
        <w:t xml:space="preserve">Generativity, in this sense, is a structural property, not a metaphor. It refers to the capacity of a dynamical system to produce coherent behavior that is robust to perturbation—behavior that ‘wants’ to recur, in the precise mathematical sense of being a stable attractor with positive basin of attraction.</w:t>
      </w:r>
    </w:p>
    <w:p>
      <w:pPr>
        <w:pStyle w:val="Heading1"/>
        <w:pBdr>
          <w:bottom w:val="single" w:color="1F3864" w:sz="12" w:space="1"/>
        </w:pBdr>
        <w:spacing w:after="180" w:before="360"/>
      </w:pPr>
      <w:r>
        <w:rPr>
          <w:rFonts w:ascii="Arial" w:cs="Arial" w:eastAsia="Arial" w:hAnsi="Arial"/>
          <w:b/>
          <w:bCs/>
          <w:color w:val="1F3864"/>
          <w:sz w:val="32"/>
          <w:szCs w:val="32"/>
        </w:rPr>
        <w:t xml:space="preserve">3.  The Shared Lexicon</w:t>
      </w:r>
    </w:p>
    <w:p>
      <w:pPr>
        <w:spacing w:after="160" w:before="0"/>
        <w:jc w:val="both"/>
      </w:pPr>
      <w:r>
        <w:rPr>
          <w:rFonts w:ascii="Georgia" w:cs="Georgia" w:eastAsia="Georgia" w:hAnsi="Georgia"/>
          <w:sz w:val="22"/>
          <w:szCs w:val="22"/>
        </w:rPr>
        <w:t xml:space="preserve">Every scientific language needs a lexicon: a set of terms whose meanings are precise enough to support rigorous argument, yet clear enough to be used across disciplinary contexts. GCM’s lexicon has five core components.</w:t>
      </w:r>
    </w:p>
    <w:p>
      <w:pPr>
        <w:pStyle w:val="Heading2"/>
        <w:spacing w:after="120" w:before="280"/>
      </w:pPr>
      <w:r>
        <w:rPr>
          <w:rFonts w:ascii="Arial" w:cs="Arial" w:eastAsia="Arial" w:hAnsi="Arial"/>
          <w:b/>
          <w:bCs/>
          <w:color w:val="1F3864"/>
          <w:sz w:val="26"/>
          <w:szCs w:val="26"/>
        </w:rPr>
        <w:t xml:space="preserve">3.1  Contact Geometry: The Natural Home of Dissipative Systems</w:t>
      </w:r>
    </w:p>
    <w:p>
      <w:pPr>
        <w:spacing w:after="160" w:before="0"/>
        <w:jc w:val="both"/>
      </w:pPr>
      <w:r>
        <w:rPr>
          <w:rFonts w:ascii="Georgia" w:cs="Georgia" w:eastAsia="Georgia" w:hAnsi="Georgia"/>
          <w:sz w:val="22"/>
          <w:szCs w:val="22"/>
        </w:rPr>
        <w:t xml:space="preserve">Contact geometry studies spaces in which energy exchange and dissipation are built into the geometry itself. Where symplectic geometry—the classical language of Hamiltonian mechanics—describes systems that conserve energy exactly, contact geometry describes systems that lose or gain energy in a structured, controlled way. For dissipative oscillatory systems, this makes contact geometry the natural geometric setting.</w:t>
      </w:r>
    </w:p>
    <w:p>
      <w:pPr>
        <w:spacing w:after="160" w:before="0"/>
        <w:jc w:val="both"/>
      </w:pPr>
      <w:r>
        <w:rPr>
          <w:rFonts w:ascii="Georgia" w:cs="Georgia" w:eastAsia="Georgia" w:hAnsi="Georgia"/>
          <w:sz w:val="22"/>
          <w:szCs w:val="22"/>
        </w:rPr>
        <w:t xml:space="preserve">The key object in contact geometry is the contact form: a differential one-form whose non-degeneracy condition encodes the constraint that energy exchange is maximally non-trivial. Systems described by GCM all carry such a contact form, which is why they are comparable despite their substrate differences.</w:t>
      </w:r>
    </w:p>
    <w:p>
      <w:pPr>
        <w:pStyle w:val="Heading2"/>
        <w:spacing w:after="120" w:before="280"/>
      </w:pPr>
      <w:r>
        <w:rPr>
          <w:rFonts w:ascii="Arial" w:cs="Arial" w:eastAsia="Arial" w:hAnsi="Arial"/>
          <w:b/>
          <w:bCs/>
          <w:color w:val="1F3864"/>
          <w:sz w:val="26"/>
          <w:szCs w:val="26"/>
        </w:rPr>
        <w:t xml:space="preserve">3.2  Structured Limit Cycles</w:t>
      </w:r>
    </w:p>
    <w:p>
      <w:pPr>
        <w:spacing w:after="160" w:before="0"/>
        <w:jc w:val="both"/>
      </w:pPr>
      <w:r>
        <w:rPr>
          <w:rFonts w:ascii="Georgia" w:cs="Georgia" w:eastAsia="Georgia" w:hAnsi="Georgia"/>
          <w:sz w:val="22"/>
          <w:szCs w:val="22"/>
        </w:rPr>
        <w:t xml:space="preserve">A limit cycle is a closed trajectory in phase space toward which nearby trajectories converge. A structured limit cycle, in the GCM sense, is a limit cycle that is hyperbolic, carries a well-defined contact structure, and admits a canonical decomposition into generative modes governed by the GCM operator grammar.</w:t>
      </w:r>
    </w:p>
    <w:p>
      <w:pPr>
        <w:pStyle w:val="Heading2"/>
        <w:spacing w:after="120" w:before="280"/>
      </w:pPr>
      <w:r>
        <w:rPr>
          <w:rFonts w:ascii="Arial" w:cs="Arial" w:eastAsia="Arial" w:hAnsi="Arial"/>
          <w:b/>
          <w:bCs/>
          <w:color w:val="1F3864"/>
          <w:sz w:val="26"/>
          <w:szCs w:val="26"/>
        </w:rPr>
        <w:t xml:space="preserve">3.3  The Canonical Invariant Triple (M, ξ, Φ)</w:t>
      </w:r>
    </w:p>
    <w:p>
      <w:pPr>
        <w:spacing w:after="160" w:before="0"/>
        <w:jc w:val="both"/>
      </w:pPr>
      <w:r>
        <w:rPr>
          <w:rFonts w:ascii="Georgia" w:cs="Georgia" w:eastAsia="Georgia" w:hAnsi="Georgia"/>
          <w:sz w:val="22"/>
          <w:szCs w:val="22"/>
        </w:rPr>
        <w:t xml:space="preserve">Every system in the GCM class carries three canonical objects: a contact manifold M (the space in which the system’s dynamics live), a contact structure ξ (the hyperplane field encoding the constraint of structured dissipation), and a contact Hamiltonian Φ (the function governing how the system’s energy is organized and exchanged). This triple is canonical in the sense that it is invariant under the symmetries of the GCM category.</w:t>
      </w:r>
    </w:p>
    <w:p>
      <w:pPr>
        <w:pStyle w:val="Heading2"/>
        <w:spacing w:after="120" w:before="280"/>
      </w:pPr>
      <w:r>
        <w:rPr>
          <w:rFonts w:ascii="Arial" w:cs="Arial" w:eastAsia="Arial" w:hAnsi="Arial"/>
          <w:b/>
          <w:bCs/>
          <w:color w:val="1F3864"/>
          <w:sz w:val="26"/>
          <w:szCs w:val="26"/>
        </w:rPr>
        <w:t xml:space="preserve">3.4  The Operator Grammar: g, L, R, U, B</w:t>
      </w:r>
    </w:p>
    <w:p>
      <w:pPr>
        <w:spacing w:after="160" w:before="0"/>
        <w:jc w:val="both"/>
      </w:pPr>
      <w:r>
        <w:rPr>
          <w:rFonts w:ascii="Georgia" w:cs="Georgia" w:eastAsia="Georgia" w:hAnsi="Georgia"/>
          <w:sz w:val="22"/>
          <w:szCs w:val="22"/>
        </w:rPr>
        <w:t xml:space="preserve">GCM describes the dynamics of systems in its class through five operators:</w:t>
      </w:r>
    </w:p>
    <w:p>
      <w:pPr>
        <w:spacing w:after="160" w:before="0"/>
        <w:jc w:val="both"/>
      </w:pPr>
      <w:r>
        <w:rPr>
          <w:rFonts w:ascii="Georgia" w:cs="Georgia" w:eastAsia="Georgia" w:hAnsi="Georgia"/>
          <w:sz w:val="22"/>
          <w:szCs w:val="22"/>
        </w:rPr>
        <w:t xml:space="preserve">g — the metric operator: the intrinsic geometry of the contact manifold.</w:t>
      </w:r>
    </w:p>
    <w:p>
      <w:pPr>
        <w:spacing w:after="160" w:before="0"/>
        <w:jc w:val="both"/>
      </w:pPr>
      <w:r>
        <w:rPr>
          <w:rFonts w:ascii="Georgia" w:cs="Georgia" w:eastAsia="Georgia" w:hAnsi="Georgia"/>
          <w:sz w:val="22"/>
          <w:szCs w:val="22"/>
        </w:rPr>
        <w:t xml:space="preserve">L — the Lie derivative operator: how the contact structure evolves along the flow.</w:t>
      </w:r>
    </w:p>
    <w:p>
      <w:pPr>
        <w:spacing w:after="160" w:before="0"/>
        <w:jc w:val="both"/>
      </w:pPr>
      <w:r>
        <w:rPr>
          <w:rFonts w:ascii="Georgia" w:cs="Georgia" w:eastAsia="Georgia" w:hAnsi="Georgia"/>
          <w:sz w:val="22"/>
          <w:szCs w:val="22"/>
        </w:rPr>
        <w:t xml:space="preserve">R — the Reeb vector field: the direction of ‘pure generativity’ along which the contact form is perfectly preserved.</w:t>
      </w:r>
    </w:p>
    <w:p>
      <w:pPr>
        <w:spacing w:after="160" w:before="0"/>
        <w:jc w:val="both"/>
      </w:pPr>
      <w:r>
        <w:rPr>
          <w:rFonts w:ascii="Georgia" w:cs="Georgia" w:eastAsia="Georgia" w:hAnsi="Georgia"/>
          <w:sz w:val="22"/>
          <w:szCs w:val="22"/>
        </w:rPr>
        <w:t xml:space="preserve">U — the unfolding operator: how the system responds to perturbation.</w:t>
      </w:r>
    </w:p>
    <w:p>
      <w:pPr>
        <w:spacing w:after="160" w:before="0"/>
        <w:jc w:val="both"/>
      </w:pPr>
      <w:r>
        <w:rPr>
          <w:rFonts w:ascii="Georgia" w:cs="Georgia" w:eastAsia="Georgia" w:hAnsi="Georgia"/>
          <w:sz w:val="22"/>
          <w:szCs w:val="22"/>
        </w:rPr>
        <w:t xml:space="preserve">B — the boundary operator: the interaction between the system’s interior dynamics and its external constraints.</w:t>
      </w:r>
    </w:p>
    <w:p>
      <w:pPr>
        <w:pStyle w:val="Heading2"/>
        <w:spacing w:after="120" w:before="280"/>
      </w:pPr>
      <w:r>
        <w:rPr>
          <w:rFonts w:ascii="Arial" w:cs="Arial" w:eastAsia="Arial" w:hAnsi="Arial"/>
          <w:b/>
          <w:bCs/>
          <w:color w:val="1F3864"/>
          <w:sz w:val="26"/>
          <w:szCs w:val="26"/>
        </w:rPr>
        <w:t xml:space="preserve">3.5  The GCM Category</w:t>
      </w:r>
    </w:p>
    <w:p>
      <w:pPr>
        <w:spacing w:after="160" w:before="0"/>
        <w:jc w:val="both"/>
      </w:pPr>
      <w:r>
        <w:rPr>
          <w:rFonts w:ascii="Georgia" w:cs="Georgia" w:eastAsia="Georgia" w:hAnsi="Georgia"/>
          <w:sz w:val="22"/>
          <w:szCs w:val="22"/>
        </w:rPr>
        <w:t xml:space="preserve">The GCM category is the formal structure that makes cross-disciplinary comparison rigorous. Its objects are systems equipped with the canonical invariant triple (M, ξ, Φ). Its morphisms are maps between systems that preserve the contact structure. The existence of the GCM category means that ‘resemblance between systems’ is not a metaphor but a theorem.</w:t>
      </w:r>
    </w:p>
    <w:p>
      <w:pPr>
        <w:pStyle w:val="Heading1"/>
        <w:pBdr>
          <w:bottom w:val="single" w:color="1F3864" w:sz="12" w:space="1"/>
        </w:pBdr>
        <w:spacing w:after="180" w:before="360"/>
      </w:pPr>
      <w:r>
        <w:rPr>
          <w:rFonts w:ascii="Arial" w:cs="Arial" w:eastAsia="Arial" w:hAnsi="Arial"/>
          <w:b/>
          <w:bCs/>
          <w:color w:val="1F3864"/>
          <w:sz w:val="32"/>
          <w:szCs w:val="32"/>
        </w:rPr>
        <w:t xml:space="preserve">4.  The Framework in Action: Six Domains</w:t>
      </w:r>
    </w:p>
    <w:p>
      <w:pPr>
        <w:pStyle w:val="Heading2"/>
        <w:spacing w:after="120" w:before="280"/>
      </w:pPr>
      <w:r>
        <w:rPr>
          <w:rFonts w:ascii="Arial" w:cs="Arial" w:eastAsia="Arial" w:hAnsi="Arial"/>
          <w:b/>
          <w:bCs/>
          <w:color w:val="1F3864"/>
          <w:sz w:val="26"/>
          <w:szCs w:val="26"/>
        </w:rPr>
        <w:t xml:space="preserve">4.1  Physics — The Van der Pol Oscillator</w:t>
      </w:r>
    </w:p>
    <w:p>
      <w:pPr>
        <w:spacing w:after="160" w:before="0"/>
        <w:jc w:val="both"/>
      </w:pPr>
      <w:r>
        <w:rPr>
          <w:rFonts w:ascii="Georgia" w:cs="Georgia" w:eastAsia="Georgia" w:hAnsi="Georgia"/>
          <w:sz w:val="22"/>
          <w:szCs w:val="22"/>
        </w:rPr>
        <w:t xml:space="preserve">The Van der Pol oscillator is the canonical model of a self-sustaining nonlinear oscillation. Originally introduced to describe the behavior of vacuum tubes in early radio circuits, it has become the textbook example of a dissipative system with a stable limit cycle. In GCM terms, the Van der Pol oscillator is a paradigmatic dm³ system. Its limit cycle is hyperbolic, its contact structure is well-defined, and its operator decomposition is transparent.</w:t>
      </w:r>
    </w:p>
    <w:p>
      <w:pPr>
        <w:pStyle w:val="Heading2"/>
        <w:spacing w:after="120" w:before="280"/>
      </w:pPr>
      <w:r>
        <w:rPr>
          <w:rFonts w:ascii="Arial" w:cs="Arial" w:eastAsia="Arial" w:hAnsi="Arial"/>
          <w:b/>
          <w:bCs/>
          <w:color w:val="1F3864"/>
          <w:sz w:val="26"/>
          <w:szCs w:val="26"/>
        </w:rPr>
        <w:t xml:space="preserve">4.2  Neuroscience — The Wilson–Cowan Model</w:t>
      </w:r>
    </w:p>
    <w:p>
      <w:pPr>
        <w:spacing w:after="160" w:before="0"/>
        <w:jc w:val="both"/>
      </w:pPr>
      <w:r>
        <w:rPr>
          <w:rFonts w:ascii="Georgia" w:cs="Georgia" w:eastAsia="Georgia" w:hAnsi="Georgia"/>
          <w:sz w:val="22"/>
          <w:szCs w:val="22"/>
        </w:rPr>
        <w:t xml:space="preserve">The Wilson–Cowan model describes the dynamics of coupled excitatory and inhibitory neural populations. Under appropriate parameter regimes, the model exhibits limit-cycle oscillations corresponding to rhythmic activity in neural circuits. The GCM perspective illuminates the Wilson–Cowan model by identifying the contact structure underlying its oscillatory behavior, making it possible to compare neural rhythms with oscillatory systems in other domains.</w:t>
      </w:r>
    </w:p>
    <w:p>
      <w:pPr>
        <w:pStyle w:val="Heading2"/>
        <w:spacing w:after="120" w:before="280"/>
      </w:pPr>
      <w:r>
        <w:rPr>
          <w:rFonts w:ascii="Arial" w:cs="Arial" w:eastAsia="Arial" w:hAnsi="Arial"/>
          <w:b/>
          <w:bCs/>
          <w:color w:val="1F3864"/>
          <w:sz w:val="26"/>
          <w:szCs w:val="26"/>
        </w:rPr>
        <w:t xml:space="preserve">4.3  Biology — Circadian Clocks and Glycolytic Oscillations</w:t>
      </w:r>
    </w:p>
    <w:p>
      <w:pPr>
        <w:spacing w:after="160" w:before="0"/>
        <w:jc w:val="both"/>
      </w:pPr>
      <w:r>
        <w:rPr>
          <w:rFonts w:ascii="Georgia" w:cs="Georgia" w:eastAsia="Georgia" w:hAnsi="Georgia"/>
          <w:sz w:val="22"/>
          <w:szCs w:val="22"/>
        </w:rPr>
        <w:t xml:space="preserve">The cyanobacterial circadian clock, based on the KaiA, KaiB, and KaiC protein system, exhibits robust 24-hour oscillations driven entirely by post-translational phosphorylation cycles. Glycolytic oscillations in yeast arise from feedback in the metabolic pathway that converts glucose to pyruvate. Together, they demonstrate that the GCM description applies across biological scales.</w:t>
      </w:r>
    </w:p>
    <w:p>
      <w:pPr>
        <w:pStyle w:val="Heading2"/>
        <w:spacing w:after="120" w:before="280"/>
      </w:pPr>
      <w:r>
        <w:rPr>
          <w:rFonts w:ascii="Arial" w:cs="Arial" w:eastAsia="Arial" w:hAnsi="Arial"/>
          <w:b/>
          <w:bCs/>
          <w:color w:val="1F3864"/>
          <w:sz w:val="26"/>
          <w:szCs w:val="26"/>
        </w:rPr>
        <w:t xml:space="preserve">4.4  Economics — The Goodwin Growth Cycle</w:t>
      </w:r>
    </w:p>
    <w:p>
      <w:pPr>
        <w:spacing w:after="160" w:before="0"/>
        <w:jc w:val="both"/>
      </w:pPr>
      <w:r>
        <w:rPr>
          <w:rFonts w:ascii="Georgia" w:cs="Georgia" w:eastAsia="Georgia" w:hAnsi="Georgia"/>
          <w:sz w:val="22"/>
          <w:szCs w:val="22"/>
        </w:rPr>
        <w:t xml:space="preserve">The Goodwin model of economic growth is a predator–prey system in which the employment rate and wage share interact to produce endogenous business cycles. The model generates closed orbits: periods of high employment drive up wages, which reduce profit and investment, which reduce employment—and so on. The GCM lens identifies the contact structure underlying its oscillatory behavior.</w:t>
      </w:r>
    </w:p>
    <w:p>
      <w:pPr>
        <w:pStyle w:val="Heading2"/>
        <w:spacing w:after="120" w:before="280"/>
      </w:pPr>
      <w:r>
        <w:rPr>
          <w:rFonts w:ascii="Arial" w:cs="Arial" w:eastAsia="Arial" w:hAnsi="Arial"/>
          <w:b/>
          <w:bCs/>
          <w:color w:val="1F3864"/>
          <w:sz w:val="26"/>
          <w:szCs w:val="26"/>
        </w:rPr>
        <w:t xml:space="preserve">4.5  Climate — The El Niño–Southern Oscillation</w:t>
      </w:r>
    </w:p>
    <w:p>
      <w:pPr>
        <w:spacing w:after="160" w:before="0"/>
        <w:jc w:val="both"/>
      </w:pPr>
      <w:r>
        <w:rPr>
          <w:rFonts w:ascii="Georgia" w:cs="Georgia" w:eastAsia="Georgia" w:hAnsi="Georgia"/>
          <w:sz w:val="22"/>
          <w:szCs w:val="22"/>
        </w:rPr>
        <w:t xml:space="preserve">ENSO is the largest source of year-to-year variability in the global climate system. It arises from the coupled interaction between sea surface temperatures in the tropical Pacific and atmospheric circulation patterns. ENSO is best understood as a GCM-adjacent system—one that motivates extensions of the framework toward quasi-periodic and irregularly forced oscillators.</w:t>
      </w:r>
    </w:p>
    <w:p>
      <w:pPr>
        <w:pStyle w:val="Heading2"/>
        <w:spacing w:after="120" w:before="280"/>
      </w:pPr>
      <w:r>
        <w:rPr>
          <w:rFonts w:ascii="Arial" w:cs="Arial" w:eastAsia="Arial" w:hAnsi="Arial"/>
          <w:b/>
          <w:bCs/>
          <w:color w:val="1F3864"/>
          <w:sz w:val="26"/>
          <w:szCs w:val="26"/>
        </w:rPr>
        <w:t xml:space="preserve">4.6  Engineering — The Phase-Locked Loop</w:t>
      </w:r>
    </w:p>
    <w:p>
      <w:pPr>
        <w:spacing w:after="160" w:before="0"/>
        <w:jc w:val="both"/>
      </w:pPr>
      <w:r>
        <w:rPr>
          <w:rFonts w:ascii="Georgia" w:cs="Georgia" w:eastAsia="Georgia" w:hAnsi="Georgia"/>
          <w:sz w:val="22"/>
          <w:szCs w:val="22"/>
        </w:rPr>
        <w:t xml:space="preserve">The phase-locked loop (PLL) is a feedback control circuit that synchronizes an output oscillator to the phase of an input signal. PLLs are ubiquitous in modern electronics. The PLL is, in a precise sense, an engineered GCM system: its design goal is explicitly to create and maintain a structured limit cycle that is robust to perturbation.</w:t>
      </w:r>
    </w:p>
    <w:p>
      <w:pPr>
        <w:pStyle w:val="Heading1"/>
        <w:pBdr>
          <w:bottom w:val="single" w:color="1F3864" w:sz="12" w:space="1"/>
        </w:pBdr>
        <w:spacing w:after="180" w:before="360"/>
      </w:pPr>
      <w:r>
        <w:rPr>
          <w:rFonts w:ascii="Arial" w:cs="Arial" w:eastAsia="Arial" w:hAnsi="Arial"/>
          <w:b/>
          <w:bCs/>
          <w:color w:val="1F3864"/>
          <w:sz w:val="32"/>
          <w:szCs w:val="32"/>
        </w:rPr>
        <w:t xml:space="preserve">5.  What GCM Does Not Claim</w:t>
      </w:r>
    </w:p>
    <w:p>
      <w:pPr>
        <w:pStyle w:val="Heading2"/>
        <w:spacing w:after="120" w:before="280"/>
      </w:pPr>
      <w:r>
        <w:rPr>
          <w:rFonts w:ascii="Arial" w:cs="Arial" w:eastAsia="Arial" w:hAnsi="Arial"/>
          <w:b/>
          <w:bCs/>
          <w:color w:val="1F3864"/>
          <w:sz w:val="26"/>
          <w:szCs w:val="26"/>
        </w:rPr>
        <w:t xml:space="preserve">5.1  GCM Is a Language, Not a Theory of Everything</w:t>
      </w:r>
    </w:p>
    <w:p>
      <w:pPr>
        <w:spacing w:after="160" w:before="0"/>
        <w:jc w:val="both"/>
      </w:pPr>
      <w:r>
        <w:rPr>
          <w:rFonts w:ascii="Georgia" w:cs="Georgia" w:eastAsia="Georgia" w:hAnsi="Georgia"/>
          <w:sz w:val="22"/>
          <w:szCs w:val="22"/>
        </w:rPr>
        <w:t xml:space="preserve">GCM does not claim that all dynamical systems are dissipative limit-cycle systems. The framework is explicitly scoped to dissipative systems with structured limit cycles. Many important systems—conservative Hamiltonian systems, chaotic attractors, stochastic systems—lie outside its current scope.</w:t>
      </w:r>
    </w:p>
    <w:p>
      <w:pPr>
        <w:pStyle w:val="Heading2"/>
        <w:spacing w:after="120" w:before="280"/>
      </w:pPr>
      <w:r>
        <w:rPr>
          <w:rFonts w:ascii="Arial" w:cs="Arial" w:eastAsia="Arial" w:hAnsi="Arial"/>
          <w:b/>
          <w:bCs/>
          <w:color w:val="1F3864"/>
          <w:sz w:val="26"/>
          <w:szCs w:val="26"/>
        </w:rPr>
        <w:t xml:space="preserve">5.2  The Framework Does Not Replace Domain-Specific Models</w:t>
      </w:r>
    </w:p>
    <w:p>
      <w:pPr>
        <w:spacing w:after="160" w:before="0"/>
        <w:jc w:val="both"/>
      </w:pPr>
      <w:r>
        <w:rPr>
          <w:rFonts w:ascii="Georgia" w:cs="Georgia" w:eastAsia="Georgia" w:hAnsi="Georgia"/>
          <w:sz w:val="22"/>
          <w:szCs w:val="22"/>
        </w:rPr>
        <w:t xml:space="preserve">GCM describes structure at a level of abstraction necessarily higher than the level at which domain-specific models operate. A GCM description of the Wilson–Cowan model does not tell a neuroscientist anything new about the biology of the brain. The value of the GCM description lies in cross-disciplinary comparison and structural insight.</w:t>
      </w:r>
    </w:p>
    <w:p>
      <w:pPr>
        <w:pStyle w:val="Heading2"/>
        <w:spacing w:after="120" w:before="280"/>
      </w:pPr>
      <w:r>
        <w:rPr>
          <w:rFonts w:ascii="Arial" w:cs="Arial" w:eastAsia="Arial" w:hAnsi="Arial"/>
          <w:b/>
          <w:bCs/>
          <w:color w:val="1F3864"/>
          <w:sz w:val="26"/>
          <w:szCs w:val="26"/>
        </w:rPr>
        <w:t xml:space="preserve">5.3  Open Questions and the Boundaries of Current Formalization</w:t>
      </w:r>
    </w:p>
    <w:p>
      <w:pPr>
        <w:spacing w:after="160" w:before="0"/>
        <w:jc w:val="both"/>
      </w:pPr>
      <w:r>
        <w:rPr>
          <w:rFonts w:ascii="Georgia" w:cs="Georgia" w:eastAsia="Georgia" w:hAnsi="Georgia"/>
          <w:sz w:val="22"/>
          <w:szCs w:val="22"/>
        </w:rPr>
        <w:t xml:space="preserve">Several important questions remain open. The GCM framework currently handles smooth systems on finite-dimensional manifolds; extensions to stochastic systems, infinite-dimensional systems, and non-smooth dynamics are natural but not yet developed. The relationship between the GCM category and existing categorical frameworks deserves systematic investigation.</w:t>
      </w:r>
    </w:p>
    <w:p>
      <w:pPr>
        <w:pStyle w:val="Heading2"/>
        <w:spacing w:after="120" w:before="280"/>
      </w:pPr>
      <w:r>
        <w:rPr>
          <w:rFonts w:ascii="Arial" w:cs="Arial" w:eastAsia="Arial" w:hAnsi="Arial"/>
          <w:b/>
          <w:bCs/>
          <w:color w:val="1F3864"/>
          <w:sz w:val="26"/>
          <w:szCs w:val="26"/>
        </w:rPr>
        <w:t xml:space="preserve">5.4  An Invitation to Stress-Test, Extend, and Falsify</w:t>
      </w:r>
    </w:p>
    <w:p>
      <w:pPr>
        <w:spacing w:after="160" w:before="0"/>
        <w:jc w:val="both"/>
      </w:pPr>
      <w:r>
        <w:rPr>
          <w:rFonts w:ascii="Georgia" w:cs="Georgia" w:eastAsia="Georgia" w:hAnsi="Georgia"/>
          <w:sz w:val="22"/>
          <w:szCs w:val="22"/>
        </w:rPr>
        <w:t xml:space="preserve">GCM is a young framework. Its value will be determined not by the claims made in this manifesto but by its performance under scientific scrutiny. The appropriate response to a proposed scientific language is to use it, challenge it, and improve it.</w:t>
      </w:r>
    </w:p>
    <w:p>
      <w:pPr>
        <w:pStyle w:val="Heading1"/>
        <w:pBdr>
          <w:bottom w:val="single" w:color="1F3864" w:sz="12" w:space="1"/>
        </w:pBdr>
        <w:spacing w:after="180" w:before="360"/>
      </w:pPr>
      <w:r>
        <w:rPr>
          <w:rFonts w:ascii="Arial" w:cs="Arial" w:eastAsia="Arial" w:hAnsi="Arial"/>
          <w:b/>
          <w:bCs/>
          <w:color w:val="1F3864"/>
          <w:sz w:val="32"/>
          <w:szCs w:val="32"/>
        </w:rPr>
        <w:t xml:space="preserve">6.  An Invitation to a Research Community</w:t>
      </w:r>
    </w:p>
    <w:p>
      <w:pPr>
        <w:pStyle w:val="Heading2"/>
        <w:spacing w:after="120" w:before="280"/>
      </w:pPr>
      <w:r>
        <w:rPr>
          <w:rFonts w:ascii="Arial" w:cs="Arial" w:eastAsia="Arial" w:hAnsi="Arial"/>
          <w:b/>
          <w:bCs/>
          <w:color w:val="1F3864"/>
          <w:sz w:val="26"/>
          <w:szCs w:val="26"/>
        </w:rPr>
        <w:t xml:space="preserve">6.1  Immediate Research Directions</w:t>
      </w:r>
    </w:p>
    <w:p>
      <w:pPr>
        <w:spacing w:after="160" w:before="0"/>
        <w:jc w:val="both"/>
      </w:pPr>
      <w:r>
        <w:rPr>
          <w:rFonts w:ascii="Georgia" w:cs="Georgia" w:eastAsia="Georgia" w:hAnsi="Georgia"/>
          <w:sz w:val="22"/>
          <w:szCs w:val="22"/>
        </w:rPr>
        <w:t xml:space="preserve">Several directions are immediately available. First, the formalization of additional domain examples. Second, the development of computational tools for GCM analysis: algorithms for identifying contact structures in empirical data, methods for estimating the canonical invariant triple from time-series observations. Third, the investigation of the GCM category’s relationship to existing mathematical structures.</w:t>
      </w:r>
    </w:p>
    <w:p>
      <w:pPr>
        <w:pStyle w:val="Heading2"/>
        <w:spacing w:after="120" w:before="280"/>
      </w:pPr>
      <w:r>
        <w:rPr>
          <w:rFonts w:ascii="Arial" w:cs="Arial" w:eastAsia="Arial" w:hAnsi="Arial"/>
          <w:b/>
          <w:bCs/>
          <w:color w:val="1F3864"/>
          <w:sz w:val="26"/>
          <w:szCs w:val="26"/>
        </w:rPr>
        <w:t xml:space="preserve">6.2  The Kinds of Collaboration GCM Invites</w:t>
      </w:r>
    </w:p>
    <w:p>
      <w:pPr>
        <w:spacing w:after="160" w:before="0"/>
        <w:jc w:val="both"/>
      </w:pPr>
      <w:r>
        <w:rPr>
          <w:rFonts w:ascii="Georgia" w:cs="Georgia" w:eastAsia="Georgia" w:hAnsi="Georgia"/>
          <w:sz w:val="22"/>
          <w:szCs w:val="22"/>
        </w:rPr>
        <w:t xml:space="preserve">GCM is, by design, a cross-disciplinary project. The most productive engagements will come from researchers who bring a specific domain system and ask whether GCM can describe it, and from mathematicians who bring expertise in contact geometry and ask whether the GCM formalism can be extended or sharpened.</w:t>
      </w:r>
    </w:p>
    <w:p>
      <w:pPr>
        <w:pStyle w:val="Heading2"/>
        <w:spacing w:after="120" w:before="280"/>
      </w:pPr>
      <w:r>
        <w:rPr>
          <w:rFonts w:ascii="Arial" w:cs="Arial" w:eastAsia="Arial" w:hAnsi="Arial"/>
          <w:b/>
          <w:bCs/>
          <w:color w:val="1F3864"/>
          <w:sz w:val="26"/>
          <w:szCs w:val="26"/>
        </w:rPr>
        <w:t xml:space="preserve">6.3  What Building the Field Would Mean in Practice</w:t>
      </w:r>
    </w:p>
    <w:p>
      <w:pPr>
        <w:spacing w:after="160" w:before="0"/>
        <w:jc w:val="both"/>
      </w:pPr>
      <w:r>
        <w:rPr>
          <w:rFonts w:ascii="Georgia" w:cs="Georgia" w:eastAsia="Georgia" w:hAnsi="Georgia"/>
          <w:sz w:val="22"/>
          <w:szCs w:val="22"/>
        </w:rPr>
        <w:t xml:space="preserve">A GCM research program would, over time, produce a catalogue of systems formally analyzed in GCM terms across physics, biology, neuroscience, economics, climate, and engineering. It would produce a body of theorems characterizing the structural properties of the GCM class. That vocabulary is the real deliverable. The mathematics is its foundation; the manifesto is its announcement; the community that uses it is its measure.</w:t>
      </w:r>
    </w:p>
    <w:p>
      <w:pPr>
        <w:pStyle w:val="Heading1"/>
        <w:pBdr>
          <w:bottom w:val="single" w:color="1F3864" w:sz="12" w:space="1"/>
        </w:pBdr>
        <w:spacing w:after="180" w:before="360"/>
      </w:pPr>
      <w:r>
        <w:rPr>
          <w:rFonts w:ascii="Arial" w:cs="Arial" w:eastAsia="Arial" w:hAnsi="Arial"/>
          <w:b/>
          <w:bCs/>
          <w:color w:val="1F3864"/>
          <w:sz w:val="32"/>
          <w:szCs w:val="32"/>
        </w:rPr>
        <w:t xml:space="preserve">7.  Origins and Lineage: A Note on Inspiration</w:t>
      </w:r>
    </w:p>
    <w:p>
      <w:pPr>
        <w:spacing w:after="160" w:before="0"/>
        <w:jc w:val="both"/>
      </w:pPr>
      <w:r>
        <w:rPr>
          <w:rFonts w:ascii="Georgia" w:cs="Georgia" w:eastAsia="Georgia" w:hAnsi="Georgia"/>
          <w:sz w:val="22"/>
          <w:szCs w:val="22"/>
        </w:rPr>
        <w:t xml:space="preserve">Scientific frameworks do not arise from nowhere. They arise from the encounter between a mathematical imagination and a set of orienting intuitions. In the case of GCM, honesty requires acknowledging the tradition in which those orienting intuitions were formed.</w:t>
      </w:r>
    </w:p>
    <w:p>
      <w:pPr>
        <w:spacing w:after="160" w:before="0"/>
        <w:jc w:val="both"/>
      </w:pPr>
      <w:r>
        <w:rPr>
          <w:rFonts w:ascii="Georgia" w:cs="Georgia" w:eastAsia="Georgia" w:hAnsi="Georgia"/>
          <w:sz w:val="22"/>
          <w:szCs w:val="22"/>
        </w:rPr>
        <w:t xml:space="preserve">The conceptual core of GCM reflects intuitions drawn from the yogic scriptural tradition. This work derives from that tradition, and was developed within it. The author is a yoga acharya initiated into that lineage, and the intellectual debt is real.</w:t>
      </w:r>
    </w:p>
    <w:p>
      <w:pPr>
        <w:spacing w:after="160" w:before="0"/>
        <w:jc w:val="both"/>
      </w:pPr>
      <w:r>
        <w:rPr>
          <w:rFonts w:ascii="Georgia" w:cs="Georgia" w:eastAsia="Georgia" w:hAnsi="Georgia"/>
          <w:sz w:val="22"/>
          <w:szCs w:val="22"/>
        </w:rPr>
        <w:t xml:space="preserve">What this means—and what it does not mean—deserves care. It does not mean that the mathematics is mystical, or that its validity depends on the tradition that inspired it. Mathematical claims stand or fall on their own terms. What it does mean is that the tradition offered a set of structural intuitions precise enough to generate a mathematical framework—and that this fact is worth acknowledging rather than obscuring.</w:t>
      </w:r>
    </w:p>
    <w:p>
      <w:pPr>
        <w:spacing w:after="160" w:before="0"/>
        <w:jc w:val="both"/>
      </w:pPr>
      <w:r>
        <w:rPr>
          <w:rFonts w:ascii="Georgia" w:cs="Georgia" w:eastAsia="Georgia" w:hAnsi="Georgia"/>
          <w:sz w:val="22"/>
          <w:szCs w:val="22"/>
        </w:rPr>
        <w:t xml:space="preserve">The author does not take personal credit for this work. It is offered in the spirit of the tradition from which it came: not as a possession to be defended, but as a contribution to a conversation that is larger than any single voice.</w:t>
      </w:r>
    </w:p>
    <w:p>
      <w:r>
        <w:br w:type="page"/>
      </w:r>
    </w:p>
    <w:p>
      <w:pPr>
        <w:pStyle w:val="Heading1"/>
        <w:pBdr>
          <w:bottom w:val="single" w:color="1F3864" w:sz="12" w:space="1"/>
        </w:pBdr>
        <w:spacing w:after="180" w:before="360"/>
      </w:pPr>
      <w:r>
        <w:rPr>
          <w:rFonts w:ascii="Arial" w:cs="Arial" w:eastAsia="Arial" w:hAnsi="Arial"/>
          <w:b/>
          <w:bCs/>
          <w:color w:val="1F3864"/>
          <w:sz w:val="32"/>
          <w:szCs w:val="32"/>
        </w:rPr>
        <w:t xml:space="preserve">References</w:t>
      </w:r>
    </w:p>
    <w:p>
      <w:pPr>
        <w:spacing w:after="160" w:before="0"/>
        <w:jc w:val="both"/>
      </w:pPr>
      <w:r>
        <w:rPr>
          <w:rFonts w:ascii="Georgia" w:cs="Georgia" w:eastAsia="Georgia" w:hAnsi="Georgia"/>
          <w:sz w:val="22"/>
          <w:szCs w:val="22"/>
        </w:rPr>
        <w:t xml:space="preserve">Bjerknes, J. (1969). Atmospheric teleconnections from the equatorial Pacific. Monthly Weather Review, 97(3), 163–172.</w:t>
      </w:r>
    </w:p>
    <w:p>
      <w:pPr>
        <w:spacing w:after="160" w:before="0"/>
        <w:jc w:val="both"/>
      </w:pPr>
      <w:r>
        <w:rPr>
          <w:rFonts w:ascii="Georgia" w:cs="Georgia" w:eastAsia="Georgia" w:hAnsi="Georgia"/>
          <w:sz w:val="22"/>
          <w:szCs w:val="22"/>
        </w:rPr>
        <w:t xml:space="preserve">Bravetti, A., Cruz, H., &amp; Tapias, D. (2017). Contact Hamiltonian mechanics. Annals of Physics, 376, 17–39.</w:t>
      </w:r>
    </w:p>
    <w:p>
      <w:pPr>
        <w:spacing w:after="160" w:before="0"/>
        <w:jc w:val="both"/>
      </w:pPr>
      <w:r>
        <w:rPr>
          <w:rFonts w:ascii="Georgia" w:cs="Georgia" w:eastAsia="Georgia" w:hAnsi="Georgia"/>
          <w:sz w:val="22"/>
          <w:szCs w:val="22"/>
        </w:rPr>
        <w:t xml:space="preserve">Gardner, F. M. (1979). Phaselock Techniques (2nd ed.). Wiley.</w:t>
      </w:r>
    </w:p>
    <w:p>
      <w:pPr>
        <w:spacing w:after="160" w:before="0"/>
        <w:jc w:val="both"/>
      </w:pPr>
      <w:r>
        <w:rPr>
          <w:rFonts w:ascii="Georgia" w:cs="Georgia" w:eastAsia="Georgia" w:hAnsi="Georgia"/>
          <w:sz w:val="22"/>
          <w:szCs w:val="22"/>
        </w:rPr>
        <w:t xml:space="preserve">Geiges, H. (2008). An Introduction to Contact Topology. Cambridge University Press.</w:t>
      </w:r>
    </w:p>
    <w:p>
      <w:pPr>
        <w:spacing w:after="160" w:before="0"/>
        <w:jc w:val="both"/>
      </w:pPr>
      <w:r>
        <w:rPr>
          <w:rFonts w:ascii="Georgia" w:cs="Georgia" w:eastAsia="Georgia" w:hAnsi="Georgia"/>
          <w:sz w:val="22"/>
          <w:szCs w:val="22"/>
        </w:rPr>
        <w:t xml:space="preserve">Goodwin, R. M. (1967). A growth cycle. In C. H. Feinstein (Ed.), Socialism, Capitalism and Economic Growth (pp. 54–58). Cambridge University Press.</w:t>
      </w:r>
    </w:p>
    <w:p>
      <w:pPr>
        <w:spacing w:after="160" w:before="0"/>
        <w:jc w:val="both"/>
      </w:pPr>
      <w:r>
        <w:rPr>
          <w:rFonts w:ascii="Georgia" w:cs="Georgia" w:eastAsia="Georgia" w:hAnsi="Georgia"/>
          <w:sz w:val="22"/>
          <w:szCs w:val="22"/>
        </w:rPr>
        <w:t xml:space="preserve">Guckenheimer, J., &amp; Holmes, P. (1983). Nonlinear Oscillations, Dynamical Systems, and Bifurcations of Vector Fields. Springer.</w:t>
      </w:r>
    </w:p>
    <w:p>
      <w:pPr>
        <w:spacing w:after="160" w:before="0"/>
        <w:jc w:val="both"/>
      </w:pPr>
      <w:r>
        <w:rPr>
          <w:rFonts w:ascii="Georgia" w:cs="Georgia" w:eastAsia="Georgia" w:hAnsi="Georgia"/>
          <w:sz w:val="22"/>
          <w:szCs w:val="22"/>
        </w:rPr>
        <w:t xml:space="preserve">Higgins, J. (1964). A chemical mechanism for oscillation of glycolytic intermediates in yeast cells. Proceedings of the National Academy of Sciences, 51(6), 989–994.</w:t>
      </w:r>
    </w:p>
    <w:p>
      <w:pPr>
        <w:spacing w:after="160" w:before="0"/>
        <w:jc w:val="both"/>
      </w:pPr>
      <w:r>
        <w:rPr>
          <w:rFonts w:ascii="Georgia" w:cs="Georgia" w:eastAsia="Georgia" w:hAnsi="Georgia"/>
          <w:sz w:val="22"/>
          <w:szCs w:val="22"/>
        </w:rPr>
        <w:t xml:space="preserve">Nakajima, M., Imai, K., Ito, H., Nishiwaki, T., Murayama, Y., Iwasaki, H., Oyama, T., &amp; Kondo, T. (2005). Reconstitution of circadian oscillation of cyanobacterial KaiC phosphorylation in vitro. Science, 308(5720), 414–415.</w:t>
      </w:r>
    </w:p>
    <w:p>
      <w:pPr>
        <w:spacing w:after="160" w:before="0"/>
        <w:jc w:val="both"/>
      </w:pPr>
      <w:r>
        <w:rPr>
          <w:rFonts w:ascii="Georgia" w:cs="Georgia" w:eastAsia="Georgia" w:hAnsi="Georgia"/>
          <w:sz w:val="22"/>
          <w:szCs w:val="22"/>
        </w:rPr>
        <w:t xml:space="preserve">Nogueira Grossi, P. (2025). Generative Contact Mechanics: A Geometric Framework for Dissipative Systems with Structured Limit Cycles. Submitted to Journal of Geometric Mechanics.</w:t>
      </w:r>
    </w:p>
    <w:p>
      <w:pPr>
        <w:spacing w:after="160" w:before="0"/>
        <w:jc w:val="both"/>
      </w:pPr>
      <w:r>
        <w:rPr>
          <w:rFonts w:ascii="Georgia" w:cs="Georgia" w:eastAsia="Georgia" w:hAnsi="Georgia"/>
          <w:sz w:val="22"/>
          <w:szCs w:val="22"/>
        </w:rPr>
        <w:t xml:space="preserve">Nogueira Grossi, P. (2025). The dm³ Operator: Explicit Toy Model and Global Dynamical Analysis. Submitted to SIAM Journal on Applied Dynamical Systems.</w:t>
      </w:r>
    </w:p>
    <w:p>
      <w:pPr>
        <w:spacing w:after="160" w:before="0"/>
        <w:jc w:val="both"/>
      </w:pPr>
      <w:r>
        <w:rPr>
          <w:rFonts w:ascii="Georgia" w:cs="Georgia" w:eastAsia="Georgia" w:hAnsi="Georgia"/>
          <w:sz w:val="22"/>
          <w:szCs w:val="22"/>
        </w:rPr>
        <w:t xml:space="preserve">van der Pol, B. (1927). On relaxation-oscillations. The London, Edinburgh, and Dublin Philosophical Magazine and Journal of Science, 2(11), 978–992.</w:t>
      </w:r>
    </w:p>
    <w:p>
      <w:pPr>
        <w:spacing w:after="160" w:before="0"/>
        <w:jc w:val="both"/>
      </w:pPr>
      <w:r>
        <w:rPr>
          <w:rFonts w:ascii="Georgia" w:cs="Georgia" w:eastAsia="Georgia" w:hAnsi="Georgia"/>
          <w:sz w:val="22"/>
          <w:szCs w:val="22"/>
        </w:rPr>
        <w:t xml:space="preserve">Wilson, H. R., &amp; Cowan, J. D. (1972). Excitatory and inhibitory interactions in localized populations of model neurons. Biophysical Journal, 12(1), 1–24.</w:t>
      </w:r>
    </w:p>
    <w:p>
      <w:r>
        <w:br w:type="page"/>
      </w:r>
    </w:p>
    <w:p>
      <w:pPr>
        <w:pStyle w:val="Heading1"/>
        <w:pBdr>
          <w:bottom w:val="single" w:color="1F3864" w:sz="12" w:space="1"/>
        </w:pBdr>
        <w:spacing w:after="180" w:before="360"/>
      </w:pPr>
      <w:r>
        <w:rPr>
          <w:rFonts w:ascii="Arial" w:cs="Arial" w:eastAsia="Arial" w:hAnsi="Arial"/>
          <w:b/>
          <w:bCs/>
          <w:color w:val="1F3864"/>
          <w:sz w:val="32"/>
          <w:szCs w:val="32"/>
        </w:rPr>
        <w:t xml:space="preserve">Letter to the Editors of the International Journal of Lexicography</w:t>
      </w:r>
    </w:p>
    <w:p>
      <w:pPr>
        <w:spacing w:after="120" w:before="0"/>
      </w:pPr>
      <w:r>
        <w:t xml:space="preserve"/>
      </w:r>
    </w:p>
    <w:p>
      <w:pPr>
        <w:spacing w:after="160" w:before="0"/>
        <w:jc w:val="both"/>
      </w:pPr>
      <w:r>
        <w:rPr>
          <w:rFonts w:ascii="Georgia" w:cs="Georgia" w:eastAsia="Georgia" w:hAnsi="Georgia"/>
          <w:b/>
          <w:bCs/>
          <w:sz w:val="22"/>
          <w:szCs w:val="22"/>
        </w:rPr>
        <w:t xml:space="preserve">Pablo Nogueira Grossi</w:t>
      </w:r>
    </w:p>
    <w:p>
      <w:pPr>
        <w:spacing w:after="160" w:before="0"/>
        <w:jc w:val="both"/>
      </w:pPr>
      <w:r>
        <w:rPr>
          <w:rFonts w:ascii="Georgia" w:cs="Georgia" w:eastAsia="Georgia" w:hAnsi="Georgia"/>
          <w:sz w:val="22"/>
          <w:szCs w:val="22"/>
        </w:rPr>
        <w:t xml:space="preserve">Independent Researcher  •  Founder, G6 LLC</w:t>
      </w:r>
    </w:p>
    <w:p>
      <w:pPr>
        <w:spacing w:after="160" w:before="0"/>
        <w:jc w:val="both"/>
      </w:pPr>
      <w:r>
        <w:rPr>
          <w:rFonts w:ascii="Georgia" w:cs="Georgia" w:eastAsia="Georgia" w:hAnsi="Georgia"/>
          <w:sz w:val="22"/>
          <w:szCs w:val="22"/>
        </w:rPr>
        <w:t xml:space="preserve">Newark, New Jersey, USA</w:t>
      </w:r>
    </w:p>
    <w:p>
      <w:pPr>
        <w:spacing w:after="160" w:before="0"/>
        <w:jc w:val="both"/>
      </w:pPr>
      <w:r>
        <w:rPr>
          <w:rFonts w:ascii="Georgia" w:cs="Georgia" w:eastAsia="Georgia" w:hAnsi="Georgia"/>
          <w:sz w:val="22"/>
          <w:szCs w:val="22"/>
        </w:rPr>
        <w:t xml:space="preserve">ORCID: 0009-0000-6496-2186</w:t>
      </w:r>
    </w:p>
    <w:p>
      <w:pPr>
        <w:spacing w:after="120" w:before="0"/>
      </w:pPr>
      <w:r>
        <w:t xml:space="preserve"/>
      </w:r>
    </w:p>
    <w:p>
      <w:pPr>
        <w:spacing w:after="160" w:before="0"/>
        <w:jc w:val="both"/>
      </w:pPr>
      <w:r>
        <w:rPr>
          <w:rFonts w:ascii="Georgia" w:cs="Georgia" w:eastAsia="Georgia" w:hAnsi="Georgia"/>
          <w:sz w:val="22"/>
          <w:szCs w:val="22"/>
        </w:rPr>
        <w:t xml:space="preserve">The Editors</w:t>
      </w:r>
    </w:p>
    <w:p>
      <w:pPr>
        <w:spacing w:after="160" w:before="0"/>
        <w:jc w:val="both"/>
      </w:pPr>
      <w:r>
        <w:rPr>
          <w:rFonts w:ascii="Georgia" w:cs="Georgia" w:eastAsia="Georgia" w:hAnsi="Georgia"/>
          <w:sz w:val="22"/>
          <w:szCs w:val="22"/>
        </w:rPr>
        <w:t xml:space="preserve">International Journal of Lexicography</w:t>
      </w:r>
    </w:p>
    <w:p>
      <w:pPr>
        <w:spacing w:after="160" w:before="0"/>
        <w:jc w:val="both"/>
      </w:pPr>
      <w:r>
        <w:rPr>
          <w:rFonts w:ascii="Georgia" w:cs="Georgia" w:eastAsia="Georgia" w:hAnsi="Georgia"/>
          <w:sz w:val="22"/>
          <w:szCs w:val="22"/>
        </w:rPr>
        <w:t xml:space="preserve">Oxford University Press</w:t>
      </w:r>
    </w:p>
    <w:p>
      <w:pPr>
        <w:spacing w:after="120" w:before="0"/>
      </w:pPr>
      <w:r>
        <w:t xml:space="preserve"/>
      </w:r>
    </w:p>
    <w:p>
      <w:pPr>
        <w:spacing w:after="160" w:before="0"/>
        <w:jc w:val="both"/>
      </w:pPr>
      <w:r>
        <w:rPr>
          <w:rFonts w:ascii="Georgia" w:cs="Georgia" w:eastAsia="Georgia" w:hAnsi="Georgia"/>
          <w:sz w:val="22"/>
          <w:szCs w:val="22"/>
        </w:rPr>
        <w:t xml:space="preserve">Dear Editors,</w:t>
      </w:r>
    </w:p>
    <w:p>
      <w:pPr>
        <w:spacing w:after="120" w:before="0"/>
      </w:pPr>
      <w:r>
        <w:t xml:space="preserve"/>
      </w:r>
    </w:p>
    <w:p>
      <w:pPr>
        <w:spacing w:after="160" w:before="0"/>
        <w:jc w:val="both"/>
      </w:pPr>
      <w:r>
        <w:rPr>
          <w:rFonts w:ascii="Georgia" w:cs="Georgia" w:eastAsia="Georgia" w:hAnsi="Georgia"/>
          <w:sz w:val="22"/>
          <w:szCs w:val="22"/>
        </w:rPr>
        <w:t xml:space="preserve">I write to submit for your consideration the article entitled ‘Lexical Generativity in English: An Empirical Study of Verb Classes, Noun Polysemy, and Prepositions,’ which I offer as a contribution to the scholarly conversation on the architecture of the mental lexicon, the formal description of lexical meaning, and the computational requirements of large-scale lexicographic resources.</w:t>
      </w:r>
    </w:p>
    <w:p>
      <w:pPr>
        <w:spacing w:after="160" w:before="0"/>
        <w:jc w:val="both"/>
      </w:pPr>
      <w:r>
        <w:rPr>
          <w:rFonts w:ascii="Georgia" w:cs="Georgia" w:eastAsia="Georgia" w:hAnsi="Georgia"/>
          <w:sz w:val="22"/>
          <w:szCs w:val="22"/>
        </w:rPr>
        <w:t xml:space="preserve">The article addresses a persistent and consequential gap in lexicographic theory: the absence of a unified, empirically grounded account of the generative mechanisms by which a finite lexicon supports the productive, context-sensitive interpretation of words in use. Drawing on three converging bodies of evidence—English verb classes in the tradition of Levin (1991, 1993), the frame-semantic architecture of FrameNet (Fillmore, Johnson, &amp; Petruck, 2003), and the class-membership structure of VerbNet (Kipper et al., 2008)—the article proposes a layered model of lexical generativity that distinguishes between stored semantic primitives, argument-structure templates, and event-type composition rules.</w:t>
      </w:r>
    </w:p>
    <w:p>
      <w:pPr>
        <w:spacing w:after="160" w:before="0"/>
        <w:jc w:val="both"/>
      </w:pPr>
      <w:r>
        <w:rPr>
          <w:rFonts w:ascii="Georgia" w:cs="Georgia" w:eastAsia="Georgia" w:hAnsi="Georgia"/>
          <w:sz w:val="22"/>
          <w:szCs w:val="22"/>
        </w:rPr>
        <w:t xml:space="preserve">The empirical core of the article consists of close analysis of twelve verb classes, selected to maximize coverage of the major generative phenomena that challenge standard lexicographic description: manner-of-motion verbs and their interaction with path expressions; communication verbs and their alternation between content and recipient frames; change-of-state verbs and their causative-inchoative alternation; psychological verbs and their reversal of thematic-role assignment; creation-and-transformation verbs and their object-effecting semantics; and aspectual verbs and their scope over event structure. The analysis is supplemented by a parallel treatment of systematic noun polysemy (the dot-object phenomenon, type coercion, and metonymic transfer) and the contested semantics of English spatial prepositions.</w:t>
      </w:r>
    </w:p>
    <w:p>
      <w:pPr>
        <w:spacing w:after="160" w:before="0"/>
        <w:jc w:val="both"/>
      </w:pPr>
      <w:r>
        <w:rPr>
          <w:rFonts w:ascii="Georgia" w:cs="Georgia" w:eastAsia="Georgia" w:hAnsi="Georgia"/>
          <w:sz w:val="22"/>
          <w:szCs w:val="22"/>
        </w:rPr>
        <w:t xml:space="preserve">The article argues that these phenomena are not lexicographic anomalies to be handled by ad hoc mechanisms, but systematic consequences of a small number of generative principles that can be stated precisely and incorporated into lexicographic description. The implications for dictionary design, computational lexicography, and natural language processing are drawn out in the penultimate section.</w:t>
      </w:r>
    </w:p>
    <w:p>
      <w:pPr>
        <w:spacing w:after="160" w:before="0"/>
        <w:jc w:val="both"/>
      </w:pPr>
      <w:r>
        <w:rPr>
          <w:rFonts w:ascii="Georgia" w:cs="Georgia" w:eastAsia="Georgia" w:hAnsi="Georgia"/>
          <w:sz w:val="22"/>
          <w:szCs w:val="22"/>
        </w:rPr>
        <w:t xml:space="preserve">The article is written for an audience of lexicographers, theoretical linguists, and computational linguists. It presupposes familiarity with standard semantic notation and argument-structure theory, but does not require prior knowledge of the specific frameworks it draws on. All technical terminology is introduced at first use.</w:t>
      </w:r>
    </w:p>
    <w:p>
      <w:pPr>
        <w:spacing w:after="160" w:before="0"/>
        <w:jc w:val="both"/>
      </w:pPr>
      <w:r>
        <w:rPr>
          <w:rFonts w:ascii="Georgia" w:cs="Georgia" w:eastAsia="Georgia" w:hAnsi="Georgia"/>
          <w:sz w:val="22"/>
          <w:szCs w:val="22"/>
        </w:rPr>
        <w:t xml:space="preserve">The article has not been submitted elsewhere and represents original work. I declare no conflicts of interest.</w:t>
      </w:r>
    </w:p>
    <w:p>
      <w:pPr>
        <w:spacing w:after="160" w:before="0"/>
        <w:jc w:val="both"/>
      </w:pPr>
      <w:r>
        <w:rPr>
          <w:rFonts w:ascii="Georgia" w:cs="Georgia" w:eastAsia="Georgia" w:hAnsi="Georgia"/>
          <w:sz w:val="22"/>
          <w:szCs w:val="22"/>
        </w:rPr>
        <w:t xml:space="preserve">I would be grateful for the opportunity to present this work to the readership of the International Journal of Lexicography and look forward to the editorial board’s assessment.</w:t>
      </w:r>
    </w:p>
    <w:p>
      <w:pPr>
        <w:spacing w:after="120" w:before="0"/>
      </w:pPr>
      <w:r>
        <w:t xml:space="preserve"/>
      </w:r>
    </w:p>
    <w:p>
      <w:pPr>
        <w:spacing w:after="160" w:before="0"/>
        <w:jc w:val="both"/>
      </w:pPr>
      <w:r>
        <w:rPr>
          <w:rFonts w:ascii="Georgia" w:cs="Georgia" w:eastAsia="Georgia" w:hAnsi="Georgia"/>
          <w:sz w:val="22"/>
          <w:szCs w:val="22"/>
        </w:rPr>
        <w:t xml:space="preserve">Respectfully submitted,</w:t>
      </w:r>
    </w:p>
    <w:p>
      <w:pPr>
        <w:spacing w:after="120" w:before="0"/>
      </w:pPr>
      <w:r>
        <w:t xml:space="preserve"/>
      </w:r>
    </w:p>
    <w:p>
      <w:pPr>
        <w:spacing w:after="160" w:before="0"/>
        <w:jc w:val="both"/>
      </w:pPr>
      <w:r>
        <w:rPr>
          <w:rFonts w:ascii="Georgia" w:cs="Georgia" w:eastAsia="Georgia" w:hAnsi="Georgia"/>
          <w:sz w:val="22"/>
          <w:szCs w:val="22"/>
        </w:rPr>
        <w:t xml:space="preserve">Pablo Nogueira Grossi</w:t>
      </w:r>
    </w:p>
    <w:p>
      <w:r>
        <w:br w:type="page"/>
      </w:r>
    </w:p>
    <w:p>
      <w:pPr>
        <w:pStyle w:val="Heading1"/>
        <w:pBdr>
          <w:bottom w:val="single" w:color="1F3864" w:sz="12" w:space="1"/>
        </w:pBdr>
        <w:spacing w:after="180" w:before="360"/>
      </w:pPr>
      <w:r>
        <w:rPr>
          <w:rFonts w:ascii="Arial" w:cs="Arial" w:eastAsia="Arial" w:hAnsi="Arial"/>
          <w:b/>
          <w:bCs/>
          <w:color w:val="1F3864"/>
          <w:sz w:val="32"/>
          <w:szCs w:val="32"/>
        </w:rPr>
        <w:t xml:space="preserve">Appendix A: Unified Lexicon for GCM / DM³ / Operator Grammar</w:t>
      </w:r>
    </w:p>
    <w:p>
      <w:pPr>
        <w:spacing w:after="160" w:before="0"/>
        <w:jc w:val="both"/>
      </w:pPr>
      <w:r>
        <w:rPr>
          <w:rFonts w:ascii="Georgia" w:cs="Georgia" w:eastAsia="Georgia" w:hAnsi="Georgia"/>
          <w:sz w:val="22"/>
          <w:szCs w:val="22"/>
        </w:rPr>
        <w:t xml:space="preserve">The following lexicon provides precise definitions of the core terms used in the Generative Contact Mechanics framework. Each entry gives the term, its formal domain, a rigorous definition, and a cross-domain gloss that situates the term within the broader framework.</w:t>
      </w:r>
    </w:p>
    <w:p>
      <w:pPr>
        <w:spacing w:after="12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400"/>
        <w:gridCol w:w="3000"/>
        <w:gridCol w:w="3160"/>
      </w:tblGrid>
      <w:tr>
        <w:trPr>
          <w:tblHeader/>
        </w:trPr>
        <w:tc>
          <w:tcPr>
            <w:tcW w:type="dxa" w:w="180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0"/>
                <w:szCs w:val="20"/>
              </w:rPr>
              <w:t xml:space="preserve">Term</w:t>
            </w:r>
          </w:p>
        </w:tc>
        <w:tc>
          <w:tcPr>
            <w:tcW w:type="dxa" w:w="140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0"/>
                <w:szCs w:val="20"/>
              </w:rPr>
              <w:t xml:space="preserve">Domain</w:t>
            </w:r>
          </w:p>
        </w:tc>
        <w:tc>
          <w:tcPr>
            <w:tcW w:type="dxa" w:w="300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0"/>
                <w:szCs w:val="20"/>
              </w:rPr>
              <w:t xml:space="preserve">Definition</w:t>
            </w:r>
          </w:p>
        </w:tc>
        <w:tc>
          <w:tcPr>
            <w:tcW w:type="dxa" w:w="316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0"/>
                <w:szCs w:val="20"/>
              </w:rPr>
              <w:t xml:space="preserve">Cross-Domain Gloss</w:t>
            </w:r>
          </w:p>
        </w:tc>
      </w:tr>
      <w:tr>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Contact manifold (M, ξ, Φ)</w:t>
            </w:r>
          </w:p>
        </w:tc>
        <w:tc>
          <w:tcPr>
            <w:tcW w:type="dxa" w:w="1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Contact geometry</w:t>
            </w:r>
          </w:p>
        </w:tc>
        <w:tc>
          <w:tcPr>
            <w:tcW w:type="dxa" w:w="3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An odd-dimensional smooth manifold M equipped with a contact structure ξ (a maximally non-integrable hyperplane field) and a contact Hamiltonian Φ governing energy exchange.</w:t>
            </w:r>
          </w:p>
        </w:tc>
        <w:tc>
          <w:tcPr>
            <w:tcW w:type="dxa" w:w="31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The geometric space in which a dissipative oscillatory system lives. The triple (M, ξ, Φ) is the system’s canonical identity.</w:t>
            </w:r>
          </w:p>
        </w:tc>
      </w:tr>
      <w:tr>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Contact form (α)</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Contact geometry</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A differential 1-form on M such that α ∧ (dα)ⁿ ≠ 0 everywhere, encoding the non-integrability condition.</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The formal signature of dissipative generativity. Two GCM systems are structurally comparable if they carry equivalent contact forms.</w:t>
            </w:r>
          </w:p>
        </w:tc>
      </w:tr>
      <w:tr>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dm³ operator</w:t>
            </w:r>
          </w:p>
        </w:tc>
        <w:tc>
          <w:tcPr>
            <w:tcW w:type="dxa" w:w="1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GCM formalism</w:t>
            </w:r>
          </w:p>
        </w:tc>
        <w:tc>
          <w:tcPr>
            <w:tcW w:type="dxa" w:w="3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A dissipative dynamical system defined on a Riemannian manifold whose long-term behavior organizes around a hyperbolic limit cycle. The minimal formal object of the GCM class.</w:t>
            </w:r>
          </w:p>
        </w:tc>
        <w:tc>
          <w:tcPr>
            <w:tcW w:type="dxa" w:w="31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The generative engine. Every system in the GCM class is, up to isomorphism, an instance of the dm³ operator.</w:t>
            </w:r>
          </w:p>
        </w:tc>
      </w:tr>
      <w:tr>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Structured limit cycle</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Dynamical systems</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A hyperbolic closed orbit γ in phase space that carries a well-defined contact structure and admits canonical decomposition into generative modes via the GCM operator grammar.</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The output of the dm³ operator. The structured limit cycle is what distinguishes GCM systems from generic oscillators.</w:t>
            </w:r>
          </w:p>
        </w:tc>
      </w:tr>
      <w:tr>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Metric operator (g)</w:t>
            </w:r>
          </w:p>
        </w:tc>
        <w:tc>
          <w:tcPr>
            <w:tcW w:type="dxa" w:w="1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GCM operator grammar</w:t>
            </w:r>
          </w:p>
        </w:tc>
        <w:tc>
          <w:tcPr>
            <w:tcW w:type="dxa" w:w="3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The operator encoding the intrinsic Riemannian geometry of the contact manifold, defining distances and angles in the space of system states.</w:t>
            </w:r>
          </w:p>
        </w:tc>
        <w:tc>
          <w:tcPr>
            <w:tcW w:type="dxa" w:w="31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The ‘shape’ operator. Determines how the system measures its own state space.</w:t>
            </w:r>
          </w:p>
        </w:tc>
      </w:tr>
      <w:tr>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Lie derivative operator (L)</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GCM operator grammar</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The operator encoding how the contact structure ξ evolves along the system’s flow, capturing the interplay between generativity and dissipation.</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The ‘evolution’ operator. Tracks how the geometric structure changes as the system moves.</w:t>
            </w:r>
          </w:p>
        </w:tc>
      </w:tr>
      <w:tr>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Reeb vector field (R)</w:t>
            </w:r>
          </w:p>
        </w:tc>
        <w:tc>
          <w:tcPr>
            <w:tcW w:type="dxa" w:w="1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GCM operator grammar</w:t>
            </w:r>
          </w:p>
        </w:tc>
        <w:tc>
          <w:tcPr>
            <w:tcW w:type="dxa" w:w="3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The unique vector field determined by the contact form such that α(R) = 1 and dα(R, ·) = 0. Encodes the direction of pure generativity.</w:t>
            </w:r>
          </w:p>
        </w:tc>
        <w:tc>
          <w:tcPr>
            <w:tcW w:type="dxa" w:w="31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The generative axis. The direction along which the system moves without any dissipative loss.</w:t>
            </w:r>
          </w:p>
        </w:tc>
      </w:tr>
      <w:tr>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Unfolding operator (U)</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GCM operator grammar</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The operator describing how the system organizes and controls small deviations from the structured limit cycle under perturbation.</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The stability operator. Determines how the system recovers from disturbance.</w:t>
            </w:r>
          </w:p>
        </w:tc>
      </w:tr>
      <w:tr>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Boundary operator (B)</w:t>
            </w:r>
          </w:p>
        </w:tc>
        <w:tc>
          <w:tcPr>
            <w:tcW w:type="dxa" w:w="1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GCM operator grammar</w:t>
            </w:r>
          </w:p>
        </w:tc>
        <w:tc>
          <w:tcPr>
            <w:tcW w:type="dxa" w:w="3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The operator describing the interaction between the system’s interior dynamics and its external boundary conditions.</w:t>
            </w:r>
          </w:p>
        </w:tc>
        <w:tc>
          <w:tcPr>
            <w:tcW w:type="dxa" w:w="31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The interface operator. Encodes how external constraints shape internal generative behavior.</w:t>
            </w:r>
          </w:p>
        </w:tc>
      </w:tr>
      <w:tr>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GCM category</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Category theory / GCM</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The category whose objects are GCM systems (contact manifolds with structured limit cycles) and whose morphisms are contact-structure-preserving maps.</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The formal criterion for cross-domain comparison. Two systems are ‘the same kind of thing’ if and only if there is a morphism between them in the GCM category.</w:t>
            </w:r>
          </w:p>
        </w:tc>
      </w:tr>
      <w:tr>
        <w:tc>
          <w:tcPr>
            <w:tcW w:type="dxa" w:w="18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Dissipation</w:t>
            </w:r>
          </w:p>
        </w:tc>
        <w:tc>
          <w:tcPr>
            <w:tcW w:type="dxa" w:w="14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Thermodynamics / GCM</w:t>
            </w:r>
          </w:p>
        </w:tc>
        <w:tc>
          <w:tcPr>
            <w:tcW w:type="dxa" w:w="30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The irreversible transfer of energy from organized dynamical modes to heat or other unstructured forms, encoded in the contact structure of a GCM system.</w:t>
            </w:r>
          </w:p>
        </w:tc>
        <w:tc>
          <w:tcPr>
            <w:tcW w:type="dxa" w:w="31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r>
              <w:rPr>
                <w:rFonts w:ascii="Georgia" w:cs="Georgia" w:eastAsia="Georgia" w:hAnsi="Georgia"/>
                <w:sz w:val="20"/>
                <w:szCs w:val="20"/>
              </w:rPr>
              <w:t xml:space="preserve">The source of the geometric richness of GCM. Dissipation is not an anomaly but the defining feature of the contact-geometric setting.</w:t>
            </w:r>
          </w:p>
        </w:tc>
      </w:tr>
      <w:tr>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Structural stability</w:t>
            </w:r>
          </w:p>
        </w:tc>
        <w:tc>
          <w:tcPr>
            <w:tcW w:type="dxa" w:w="1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Dynamical systems</w:t>
            </w:r>
          </w:p>
        </w:tc>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The property of a dynamical system whereby its qualitative behavior (e.g., the existence and type of its attractors) is preserved under small smooth perturbations of the vector field.</w:t>
            </w:r>
          </w:p>
        </w:tc>
        <w:tc>
          <w:tcPr>
            <w:tcW w:type="dxa" w:w="3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sz w:val="20"/>
                <w:szCs w:val="20"/>
              </w:rPr>
              <w:t xml:space="preserve">The robustness condition. A GCM system is structurally stable if its structured limit cycle persists under perturbation.</w:t>
            </w:r>
          </w:p>
        </w:tc>
      </w:tr>
    </w:tbl>
    <w:p>
      <w:pPr>
        <w:spacing w:after="120" w:before="0"/>
      </w:pPr>
      <w:r>
        <w:t xml:space="preserve"/>
      </w:r>
    </w:p>
    <w:p>
      <w:r>
        <w:br w:type="page"/>
      </w:r>
    </w:p>
    <w:p>
      <w:pPr>
        <w:pStyle w:val="Heading1"/>
        <w:pBdr>
          <w:bottom w:val="single" w:color="1F3864" w:sz="12" w:space="1"/>
        </w:pBdr>
        <w:spacing w:after="180" w:before="360"/>
      </w:pPr>
      <w:r>
        <w:rPr>
          <w:rFonts w:ascii="Arial" w:cs="Arial" w:eastAsia="Arial" w:hAnsi="Arial"/>
          <w:b/>
          <w:bCs/>
          <w:color w:val="1F3864"/>
          <w:sz w:val="32"/>
          <w:szCs w:val="32"/>
        </w:rPr>
        <w:t xml:space="preserve">Appendix C: Lexical Generativity in English</w:t>
      </w:r>
    </w:p>
    <w:p>
      <w:pPr>
        <w:spacing w:after="80" w:before="80"/>
        <w:jc w:val="center"/>
      </w:pPr>
      <w:r>
        <w:rPr>
          <w:rFonts w:ascii="Arial" w:cs="Arial" w:eastAsia="Arial" w:hAnsi="Arial"/>
          <w:i/>
          <w:iCs/>
          <w:color w:val="B8860B"/>
          <w:sz w:val="24"/>
          <w:szCs w:val="24"/>
        </w:rPr>
        <w:t xml:space="preserve">An Empirical Study of Verb Classes, Noun Polysemy, and Prepositions</w:t>
      </w:r>
    </w:p>
    <w:p>
      <w:pPr>
        <w:spacing w:after="120" w:before="0"/>
      </w:pPr>
      <w:r>
        <w:t xml:space="preserve"/>
      </w:r>
    </w:p>
    <w:p>
      <w:pPr>
        <w:spacing w:after="80" w:before="80"/>
        <w:jc w:val="center"/>
      </w:pPr>
      <w:r>
        <w:rPr>
          <w:rFonts w:ascii="Arial" w:cs="Arial" w:eastAsia="Arial" w:hAnsi="Arial"/>
          <w:b/>
          <w:bCs/>
          <w:sz w:val="22"/>
          <w:szCs w:val="22"/>
        </w:rPr>
        <w:t xml:space="preserve">Pablo Nogueira Grossi</w:t>
      </w:r>
    </w:p>
    <w:p>
      <w:pPr>
        <w:spacing w:after="80" w:before="80"/>
        <w:jc w:val="center"/>
      </w:pPr>
      <w:r>
        <w:rPr>
          <w:rFonts w:ascii="Arial" w:cs="Arial" w:eastAsia="Arial" w:hAnsi="Arial"/>
          <w:sz w:val="20"/>
          <w:szCs w:val="20"/>
        </w:rPr>
        <w:t xml:space="preserve">Independent Researcher, Newark, New Jersey, USA</w:t>
      </w:r>
    </w:p>
    <w:p>
      <w:pPr>
        <w:spacing w:after="80" w:before="80"/>
        <w:jc w:val="center"/>
      </w:pPr>
      <w:r>
        <w:rPr>
          <w:rFonts w:ascii="Arial" w:cs="Arial" w:eastAsia="Arial" w:hAnsi="Arial"/>
          <w:sz w:val="20"/>
          <w:szCs w:val="20"/>
        </w:rPr>
        <w:t xml:space="preserve">ORCID: 0009-0000-6496-2186</w:t>
      </w:r>
    </w:p>
    <w:p>
      <w:pPr>
        <w:spacing w:after="120" w:before="0"/>
      </w:pPr>
      <w:r>
        <w:t xml:space="preserve"/>
      </w:r>
    </w:p>
    <w:p>
      <w:pPr>
        <w:pBdr>
          <w:bottom w:val="single" w:color="B8860B" w:sz="6" w:space="1"/>
        </w:pBdr>
        <w:spacing w:after="200" w:before="200"/>
      </w:pPr>
      <w:r>
        <w:t xml:space="preserve"/>
      </w:r>
    </w:p>
    <w:p>
      <w:pPr>
        <w:pStyle w:val="Heading2"/>
        <w:spacing w:after="120" w:before="280"/>
      </w:pPr>
      <w:r>
        <w:rPr>
          <w:rFonts w:ascii="Arial" w:cs="Arial" w:eastAsia="Arial" w:hAnsi="Arial"/>
          <w:b/>
          <w:bCs/>
          <w:color w:val="1F3864"/>
          <w:sz w:val="26"/>
          <w:szCs w:val="26"/>
        </w:rPr>
        <w:t xml:space="preserve">Abstract</w:t>
      </w:r>
    </w:p>
    <w:p>
      <w:pPr>
        <w:spacing w:after="160" w:before="0"/>
        <w:jc w:val="both"/>
      </w:pPr>
      <w:r>
        <w:rPr>
          <w:rFonts w:ascii="Georgia" w:cs="Georgia" w:eastAsia="Georgia" w:hAnsi="Georgia"/>
          <w:sz w:val="22"/>
          <w:szCs w:val="22"/>
        </w:rPr>
        <w:t xml:space="preserve">This article examines lexical generativity in English: the capacity of a finite lexical inventory to support a theoretically unbounded range of context-sensitive meanings in use. Drawing on three converging empirical resources—the verb classification system developed by Levin (1991, 1993), the frame-semantic architecture of FrameNet (Fillmore, Johnson, &amp; Petruck, 2003), and the class-membership and alternation structure of VerbNet (Kipper, Korhonen, Korhonen, &amp; Palmer, 2008)—the article proposes a layered model of lexical generativity that distinguishes among (a) stored semantic primitives, (b) argument-structure templates licensed by class membership, and (c) event-type composition rules that govern productive meaning extension. The empirical core of the article consists of detailed analysis of twelve English verb classes selected to maximize coverage of the central generative phenomena: manner-of-motion, change-of-state, causative-inchoative alternation, psychological verbs, creation-and-transformation verbs, and aspectual verbs. The analysis is extended to systematic noun polysemy—including dot objects, type coercion, and metonymic transfer—and to the contested generative semantics of English spatial prepositions. Throughout, the article argues that apparent lexicographic irregularities are systematic consequences of a small set of generative principles that can be stated precisely, incorporated into lexicographic description, and exploited in computational lexicography. Implications for dictionary design, the annotation of large-scale lexical databases, and natural language processing are discussed.</w:t>
      </w:r>
    </w:p>
    <w:p>
      <w:pPr>
        <w:spacing w:after="160" w:before="0"/>
        <w:jc w:val="both"/>
      </w:pPr>
      <w:r>
        <w:rPr>
          <w:rFonts w:ascii="Georgia" w:cs="Georgia" w:eastAsia="Georgia" w:hAnsi="Georgia"/>
          <w:sz w:val="22"/>
          <w:szCs w:val="22"/>
        </w:rPr>
        <w:t xml:space="preserve">Keywords: lexical generativity, verb classes, noun polysemy, prepositions, FrameNet, VerbNet, Levin classes, generative lexicon, computational lexicography, argument structure</w:t>
      </w:r>
    </w:p>
    <w:p>
      <w:pPr>
        <w:spacing w:after="120" w:before="0"/>
      </w:pPr>
      <w:r>
        <w:t xml:space="preserve"/>
      </w:r>
    </w:p>
    <w:p>
      <w:pPr>
        <w:pStyle w:val="Heading2"/>
        <w:spacing w:after="120" w:before="280"/>
      </w:pPr>
      <w:r>
        <w:rPr>
          <w:rFonts w:ascii="Arial" w:cs="Arial" w:eastAsia="Arial" w:hAnsi="Arial"/>
          <w:b/>
          <w:bCs/>
          <w:color w:val="1F3864"/>
          <w:sz w:val="26"/>
          <w:szCs w:val="26"/>
        </w:rPr>
        <w:t xml:space="preserve">1.  Introduction</w:t>
      </w:r>
    </w:p>
    <w:p>
      <w:pPr>
        <w:spacing w:after="160" w:before="0"/>
        <w:jc w:val="both"/>
      </w:pPr>
      <w:r>
        <w:rPr>
          <w:rFonts w:ascii="Georgia" w:cs="Georgia" w:eastAsia="Georgia" w:hAnsi="Georgia"/>
          <w:sz w:val="22"/>
          <w:szCs w:val="22"/>
        </w:rPr>
        <w:t xml:space="preserve">The generativity of natural language has been one of the central preoccupations of theoretical linguistics since Chomsky’s early work on transformational grammar (Chomsky, 1957, 1965). But while syntactic generativity—the capacity of a finite grammar to generate an infinite set of well-formed sentences—has been formalized in considerable detail, the parallel question of lexical generativity has received comparatively less systematic treatment. The question of how a finite lexicon supports the productive, context-sensitive interpretation of words in use remains, in important respects, open.</w:t>
      </w:r>
    </w:p>
    <w:p>
      <w:pPr>
        <w:spacing w:after="160" w:before="0"/>
        <w:jc w:val="both"/>
      </w:pPr>
      <w:r>
        <w:rPr>
          <w:rFonts w:ascii="Georgia" w:cs="Georgia" w:eastAsia="Georgia" w:hAnsi="Georgia"/>
          <w:sz w:val="22"/>
          <w:szCs w:val="22"/>
        </w:rPr>
        <w:t xml:space="preserve">The present article addresses this question empirically. Its central claim is that English exhibits three distinct but interacting forms of lexical generativity, each governed by a different set of principles and each presenting a distinctive set of challenges for lexicographic description. The first is argument-structure generativity: the capacity of a verb’s core meaning to project onto different syntactic frames, producing systematic meaning shifts that are not listed separately in the lexicon but derived by productive alternation. The second is polysemy generativity: the capacity of a nominal or verbal lexeme to project onto logically distinct but systematically related meaning facets, as in the canonical Pustejovskian dot object. The third is spatial generativity: the capacity of a preposition to express a range of spatial, temporal, and abstract relational meanings that cannot be reduced to a single stored sense.</w:t>
      </w:r>
    </w:p>
    <w:p>
      <w:pPr>
        <w:spacing w:after="160" w:before="0"/>
        <w:jc w:val="both"/>
      </w:pPr>
      <w:r>
        <w:rPr>
          <w:rFonts w:ascii="Georgia" w:cs="Georgia" w:eastAsia="Georgia" w:hAnsi="Georgia"/>
          <w:sz w:val="22"/>
          <w:szCs w:val="22"/>
        </w:rPr>
        <w:t xml:space="preserve">These three forms of generativity are not independent. They interact in systematic ways that reveal the underlying architecture of the lexicon: the division between what is stored and what is computed, between what is class-level and what is lexeme-specific, and between what is semantic and what is pragmatic. The article develops a layered model that captures these interactions while remaining sufficiently precise to support computational implementation.</w:t>
      </w:r>
    </w:p>
    <w:p>
      <w:pPr>
        <w:spacing w:after="160" w:before="0"/>
        <w:jc w:val="both"/>
      </w:pPr>
      <w:r>
        <w:rPr>
          <w:rFonts w:ascii="Georgia" w:cs="Georgia" w:eastAsia="Georgia" w:hAnsi="Georgia"/>
          <w:sz w:val="22"/>
          <w:szCs w:val="22"/>
        </w:rPr>
        <w:t xml:space="preserve">The article is structured as follows. Section 2 surveys the theoretical background, with particular attention to the frameworks that supply the article’s empirical materials: Levin (1991, 1993) on verb classes and alternations, Fillmore et al. (2003) on frame semantics and FrameNet, and Kipper et al. (2008) on VerbNet. Section 3 presents the theoretical framework of the article: the layered model of lexical generativity. Sections 4, 5, and 6 present the empirical analyses of verb classes, noun polysemy, and prepositions respectively. Section 7 discusses the computational implications of the model. Section 8 concludes.</w:t>
      </w:r>
    </w:p>
    <w:p>
      <w:pPr>
        <w:pStyle w:val="Heading2"/>
        <w:spacing w:after="120" w:before="280"/>
      </w:pPr>
      <w:r>
        <w:rPr>
          <w:rFonts w:ascii="Arial" w:cs="Arial" w:eastAsia="Arial" w:hAnsi="Arial"/>
          <w:b/>
          <w:bCs/>
          <w:color w:val="1F3864"/>
          <w:sz w:val="26"/>
          <w:szCs w:val="26"/>
        </w:rPr>
        <w:t xml:space="preserve">2.  Background and Related Work</w:t>
      </w:r>
    </w:p>
    <w:p>
      <w:pPr>
        <w:pStyle w:val="Heading3"/>
        <w:spacing w:after="80" w:before="200"/>
      </w:pPr>
      <w:r>
        <w:rPr>
          <w:rFonts w:ascii="Arial" w:cs="Arial" w:eastAsia="Arial" w:hAnsi="Arial"/>
          <w:b/>
          <w:bCs/>
          <w:color w:val="B8860B"/>
          <w:sz w:val="24"/>
          <w:szCs w:val="24"/>
        </w:rPr>
        <w:t xml:space="preserve">2.1  Levin’s Verb Classes and the Argument-Structure Hypothesis</w:t>
      </w:r>
    </w:p>
    <w:p>
      <w:pPr>
        <w:spacing w:after="160" w:before="0"/>
        <w:jc w:val="both"/>
      </w:pPr>
      <w:r>
        <w:rPr>
          <w:rFonts w:ascii="Georgia" w:cs="Georgia" w:eastAsia="Georgia" w:hAnsi="Georgia"/>
          <w:sz w:val="22"/>
          <w:szCs w:val="22"/>
        </w:rPr>
        <w:t xml:space="preserve">The foundational insight of Levin’s (1991, 1993) verb classification program is that the syntactic behavior of a verb—the range of syntactic frames into which it can enter, the set of argument-structure alternations it undergoes, the way it interacts with aspect, transitivity, and causativity—is not arbitrary but systematic, and that this systematicity is grounded in the verb’s semantic content. Verbs that share semantic properties, on Levin’s account, share syntactic behavior; and the converse is also generally true: unexplained syntactic divergence between otherwise similar verbs signals a semantic difference that the superficial description has missed.</w:t>
      </w:r>
    </w:p>
    <w:p>
      <w:pPr>
        <w:spacing w:after="160" w:before="0"/>
        <w:jc w:val="both"/>
      </w:pPr>
      <w:r>
        <w:rPr>
          <w:rFonts w:ascii="Georgia" w:cs="Georgia" w:eastAsia="Georgia" w:hAnsi="Georgia"/>
          <w:sz w:val="22"/>
          <w:szCs w:val="22"/>
        </w:rPr>
        <w:t xml:space="preserve">This insight, which Levin calls the argument-structure hypothesis, has proved enormously productive. The verb classification work it generated has supplied the empirical foundation for much of the subsequent development of frame semantics, construction grammar, and computational lexicography. It also, however, raises a theoretical question that Levin’s own work does not fully resolve: what is the nature of the relationship between a verb’s stored semantic content and the range of argument-structure alternations it undergoes? Is the alternation relation listed in the lexicon, entry by entry? Is it derived by a general rule? And if it is derived, what are the inputs to the derivation?</w:t>
      </w:r>
    </w:p>
    <w:p>
      <w:pPr>
        <w:spacing w:after="160" w:before="0"/>
        <w:jc w:val="both"/>
      </w:pPr>
      <w:r>
        <w:rPr>
          <w:rFonts w:ascii="Georgia" w:cs="Georgia" w:eastAsia="Georgia" w:hAnsi="Georgia"/>
          <w:sz w:val="22"/>
          <w:szCs w:val="22"/>
        </w:rPr>
        <w:t xml:space="preserve">These questions have been addressed in different ways by subsequent researchers. Baker (1988) proposed a lexical rule account in which each alternation is represented as a lexical rule applying to base forms. Pinker (1989) proposed an innate linking rule account in which the alternations are derived from universal thematic-role-to-syntactic-position correspondences. Rappaport Hovav and Levin (1998) proposed an event-structure account in which the alternations are derived from the aspect-compositional structure of the verb’s event representation. Goldberg (1995, 2006) proposed a construction grammar account in which the argument-structure frames are themselves meaningful constructions that interact with the verb’s semantics through a principle of semantic coherence. The present article draws on elements of all four approaches while arguing that none of them, taken alone, provides an adequate account of the full range of generative phenomena.</w:t>
      </w:r>
    </w:p>
    <w:p>
      <w:pPr>
        <w:pStyle w:val="Heading3"/>
        <w:spacing w:after="80" w:before="200"/>
      </w:pPr>
      <w:r>
        <w:rPr>
          <w:rFonts w:ascii="Arial" w:cs="Arial" w:eastAsia="Arial" w:hAnsi="Arial"/>
          <w:b/>
          <w:bCs/>
          <w:color w:val="B8860B"/>
          <w:sz w:val="24"/>
          <w:szCs w:val="24"/>
        </w:rPr>
        <w:t xml:space="preserve">2.2  Frame Semantics and FrameNet</w:t>
      </w:r>
    </w:p>
    <w:p>
      <w:pPr>
        <w:spacing w:after="160" w:before="0"/>
        <w:jc w:val="both"/>
      </w:pPr>
      <w:r>
        <w:rPr>
          <w:rFonts w:ascii="Georgia" w:cs="Georgia" w:eastAsia="Georgia" w:hAnsi="Georgia"/>
          <w:sz w:val="22"/>
          <w:szCs w:val="22"/>
        </w:rPr>
        <w:t xml:space="preserve">Frame semantics, developed by Fillmore (1976, 1982, 1985) and formalized in the FrameNet project (Fillmore et al., 2003; Baker, Fillmore, &amp; Lowe, 1998), offers a complementary perspective on lexical meaning. On the frame-semantic account, words do not express meanings in isolation but evoke frames: schematic representations of the situations, events, and relationships that constitute the background knowledge against which the word’s contribution is understood. The meaning of a word, on this account, is in large part the frame it evokes and the way it profiles particular elements of that frame.</w:t>
      </w:r>
    </w:p>
    <w:p>
      <w:pPr>
        <w:spacing w:after="160" w:before="0"/>
        <w:jc w:val="both"/>
      </w:pPr>
      <w:r>
        <w:rPr>
          <w:rFonts w:ascii="Georgia" w:cs="Georgia" w:eastAsia="Georgia" w:hAnsi="Georgia"/>
          <w:sz w:val="22"/>
          <w:szCs w:val="22"/>
        </w:rPr>
        <w:t xml:space="preserve">FrameNet is the large-scale lexical database that implements this theoretical framework. For each frame, FrameNet identifies the frame elements (the participants, props, and circumstances of the frame’s scenario) and the lexical units (the words and multi-word expressions that evoke the frame). Each lexical unit is associated with a set of annotated corpus sentences illustrating the range of syntactic realizations of the frame elements. The resulting resource provides an empirically grounded, richly annotated picture of the interface between lexical meaning and syntactic realization.</w:t>
      </w:r>
    </w:p>
    <w:p>
      <w:pPr>
        <w:spacing w:after="160" w:before="0"/>
        <w:jc w:val="both"/>
      </w:pPr>
      <w:r>
        <w:rPr>
          <w:rFonts w:ascii="Georgia" w:cs="Georgia" w:eastAsia="Georgia" w:hAnsi="Georgia"/>
          <w:sz w:val="22"/>
          <w:szCs w:val="22"/>
        </w:rPr>
        <w:t xml:space="preserve">For the purposes of the present article, FrameNet is particularly valuable for two reasons. First, it provides a frame-level taxonomy that cuts across Levin’s class-level taxonomy in illuminating ways: many Levin classes correspond to a single FrameNet frame, but others cut across multiple frames, and some FrameNet frames are evoked by lexical units from multiple Levin classes. The tensions between the two taxonomies reveal aspects of lexical organization that neither taxonomy, taken alone, would make visible. Second, FrameNet’s annotation of corpus examples provides a rich empirical base for the analysis of argument-structure alternations: the annotated sentences show not only which alternations a given lexical unit undergoes, but the semantic and pragmatic conditions under which each alternation is preferred.</w:t>
      </w:r>
    </w:p>
    <w:p>
      <w:pPr>
        <w:pStyle w:val="Heading3"/>
        <w:spacing w:after="80" w:before="200"/>
      </w:pPr>
      <w:r>
        <w:rPr>
          <w:rFonts w:ascii="Arial" w:cs="Arial" w:eastAsia="Arial" w:hAnsi="Arial"/>
          <w:b/>
          <w:bCs/>
          <w:color w:val="B8860B"/>
          <w:sz w:val="24"/>
          <w:szCs w:val="24"/>
        </w:rPr>
        <w:t xml:space="preserve">2.3  VerbNet and the Syntax-Semantics Interface</w:t>
      </w:r>
    </w:p>
    <w:p>
      <w:pPr>
        <w:spacing w:after="160" w:before="0"/>
        <w:jc w:val="both"/>
      </w:pPr>
      <w:r>
        <w:rPr>
          <w:rFonts w:ascii="Georgia" w:cs="Georgia" w:eastAsia="Georgia" w:hAnsi="Georgia"/>
          <w:sz w:val="22"/>
          <w:szCs w:val="22"/>
        </w:rPr>
        <w:t xml:space="preserve">VerbNet (Kipper et al., 2008; Kipper-Schuler, 2005) is a hierarchically organized lexical database that combines elements of Levin’s verb classification system with the thematic-role framework of Jackendoff (1990) and the event-decomposition framework of Rappaport Hovav and Levin (1998). Each VerbNet class is defined by a set of thematic roles, a set of selectional restrictions on those roles, a set of syntactic frames representing the argument-structure alternations undergone by class members, and a set of semantic predicates representing the event-structural decomposition of the class’s meaning.</w:t>
      </w:r>
    </w:p>
    <w:p>
      <w:pPr>
        <w:spacing w:after="160" w:before="0"/>
        <w:jc w:val="both"/>
      </w:pPr>
      <w:r>
        <w:rPr>
          <w:rFonts w:ascii="Georgia" w:cs="Georgia" w:eastAsia="Georgia" w:hAnsi="Georgia"/>
          <w:sz w:val="22"/>
          <w:szCs w:val="22"/>
        </w:rPr>
        <w:t xml:space="preserve">VerbNet’s explicit encoding of the syntax-semantics interface makes it particularly valuable for the present study. The semantic predicates associated with each VerbNet frame provide a formal representation of the meaning shift that accompanies each argument-structure alternation, making it possible to track systematically the relationship between syntactic and semantic generativity. The hierarchical organization of VerbNet classes also makes explicit the inheritance relationships between classes, showing how the generative properties of a more specific class are inherited from and constrained by those of the more general class above it.</w:t>
      </w:r>
    </w:p>
    <w:p>
      <w:pPr>
        <w:pStyle w:val="Heading3"/>
        <w:spacing w:after="80" w:before="200"/>
      </w:pPr>
      <w:r>
        <w:rPr>
          <w:rFonts w:ascii="Arial" w:cs="Arial" w:eastAsia="Arial" w:hAnsi="Arial"/>
          <w:b/>
          <w:bCs/>
          <w:color w:val="B8860B"/>
          <w:sz w:val="24"/>
          <w:szCs w:val="24"/>
        </w:rPr>
        <w:t xml:space="preserve">2.4  The Generative Lexicon</w:t>
      </w:r>
    </w:p>
    <w:p>
      <w:pPr>
        <w:spacing w:after="160" w:before="0"/>
        <w:jc w:val="both"/>
      </w:pPr>
      <w:r>
        <w:rPr>
          <w:rFonts w:ascii="Georgia" w:cs="Georgia" w:eastAsia="Georgia" w:hAnsi="Georgia"/>
          <w:sz w:val="22"/>
          <w:szCs w:val="22"/>
        </w:rPr>
        <w:t xml:space="preserve">Pustejovsky’s (1991, 1995) theory of the Generative Lexicon (GL) provides the most developed formal account of lexical generativity currently available. The GL proposes that word meanings are not simple, monolithic entities but are structured into four levels of representation: argument structure (the number and type of arguments a word projects), event structure (the aspect-compositional structure of the event the word denotes), qualia structure (a four-part representation of the word’s constitutive, formal, telic, and agentive properties), and lexical inheritance structure (the word’s position in the lexical type hierarchy).</w:t>
      </w:r>
    </w:p>
    <w:p>
      <w:pPr>
        <w:spacing w:after="160" w:before="0"/>
        <w:jc w:val="both"/>
      </w:pPr>
      <w:r>
        <w:rPr>
          <w:rFonts w:ascii="Georgia" w:cs="Georgia" w:eastAsia="Georgia" w:hAnsi="Georgia"/>
          <w:sz w:val="22"/>
          <w:szCs w:val="22"/>
        </w:rPr>
        <w:t xml:space="preserve">The generative power of the lexicon, on Pustejovsky’s account, derives from three generative mechanisms: type coercion (the reinterpretation of an argument to satisfy the semantic requirements of a predicate), selective binding (the exploitation of a specific quale of a complement’s qualia structure by a predicate), and co-composition (the mutual modification of the semantic content of predicate and argument). These mechanisms make it possible to derive, from a finite set of stored lexical entries, a theoretically unbounded range of contextually determined meanings.</w:t>
      </w:r>
    </w:p>
    <w:p>
      <w:pPr>
        <w:spacing w:after="160" w:before="0"/>
        <w:jc w:val="both"/>
      </w:pPr>
      <w:r>
        <w:rPr>
          <w:rFonts w:ascii="Georgia" w:cs="Georgia" w:eastAsia="Georgia" w:hAnsi="Georgia"/>
          <w:sz w:val="22"/>
          <w:szCs w:val="22"/>
        </w:rPr>
        <w:t xml:space="preserve">The present article takes the GL as its primary theoretical reference point but departs from it in two significant respects. First, the article is more directly grounded in empirical data: rather than deriving the architecture of the lexicon from theoretical considerations, it infers the structure of the generative mechanisms from the patterning of attested data in Levin, FrameNet, and VerbNet. Second, the article is more explicit about the role of argument-structure classes in constraining and mediating the generative mechanisms: the generative potential of a given lexical unit, the article argues, is not a property of the unit in isolation but is determined jointly by its class membership and its individual qualia structure.</w:t>
      </w:r>
    </w:p>
    <w:p>
      <w:pPr>
        <w:pStyle w:val="Heading2"/>
        <w:spacing w:after="120" w:before="280"/>
      </w:pPr>
      <w:r>
        <w:rPr>
          <w:rFonts w:ascii="Arial" w:cs="Arial" w:eastAsia="Arial" w:hAnsi="Arial"/>
          <w:b/>
          <w:bCs/>
          <w:color w:val="1F3864"/>
          <w:sz w:val="26"/>
          <w:szCs w:val="26"/>
        </w:rPr>
        <w:t xml:space="preserve">3.  Theoretical Framework: A Layered Model of Lexical Generativity</w:t>
      </w:r>
    </w:p>
    <w:p>
      <w:pPr>
        <w:spacing w:after="160" w:before="0"/>
        <w:jc w:val="both"/>
      </w:pPr>
      <w:r>
        <w:rPr>
          <w:rFonts w:ascii="Georgia" w:cs="Georgia" w:eastAsia="Georgia" w:hAnsi="Georgia"/>
          <w:sz w:val="22"/>
          <w:szCs w:val="22"/>
        </w:rPr>
        <w:t xml:space="preserve">The layered model of lexical generativity proposed in this article distinguishes three levels of lexical organization, each associated with a distinct type of generativity and a distinct set of constraints.</w:t>
      </w:r>
    </w:p>
    <w:p>
      <w:pPr>
        <w:pStyle w:val="Heading3"/>
        <w:spacing w:after="80" w:before="200"/>
      </w:pPr>
      <w:r>
        <w:rPr>
          <w:rFonts w:ascii="Arial" w:cs="Arial" w:eastAsia="Arial" w:hAnsi="Arial"/>
          <w:b/>
          <w:bCs/>
          <w:color w:val="B8860B"/>
          <w:sz w:val="24"/>
          <w:szCs w:val="24"/>
        </w:rPr>
        <w:t xml:space="preserve">3.1  Level I: Semantic Primitives and Qualia Structure</w:t>
      </w:r>
    </w:p>
    <w:p>
      <w:pPr>
        <w:spacing w:after="160" w:before="0"/>
        <w:jc w:val="both"/>
      </w:pPr>
      <w:r>
        <w:rPr>
          <w:rFonts w:ascii="Georgia" w:cs="Georgia" w:eastAsia="Georgia" w:hAnsi="Georgia"/>
          <w:sz w:val="22"/>
          <w:szCs w:val="22"/>
        </w:rPr>
        <w:t xml:space="preserve">At the base of the lexicon, on the model proposed here, are semantic primitives: the irreducible components of word meaning that cannot be further decomposed within the lexical system. The semantic primitives relevant to the present study include, among others: CAUSE, BECOME, STATE, MOVE, ACT, CONTACT, PATH, and MANNER. These primitives are not atoms in the strict logical sense—they have internal structure and enter into systematic relationships with one another—but they are stored, not derived: they represent the irreducible residue of lexical meaning that the generative mechanisms operate upon.</w:t>
      </w:r>
    </w:p>
    <w:p>
      <w:pPr>
        <w:spacing w:after="160" w:before="0"/>
        <w:jc w:val="both"/>
      </w:pPr>
      <w:r>
        <w:rPr>
          <w:rFonts w:ascii="Georgia" w:cs="Georgia" w:eastAsia="Georgia" w:hAnsi="Georgia"/>
          <w:sz w:val="22"/>
          <w:szCs w:val="22"/>
        </w:rPr>
        <w:t xml:space="preserve">Associated with each lexical entry is a qualia structure in the sense of Pustejovsky (1995): a four-part representation encoding the entry’s constitutive role (what the entity or event is made of), formal role (what type of entity or event it is), telic role (the purpose or function associated with it), and agentive role (the factors involved in its coming into being). The qualia structure is the primary source of the ‘exploitable meaning’ that generative mechanisms apply to.</w:t>
      </w:r>
    </w:p>
    <w:p>
      <w:pPr>
        <w:spacing w:after="160" w:before="0"/>
        <w:jc w:val="both"/>
      </w:pPr>
      <w:r>
        <w:rPr>
          <w:rFonts w:ascii="Georgia" w:cs="Georgia" w:eastAsia="Georgia" w:hAnsi="Georgia"/>
          <w:sz w:val="22"/>
          <w:szCs w:val="22"/>
        </w:rPr>
        <w:t xml:space="preserve">At Level I, generativity is minimal: it consists in the combination of primitives into complex structured meanings. The combinatorial possibilities are constrained by the qualia structure of each entry and by the typing constraints that govern the relationships between primitives.</w:t>
      </w:r>
    </w:p>
    <w:p>
      <w:pPr>
        <w:pStyle w:val="Heading3"/>
        <w:spacing w:after="80" w:before="200"/>
      </w:pPr>
      <w:r>
        <w:rPr>
          <w:rFonts w:ascii="Arial" w:cs="Arial" w:eastAsia="Arial" w:hAnsi="Arial"/>
          <w:b/>
          <w:bCs/>
          <w:color w:val="B8860B"/>
          <w:sz w:val="24"/>
          <w:szCs w:val="24"/>
        </w:rPr>
        <w:t xml:space="preserve">3.2  Level II: Argument-Structure Templates and Class Membership</w:t>
      </w:r>
    </w:p>
    <w:p>
      <w:pPr>
        <w:spacing w:after="160" w:before="0"/>
        <w:jc w:val="both"/>
      </w:pPr>
      <w:r>
        <w:rPr>
          <w:rFonts w:ascii="Georgia" w:cs="Georgia" w:eastAsia="Georgia" w:hAnsi="Georgia"/>
          <w:sz w:val="22"/>
          <w:szCs w:val="22"/>
        </w:rPr>
        <w:t xml:space="preserve">At the intermediate level, individual lexical entries are grouped into verb classes (in the sense of Levin, 1993) and frame-evoking categories (in the sense of FrameNet). Each class or category is associated with a set of argument-structure templates—schematic representations of the syntactic frames into which class members can enter—and a set of alternation rules that govern the transitions between templates.</w:t>
      </w:r>
    </w:p>
    <w:p>
      <w:pPr>
        <w:spacing w:after="160" w:before="0"/>
        <w:jc w:val="both"/>
      </w:pPr>
      <w:r>
        <w:rPr>
          <w:rFonts w:ascii="Georgia" w:cs="Georgia" w:eastAsia="Georgia" w:hAnsi="Georgia"/>
          <w:sz w:val="22"/>
          <w:szCs w:val="22"/>
        </w:rPr>
        <w:t xml:space="preserve">Level II is the locus of argument-structure generativity: the productive capacity of a verb to enter different syntactic frames with systematic, predictable meaning shifts. This capacity is not a property of individual verbs but of verb classes: it is licensed by class membership and constrained by the class-level semantic characterization. The individual verb contributes its Level-I qualia structure; the class contributes the argument-structure templates and alternation rules; the interaction of the two determines the verb’s full generative range.</w:t>
      </w:r>
    </w:p>
    <w:p>
      <w:pPr>
        <w:spacing w:after="160" w:before="0"/>
        <w:jc w:val="both"/>
      </w:pPr>
      <w:r>
        <w:rPr>
          <w:rFonts w:ascii="Georgia" w:cs="Georgia" w:eastAsia="Georgia" w:hAnsi="Georgia"/>
          <w:sz w:val="22"/>
          <w:szCs w:val="22"/>
        </w:rPr>
        <w:t xml:space="preserve">The key theoretical innovation of the present model, relative to existing accounts, is the claim that Level-II generativity is hierarchically organized: VerbNet’s hierarchical class structure corresponds to a hierarchy of argument-structure templates, in which the templates associated with superordinate classes are inherited by subordinate classes and may be further restricted or extended at lower levels of the hierarchy. This hierarchical organization makes it possible to state the argument-structure rules at the most general level at which they hold, without overgenerating for more specific subclasses.</w:t>
      </w:r>
    </w:p>
    <w:p>
      <w:pPr>
        <w:pStyle w:val="Heading3"/>
        <w:spacing w:after="80" w:before="200"/>
      </w:pPr>
      <w:r>
        <w:rPr>
          <w:rFonts w:ascii="Arial" w:cs="Arial" w:eastAsia="Arial" w:hAnsi="Arial"/>
          <w:b/>
          <w:bCs/>
          <w:color w:val="B8860B"/>
          <w:sz w:val="24"/>
          <w:szCs w:val="24"/>
        </w:rPr>
        <w:t xml:space="preserve">3.3  Level III: Event-Type Composition and Pragmatic Adjustment</w:t>
      </w:r>
    </w:p>
    <w:p>
      <w:pPr>
        <w:spacing w:after="160" w:before="0"/>
        <w:jc w:val="both"/>
      </w:pPr>
      <w:r>
        <w:rPr>
          <w:rFonts w:ascii="Georgia" w:cs="Georgia" w:eastAsia="Georgia" w:hAnsi="Georgia"/>
          <w:sz w:val="22"/>
          <w:szCs w:val="22"/>
        </w:rPr>
        <w:t xml:space="preserve">At the top level, individual lexical meanings are composed with event-type operators—aspectual operators such as INCEPTIVE, COMPLETIVE, CONTINUATIVE, and ITERATIVE—that shift the event type of the predicate without changing its argument structure. This is the level at which the coercive mechanisms of Pustejovsky’s GL primarily operate: type coercion applies when the event-type operator requires an argument of a type different from the one provided, forcing a reinterpretation of the argument to satisfy the type requirement.</w:t>
      </w:r>
    </w:p>
    <w:p>
      <w:pPr>
        <w:spacing w:after="160" w:before="0"/>
        <w:jc w:val="both"/>
      </w:pPr>
      <w:r>
        <w:rPr>
          <w:rFonts w:ascii="Georgia" w:cs="Georgia" w:eastAsia="Georgia" w:hAnsi="Georgia"/>
          <w:sz w:val="22"/>
          <w:szCs w:val="22"/>
        </w:rPr>
        <w:t xml:space="preserve">Level III also includes what the present article calls pragmatic adjustment: the systematic narrowing, broadening, or shifting of a lexical meaning in response to contextual factors that go beyond the lexical-semantic structure of the expression. Pragmatic adjustment is not lexicographic in the strict sense—it is not encoded in the lexical entry—but it interacts systematically with Levels I and II in ways that must be understood if the full range of attested uses is to be accounted for.</w:t>
      </w:r>
    </w:p>
    <w:p>
      <w:pPr>
        <w:pStyle w:val="Heading2"/>
        <w:spacing w:after="120" w:before="280"/>
      </w:pPr>
      <w:r>
        <w:rPr>
          <w:rFonts w:ascii="Arial" w:cs="Arial" w:eastAsia="Arial" w:hAnsi="Arial"/>
          <w:b/>
          <w:bCs/>
          <w:color w:val="1F3864"/>
          <w:sz w:val="26"/>
          <w:szCs w:val="26"/>
        </w:rPr>
        <w:t xml:space="preserve">4.  Verb Classes: Analysis</w:t>
      </w:r>
    </w:p>
    <w:p>
      <w:pPr>
        <w:spacing w:after="160" w:before="0"/>
        <w:jc w:val="both"/>
      </w:pPr>
      <w:r>
        <w:rPr>
          <w:rFonts w:ascii="Georgia" w:cs="Georgia" w:eastAsia="Georgia" w:hAnsi="Georgia"/>
          <w:sz w:val="22"/>
          <w:szCs w:val="22"/>
        </w:rPr>
        <w:t xml:space="preserve">The following sections provide detailed analysis of twelve English verb classes. For each class, the analysis identifies the class’s defining semantic properties at Level I, its argument-structure templates and alternation rules at Level II, and the event-type compositional patterns that generate its attested range of uses at Level III.</w:t>
      </w:r>
    </w:p>
    <w:p>
      <w:pPr>
        <w:pStyle w:val="Heading3"/>
        <w:spacing w:after="80" w:before="200"/>
      </w:pPr>
      <w:r>
        <w:rPr>
          <w:rFonts w:ascii="Arial" w:cs="Arial" w:eastAsia="Arial" w:hAnsi="Arial"/>
          <w:b/>
          <w:bCs/>
          <w:color w:val="B8860B"/>
          <w:sz w:val="24"/>
          <w:szCs w:val="24"/>
        </w:rPr>
        <w:t xml:space="preserve">4.1  Manner-of-Motion Verbs</w:t>
      </w:r>
    </w:p>
    <w:p>
      <w:pPr>
        <w:spacing w:after="160" w:before="0"/>
        <w:jc w:val="both"/>
      </w:pPr>
      <w:r>
        <w:rPr>
          <w:rFonts w:ascii="Georgia" w:cs="Georgia" w:eastAsia="Georgia" w:hAnsi="Georgia"/>
          <w:sz w:val="22"/>
          <w:szCs w:val="22"/>
        </w:rPr>
        <w:t xml:space="preserve">Manner-of-motion verbs (Levin, 1993: §5.1; VerbNet class 51.3) denote motion along a path with a specified manner of locomotion. The class includes run, walk, swim, fly, crawl, march, race, trot, gallop, saunter, stride, trudge, and related forms. The class is defined at Level I by the semantic primitive MOVE(AGENT, MANNER), where the manner component specifies the characteristic mode of locomotion.</w:t>
      </w:r>
    </w:p>
    <w:p>
      <w:pPr>
        <w:spacing w:after="160" w:before="0"/>
        <w:jc w:val="both"/>
      </w:pPr>
      <w:r>
        <w:rPr>
          <w:rFonts w:ascii="Georgia" w:cs="Georgia" w:eastAsia="Georgia" w:hAnsi="Georgia"/>
          <w:sz w:val="22"/>
          <w:szCs w:val="22"/>
        </w:rPr>
        <w:t xml:space="preserve">At Level II, manner-of-motion verbs enter two primary argument-structure templates. The intransitive motion template, illustrated in (1a), encodes the agent’s self-directed movement without specification of a path argument. The path-transitive template, illustrated in (1b), encodes the integration of a path argument, realized as a directional prepositional phrase, into the event structure of the verb.</w:t>
      </w:r>
    </w:p>
    <w:p>
      <w:pPr>
        <w:spacing w:after="80" w:before="80"/>
        <w:ind w:left="720"/>
      </w:pPr>
      <w:r>
        <w:rPr>
          <w:rFonts w:ascii="Courier New" w:cs="Courier New" w:eastAsia="Courier New" w:hAnsi="Courier New"/>
          <w:b/>
          <w:bCs/>
          <w:sz w:val="20"/>
          <w:szCs w:val="20"/>
        </w:rPr>
        <w:t xml:space="preserve">(1a) </w:t>
      </w:r>
      <w:r>
        <w:rPr>
          <w:rFonts w:ascii="Courier New" w:cs="Courier New" w:eastAsia="Courier New" w:hAnsi="Courier New"/>
          <w:sz w:val="20"/>
          <w:szCs w:val="20"/>
        </w:rPr>
        <w:t xml:space="preserve">The children ran in the playground. [intransitive, no path]</w:t>
      </w:r>
    </w:p>
    <w:p>
      <w:pPr>
        <w:spacing w:after="80" w:before="80"/>
        <w:ind w:left="720"/>
      </w:pPr>
      <w:r>
        <w:rPr>
          <w:rFonts w:ascii="Courier New" w:cs="Courier New" w:eastAsia="Courier New" w:hAnsi="Courier New"/>
          <w:b/>
          <w:bCs/>
          <w:sz w:val="20"/>
          <w:szCs w:val="20"/>
        </w:rPr>
        <w:t xml:space="preserve">(1b) </w:t>
      </w:r>
      <w:r>
        <w:rPr>
          <w:rFonts w:ascii="Courier New" w:cs="Courier New" w:eastAsia="Courier New" w:hAnsi="Courier New"/>
          <w:sz w:val="20"/>
          <w:szCs w:val="20"/>
        </w:rPr>
        <w:t xml:space="preserve">The children ran to the park. [intransitive with directional PP]</w:t>
      </w:r>
    </w:p>
    <w:p>
      <w:pPr>
        <w:spacing w:after="80" w:before="80"/>
        <w:ind w:left="720"/>
      </w:pPr>
      <w:r>
        <w:rPr>
          <w:rFonts w:ascii="Courier New" w:cs="Courier New" w:eastAsia="Courier New" w:hAnsi="Courier New"/>
          <w:b/>
          <w:bCs/>
          <w:sz w:val="20"/>
          <w:szCs w:val="20"/>
        </w:rPr>
        <w:t xml:space="preserve">(1c) </w:t>
      </w:r>
      <w:r>
        <w:rPr>
          <w:rFonts w:ascii="Courier New" w:cs="Courier New" w:eastAsia="Courier New" w:hAnsi="Courier New"/>
          <w:sz w:val="20"/>
          <w:szCs w:val="20"/>
        </w:rPr>
        <w:t xml:space="preserve">She ran the horses across the field. [causative transitive]</w:t>
      </w:r>
    </w:p>
    <w:p>
      <w:pPr>
        <w:spacing w:after="160" w:before="0"/>
        <w:jc w:val="both"/>
      </w:pPr>
      <w:r>
        <w:rPr>
          <w:rFonts w:ascii="Georgia" w:cs="Georgia" w:eastAsia="Georgia" w:hAnsi="Georgia"/>
          <w:sz w:val="22"/>
          <w:szCs w:val="22"/>
        </w:rPr>
        <w:t xml:space="preserve">The transition from (1a) to (1b) is licensed by the directed-motion alternation (Levin, 1993: 54–55), which permits the path argument to be integrated into the event structure of the verb when the path is directed toward a goal. The transition from (1b) to (1c)—the causative alternation—introduces a CAUSE operator at Level III that shifts the agent from a self-mover to a causer of another entity’s motion.</w:t>
      </w:r>
    </w:p>
    <w:p>
      <w:pPr>
        <w:spacing w:after="160" w:before="0"/>
        <w:jc w:val="both"/>
      </w:pPr>
      <w:r>
        <w:rPr>
          <w:rFonts w:ascii="Georgia" w:cs="Georgia" w:eastAsia="Georgia" w:hAnsi="Georgia"/>
          <w:sz w:val="22"/>
          <w:szCs w:val="22"/>
        </w:rPr>
        <w:t xml:space="preserve">FrameNet assigns manner-of-motion verbs primarily to the Self_motion frame, which encodes the self-directed movement of a theme along a path defined by source, path, and goal frame elements. The frame-semantic analysis captures an important feature that the VerbNet analysis partially obscures: the path elements are not arguments in the strict sense—they are not obligatory and are not assigned thematic roles in the standard sense—but they are frame elements: components of the frame’s scenario that can be optionally expressed in the syntax. The distinction between arguments and frame elements proves important in the analysis of the more complex classes considered in subsequent sections.</w:t>
      </w:r>
    </w:p>
    <w:p>
      <w:pPr>
        <w:pStyle w:val="Heading3"/>
        <w:spacing w:after="80" w:before="200"/>
      </w:pPr>
      <w:r>
        <w:rPr>
          <w:rFonts w:ascii="Arial" w:cs="Arial" w:eastAsia="Arial" w:hAnsi="Arial"/>
          <w:b/>
          <w:bCs/>
          <w:color w:val="B8860B"/>
          <w:sz w:val="24"/>
          <w:szCs w:val="24"/>
        </w:rPr>
        <w:t xml:space="preserve">4.2  Change-of-State Verbs</w:t>
      </w:r>
    </w:p>
    <w:p>
      <w:pPr>
        <w:spacing w:after="160" w:before="0"/>
        <w:jc w:val="both"/>
      </w:pPr>
      <w:r>
        <w:rPr>
          <w:rFonts w:ascii="Georgia" w:cs="Georgia" w:eastAsia="Georgia" w:hAnsi="Georgia"/>
          <w:sz w:val="22"/>
          <w:szCs w:val="22"/>
        </w:rPr>
        <w:t xml:space="preserve">Change-of-state verbs (Levin, 1993: §26; VerbNet classes 45.1–45.4) denote events in which an entity undergoes a transition from one state to another. The class includes break, crack, shatter, smash, bend, flatten, melt, freeze, dissolve, and related forms. At Level I, the class is defined by the semantic primitive BECOME(ENTITY, STATE), encoding the transition of the entity to the resultant state.</w:t>
      </w:r>
    </w:p>
    <w:p>
      <w:pPr>
        <w:spacing w:after="160" w:before="0"/>
        <w:jc w:val="both"/>
      </w:pPr>
      <w:r>
        <w:rPr>
          <w:rFonts w:ascii="Georgia" w:cs="Georgia" w:eastAsia="Georgia" w:hAnsi="Georgia"/>
          <w:sz w:val="22"/>
          <w:szCs w:val="22"/>
        </w:rPr>
        <w:t xml:space="preserve">The defining feature of change-of-state verbs from a generative perspective is the causative-inchoative alternation (Levin, 1993: 26–29): the capacity of these verbs to alternate between a transitive causative use, in which an external agent causes the change of state, and an intransitive inchoative use, in which the change of state is presented as spontaneous.</w:t>
      </w:r>
    </w:p>
    <w:p>
      <w:pPr>
        <w:spacing w:after="80" w:before="80"/>
        <w:ind w:left="720"/>
      </w:pPr>
      <w:r>
        <w:rPr>
          <w:rFonts w:ascii="Courier New" w:cs="Courier New" w:eastAsia="Courier New" w:hAnsi="Courier New"/>
          <w:b/>
          <w:bCs/>
          <w:sz w:val="20"/>
          <w:szCs w:val="20"/>
        </w:rPr>
        <w:t xml:space="preserve">(2a) </w:t>
      </w:r>
      <w:r>
        <w:rPr>
          <w:rFonts w:ascii="Courier New" w:cs="Courier New" w:eastAsia="Courier New" w:hAnsi="Courier New"/>
          <w:sz w:val="20"/>
          <w:szCs w:val="20"/>
        </w:rPr>
        <w:t xml:space="preserve">The hammer broke the window. [transitive causative]</w:t>
      </w:r>
    </w:p>
    <w:p>
      <w:pPr>
        <w:spacing w:after="80" w:before="80"/>
        <w:ind w:left="720"/>
      </w:pPr>
      <w:r>
        <w:rPr>
          <w:rFonts w:ascii="Courier New" w:cs="Courier New" w:eastAsia="Courier New" w:hAnsi="Courier New"/>
          <w:b/>
          <w:bCs/>
          <w:sz w:val="20"/>
          <w:szCs w:val="20"/>
        </w:rPr>
        <w:t xml:space="preserve">(2b) </w:t>
      </w:r>
      <w:r>
        <w:rPr>
          <w:rFonts w:ascii="Courier New" w:cs="Courier New" w:eastAsia="Courier New" w:hAnsi="Courier New"/>
          <w:sz w:val="20"/>
          <w:szCs w:val="20"/>
        </w:rPr>
        <w:t xml:space="preserve">The window broke. [intransitive inchoative]</w:t>
      </w:r>
    </w:p>
    <w:p>
      <w:pPr>
        <w:spacing w:after="80" w:before="80"/>
        <w:ind w:left="720"/>
      </w:pPr>
      <w:r>
        <w:rPr>
          <w:rFonts w:ascii="Courier New" w:cs="Courier New" w:eastAsia="Courier New" w:hAnsi="Courier New"/>
          <w:b/>
          <w:bCs/>
          <w:sz w:val="20"/>
          <w:szCs w:val="20"/>
        </w:rPr>
        <w:t xml:space="preserve">(2c) </w:t>
      </w:r>
      <w:r>
        <w:rPr>
          <w:rFonts w:ascii="Courier New" w:cs="Courier New" w:eastAsia="Courier New" w:hAnsi="Courier New"/>
          <w:sz w:val="20"/>
          <w:szCs w:val="20"/>
        </w:rPr>
        <w:t xml:space="preserve">The glass shattered into a thousand pieces. [inchoative with result phrase]</w:t>
      </w:r>
    </w:p>
    <w:p>
      <w:pPr>
        <w:spacing w:after="160" w:before="0"/>
        <w:jc w:val="both"/>
      </w:pPr>
      <w:r>
        <w:rPr>
          <w:rFonts w:ascii="Georgia" w:cs="Georgia" w:eastAsia="Georgia" w:hAnsi="Georgia"/>
          <w:sz w:val="22"/>
          <w:szCs w:val="22"/>
        </w:rPr>
        <w:t xml:space="preserve">The alternation in (2) is analyzed in the present model as a Level-II phenomenon: the causative and inchoative frames are both licensed by class membership, and the choice between them is constrained by the animacy and volitionality of the causing entity, the lexically encoded causal structure of the specific verb, and the aspectual requirements of the surrounding context. Verbs that strongly encode the manner of the causing event (smash, shatter) are more resistant to the intransitive alternation than verbs that encode the result state only (melt, freeze), a pattern predicted by the Level-I semantic characterization.</w:t>
      </w:r>
    </w:p>
    <w:p>
      <w:pPr>
        <w:spacing w:after="160" w:before="0"/>
        <w:jc w:val="both"/>
      </w:pPr>
      <w:r>
        <w:rPr>
          <w:rFonts w:ascii="Georgia" w:cs="Georgia" w:eastAsia="Georgia" w:hAnsi="Georgia"/>
          <w:sz w:val="22"/>
          <w:szCs w:val="22"/>
        </w:rPr>
        <w:t xml:space="preserve">At Level III, change-of-state verbs interact with resultative constructions (Goldberg &amp; Jackendoff, 2004) that extend the result state beyond what the verb lexically encodes. The sentence in (2c) illustrates this: into a thousand pieces is not a complement of shatter in the strict argument-structure sense but a resultative phrase that elaborates the result state encoded in the verb’s qualia structure. The Level-III analysis captures this as a co-composition between the verb’s agentive quale (the causing event) and the resultative phrase’s formal quale (the resultant state).</w:t>
      </w:r>
    </w:p>
    <w:p>
      <w:pPr>
        <w:pStyle w:val="Heading3"/>
        <w:spacing w:after="80" w:before="200"/>
      </w:pPr>
      <w:r>
        <w:rPr>
          <w:rFonts w:ascii="Arial" w:cs="Arial" w:eastAsia="Arial" w:hAnsi="Arial"/>
          <w:b/>
          <w:bCs/>
          <w:color w:val="B8860B"/>
          <w:sz w:val="24"/>
          <w:szCs w:val="24"/>
        </w:rPr>
        <w:t xml:space="preserve">4.3  Communication Verbs</w:t>
      </w:r>
    </w:p>
    <w:p>
      <w:pPr>
        <w:spacing w:after="160" w:before="0"/>
        <w:jc w:val="both"/>
      </w:pPr>
      <w:r>
        <w:rPr>
          <w:rFonts w:ascii="Georgia" w:cs="Georgia" w:eastAsia="Georgia" w:hAnsi="Georgia"/>
          <w:sz w:val="22"/>
          <w:szCs w:val="22"/>
        </w:rPr>
        <w:t xml:space="preserve">Communication verbs (Levin, 1993: §37–39; VerbNet classes 37.1–37.7) denote events of linguistic communication. The class includes say, tell, ask, announce, report, whisper, shout, declare, claim, assert, promise, warn, and related forms. At Level I, the class is defined by the semantic primitive ACT(AGENT, COMMUNICATIVE_CONTENT, RECIPIENT), encoding the agent’s production of a linguistic act directed toward a recipient.</w:t>
      </w:r>
    </w:p>
    <w:p>
      <w:pPr>
        <w:spacing w:after="160" w:before="0"/>
        <w:jc w:val="both"/>
      </w:pPr>
      <w:r>
        <w:rPr>
          <w:rFonts w:ascii="Georgia" w:cs="Georgia" w:eastAsia="Georgia" w:hAnsi="Georgia"/>
          <w:sz w:val="22"/>
          <w:szCs w:val="22"/>
        </w:rPr>
        <w:t xml:space="preserve">Communication verbs exhibit a particularly rich set of argument-structure alternations, reflecting the multiple ways in which the three core elements of the communication event—agent, content, and recipient—can be syntactically realized. The most systematically studied of these is the dative alternation (Levin, 1993: 45–49), illustrated in (3):</w:t>
      </w:r>
    </w:p>
    <w:p>
      <w:pPr>
        <w:spacing w:after="80" w:before="80"/>
        <w:ind w:left="720"/>
      </w:pPr>
      <w:r>
        <w:rPr>
          <w:rFonts w:ascii="Courier New" w:cs="Courier New" w:eastAsia="Courier New" w:hAnsi="Courier New"/>
          <w:b/>
          <w:bCs/>
          <w:sz w:val="20"/>
          <w:szCs w:val="20"/>
        </w:rPr>
        <w:t xml:space="preserve">(3a) </w:t>
      </w:r>
      <w:r>
        <w:rPr>
          <w:rFonts w:ascii="Courier New" w:cs="Courier New" w:eastAsia="Courier New" w:hAnsi="Courier New"/>
          <w:sz w:val="20"/>
          <w:szCs w:val="20"/>
        </w:rPr>
        <w:t xml:space="preserve">She told the story to everyone in the room. [to-dative]</w:t>
      </w:r>
    </w:p>
    <w:p>
      <w:pPr>
        <w:spacing w:after="80" w:before="80"/>
        <w:ind w:left="720"/>
      </w:pPr>
      <w:r>
        <w:rPr>
          <w:rFonts w:ascii="Courier New" w:cs="Courier New" w:eastAsia="Courier New" w:hAnsi="Courier New"/>
          <w:b/>
          <w:bCs/>
          <w:sz w:val="20"/>
          <w:szCs w:val="20"/>
        </w:rPr>
        <w:t xml:space="preserve">(3b) </w:t>
      </w:r>
      <w:r>
        <w:rPr>
          <w:rFonts w:ascii="Courier New" w:cs="Courier New" w:eastAsia="Courier New" w:hAnsi="Courier New"/>
          <w:sz w:val="20"/>
          <w:szCs w:val="20"/>
        </w:rPr>
        <w:t xml:space="preserve">She told everyone in the room the story. [double-object dative]</w:t>
      </w:r>
    </w:p>
    <w:p>
      <w:pPr>
        <w:spacing w:after="160" w:before="0"/>
        <w:jc w:val="both"/>
      </w:pPr>
      <w:r>
        <w:rPr>
          <w:rFonts w:ascii="Georgia" w:cs="Georgia" w:eastAsia="Georgia" w:hAnsi="Georgia"/>
          <w:sz w:val="22"/>
          <w:szCs w:val="22"/>
        </w:rPr>
        <w:t xml:space="preserve">The two frames in (3) are not semantically equivalent: the double-object frame in (3b) carries a stronger implication that the recipient actually received and processed the communicated content (the ‘caused-possession’ implication; Levin, 2008), while the to-dative frame in (3a) is neutral on this point. This semantic difference is a Level-II phenomenon: it is licensed by the argument-structure template and not encoded in the verb’s Level-I semantic content.</w:t>
      </w:r>
    </w:p>
    <w:p>
      <w:pPr>
        <w:spacing w:after="160" w:before="0"/>
        <w:jc w:val="both"/>
      </w:pPr>
      <w:r>
        <w:rPr>
          <w:rFonts w:ascii="Georgia" w:cs="Georgia" w:eastAsia="Georgia" w:hAnsi="Georgia"/>
          <w:sz w:val="22"/>
          <w:szCs w:val="22"/>
        </w:rPr>
        <w:t xml:space="preserve">A second important alternation within the communication verb class is the content alternation, which permits the communicated content to be realized as a finite clause, an infinitival clause, a nominal, or a prepositional phrase, with systematic differences in the temporal and epistemic properties of the communicated content:</w:t>
      </w:r>
    </w:p>
    <w:p>
      <w:pPr>
        <w:spacing w:after="80" w:before="80"/>
        <w:ind w:left="720"/>
      </w:pPr>
      <w:r>
        <w:rPr>
          <w:rFonts w:ascii="Courier New" w:cs="Courier New" w:eastAsia="Courier New" w:hAnsi="Courier New"/>
          <w:b/>
          <w:bCs/>
          <w:sz w:val="20"/>
          <w:szCs w:val="20"/>
        </w:rPr>
        <w:t xml:space="preserve">(4a) </w:t>
      </w:r>
      <w:r>
        <w:rPr>
          <w:rFonts w:ascii="Courier New" w:cs="Courier New" w:eastAsia="Courier New" w:hAnsi="Courier New"/>
          <w:sz w:val="20"/>
          <w:szCs w:val="20"/>
        </w:rPr>
        <w:t xml:space="preserve">She announced that the project had been completed. [finite clause]</w:t>
      </w:r>
    </w:p>
    <w:p>
      <w:pPr>
        <w:spacing w:after="80" w:before="80"/>
        <w:ind w:left="720"/>
      </w:pPr>
      <w:r>
        <w:rPr>
          <w:rFonts w:ascii="Courier New" w:cs="Courier New" w:eastAsia="Courier New" w:hAnsi="Courier New"/>
          <w:b/>
          <w:bCs/>
          <w:sz w:val="20"/>
          <w:szCs w:val="20"/>
        </w:rPr>
        <w:t xml:space="preserve">(4b) </w:t>
      </w:r>
      <w:r>
        <w:rPr>
          <w:rFonts w:ascii="Courier New" w:cs="Courier New" w:eastAsia="Courier New" w:hAnsi="Courier New"/>
          <w:sz w:val="20"/>
          <w:szCs w:val="20"/>
        </w:rPr>
        <w:t xml:space="preserve">She announced the completion of the project. [nominal]</w:t>
      </w:r>
    </w:p>
    <w:p>
      <w:pPr>
        <w:spacing w:after="80" w:before="80"/>
        <w:ind w:left="720"/>
      </w:pPr>
      <w:r>
        <w:rPr>
          <w:rFonts w:ascii="Courier New" w:cs="Courier New" w:eastAsia="Courier New" w:hAnsi="Courier New"/>
          <w:b/>
          <w:bCs/>
          <w:sz w:val="20"/>
          <w:szCs w:val="20"/>
        </w:rPr>
        <w:t xml:space="preserve">(4c) </w:t>
      </w:r>
      <w:r>
        <w:rPr>
          <w:rFonts w:ascii="Courier New" w:cs="Courier New" w:eastAsia="Courier New" w:hAnsi="Courier New"/>
          <w:sz w:val="20"/>
          <w:szCs w:val="20"/>
        </w:rPr>
        <w:t xml:space="preserve">She announced herself ready to proceed. [small clause]</w:t>
      </w:r>
    </w:p>
    <w:p>
      <w:pPr>
        <w:pStyle w:val="Heading3"/>
        <w:spacing w:after="80" w:before="200"/>
      </w:pPr>
      <w:r>
        <w:rPr>
          <w:rFonts w:ascii="Arial" w:cs="Arial" w:eastAsia="Arial" w:hAnsi="Arial"/>
          <w:b/>
          <w:bCs/>
          <w:color w:val="B8860B"/>
          <w:sz w:val="24"/>
          <w:szCs w:val="24"/>
        </w:rPr>
        <w:t xml:space="preserve">4.4  Psychological Verbs</w:t>
      </w:r>
    </w:p>
    <w:p>
      <w:pPr>
        <w:spacing w:after="160" w:before="0"/>
        <w:jc w:val="both"/>
      </w:pPr>
      <w:r>
        <w:rPr>
          <w:rFonts w:ascii="Georgia" w:cs="Georgia" w:eastAsia="Georgia" w:hAnsi="Georgia"/>
          <w:sz w:val="22"/>
          <w:szCs w:val="22"/>
        </w:rPr>
        <w:t xml:space="preserve">Psychological verbs (Levin, 1993: §31; VerbNet classes 31.1–31.3; Belletti &amp; Rizzi, 1988) constitute one of the most theoretically contentious classes in the literature, precisely because their generative behavior is most resistant to standard thematic-role accounts. The class includes verbs such as fear, worry, alarm, frighten, please, amuse, bore, interest, delight, and disgust.</w:t>
      </w:r>
    </w:p>
    <w:p>
      <w:pPr>
        <w:spacing w:after="160" w:before="0"/>
        <w:jc w:val="both"/>
      </w:pPr>
      <w:r>
        <w:rPr>
          <w:rFonts w:ascii="Georgia" w:cs="Georgia" w:eastAsia="Georgia" w:hAnsi="Georgia"/>
          <w:sz w:val="22"/>
          <w:szCs w:val="22"/>
        </w:rPr>
        <w:t xml:space="preserve">The central puzzle of psychological verbs is the reversal of the standard mapping between thematic roles and syntactic positions. In the canonical transitive frame, the subject position is occupied by the agent or experiencer, and the object position by the patient or theme. But psychological verbs divide into two subclasses that map thematic roles to syntactic positions in opposite ways:</w:t>
      </w:r>
    </w:p>
    <w:p>
      <w:pPr>
        <w:spacing w:after="80" w:before="80"/>
        <w:ind w:left="720"/>
      </w:pPr>
      <w:r>
        <w:rPr>
          <w:rFonts w:ascii="Courier New" w:cs="Courier New" w:eastAsia="Courier New" w:hAnsi="Courier New"/>
          <w:b/>
          <w:bCs/>
          <w:sz w:val="20"/>
          <w:szCs w:val="20"/>
        </w:rPr>
        <w:t xml:space="preserve">(5a) </w:t>
      </w:r>
      <w:r>
        <w:rPr>
          <w:rFonts w:ascii="Courier New" w:cs="Courier New" w:eastAsia="Courier New" w:hAnsi="Courier New"/>
          <w:sz w:val="20"/>
          <w:szCs w:val="20"/>
        </w:rPr>
        <w:t xml:space="preserve">The news frightened the child. [Stimulus-subject, Experiencer-object]</w:t>
      </w:r>
    </w:p>
    <w:p>
      <w:pPr>
        <w:spacing w:after="80" w:before="80"/>
        <w:ind w:left="720"/>
      </w:pPr>
      <w:r>
        <w:rPr>
          <w:rFonts w:ascii="Courier New" w:cs="Courier New" w:eastAsia="Courier New" w:hAnsi="Courier New"/>
          <w:b/>
          <w:bCs/>
          <w:sz w:val="20"/>
          <w:szCs w:val="20"/>
        </w:rPr>
        <w:t xml:space="preserve">(5b) </w:t>
      </w:r>
      <w:r>
        <w:rPr>
          <w:rFonts w:ascii="Courier New" w:cs="Courier New" w:eastAsia="Courier New" w:hAnsi="Courier New"/>
          <w:sz w:val="20"/>
          <w:szCs w:val="20"/>
        </w:rPr>
        <w:t xml:space="preserve">The child feared the news. [Experiencer-subject, Stimulus-object]</w:t>
      </w:r>
    </w:p>
    <w:p>
      <w:pPr>
        <w:spacing w:after="160" w:before="0"/>
        <w:jc w:val="both"/>
      </w:pPr>
      <w:r>
        <w:rPr>
          <w:rFonts w:ascii="Georgia" w:cs="Georgia" w:eastAsia="Georgia" w:hAnsi="Georgia"/>
          <w:sz w:val="22"/>
          <w:szCs w:val="22"/>
        </w:rPr>
        <w:t xml:space="preserve">Verbs of the frighten class assign the stimulus to the subject position and the experiencer to the object position; verbs of the fear class assign the experiencer to the subject position and the stimulus to the object position. This reversal is not predicted by standard thematic-role linking rules, which uniformly assign the agent or most agentive argument to the subject position.</w:t>
      </w:r>
    </w:p>
    <w:p>
      <w:pPr>
        <w:spacing w:after="160" w:before="0"/>
        <w:jc w:val="both"/>
      </w:pPr>
      <w:r>
        <w:rPr>
          <w:rFonts w:ascii="Georgia" w:cs="Georgia" w:eastAsia="Georgia" w:hAnsi="Georgia"/>
          <w:sz w:val="22"/>
          <w:szCs w:val="22"/>
        </w:rPr>
        <w:t xml:space="preserve">The present model analyzes this as a Level-I distinction: frighten-class verbs encode a CAUSE(STIMULUS, EMOTION(EXPERIENCER)) event structure in which the stimulus is the initiating cause, while fear-class verbs encode a EXPERIENCE(EXPERIENCER, STIMULUS) event structure in which the experiencer is the primary participant. The syntactic difference follows from the Level-I semantic difference through the Level-II linking rules, without requiring any exception to the general thematic-role linking account.</w:t>
      </w:r>
    </w:p>
    <w:p>
      <w:pPr>
        <w:pStyle w:val="Heading3"/>
        <w:spacing w:after="80" w:before="200"/>
      </w:pPr>
      <w:r>
        <w:rPr>
          <w:rFonts w:ascii="Arial" w:cs="Arial" w:eastAsia="Arial" w:hAnsi="Arial"/>
          <w:b/>
          <w:bCs/>
          <w:color w:val="B8860B"/>
          <w:sz w:val="24"/>
          <w:szCs w:val="24"/>
        </w:rPr>
        <w:t xml:space="preserve">4.5  Verbs of Creation and Transformation</w:t>
      </w:r>
    </w:p>
    <w:p>
      <w:pPr>
        <w:spacing w:after="160" w:before="0"/>
        <w:jc w:val="both"/>
      </w:pPr>
      <w:r>
        <w:rPr>
          <w:rFonts w:ascii="Georgia" w:cs="Georgia" w:eastAsia="Georgia" w:hAnsi="Georgia"/>
          <w:sz w:val="22"/>
          <w:szCs w:val="22"/>
        </w:rPr>
        <w:t xml:space="preserve">Verbs of creation and transformation (Levin, 1993: §26.1, §26.4; VerbNet classes 26.1, 26.4) denote events in which an agent brings a new entity into existence or transforms an existing entity into a different entity. The class includes build, make, create, construct, bake, cook, knit, carve, shape, mold, and related forms. At Level I, the class is defined by the agentive quale MAKE(AGENT, PRODUCT): the agent’s intentional action produces the product as its result.</w:t>
      </w:r>
    </w:p>
    <w:p>
      <w:pPr>
        <w:spacing w:after="160" w:before="0"/>
        <w:jc w:val="both"/>
      </w:pPr>
      <w:r>
        <w:rPr>
          <w:rFonts w:ascii="Georgia" w:cs="Georgia" w:eastAsia="Georgia" w:hAnsi="Georgia"/>
          <w:sz w:val="22"/>
          <w:szCs w:val="22"/>
        </w:rPr>
        <w:t xml:space="preserve">The generative interest of creation verbs lies in the object-effecting property: unlike most transitive verbs, creation verbs take as their object an entity that does not exist prior to the event but is brought into existence by it. This has consequences for the verb’s interaction with definite reference, with aspect, and with resultative constructions:</w:t>
      </w:r>
    </w:p>
    <w:p>
      <w:pPr>
        <w:spacing w:after="80" w:before="80"/>
        <w:ind w:left="720"/>
      </w:pPr>
      <w:r>
        <w:rPr>
          <w:rFonts w:ascii="Courier New" w:cs="Courier New" w:eastAsia="Courier New" w:hAnsi="Courier New"/>
          <w:b/>
          <w:bCs/>
          <w:sz w:val="20"/>
          <w:szCs w:val="20"/>
        </w:rPr>
        <w:t xml:space="preserve">(6a) </w:t>
      </w:r>
      <w:r>
        <w:rPr>
          <w:rFonts w:ascii="Courier New" w:cs="Courier New" w:eastAsia="Courier New" w:hAnsi="Courier New"/>
          <w:sz w:val="20"/>
          <w:szCs w:val="20"/>
        </w:rPr>
        <w:t xml:space="preserve">She built a house over three years. [indefinite object, activity]</w:t>
      </w:r>
    </w:p>
    <w:p>
      <w:pPr>
        <w:spacing w:after="80" w:before="80"/>
        <w:ind w:left="720"/>
      </w:pPr>
      <w:r>
        <w:rPr>
          <w:rFonts w:ascii="Courier New" w:cs="Courier New" w:eastAsia="Courier New" w:hAnsi="Courier New"/>
          <w:b/>
          <w:bCs/>
          <w:sz w:val="20"/>
          <w:szCs w:val="20"/>
        </w:rPr>
        <w:t xml:space="preserve">(6b) </w:t>
      </w:r>
      <w:r>
        <w:rPr>
          <w:rFonts w:ascii="Courier New" w:cs="Courier New" w:eastAsia="Courier New" w:hAnsi="Courier New"/>
          <w:sz w:val="20"/>
          <w:szCs w:val="20"/>
        </w:rPr>
        <w:t xml:space="preserve">She built the house over three years. [definite, presupposes prior reference]</w:t>
      </w:r>
    </w:p>
    <w:p>
      <w:pPr>
        <w:spacing w:after="80" w:before="80"/>
        <w:ind w:left="720"/>
      </w:pPr>
      <w:r>
        <w:rPr>
          <w:rFonts w:ascii="Courier New" w:cs="Courier New" w:eastAsia="Courier New" w:hAnsi="Courier New"/>
          <w:b/>
          <w:bCs/>
          <w:sz w:val="20"/>
          <w:szCs w:val="20"/>
        </w:rPr>
        <w:t xml:space="preserve">(6c) </w:t>
      </w:r>
      <w:r>
        <w:rPr>
          <w:rFonts w:ascii="Courier New" w:cs="Courier New" w:eastAsia="Courier New" w:hAnsi="Courier New"/>
          <w:sz w:val="20"/>
          <w:szCs w:val="20"/>
        </w:rPr>
        <w:t xml:space="preserve">She built the house flat on the ground. [resultative elaboration]</w:t>
      </w:r>
    </w:p>
    <w:p>
      <w:pPr>
        <w:spacing w:after="160" w:before="0"/>
        <w:jc w:val="both"/>
      </w:pPr>
      <w:r>
        <w:rPr>
          <w:rFonts w:ascii="Georgia" w:cs="Georgia" w:eastAsia="Georgia" w:hAnsi="Georgia"/>
          <w:sz w:val="22"/>
          <w:szCs w:val="22"/>
        </w:rPr>
        <w:t xml:space="preserve">The contrast between (6a) and (6b) reflects the interaction between the object-effecting property and the pragmatics of definiteness: the definite article in (6b) presupposes a previously established discourse referent, which is pragmatically marked given that the entity is being brought into existence by the event. This is a Level-III phenomenon: the object-effecting property is encoded in the Level-I qualia structure, but its interaction with definiteness is mediated by Level-III pragmatic adjustment.</w:t>
      </w:r>
    </w:p>
    <w:p>
      <w:pPr>
        <w:pStyle w:val="Heading3"/>
        <w:spacing w:after="80" w:before="200"/>
      </w:pPr>
      <w:r>
        <w:rPr>
          <w:rFonts w:ascii="Arial" w:cs="Arial" w:eastAsia="Arial" w:hAnsi="Arial"/>
          <w:b/>
          <w:bCs/>
          <w:color w:val="B8860B"/>
          <w:sz w:val="24"/>
          <w:szCs w:val="24"/>
        </w:rPr>
        <w:t xml:space="preserve">4.6  Aspectual Verbs</w:t>
      </w:r>
    </w:p>
    <w:p>
      <w:pPr>
        <w:spacing w:after="160" w:before="0"/>
        <w:jc w:val="both"/>
      </w:pPr>
      <w:r>
        <w:rPr>
          <w:rFonts w:ascii="Georgia" w:cs="Georgia" w:eastAsia="Georgia" w:hAnsi="Georgia"/>
          <w:sz w:val="22"/>
          <w:szCs w:val="22"/>
        </w:rPr>
        <w:t xml:space="preserve">Aspectual verbs (Levin, 1993: §55.1–55.4; VerbNet classes 55.1–55.4) denote events that are characterized primarily by their aspectual properties—by the phase of the event that they profile—rather than by the nature of the event itself. The class includes begin, start, continue, keep, stop, cease, finish, complete, and related forms. At Level I, aspectual verbs are defined by phase operators that select a specific portion of an event’s temporal structure: INCEPTIVE (begin, start), CONTINUATIVE (continue, keep), and COMPLETIVE (stop, finish, complete).</w:t>
      </w:r>
    </w:p>
    <w:p>
      <w:pPr>
        <w:spacing w:after="160" w:before="0"/>
        <w:jc w:val="both"/>
      </w:pPr>
      <w:r>
        <w:rPr>
          <w:rFonts w:ascii="Georgia" w:cs="Georgia" w:eastAsia="Georgia" w:hAnsi="Georgia"/>
          <w:sz w:val="22"/>
          <w:szCs w:val="22"/>
        </w:rPr>
        <w:t xml:space="preserve">The generative interest of aspectual verbs lies in their coercive power: they impose event-type requirements on their complements that may require type coercion to satisfy. The verb begin, for example, requires an event-type complement; when it takes a nominal complement, the nominal must be coerced to an event interpretation:</w:t>
      </w:r>
    </w:p>
    <w:p>
      <w:pPr>
        <w:spacing w:after="80" w:before="80"/>
        <w:ind w:left="720"/>
      </w:pPr>
      <w:r>
        <w:rPr>
          <w:rFonts w:ascii="Courier New" w:cs="Courier New" w:eastAsia="Courier New" w:hAnsi="Courier New"/>
          <w:b/>
          <w:bCs/>
          <w:sz w:val="20"/>
          <w:szCs w:val="20"/>
        </w:rPr>
        <w:t xml:space="preserve">(7a) </w:t>
      </w:r>
      <w:r>
        <w:rPr>
          <w:rFonts w:ascii="Courier New" w:cs="Courier New" w:eastAsia="Courier New" w:hAnsi="Courier New"/>
          <w:sz w:val="20"/>
          <w:szCs w:val="20"/>
        </w:rPr>
        <w:t xml:space="preserve">She began to sing. [infinitival event complement, no coercion]</w:t>
      </w:r>
    </w:p>
    <w:p>
      <w:pPr>
        <w:spacing w:after="80" w:before="80"/>
        <w:ind w:left="720"/>
      </w:pPr>
      <w:r>
        <w:rPr>
          <w:rFonts w:ascii="Courier New" w:cs="Courier New" w:eastAsia="Courier New" w:hAnsi="Courier New"/>
          <w:b/>
          <w:bCs/>
          <w:sz w:val="20"/>
          <w:szCs w:val="20"/>
        </w:rPr>
        <w:t xml:space="preserve">(7b) </w:t>
      </w:r>
      <w:r>
        <w:rPr>
          <w:rFonts w:ascii="Courier New" w:cs="Courier New" w:eastAsia="Courier New" w:hAnsi="Courier New"/>
          <w:sz w:val="20"/>
          <w:szCs w:val="20"/>
        </w:rPr>
        <w:t xml:space="preserve">She began the song. [nominal complement, coercion to event type]</w:t>
      </w:r>
    </w:p>
    <w:p>
      <w:pPr>
        <w:spacing w:after="80" w:before="80"/>
        <w:ind w:left="720"/>
      </w:pPr>
      <w:r>
        <w:rPr>
          <w:rFonts w:ascii="Courier New" w:cs="Courier New" w:eastAsia="Courier New" w:hAnsi="Courier New"/>
          <w:b/>
          <w:bCs/>
          <w:sz w:val="20"/>
          <w:szCs w:val="20"/>
        </w:rPr>
        <w:t xml:space="preserve">(7c) </w:t>
      </w:r>
      <w:r>
        <w:rPr>
          <w:rFonts w:ascii="Courier New" w:cs="Courier New" w:eastAsia="Courier New" w:hAnsi="Courier New"/>
          <w:sz w:val="20"/>
          <w:szCs w:val="20"/>
        </w:rPr>
        <w:t xml:space="preserve">She began the book. [nominal complement, telic quale exploited]</w:t>
      </w:r>
    </w:p>
    <w:p>
      <w:pPr>
        <w:spacing w:after="160" w:before="0"/>
        <w:jc w:val="both"/>
      </w:pPr>
      <w:r>
        <w:rPr>
          <w:rFonts w:ascii="Georgia" w:cs="Georgia" w:eastAsia="Georgia" w:hAnsi="Georgia"/>
          <w:sz w:val="22"/>
          <w:szCs w:val="22"/>
        </w:rPr>
        <w:t xml:space="preserve">The coercion in (7b) is straightforward: the song is interpreted as the event of singing the song, exploiting the song’s agentive quale. The coercion in (7c) is more interesting: the book is interpreted as either the event of reading the book or the event of writing the book, depending on context. The ambiguity in (7c) reflects the fact that books have two relevant telic qualia—reading and writing—and that the aspectual verb’s coercive pressure does not discriminate between them.</w:t>
      </w:r>
    </w:p>
    <w:p>
      <w:pPr>
        <w:pStyle w:val="Heading3"/>
        <w:spacing w:after="80" w:before="200"/>
      </w:pPr>
      <w:r>
        <w:rPr>
          <w:rFonts w:ascii="Arial" w:cs="Arial" w:eastAsia="Arial" w:hAnsi="Arial"/>
          <w:b/>
          <w:bCs/>
          <w:color w:val="B8860B"/>
          <w:sz w:val="24"/>
          <w:szCs w:val="24"/>
        </w:rPr>
        <w:t xml:space="preserve">4.7  Verbs of Putting</w:t>
      </w:r>
    </w:p>
    <w:p>
      <w:pPr>
        <w:spacing w:after="160" w:before="0"/>
        <w:jc w:val="both"/>
      </w:pPr>
      <w:r>
        <w:rPr>
          <w:rFonts w:ascii="Georgia" w:cs="Georgia" w:eastAsia="Georgia" w:hAnsi="Georgia"/>
          <w:sz w:val="22"/>
          <w:szCs w:val="22"/>
        </w:rPr>
        <w:t xml:space="preserve">Verbs of putting (Levin, 1993: §9.1; VerbNet class 9.1) denote the placement of a theme at a location by an agent. The class includes put, place, set, lay, stand, and related forms. The class exhibits a characteristic alternation pattern that is the inverse of the locative alternation shown by spray-load verbs:</w:t>
      </w:r>
    </w:p>
    <w:p>
      <w:pPr>
        <w:spacing w:after="80" w:before="80"/>
        <w:ind w:left="720"/>
      </w:pPr>
      <w:r>
        <w:rPr>
          <w:rFonts w:ascii="Courier New" w:cs="Courier New" w:eastAsia="Courier New" w:hAnsi="Courier New"/>
          <w:b/>
          <w:bCs/>
          <w:sz w:val="20"/>
          <w:szCs w:val="20"/>
        </w:rPr>
        <w:t xml:space="preserve">(8a) </w:t>
      </w:r>
      <w:r>
        <w:rPr>
          <w:rFonts w:ascii="Courier New" w:cs="Courier New" w:eastAsia="Courier New" w:hAnsi="Courier New"/>
          <w:sz w:val="20"/>
          <w:szCs w:val="20"/>
        </w:rPr>
        <w:t xml:space="preserve">She put the books on the shelf. [canonical put: theme + locative]</w:t>
      </w:r>
    </w:p>
    <w:p>
      <w:pPr>
        <w:spacing w:after="80" w:before="80"/>
        <w:ind w:left="720"/>
      </w:pPr>
      <w:r>
        <w:rPr>
          <w:rFonts w:ascii="Courier New" w:cs="Courier New" w:eastAsia="Courier New" w:hAnsi="Courier New"/>
          <w:b/>
          <w:bCs/>
          <w:sz w:val="20"/>
          <w:szCs w:val="20"/>
        </w:rPr>
        <w:t xml:space="preserve">(8b) </w:t>
      </w:r>
      <w:r>
        <w:rPr>
          <w:rFonts w:ascii="Courier New" w:cs="Courier New" w:eastAsia="Courier New" w:hAnsi="Courier New"/>
          <w:sz w:val="20"/>
          <w:szCs w:val="20"/>
        </w:rPr>
        <w:t xml:space="preserve">*She put the shelf with books. [locative inversion: ungrammatical for pure put]</w:t>
      </w:r>
    </w:p>
    <w:p>
      <w:pPr>
        <w:spacing w:after="160" w:before="0"/>
        <w:jc w:val="both"/>
      </w:pPr>
      <w:r>
        <w:rPr>
          <w:rFonts w:ascii="Georgia" w:cs="Georgia" w:eastAsia="Georgia" w:hAnsi="Georgia"/>
          <w:sz w:val="22"/>
          <w:szCs w:val="22"/>
        </w:rPr>
        <w:t xml:space="preserve">The ungrammaticality of (8b) for strict members of the put class (by contrast with the spray-load class analyzed below) follows from the Level-I semantic characterization: put verbs encode CAUSE(AGENT, AT(THEME, LOCATION)) without encoding any property of the location itself, and the locative inversion construction requires a verb that encodes a property of the location being filled. This Level-I constraint correctly predicts the behavior of the class and its resistance to the locative alternation.</w:t>
      </w:r>
    </w:p>
    <w:p>
      <w:pPr>
        <w:pStyle w:val="Heading3"/>
        <w:spacing w:after="80" w:before="200"/>
      </w:pPr>
      <w:r>
        <w:rPr>
          <w:rFonts w:ascii="Arial" w:cs="Arial" w:eastAsia="Arial" w:hAnsi="Arial"/>
          <w:b/>
          <w:bCs/>
          <w:color w:val="B8860B"/>
          <w:sz w:val="24"/>
          <w:szCs w:val="24"/>
        </w:rPr>
        <w:t xml:space="preserve">4.8  Spray-Load Verbs and the Locative Alternation</w:t>
      </w:r>
    </w:p>
    <w:p>
      <w:pPr>
        <w:spacing w:after="160" w:before="0"/>
        <w:jc w:val="both"/>
      </w:pPr>
      <w:r>
        <w:rPr>
          <w:rFonts w:ascii="Georgia" w:cs="Georgia" w:eastAsia="Georgia" w:hAnsi="Georgia"/>
          <w:sz w:val="22"/>
          <w:szCs w:val="22"/>
        </w:rPr>
        <w:t xml:space="preserve">Spray-load verbs (Levin, 1993: §9.7; VerbNet class 9.7) are a particularly well-studied subclass of locative verbs that exhibit the full locative alternation: they can appear with either the theme or the location as the direct object, with a systematic semantic difference between the two frames.</w:t>
      </w:r>
    </w:p>
    <w:p>
      <w:pPr>
        <w:spacing w:after="80" w:before="80"/>
        <w:ind w:left="720"/>
      </w:pPr>
      <w:r>
        <w:rPr>
          <w:rFonts w:ascii="Courier New" w:cs="Courier New" w:eastAsia="Courier New" w:hAnsi="Courier New"/>
          <w:b/>
          <w:bCs/>
          <w:sz w:val="20"/>
          <w:szCs w:val="20"/>
        </w:rPr>
        <w:t xml:space="preserve">(9a) </w:t>
      </w:r>
      <w:r>
        <w:rPr>
          <w:rFonts w:ascii="Courier New" w:cs="Courier New" w:eastAsia="Courier New" w:hAnsi="Courier New"/>
          <w:sz w:val="20"/>
          <w:szCs w:val="20"/>
        </w:rPr>
        <w:t xml:space="preserve">She loaded the boxes onto the truck. [theme-object frame]</w:t>
      </w:r>
    </w:p>
    <w:p>
      <w:pPr>
        <w:spacing w:after="80" w:before="80"/>
        <w:ind w:left="720"/>
      </w:pPr>
      <w:r>
        <w:rPr>
          <w:rFonts w:ascii="Courier New" w:cs="Courier New" w:eastAsia="Courier New" w:hAnsi="Courier New"/>
          <w:b/>
          <w:bCs/>
          <w:sz w:val="20"/>
          <w:szCs w:val="20"/>
        </w:rPr>
        <w:t xml:space="preserve">(9b) </w:t>
      </w:r>
      <w:r>
        <w:rPr>
          <w:rFonts w:ascii="Courier New" w:cs="Courier New" w:eastAsia="Courier New" w:hAnsi="Courier New"/>
          <w:sz w:val="20"/>
          <w:szCs w:val="20"/>
        </w:rPr>
        <w:t xml:space="preserve">She loaded the truck with boxes. [location-object frame]</w:t>
      </w:r>
    </w:p>
    <w:p>
      <w:pPr>
        <w:spacing w:after="80" w:before="80"/>
        <w:ind w:left="720"/>
      </w:pPr>
      <w:r>
        <w:rPr>
          <w:rFonts w:ascii="Courier New" w:cs="Courier New" w:eastAsia="Courier New" w:hAnsi="Courier New"/>
          <w:b/>
          <w:bCs/>
          <w:sz w:val="20"/>
          <w:szCs w:val="20"/>
        </w:rPr>
        <w:t xml:space="preserve">(9c) </w:t>
      </w:r>
      <w:r>
        <w:rPr>
          <w:rFonts w:ascii="Courier New" w:cs="Courier New" w:eastAsia="Courier New" w:hAnsi="Courier New"/>
          <w:sz w:val="20"/>
          <w:szCs w:val="20"/>
        </w:rPr>
        <w:t xml:space="preserve">She sprayed paint on the wall. [theme-object frame]</w:t>
      </w:r>
    </w:p>
    <w:p>
      <w:pPr>
        <w:spacing w:after="80" w:before="80"/>
        <w:ind w:left="720"/>
      </w:pPr>
      <w:r>
        <w:rPr>
          <w:rFonts w:ascii="Courier New" w:cs="Courier New" w:eastAsia="Courier New" w:hAnsi="Courier New"/>
          <w:b/>
          <w:bCs/>
          <w:sz w:val="20"/>
          <w:szCs w:val="20"/>
        </w:rPr>
        <w:t xml:space="preserve">(9d) </w:t>
      </w:r>
      <w:r>
        <w:rPr>
          <w:rFonts w:ascii="Courier New" w:cs="Courier New" w:eastAsia="Courier New" w:hAnsi="Courier New"/>
          <w:sz w:val="20"/>
          <w:szCs w:val="20"/>
        </w:rPr>
        <w:t xml:space="preserve">She sprayed the wall with paint. [location-object frame]</w:t>
      </w:r>
    </w:p>
    <w:p>
      <w:pPr>
        <w:spacing w:after="160" w:before="0"/>
        <w:jc w:val="both"/>
      </w:pPr>
      <w:r>
        <w:rPr>
          <w:rFonts w:ascii="Georgia" w:cs="Georgia" w:eastAsia="Georgia" w:hAnsi="Georgia"/>
          <w:sz w:val="22"/>
          <w:szCs w:val="22"/>
        </w:rPr>
        <w:t xml:space="preserve">The semantic difference between the two frames has been extensively analyzed (Pinker, 1989; Rappaport &amp; Levin, 1988; Goldberg, 1995). The location-object frame in (9b) and (9d) carries a holistic interpretation: it implies that the location is completely affected by the event. The theme-object frame in (9a) and (9c) is neutral on this point. This pattern is a Level-II phenomenon: both frames are licensed by class membership, but they carry different semantic entailments that are encoded at the Level-II template level, not in the Level-I semantic primitives of the individual verbs.</w:t>
      </w:r>
    </w:p>
    <w:p>
      <w:pPr>
        <w:pStyle w:val="Heading3"/>
        <w:spacing w:after="80" w:before="200"/>
      </w:pPr>
      <w:r>
        <w:rPr>
          <w:rFonts w:ascii="Arial" w:cs="Arial" w:eastAsia="Arial" w:hAnsi="Arial"/>
          <w:b/>
          <w:bCs/>
          <w:color w:val="B8860B"/>
          <w:sz w:val="24"/>
          <w:szCs w:val="24"/>
        </w:rPr>
        <w:t xml:space="preserve">4.9  Verbs of Contact by Impact</w:t>
      </w:r>
    </w:p>
    <w:p>
      <w:pPr>
        <w:spacing w:after="160" w:before="0"/>
        <w:jc w:val="both"/>
      </w:pPr>
      <w:r>
        <w:rPr>
          <w:rFonts w:ascii="Georgia" w:cs="Georgia" w:eastAsia="Georgia" w:hAnsi="Georgia"/>
          <w:sz w:val="22"/>
          <w:szCs w:val="22"/>
        </w:rPr>
        <w:t xml:space="preserve">Verbs of contact by impact (Levin, 1993: §18.4–18.5; VerbNet class 18.4) denote events in which an agent makes forceful contact with a surface. The class includes hit, strike, slap, kick, punch, beat, tap, rap, and related forms. At Level I, the class is defined by CONTACT(AGENT, PATIENT, MANNER, FORCE): the agent makes contact with the patient in a specified manner with a specified force.</w:t>
      </w:r>
    </w:p>
    <w:p>
      <w:pPr>
        <w:spacing w:after="80" w:before="80"/>
        <w:ind w:left="720"/>
      </w:pPr>
      <w:r>
        <w:rPr>
          <w:rFonts w:ascii="Courier New" w:cs="Courier New" w:eastAsia="Courier New" w:hAnsi="Courier New"/>
          <w:b/>
          <w:bCs/>
          <w:sz w:val="20"/>
          <w:szCs w:val="20"/>
        </w:rPr>
        <w:t xml:space="preserve">(10a) </w:t>
      </w:r>
      <w:r>
        <w:rPr>
          <w:rFonts w:ascii="Courier New" w:cs="Courier New" w:eastAsia="Courier New" w:hAnsi="Courier New"/>
          <w:sz w:val="20"/>
          <w:szCs w:val="20"/>
        </w:rPr>
        <w:t xml:space="preserve">She hit the ball. [basic contact frame]</w:t>
      </w:r>
    </w:p>
    <w:p>
      <w:pPr>
        <w:spacing w:after="80" w:before="80"/>
        <w:ind w:left="720"/>
      </w:pPr>
      <w:r>
        <w:rPr>
          <w:rFonts w:ascii="Courier New" w:cs="Courier New" w:eastAsia="Courier New" w:hAnsi="Courier New"/>
          <w:b/>
          <w:bCs/>
          <w:sz w:val="20"/>
          <w:szCs w:val="20"/>
        </w:rPr>
        <w:t xml:space="preserve">(10b) </w:t>
      </w:r>
      <w:r>
        <w:rPr>
          <w:rFonts w:ascii="Courier New" w:cs="Courier New" w:eastAsia="Courier New" w:hAnsi="Courier New"/>
          <w:sz w:val="20"/>
          <w:szCs w:val="20"/>
        </w:rPr>
        <w:t xml:space="preserve">She hit the wall with a hammer. [instrument phrase]</w:t>
      </w:r>
    </w:p>
    <w:p>
      <w:pPr>
        <w:spacing w:after="80" w:before="80"/>
        <w:ind w:left="720"/>
      </w:pPr>
      <w:r>
        <w:rPr>
          <w:rFonts w:ascii="Courier New" w:cs="Courier New" w:eastAsia="Courier New" w:hAnsi="Courier New"/>
          <w:b/>
          <w:bCs/>
          <w:sz w:val="20"/>
          <w:szCs w:val="20"/>
        </w:rPr>
        <w:t xml:space="preserve">(10c) </w:t>
      </w:r>
      <w:r>
        <w:rPr>
          <w:rFonts w:ascii="Courier New" w:cs="Courier New" w:eastAsia="Courier New" w:hAnsi="Courier New"/>
          <w:sz w:val="20"/>
          <w:szCs w:val="20"/>
        </w:rPr>
        <w:t xml:space="preserve">She hit the hammer against the wall. [theme-alternation]</w:t>
      </w:r>
    </w:p>
    <w:p>
      <w:pPr>
        <w:spacing w:after="160" w:before="0"/>
        <w:jc w:val="both"/>
      </w:pPr>
      <w:r>
        <w:rPr>
          <w:rFonts w:ascii="Georgia" w:cs="Georgia" w:eastAsia="Georgia" w:hAnsi="Georgia"/>
          <w:sz w:val="22"/>
          <w:szCs w:val="22"/>
        </w:rPr>
        <w:t xml:space="preserve">The three frames in (10) illustrate the productive alternations within the class. The instrument phrase in (10b) makes explicit the means by which contact is effected; the theme-alternation in (10c) presents the instrument as the theme and the location of contact as a directional argument. Both alternations are licensed at Level II by the class membership of hit-class verbs and constrained by the Level-I encoding of the MANNER and FORCE components.</w:t>
      </w:r>
    </w:p>
    <w:p>
      <w:pPr>
        <w:pStyle w:val="Heading3"/>
        <w:spacing w:after="80" w:before="200"/>
      </w:pPr>
      <w:r>
        <w:rPr>
          <w:rFonts w:ascii="Arial" w:cs="Arial" w:eastAsia="Arial" w:hAnsi="Arial"/>
          <w:b/>
          <w:bCs/>
          <w:color w:val="B8860B"/>
          <w:sz w:val="24"/>
          <w:szCs w:val="24"/>
        </w:rPr>
        <w:t xml:space="preserve">4.10  Verbs of Perception</w:t>
      </w:r>
    </w:p>
    <w:p>
      <w:pPr>
        <w:spacing w:after="160" w:before="0"/>
        <w:jc w:val="both"/>
      </w:pPr>
      <w:r>
        <w:rPr>
          <w:rFonts w:ascii="Georgia" w:cs="Georgia" w:eastAsia="Georgia" w:hAnsi="Georgia"/>
          <w:sz w:val="22"/>
          <w:szCs w:val="22"/>
        </w:rPr>
        <w:t xml:space="preserve">Verbs of perception (Levin, 1993: §30.1–30.5; VerbNet classes 30.1–30.3) denote events of sensory perception. The class includes see, hear, feel, smell, taste, watch, listen, notice, observe, and related forms. Like psychological verbs, perception verbs exhibit a complex relationship between the lexical-semantic properties of the verb and its argument-structure realization.</w:t>
      </w:r>
    </w:p>
    <w:p>
      <w:pPr>
        <w:spacing w:after="160" w:before="0"/>
        <w:jc w:val="both"/>
      </w:pPr>
      <w:r>
        <w:rPr>
          <w:rFonts w:ascii="Georgia" w:cs="Georgia" w:eastAsia="Georgia" w:hAnsi="Georgia"/>
          <w:sz w:val="22"/>
          <w:szCs w:val="22"/>
        </w:rPr>
        <w:t xml:space="preserve">The primary distinction within the class is between involuntary perception verbs (see, hear, feel, smell, taste)—which encode perception as a state rather than an activity—and directed perception verbs (watch, listen, notice, observe)—which encode perception as an intentional activity. This distinction has systematic consequences for the verb’s interaction with progressive aspect and with complement type:</w:t>
      </w:r>
    </w:p>
    <w:p>
      <w:pPr>
        <w:spacing w:after="80" w:before="80"/>
        <w:ind w:left="720"/>
      </w:pPr>
      <w:r>
        <w:rPr>
          <w:rFonts w:ascii="Courier New" w:cs="Courier New" w:eastAsia="Courier New" w:hAnsi="Courier New"/>
          <w:b/>
          <w:bCs/>
          <w:sz w:val="20"/>
          <w:szCs w:val="20"/>
        </w:rPr>
        <w:t xml:space="preserve">(11a) </w:t>
      </w:r>
      <w:r>
        <w:rPr>
          <w:rFonts w:ascii="Courier New" w:cs="Courier New" w:eastAsia="Courier New" w:hAnsi="Courier New"/>
          <w:sz w:val="20"/>
          <w:szCs w:val="20"/>
        </w:rPr>
        <w:t xml:space="preserve">She saw the accident. [involuntary, simple aspect]</w:t>
      </w:r>
    </w:p>
    <w:p>
      <w:pPr>
        <w:spacing w:after="80" w:before="80"/>
        <w:ind w:left="720"/>
      </w:pPr>
      <w:r>
        <w:rPr>
          <w:rFonts w:ascii="Courier New" w:cs="Courier New" w:eastAsia="Courier New" w:hAnsi="Courier New"/>
          <w:b/>
          <w:bCs/>
          <w:sz w:val="20"/>
          <w:szCs w:val="20"/>
        </w:rPr>
        <w:t xml:space="preserve">(11b) </w:t>
      </w:r>
      <w:r>
        <w:rPr>
          <w:rFonts w:ascii="Courier New" w:cs="Courier New" w:eastAsia="Courier New" w:hAnsi="Courier New"/>
          <w:sz w:val="20"/>
          <w:szCs w:val="20"/>
        </w:rPr>
        <w:t xml:space="preserve">*She was seeing the accident. [involuntary, progressive: marked]</w:t>
      </w:r>
    </w:p>
    <w:p>
      <w:pPr>
        <w:spacing w:after="80" w:before="80"/>
        <w:ind w:left="720"/>
      </w:pPr>
      <w:r>
        <w:rPr>
          <w:rFonts w:ascii="Courier New" w:cs="Courier New" w:eastAsia="Courier New" w:hAnsi="Courier New"/>
          <w:b/>
          <w:bCs/>
          <w:sz w:val="20"/>
          <w:szCs w:val="20"/>
        </w:rPr>
        <w:t xml:space="preserve">(11c) </w:t>
      </w:r>
      <w:r>
        <w:rPr>
          <w:rFonts w:ascii="Courier New" w:cs="Courier New" w:eastAsia="Courier New" w:hAnsi="Courier New"/>
          <w:sz w:val="20"/>
          <w:szCs w:val="20"/>
        </w:rPr>
        <w:t xml:space="preserve">She was watching the accident. [directed, progressive: natural]</w:t>
      </w:r>
    </w:p>
    <w:p>
      <w:pPr>
        <w:spacing w:after="80" w:before="80"/>
        <w:ind w:left="720"/>
      </w:pPr>
      <w:r>
        <w:rPr>
          <w:rFonts w:ascii="Courier New" w:cs="Courier New" w:eastAsia="Courier New" w:hAnsi="Courier New"/>
          <w:b/>
          <w:bCs/>
          <w:sz w:val="20"/>
          <w:szCs w:val="20"/>
        </w:rPr>
        <w:t xml:space="preserve">(11d) </w:t>
      </w:r>
      <w:r>
        <w:rPr>
          <w:rFonts w:ascii="Courier New" w:cs="Courier New" w:eastAsia="Courier New" w:hAnsi="Courier New"/>
          <w:sz w:val="20"/>
          <w:szCs w:val="20"/>
        </w:rPr>
        <w:t xml:space="preserve">She saw the car crash into the wall. [bare infinitival complement]</w:t>
      </w:r>
    </w:p>
    <w:p>
      <w:pPr>
        <w:spacing w:after="80" w:before="80"/>
        <w:ind w:left="720"/>
      </w:pPr>
      <w:r>
        <w:rPr>
          <w:rFonts w:ascii="Courier New" w:cs="Courier New" w:eastAsia="Courier New" w:hAnsi="Courier New"/>
          <w:b/>
          <w:bCs/>
          <w:sz w:val="20"/>
          <w:szCs w:val="20"/>
        </w:rPr>
        <w:t xml:space="preserve">(11e) </w:t>
      </w:r>
      <w:r>
        <w:rPr>
          <w:rFonts w:ascii="Courier New" w:cs="Courier New" w:eastAsia="Courier New" w:hAnsi="Courier New"/>
          <w:sz w:val="20"/>
          <w:szCs w:val="20"/>
        </w:rPr>
        <w:t xml:space="preserve">She watched the car crash into the wall. [bare infinitival complement]</w:t>
      </w:r>
    </w:p>
    <w:p>
      <w:pPr>
        <w:spacing w:after="160" w:before="0"/>
        <w:jc w:val="both"/>
      </w:pPr>
      <w:r>
        <w:rPr>
          <w:rFonts w:ascii="Georgia" w:cs="Georgia" w:eastAsia="Georgia" w:hAnsi="Georgia"/>
          <w:sz w:val="22"/>
          <w:szCs w:val="22"/>
        </w:rPr>
        <w:t xml:space="preserve">The contrast between (11a/b) and (11c) reflects the Level-I distinction between STATE and ACTIVITY event types, which interacts with the Level-III progressive operator in the expected way: the progressive is natural with activity verbs and marked with stative verbs. The shared complement type in (11d/e) reflects the Level-II licensing of bare infinitival complements by the broader perception verb class.</w:t>
      </w:r>
    </w:p>
    <w:p>
      <w:pPr>
        <w:pStyle w:val="Heading3"/>
        <w:spacing w:after="80" w:before="200"/>
      </w:pPr>
      <w:r>
        <w:rPr>
          <w:rFonts w:ascii="Arial" w:cs="Arial" w:eastAsia="Arial" w:hAnsi="Arial"/>
          <w:b/>
          <w:bCs/>
          <w:color w:val="B8860B"/>
          <w:sz w:val="24"/>
          <w:szCs w:val="24"/>
        </w:rPr>
        <w:t xml:space="preserve">4.11  Verbs of Emission</w:t>
      </w:r>
    </w:p>
    <w:p>
      <w:pPr>
        <w:spacing w:after="160" w:before="0"/>
        <w:jc w:val="both"/>
      </w:pPr>
      <w:r>
        <w:rPr>
          <w:rFonts w:ascii="Georgia" w:cs="Georgia" w:eastAsia="Georgia" w:hAnsi="Georgia"/>
          <w:sz w:val="22"/>
          <w:szCs w:val="22"/>
        </w:rPr>
        <w:t xml:space="preserve">Verbs of emission (Levin, 1993: §43.1–43.4; VerbNet class 43.1) denote the giving off or production of light, sound, smell, or other physical phenomena by an entity. The class includes shine, gleam, glitter, glow, flash, blaze; ring, chime, buzz, hum, rattle; and reek, smell, stink. These verbs are unusual within the verbal lexicon in that their subject is typically not an agent but an emitting entity—what might be called a natural source.</w:t>
      </w:r>
    </w:p>
    <w:p>
      <w:pPr>
        <w:spacing w:after="80" w:before="80"/>
        <w:ind w:left="720"/>
      </w:pPr>
      <w:r>
        <w:rPr>
          <w:rFonts w:ascii="Courier New" w:cs="Courier New" w:eastAsia="Courier New" w:hAnsi="Courier New"/>
          <w:b/>
          <w:bCs/>
          <w:sz w:val="20"/>
          <w:szCs w:val="20"/>
        </w:rPr>
        <w:t xml:space="preserve">(12a) </w:t>
      </w:r>
      <w:r>
        <w:rPr>
          <w:rFonts w:ascii="Courier New" w:cs="Courier New" w:eastAsia="Courier New" w:hAnsi="Courier New"/>
          <w:sz w:val="20"/>
          <w:szCs w:val="20"/>
        </w:rPr>
        <w:t xml:space="preserve">The lamp shone in the darkness.</w:t>
      </w:r>
    </w:p>
    <w:p>
      <w:pPr>
        <w:spacing w:after="80" w:before="80"/>
        <w:ind w:left="720"/>
      </w:pPr>
      <w:r>
        <w:rPr>
          <w:rFonts w:ascii="Courier New" w:cs="Courier New" w:eastAsia="Courier New" w:hAnsi="Courier New"/>
          <w:b/>
          <w:bCs/>
          <w:sz w:val="20"/>
          <w:szCs w:val="20"/>
        </w:rPr>
        <w:t xml:space="preserve">(12b) </w:t>
      </w:r>
      <w:r>
        <w:rPr>
          <w:rFonts w:ascii="Courier New" w:cs="Courier New" w:eastAsia="Courier New" w:hAnsi="Courier New"/>
          <w:sz w:val="20"/>
          <w:szCs w:val="20"/>
        </w:rPr>
        <w:t xml:space="preserve">The bells rang at midnight.</w:t>
      </w:r>
    </w:p>
    <w:p>
      <w:pPr>
        <w:spacing w:after="80" w:before="80"/>
        <w:ind w:left="720"/>
      </w:pPr>
      <w:r>
        <w:rPr>
          <w:rFonts w:ascii="Courier New" w:cs="Courier New" w:eastAsia="Courier New" w:hAnsi="Courier New"/>
          <w:b/>
          <w:bCs/>
          <w:sz w:val="20"/>
          <w:szCs w:val="20"/>
        </w:rPr>
        <w:t xml:space="preserve">(12c) </w:t>
      </w:r>
      <w:r>
        <w:rPr>
          <w:rFonts w:ascii="Courier New" w:cs="Courier New" w:eastAsia="Courier New" w:hAnsi="Courier New"/>
          <w:sz w:val="20"/>
          <w:szCs w:val="20"/>
        </w:rPr>
        <w:t xml:space="preserve">The room reeked of stale cigarettes.</w:t>
      </w:r>
    </w:p>
    <w:p>
      <w:pPr>
        <w:spacing w:after="160" w:before="0"/>
        <w:jc w:val="both"/>
      </w:pPr>
      <w:r>
        <w:rPr>
          <w:rFonts w:ascii="Georgia" w:cs="Georgia" w:eastAsia="Georgia" w:hAnsi="Georgia"/>
          <w:sz w:val="22"/>
          <w:szCs w:val="22"/>
        </w:rPr>
        <w:t xml:space="preserve">The generative interest of emission verbs lies in the semantic relationship between the emitting entity and the emitted substance or phenomenon. In most emission verbs, the emitted phenomenon is encoded in the verb’s Level-I semantics rather than as a separate argument: shine does not take a light argument, ring does not take a sound argument. This encoding at Level I has consequences for the verbs’ interaction with manner modification and with resultative constructions.</w:t>
      </w:r>
    </w:p>
    <w:p>
      <w:pPr>
        <w:pStyle w:val="Heading3"/>
        <w:spacing w:after="80" w:before="200"/>
      </w:pPr>
      <w:r>
        <w:rPr>
          <w:rFonts w:ascii="Arial" w:cs="Arial" w:eastAsia="Arial" w:hAnsi="Arial"/>
          <w:b/>
          <w:bCs/>
          <w:color w:val="B8860B"/>
          <w:sz w:val="24"/>
          <w:szCs w:val="24"/>
        </w:rPr>
        <w:t xml:space="preserve">4.12  Verbs of Appearance, Disappearance, and Occurrence</w:t>
      </w:r>
    </w:p>
    <w:p>
      <w:pPr>
        <w:spacing w:after="160" w:before="0"/>
        <w:jc w:val="both"/>
      </w:pPr>
      <w:r>
        <w:rPr>
          <w:rFonts w:ascii="Georgia" w:cs="Georgia" w:eastAsia="Georgia" w:hAnsi="Georgia"/>
          <w:sz w:val="22"/>
          <w:szCs w:val="22"/>
        </w:rPr>
        <w:t xml:space="preserve">Verbs of appearance and disappearance (Levin, 1993: §48.1–48.3; VerbNet classes 48.1–48.1.1) denote the coming into or passing out of existence, visibility, or a location. The class includes appear, emerge, arise, arrive, come, surface; disappear, vanish, leave, depart, go. These verbs raise important issues for the analysis of lexical aspect and for the semantics of existential constructions.</w:t>
      </w:r>
    </w:p>
    <w:p>
      <w:pPr>
        <w:spacing w:after="80" w:before="80"/>
        <w:ind w:left="720"/>
      </w:pPr>
      <w:r>
        <w:rPr>
          <w:rFonts w:ascii="Courier New" w:cs="Courier New" w:eastAsia="Courier New" w:hAnsi="Courier New"/>
          <w:b/>
          <w:bCs/>
          <w:sz w:val="20"/>
          <w:szCs w:val="20"/>
        </w:rPr>
        <w:t xml:space="preserve">(13a) </w:t>
      </w:r>
      <w:r>
        <w:rPr>
          <w:rFonts w:ascii="Courier New" w:cs="Courier New" w:eastAsia="Courier New" w:hAnsi="Courier New"/>
          <w:sz w:val="20"/>
          <w:szCs w:val="20"/>
        </w:rPr>
        <w:t xml:space="preserve">A solution appeared on the horizon.</w:t>
      </w:r>
    </w:p>
    <w:p>
      <w:pPr>
        <w:spacing w:after="80" w:before="80"/>
        <w:ind w:left="720"/>
      </w:pPr>
      <w:r>
        <w:rPr>
          <w:rFonts w:ascii="Courier New" w:cs="Courier New" w:eastAsia="Courier New" w:hAnsi="Courier New"/>
          <w:b/>
          <w:bCs/>
          <w:sz w:val="20"/>
          <w:szCs w:val="20"/>
        </w:rPr>
        <w:t xml:space="preserve">(13b) </w:t>
      </w:r>
      <w:r>
        <w:rPr>
          <w:rFonts w:ascii="Courier New" w:cs="Courier New" w:eastAsia="Courier New" w:hAnsi="Courier New"/>
          <w:sz w:val="20"/>
          <w:szCs w:val="20"/>
        </w:rPr>
        <w:t xml:space="preserve">The problem disappeared overnight.</w:t>
      </w:r>
    </w:p>
    <w:p>
      <w:pPr>
        <w:spacing w:after="80" w:before="80"/>
        <w:ind w:left="720"/>
      </w:pPr>
      <w:r>
        <w:rPr>
          <w:rFonts w:ascii="Courier New" w:cs="Courier New" w:eastAsia="Courier New" w:hAnsi="Courier New"/>
          <w:b/>
          <w:bCs/>
          <w:sz w:val="20"/>
          <w:szCs w:val="20"/>
        </w:rPr>
        <w:t xml:space="preserve">(13c) </w:t>
      </w:r>
      <w:r>
        <w:rPr>
          <w:rFonts w:ascii="Courier New" w:cs="Courier New" w:eastAsia="Courier New" w:hAnsi="Courier New"/>
          <w:sz w:val="20"/>
          <w:szCs w:val="20"/>
        </w:rPr>
        <w:t xml:space="preserve">There appeared a solution to the problem. [existential construction]</w:t>
      </w:r>
    </w:p>
    <w:p>
      <w:pPr>
        <w:spacing w:after="160" w:before="0"/>
        <w:jc w:val="both"/>
      </w:pPr>
      <w:r>
        <w:rPr>
          <w:rFonts w:ascii="Georgia" w:cs="Georgia" w:eastAsia="Georgia" w:hAnsi="Georgia"/>
          <w:sz w:val="22"/>
          <w:szCs w:val="22"/>
        </w:rPr>
        <w:t xml:space="preserve">The existential construction in (13c) is of particular theoretical interest: it licenses a postverbal subject and presents the appearing entity as newly introduced into the discourse. This construction is restricted to verbs that encode a transition to existence or visibility (appear, arrive, emerge) and is blocked for verbs that encode directed motion without a transition to existence (*There went a solution to the problem). The Level-II analysis of this restriction identifies the transition-to-existence component as the licensing condition for the existential frame.</w:t>
      </w:r>
    </w:p>
    <w:p>
      <w:pPr>
        <w:pStyle w:val="Heading2"/>
        <w:spacing w:after="120" w:before="280"/>
      </w:pPr>
      <w:r>
        <w:rPr>
          <w:rFonts w:ascii="Arial" w:cs="Arial" w:eastAsia="Arial" w:hAnsi="Arial"/>
          <w:b/>
          <w:bCs/>
          <w:color w:val="1F3864"/>
          <w:sz w:val="26"/>
          <w:szCs w:val="26"/>
        </w:rPr>
        <w:t xml:space="preserve">5.  Noun Polysemy: Dot Objects, Type Coercion, and Metonymic Transfer</w:t>
      </w:r>
    </w:p>
    <w:p>
      <w:pPr>
        <w:pStyle w:val="Heading3"/>
        <w:spacing w:after="80" w:before="200"/>
      </w:pPr>
      <w:r>
        <w:rPr>
          <w:rFonts w:ascii="Arial" w:cs="Arial" w:eastAsia="Arial" w:hAnsi="Arial"/>
          <w:b/>
          <w:bCs/>
          <w:color w:val="B8860B"/>
          <w:sz w:val="24"/>
          <w:szCs w:val="24"/>
        </w:rPr>
        <w:t xml:space="preserve">5.1  The Dot-Object Phenomenon</w:t>
      </w:r>
    </w:p>
    <w:p>
      <w:pPr>
        <w:spacing w:after="160" w:before="0"/>
        <w:jc w:val="both"/>
      </w:pPr>
      <w:r>
        <w:rPr>
          <w:rFonts w:ascii="Georgia" w:cs="Georgia" w:eastAsia="Georgia" w:hAnsi="Georgia"/>
          <w:sz w:val="22"/>
          <w:szCs w:val="22"/>
        </w:rPr>
        <w:t xml:space="preserve">The dot-object phenomenon, introduced by Pustejovsky (1995) and extensively analyzed in subsequent literature (Nunberg, 1995; Asher, 2011; Copestake &amp; Briscoe, 1995), refers to the capacity of certain nouns to simultaneously denote two logically distinct but systematically related types. The canonical examples are book (which simultaneously denotes a physical object and a linguistic information object), newspaper (which simultaneously denotes a physical artifact and an institution), and lunch (which simultaneously denotes a meal and the time at which the meal occurs).</w:t>
      </w:r>
    </w:p>
    <w:p>
      <w:pPr>
        <w:spacing w:after="160" w:before="0"/>
        <w:jc w:val="both"/>
      </w:pPr>
      <w:r>
        <w:rPr>
          <w:rFonts w:ascii="Georgia" w:cs="Georgia" w:eastAsia="Georgia" w:hAnsi="Georgia"/>
          <w:sz w:val="22"/>
          <w:szCs w:val="22"/>
        </w:rPr>
        <w:t xml:space="preserve">The linguistic evidence for dot objects comes primarily from selectional requirements: a single noun can simultaneously satisfy the selectional requirements of predicates that require different argument types:</w:t>
      </w:r>
    </w:p>
    <w:p>
      <w:pPr>
        <w:spacing w:after="80" w:before="80"/>
        <w:ind w:left="720"/>
      </w:pPr>
      <w:r>
        <w:rPr>
          <w:rFonts w:ascii="Courier New" w:cs="Courier New" w:eastAsia="Courier New" w:hAnsi="Courier New"/>
          <w:b/>
          <w:bCs/>
          <w:sz w:val="20"/>
          <w:szCs w:val="20"/>
        </w:rPr>
        <w:t xml:space="preserve">(14a) </w:t>
      </w:r>
      <w:r>
        <w:rPr>
          <w:rFonts w:ascii="Courier New" w:cs="Courier New" w:eastAsia="Courier New" w:hAnsi="Courier New"/>
          <w:sz w:val="20"/>
          <w:szCs w:val="20"/>
        </w:rPr>
        <w:t xml:space="preserve">The book is heavy and well-argued. [physical + informational]</w:t>
      </w:r>
    </w:p>
    <w:p>
      <w:pPr>
        <w:spacing w:after="80" w:before="80"/>
        <w:ind w:left="720"/>
      </w:pPr>
      <w:r>
        <w:rPr>
          <w:rFonts w:ascii="Courier New" w:cs="Courier New" w:eastAsia="Courier New" w:hAnsi="Courier New"/>
          <w:b/>
          <w:bCs/>
          <w:sz w:val="20"/>
          <w:szCs w:val="20"/>
        </w:rPr>
        <w:t xml:space="preserve">(14b) </w:t>
      </w:r>
      <w:r>
        <w:rPr>
          <w:rFonts w:ascii="Courier New" w:cs="Courier New" w:eastAsia="Courier New" w:hAnsi="Courier New"/>
          <w:sz w:val="20"/>
          <w:szCs w:val="20"/>
        </w:rPr>
        <w:t xml:space="preserve">The newspaper is on the table and sold out. [artifact + institution]</w:t>
      </w:r>
    </w:p>
    <w:p>
      <w:pPr>
        <w:spacing w:after="80" w:before="80"/>
        <w:ind w:left="720"/>
      </w:pPr>
      <w:r>
        <w:rPr>
          <w:rFonts w:ascii="Courier New" w:cs="Courier New" w:eastAsia="Courier New" w:hAnsi="Courier New"/>
          <w:b/>
          <w:bCs/>
          <w:sz w:val="20"/>
          <w:szCs w:val="20"/>
        </w:rPr>
        <w:t xml:space="preserve">(14c) </w:t>
      </w:r>
      <w:r>
        <w:rPr>
          <w:rFonts w:ascii="Courier New" w:cs="Courier New" w:eastAsia="Courier New" w:hAnsi="Courier New"/>
          <w:sz w:val="20"/>
          <w:szCs w:val="20"/>
        </w:rPr>
        <w:t xml:space="preserve">Lunch was delicious and lasted three hours. [meal + temporal interval]</w:t>
      </w:r>
    </w:p>
    <w:p>
      <w:pPr>
        <w:spacing w:after="160" w:before="0"/>
        <w:jc w:val="both"/>
      </w:pPr>
      <w:r>
        <w:rPr>
          <w:rFonts w:ascii="Georgia" w:cs="Georgia" w:eastAsia="Georgia" w:hAnsi="Georgia"/>
          <w:sz w:val="22"/>
          <w:szCs w:val="22"/>
        </w:rPr>
        <w:t xml:space="preserve">In each of (14a–c), a single noun phrase simultaneously satisfies two selectional requirements that would be contradictory if applied to a single-type argument. Heavy applies to physical objects; well-argued applies to informational objects. On the table applies to artifacts; sold out applies to institutional entities. Delicious applies to food; lasted three hours applies to temporal intervals. The dot-object analysis accounts for this by assigning these nouns a complex type—physical • informational, artifact • institution, meal • interval—that simultaneously instantiates both types.</w:t>
      </w:r>
    </w:p>
    <w:p>
      <w:pPr>
        <w:spacing w:after="160" w:before="0"/>
        <w:jc w:val="both"/>
      </w:pPr>
      <w:r>
        <w:rPr>
          <w:rFonts w:ascii="Georgia" w:cs="Georgia" w:eastAsia="Georgia" w:hAnsi="Georgia"/>
          <w:sz w:val="22"/>
          <w:szCs w:val="22"/>
        </w:rPr>
        <w:t xml:space="preserve">From a lexicographic perspective, the dot-object phenomenon poses a challenge that simple enumeration of senses cannot meet. A dictionary entry that lists ‘physical book’ and ‘information content’ as separate senses fails to capture the fact that these senses are simultaneously instantiated and systematically related. The layered model proposed in the present article addresses this by encoding the dot type in the formal quale of the noun’s qualia structure, with the physical and informational aspects encoded separately in the constitutive and telic qualia respectively.</w:t>
      </w:r>
    </w:p>
    <w:p>
      <w:pPr>
        <w:pStyle w:val="Heading3"/>
        <w:spacing w:after="80" w:before="200"/>
      </w:pPr>
      <w:r>
        <w:rPr>
          <w:rFonts w:ascii="Arial" w:cs="Arial" w:eastAsia="Arial" w:hAnsi="Arial"/>
          <w:b/>
          <w:bCs/>
          <w:color w:val="B8860B"/>
          <w:sz w:val="24"/>
          <w:szCs w:val="24"/>
        </w:rPr>
        <w:t xml:space="preserve">5.2  Type Coercion in Nominal Arguments</w:t>
      </w:r>
    </w:p>
    <w:p>
      <w:pPr>
        <w:spacing w:after="160" w:before="0"/>
        <w:jc w:val="both"/>
      </w:pPr>
      <w:r>
        <w:rPr>
          <w:rFonts w:ascii="Georgia" w:cs="Georgia" w:eastAsia="Georgia" w:hAnsi="Georgia"/>
          <w:sz w:val="22"/>
          <w:szCs w:val="22"/>
        </w:rPr>
        <w:t xml:space="preserve">Type coercion occurs when a predicate imposes a type requirement on its argument that differs from the argument’s lexically encoded type, forcing a reinterpretation of the argument to satisfy the requirement. The canonical examples involve aspectual verbs taking nominal complements (illustrated above in section 4.6), but coercion is a pervasive phenomenon that extends across predicative contexts:</w:t>
      </w:r>
    </w:p>
    <w:p>
      <w:pPr>
        <w:spacing w:after="80" w:before="80"/>
        <w:ind w:left="720"/>
      </w:pPr>
      <w:r>
        <w:rPr>
          <w:rFonts w:ascii="Courier New" w:cs="Courier New" w:eastAsia="Courier New" w:hAnsi="Courier New"/>
          <w:b/>
          <w:bCs/>
          <w:sz w:val="20"/>
          <w:szCs w:val="20"/>
        </w:rPr>
        <w:t xml:space="preserve">(15a) </w:t>
      </w:r>
      <w:r>
        <w:rPr>
          <w:rFonts w:ascii="Courier New" w:cs="Courier New" w:eastAsia="Courier New" w:hAnsi="Courier New"/>
          <w:sz w:val="20"/>
          <w:szCs w:val="20"/>
        </w:rPr>
        <w:t xml:space="preserve">She enjoyed the book. [telic quale exploitation: enjoyed reading the book]</w:t>
      </w:r>
    </w:p>
    <w:p>
      <w:pPr>
        <w:spacing w:after="80" w:before="80"/>
        <w:ind w:left="720"/>
      </w:pPr>
      <w:r>
        <w:rPr>
          <w:rFonts w:ascii="Courier New" w:cs="Courier New" w:eastAsia="Courier New" w:hAnsi="Courier New"/>
          <w:b/>
          <w:bCs/>
          <w:sz w:val="20"/>
          <w:szCs w:val="20"/>
        </w:rPr>
        <w:t xml:space="preserve">(15b) </w:t>
      </w:r>
      <w:r>
        <w:rPr>
          <w:rFonts w:ascii="Courier New" w:cs="Courier New" w:eastAsia="Courier New" w:hAnsi="Courier New"/>
          <w:sz w:val="20"/>
          <w:szCs w:val="20"/>
        </w:rPr>
        <w:t xml:space="preserve">She finished the report. [telic quale exploitation: finished writing the report]</w:t>
      </w:r>
    </w:p>
    <w:p>
      <w:pPr>
        <w:spacing w:after="80" w:before="80"/>
        <w:ind w:left="720"/>
      </w:pPr>
      <w:r>
        <w:rPr>
          <w:rFonts w:ascii="Courier New" w:cs="Courier New" w:eastAsia="Courier New" w:hAnsi="Courier New"/>
          <w:b/>
          <w:bCs/>
          <w:sz w:val="20"/>
          <w:szCs w:val="20"/>
        </w:rPr>
        <w:t xml:space="preserve">(15c) </w:t>
      </w:r>
      <w:r>
        <w:rPr>
          <w:rFonts w:ascii="Courier New" w:cs="Courier New" w:eastAsia="Courier New" w:hAnsi="Courier New"/>
          <w:sz w:val="20"/>
          <w:szCs w:val="20"/>
        </w:rPr>
        <w:t xml:space="preserve">The movie was two hours long. [measure coercion: the movie’s duration]</w:t>
      </w:r>
    </w:p>
    <w:p>
      <w:pPr>
        <w:spacing w:after="80" w:before="80"/>
        <w:ind w:left="720"/>
      </w:pPr>
      <w:r>
        <w:rPr>
          <w:rFonts w:ascii="Courier New" w:cs="Courier New" w:eastAsia="Courier New" w:hAnsi="Courier New"/>
          <w:b/>
          <w:bCs/>
          <w:sz w:val="20"/>
          <w:szCs w:val="20"/>
        </w:rPr>
        <w:t xml:space="preserve">(15d) </w:t>
      </w:r>
      <w:r>
        <w:rPr>
          <w:rFonts w:ascii="Courier New" w:cs="Courier New" w:eastAsia="Courier New" w:hAnsi="Courier New"/>
          <w:sz w:val="20"/>
          <w:szCs w:val="20"/>
        </w:rPr>
        <w:t xml:space="preserve">The coffee is in the kitchen. [coercion to location of the container]</w:t>
      </w:r>
    </w:p>
    <w:p>
      <w:pPr>
        <w:spacing w:after="160" w:before="0"/>
        <w:jc w:val="both"/>
      </w:pPr>
      <w:r>
        <w:rPr>
          <w:rFonts w:ascii="Georgia" w:cs="Georgia" w:eastAsia="Georgia" w:hAnsi="Georgia"/>
          <w:sz w:val="22"/>
          <w:szCs w:val="22"/>
        </w:rPr>
        <w:t xml:space="preserve">In (15a), enjoy requires an event argument; book denotes a physical and informational object. Coercion applies the telic quale of book (its purpose: to be read) to produce the event interpretation. In (15b), finish requires a telic event; report’s agentive quale (the act of writing) is exploited. In (15c), a measure predicate is applied to an entity; the entity’s temporal extent (its duration) is coerced as the measured property. In (15d), a locative predicate is applied to a substance; the containing vessel is coerced as the located entity.</w:t>
      </w:r>
    </w:p>
    <w:p>
      <w:pPr>
        <w:spacing w:after="160" w:before="0"/>
        <w:jc w:val="both"/>
      </w:pPr>
      <w:r>
        <w:rPr>
          <w:rFonts w:ascii="Georgia" w:cs="Georgia" w:eastAsia="Georgia" w:hAnsi="Georgia"/>
          <w:sz w:val="22"/>
          <w:szCs w:val="22"/>
        </w:rPr>
        <w:t xml:space="preserve">The systematic patterns in (15) confirm the present model’s claim that type coercion is a Level-III phenomenon: it applies after the Level-I and Level-II structure of the lexical entry has been established and exploits the qualia structure that Level-I encodes. The coercive mechanism is not arbitrary but is constrained by the qualia of the coerced argument: only those aspects of the argument’s qualia that are compatible with the predicate’s type requirement can serve as the coercion target.</w:t>
      </w:r>
    </w:p>
    <w:p>
      <w:pPr>
        <w:pStyle w:val="Heading3"/>
        <w:spacing w:after="80" w:before="200"/>
      </w:pPr>
      <w:r>
        <w:rPr>
          <w:rFonts w:ascii="Arial" w:cs="Arial" w:eastAsia="Arial" w:hAnsi="Arial"/>
          <w:b/>
          <w:bCs/>
          <w:color w:val="B8860B"/>
          <w:sz w:val="24"/>
          <w:szCs w:val="24"/>
        </w:rPr>
        <w:t xml:space="preserve">5.3  Metonymic Transfer</w:t>
      </w:r>
    </w:p>
    <w:p>
      <w:pPr>
        <w:spacing w:after="160" w:before="0"/>
        <w:jc w:val="both"/>
      </w:pPr>
      <w:r>
        <w:rPr>
          <w:rFonts w:ascii="Georgia" w:cs="Georgia" w:eastAsia="Georgia" w:hAnsi="Georgia"/>
          <w:sz w:val="22"/>
          <w:szCs w:val="22"/>
        </w:rPr>
        <w:t xml:space="preserve">Metonymic transfer is the mechanism by which a lexical expression is used to denote not its literal referent but a referent that stands in a systematic real-world relationship to the literal referent. Unlike metaphor, which maps across conceptual domains, metonymy operates within a single domain: the source and target of the metonymic shift are related by a part-whole, producer-product, container-contents, or similar contiguity relation.</w:t>
      </w:r>
    </w:p>
    <w:p>
      <w:pPr>
        <w:spacing w:after="80" w:before="80"/>
        <w:ind w:left="720"/>
      </w:pPr>
      <w:r>
        <w:rPr>
          <w:rFonts w:ascii="Courier New" w:cs="Courier New" w:eastAsia="Courier New" w:hAnsi="Courier New"/>
          <w:b/>
          <w:bCs/>
          <w:sz w:val="20"/>
          <w:szCs w:val="20"/>
        </w:rPr>
        <w:t xml:space="preserve">(16a) </w:t>
      </w:r>
      <w:r>
        <w:rPr>
          <w:rFonts w:ascii="Courier New" w:cs="Courier New" w:eastAsia="Courier New" w:hAnsi="Courier New"/>
          <w:sz w:val="20"/>
          <w:szCs w:val="20"/>
        </w:rPr>
        <w:t xml:space="preserve">The ham sandwich wants his check. [customer for order]</w:t>
      </w:r>
    </w:p>
    <w:p>
      <w:pPr>
        <w:spacing w:after="80" w:before="80"/>
        <w:ind w:left="720"/>
      </w:pPr>
      <w:r>
        <w:rPr>
          <w:rFonts w:ascii="Courier New" w:cs="Courier New" w:eastAsia="Courier New" w:hAnsi="Courier New"/>
          <w:b/>
          <w:bCs/>
          <w:sz w:val="20"/>
          <w:szCs w:val="20"/>
        </w:rPr>
        <w:t xml:space="preserve">(16b) </w:t>
      </w:r>
      <w:r>
        <w:rPr>
          <w:rFonts w:ascii="Courier New" w:cs="Courier New" w:eastAsia="Courier New" w:hAnsi="Courier New"/>
          <w:sz w:val="20"/>
          <w:szCs w:val="20"/>
        </w:rPr>
        <w:t xml:space="preserve">Washington announced new sanctions. [government for capital city]</w:t>
      </w:r>
    </w:p>
    <w:p>
      <w:pPr>
        <w:spacing w:after="80" w:before="80"/>
        <w:ind w:left="720"/>
      </w:pPr>
      <w:r>
        <w:rPr>
          <w:rFonts w:ascii="Courier New" w:cs="Courier New" w:eastAsia="Courier New" w:hAnsi="Courier New"/>
          <w:b/>
          <w:bCs/>
          <w:sz w:val="20"/>
          <w:szCs w:val="20"/>
        </w:rPr>
        <w:t xml:space="preserve">(16c) </w:t>
      </w:r>
      <w:r>
        <w:rPr>
          <w:rFonts w:ascii="Courier New" w:cs="Courier New" w:eastAsia="Courier New" w:hAnsi="Courier New"/>
          <w:sz w:val="20"/>
          <w:szCs w:val="20"/>
        </w:rPr>
        <w:t xml:space="preserve">She read Dostoyevsky for three hours. [author for works]</w:t>
      </w:r>
    </w:p>
    <w:p>
      <w:pPr>
        <w:spacing w:after="80" w:before="80"/>
        <w:ind w:left="720"/>
      </w:pPr>
      <w:r>
        <w:rPr>
          <w:rFonts w:ascii="Courier New" w:cs="Courier New" w:eastAsia="Courier New" w:hAnsi="Courier New"/>
          <w:b/>
          <w:bCs/>
          <w:sz w:val="20"/>
          <w:szCs w:val="20"/>
        </w:rPr>
        <w:t xml:space="preserve">(16d) </w:t>
      </w:r>
      <w:r>
        <w:rPr>
          <w:rFonts w:ascii="Courier New" w:cs="Courier New" w:eastAsia="Courier New" w:hAnsi="Courier New"/>
          <w:sz w:val="20"/>
          <w:szCs w:val="20"/>
        </w:rPr>
        <w:t xml:space="preserve">The kettle is boiling. [container for contents]</w:t>
      </w:r>
    </w:p>
    <w:p>
      <w:pPr>
        <w:spacing w:after="160" w:before="0"/>
        <w:jc w:val="both"/>
      </w:pPr>
      <w:r>
        <w:rPr>
          <w:rFonts w:ascii="Georgia" w:cs="Georgia" w:eastAsia="Georgia" w:hAnsi="Georgia"/>
          <w:sz w:val="22"/>
          <w:szCs w:val="22"/>
        </w:rPr>
        <w:t xml:space="preserve">The metonymic shift in each of (16a–d) is licensed by a specific qualia relationship. In (16a), the customer is identified by their order (a telic quale relationship: the order is the purpose for which the customer came). In (16b), the government is located in Washington (a formal quale relationship). In (16c), Dostoyevsky’s name metonymically denotes his works (an agentive quale relationship: the author is the agent who produced the works). In (16d), the kettle denotes its contents (a constitutive quale relationship: the contents are constitutive of what the kettle contains).</w:t>
      </w:r>
    </w:p>
    <w:p>
      <w:pPr>
        <w:spacing w:after="160" w:before="0"/>
        <w:jc w:val="both"/>
      </w:pPr>
      <w:r>
        <w:rPr>
          <w:rFonts w:ascii="Georgia" w:cs="Georgia" w:eastAsia="Georgia" w:hAnsi="Georgia"/>
          <w:sz w:val="22"/>
          <w:szCs w:val="22"/>
        </w:rPr>
        <w:t xml:space="preserve">From a lexicographic perspective, metonymic transfer is a Level-III phenomenon that operates on the qualia structure established at Level I. Its productivity and systematicity argue against treating each metonymic use as a separate lexical sense: the dictionary entry for kettle should not list a separate ‘contents’ sense, because the metonymic shift to contents is fully predictable from the general mechanism of container-for-contents metonymy applied to any container noun whose qualia include a constitutive liquid content.</w:t>
      </w:r>
    </w:p>
    <w:p>
      <w:pPr>
        <w:pStyle w:val="Heading2"/>
        <w:spacing w:after="120" w:before="280"/>
      </w:pPr>
      <w:r>
        <w:rPr>
          <w:rFonts w:ascii="Arial" w:cs="Arial" w:eastAsia="Arial" w:hAnsi="Arial"/>
          <w:b/>
          <w:bCs/>
          <w:color w:val="1F3864"/>
          <w:sz w:val="26"/>
          <w:szCs w:val="26"/>
        </w:rPr>
        <w:t xml:space="preserve">6.  Prepositions and Spatial Semantics</w:t>
      </w:r>
    </w:p>
    <w:p>
      <w:pPr>
        <w:pStyle w:val="Heading3"/>
        <w:spacing w:after="80" w:before="200"/>
      </w:pPr>
      <w:r>
        <w:rPr>
          <w:rFonts w:ascii="Arial" w:cs="Arial" w:eastAsia="Arial" w:hAnsi="Arial"/>
          <w:b/>
          <w:bCs/>
          <w:color w:val="B8860B"/>
          <w:sz w:val="24"/>
          <w:szCs w:val="24"/>
        </w:rPr>
        <w:t xml:space="preserve">6.1  The Generative Semantics of English Prepositions</w:t>
      </w:r>
    </w:p>
    <w:p>
      <w:pPr>
        <w:spacing w:after="160" w:before="0"/>
        <w:jc w:val="both"/>
      </w:pPr>
      <w:r>
        <w:rPr>
          <w:rFonts w:ascii="Georgia" w:cs="Georgia" w:eastAsia="Georgia" w:hAnsi="Georgia"/>
          <w:sz w:val="22"/>
          <w:szCs w:val="22"/>
        </w:rPr>
        <w:t xml:space="preserve">English spatial prepositions constitute a particularly challenging domain for lexicographic description. A preposition such as on, in, at, over, under, or through exhibits a range of uses that spans spatial, temporal, abstract relational, and idiomatic meanings. The central question for lexicographic treatment is whether these uses represent distinct senses to be listed separately, a single abstract sense to be applied across contexts, or a structured polysemy in which the uses are related by productive generative mechanisms.</w:t>
      </w:r>
    </w:p>
    <w:p>
      <w:pPr>
        <w:spacing w:after="160" w:before="0"/>
        <w:jc w:val="both"/>
      </w:pPr>
      <w:r>
        <w:rPr>
          <w:rFonts w:ascii="Georgia" w:cs="Georgia" w:eastAsia="Georgia" w:hAnsi="Georgia"/>
          <w:sz w:val="22"/>
          <w:szCs w:val="22"/>
        </w:rPr>
        <w:t xml:space="preserve">The present article adopts a structured polysemy account (Tyler &amp; Evans, 2003; Brugman, 1988; Lakoff, 1987) while arguing, against the radial category accounts in that tradition, that the polysemy is generated by compositional mechanisms operating on a small set of semantic primitives rather than by analogical extension from a prototype. The compositional mechanisms are Level-III phenomena: they apply to the Level-I semantic content of the preposition and combine it with the Level-II argument-structure properties of the verbal or nominal predicate in whose scope the preposition appears.</w:t>
      </w:r>
    </w:p>
    <w:p>
      <w:pPr>
        <w:pStyle w:val="Heading3"/>
        <w:spacing w:after="80" w:before="200"/>
      </w:pPr>
      <w:r>
        <w:rPr>
          <w:rFonts w:ascii="Arial" w:cs="Arial" w:eastAsia="Arial" w:hAnsi="Arial"/>
          <w:b/>
          <w:bCs/>
          <w:color w:val="B8860B"/>
          <w:sz w:val="24"/>
          <w:szCs w:val="24"/>
        </w:rPr>
        <w:t xml:space="preserve">6.2  The Preposition ‘over’: A Case Study</w:t>
      </w:r>
    </w:p>
    <w:p>
      <w:pPr>
        <w:spacing w:after="160" w:before="0"/>
        <w:jc w:val="both"/>
      </w:pPr>
      <w:r>
        <w:rPr>
          <w:rFonts w:ascii="Georgia" w:cs="Georgia" w:eastAsia="Georgia" w:hAnsi="Georgia"/>
          <w:sz w:val="22"/>
          <w:szCs w:val="22"/>
        </w:rPr>
        <w:t xml:space="preserve">The preposition over provides a particularly well-studied case for the analysis of prepositional polysemy (Brugman, 1988; Lakoff, 1987; Tyler &amp; Evans, 2003). The attested uses of over span spatial, temporal, and abstract relational domains:</w:t>
      </w:r>
    </w:p>
    <w:p>
      <w:pPr>
        <w:spacing w:after="80" w:before="80"/>
        <w:ind w:left="720"/>
      </w:pPr>
      <w:r>
        <w:rPr>
          <w:rFonts w:ascii="Courier New" w:cs="Courier New" w:eastAsia="Courier New" w:hAnsi="Courier New"/>
          <w:b/>
          <w:bCs/>
          <w:sz w:val="20"/>
          <w:szCs w:val="20"/>
        </w:rPr>
        <w:t xml:space="preserve">(17a) </w:t>
      </w:r>
      <w:r>
        <w:rPr>
          <w:rFonts w:ascii="Courier New" w:cs="Courier New" w:eastAsia="Courier New" w:hAnsi="Courier New"/>
          <w:sz w:val="20"/>
          <w:szCs w:val="20"/>
        </w:rPr>
        <w:t xml:space="preserve">The plane flew over the city. [spatial: above and across]</w:t>
      </w:r>
    </w:p>
    <w:p>
      <w:pPr>
        <w:spacing w:after="80" w:before="80"/>
        <w:ind w:left="720"/>
      </w:pPr>
      <w:r>
        <w:rPr>
          <w:rFonts w:ascii="Courier New" w:cs="Courier New" w:eastAsia="Courier New" w:hAnsi="Courier New"/>
          <w:b/>
          <w:bCs/>
          <w:sz w:val="20"/>
          <w:szCs w:val="20"/>
        </w:rPr>
        <w:t xml:space="preserve">(17b) </w:t>
      </w:r>
      <w:r>
        <w:rPr>
          <w:rFonts w:ascii="Courier New" w:cs="Courier New" w:eastAsia="Courier New" w:hAnsi="Courier New"/>
          <w:sz w:val="20"/>
          <w:szCs w:val="20"/>
        </w:rPr>
        <w:t xml:space="preserve">She hung the painting over the fireplace. [spatial: above]</w:t>
      </w:r>
    </w:p>
    <w:p>
      <w:pPr>
        <w:spacing w:after="80" w:before="80"/>
        <w:ind w:left="720"/>
      </w:pPr>
      <w:r>
        <w:rPr>
          <w:rFonts w:ascii="Courier New" w:cs="Courier New" w:eastAsia="Courier New" w:hAnsi="Courier New"/>
          <w:b/>
          <w:bCs/>
          <w:sz w:val="20"/>
          <w:szCs w:val="20"/>
        </w:rPr>
        <w:t xml:space="preserve">(17c) </w:t>
      </w:r>
      <w:r>
        <w:rPr>
          <w:rFonts w:ascii="Courier New" w:cs="Courier New" w:eastAsia="Courier New" w:hAnsi="Courier New"/>
          <w:sz w:val="20"/>
          <w:szCs w:val="20"/>
        </w:rPr>
        <w:t xml:space="preserve">The meeting lasted over three hours. [temporal: exceeding a measure]</w:t>
      </w:r>
    </w:p>
    <w:p>
      <w:pPr>
        <w:spacing w:after="80" w:before="80"/>
        <w:ind w:left="720"/>
      </w:pPr>
      <w:r>
        <w:rPr>
          <w:rFonts w:ascii="Courier New" w:cs="Courier New" w:eastAsia="Courier New" w:hAnsi="Courier New"/>
          <w:b/>
          <w:bCs/>
          <w:sz w:val="20"/>
          <w:szCs w:val="20"/>
        </w:rPr>
        <w:t xml:space="preserve">(17d) </w:t>
      </w:r>
      <w:r>
        <w:rPr>
          <w:rFonts w:ascii="Courier New" w:cs="Courier New" w:eastAsia="Courier New" w:hAnsi="Courier New"/>
          <w:sz w:val="20"/>
          <w:szCs w:val="20"/>
        </w:rPr>
        <w:t xml:space="preserve">She has authority over the department. [abstract: dominance]</w:t>
      </w:r>
    </w:p>
    <w:p>
      <w:pPr>
        <w:spacing w:after="80" w:before="80"/>
        <w:ind w:left="720"/>
      </w:pPr>
      <w:r>
        <w:rPr>
          <w:rFonts w:ascii="Courier New" w:cs="Courier New" w:eastAsia="Courier New" w:hAnsi="Courier New"/>
          <w:b/>
          <w:bCs/>
          <w:sz w:val="20"/>
          <w:szCs w:val="20"/>
        </w:rPr>
        <w:t xml:space="preserve">(17e) </w:t>
      </w:r>
      <w:r>
        <w:rPr>
          <w:rFonts w:ascii="Courier New" w:cs="Courier New" w:eastAsia="Courier New" w:hAnsi="Courier New"/>
          <w:sz w:val="20"/>
          <w:szCs w:val="20"/>
        </w:rPr>
        <w:t xml:space="preserve">The crisis is over. [aspectual: completive]</w:t>
      </w:r>
    </w:p>
    <w:p>
      <w:pPr>
        <w:spacing w:after="80" w:before="80"/>
        <w:ind w:left="720"/>
      </w:pPr>
      <w:r>
        <w:rPr>
          <w:rFonts w:ascii="Courier New" w:cs="Courier New" w:eastAsia="Courier New" w:hAnsi="Courier New"/>
          <w:b/>
          <w:bCs/>
          <w:sz w:val="20"/>
          <w:szCs w:val="20"/>
        </w:rPr>
        <w:t xml:space="preserve">(17f) </w:t>
      </w:r>
      <w:r>
        <w:rPr>
          <w:rFonts w:ascii="Courier New" w:cs="Courier New" w:eastAsia="Courier New" w:hAnsi="Courier New"/>
          <w:sz w:val="20"/>
          <w:szCs w:val="20"/>
        </w:rPr>
        <w:t xml:space="preserve">She went over the report carefully. [process: covering]</w:t>
      </w:r>
    </w:p>
    <w:p>
      <w:pPr>
        <w:spacing w:after="160" w:before="0"/>
        <w:jc w:val="both"/>
      </w:pPr>
      <w:r>
        <w:rPr>
          <w:rFonts w:ascii="Georgia" w:cs="Georgia" w:eastAsia="Georgia" w:hAnsi="Georgia"/>
          <w:sz w:val="22"/>
          <w:szCs w:val="22"/>
        </w:rPr>
        <w:t xml:space="preserve">The uses in (17) have been analyzed in the literature as a radial network extending from a spatial prototype (Tyler &amp; Evans, 2003), as a family of image schemas related by metaphorical extension (Lakoff, 1987), and as a set of distinct senses related by polysemy rules (Brugman, 1988). The present model offers a different analysis: the uses in (17) are generated by the composition of a small number of Level-I semantic primitives—ABOVE, ACROSS, EXCEED, COVER, COMPLETE—with the Level-II argument-structure properties of the surrounding context.</w:t>
      </w:r>
    </w:p>
    <w:p>
      <w:pPr>
        <w:spacing w:after="160" w:before="0"/>
        <w:jc w:val="both"/>
      </w:pPr>
      <w:r>
        <w:rPr>
          <w:rFonts w:ascii="Georgia" w:cs="Georgia" w:eastAsia="Georgia" w:hAnsi="Georgia"/>
          <w:sz w:val="22"/>
          <w:szCs w:val="22"/>
        </w:rPr>
        <w:t xml:space="preserve">On this analysis, the spatial use in (17a) composes ABOVE and ACROSS: the trajectory of the plane is above and across the city. The spatial use in (17b) composes ABOVE only: the painting is above the fireplace with no lateral movement implied. The temporal use in (17c) applies EXCEED to a measure argument: the meeting’s duration exceeds three hours. The abstract use in (17d) applies ABOVE metaphorically in the domain of authority structures. The aspectual use in (17e) composes COMPLETE with a stative argument. The process use in (17f) applies COVER to an informational argument: the agent covers the report in the sense of attending to all its parts.</w:t>
      </w:r>
    </w:p>
    <w:p>
      <w:pPr>
        <w:spacing w:after="160" w:before="0"/>
        <w:jc w:val="both"/>
      </w:pPr>
      <w:r>
        <w:rPr>
          <w:rFonts w:ascii="Georgia" w:cs="Georgia" w:eastAsia="Georgia" w:hAnsi="Georgia"/>
          <w:sz w:val="22"/>
          <w:szCs w:val="22"/>
        </w:rPr>
        <w:t xml:space="preserve">This compositional analysis is more parsimonious than the radial network account because it reduces the attested range of uses to a small set of compositional operations on a small set of primitives, without requiring either a large number of stored senses or a large number of analogical extensions. It is also more precise: it provides, for each use, an explicit compositional derivation that can be checked against the selectional requirements of the surrounding predicate.</w:t>
      </w:r>
    </w:p>
    <w:p>
      <w:pPr>
        <w:pStyle w:val="Heading3"/>
        <w:spacing w:after="80" w:before="200"/>
      </w:pPr>
      <w:r>
        <w:rPr>
          <w:rFonts w:ascii="Arial" w:cs="Arial" w:eastAsia="Arial" w:hAnsi="Arial"/>
          <w:b/>
          <w:bCs/>
          <w:color w:val="B8860B"/>
          <w:sz w:val="24"/>
          <w:szCs w:val="24"/>
        </w:rPr>
        <w:t xml:space="preserve">6.3  Spatial vs. Temporal vs. Abstract Uses: General Principles</w:t>
      </w:r>
    </w:p>
    <w:p>
      <w:pPr>
        <w:spacing w:after="160" w:before="0"/>
        <w:jc w:val="both"/>
      </w:pPr>
      <w:r>
        <w:rPr>
          <w:rFonts w:ascii="Georgia" w:cs="Georgia" w:eastAsia="Georgia" w:hAnsi="Georgia"/>
          <w:sz w:val="22"/>
          <w:szCs w:val="22"/>
        </w:rPr>
        <w:t xml:space="preserve">The patterns illustrated for over generalize across the English prepositional inventory. For any spatial preposition P encoding a spatial relation R between a figure and a ground, three systematic extensions are productive:</w:t>
      </w:r>
    </w:p>
    <w:p>
      <w:pPr>
        <w:spacing w:after="160" w:before="0"/>
        <w:jc w:val="both"/>
      </w:pPr>
      <w:r>
        <w:rPr>
          <w:rFonts w:ascii="Georgia" w:cs="Georgia" w:eastAsia="Georgia" w:hAnsi="Georgia"/>
          <w:sz w:val="22"/>
          <w:szCs w:val="22"/>
        </w:rPr>
        <w:t xml:space="preserve">First, temporal extension: the spatial relation R is applied to a temporal interval, with the figure corresponding to the event or state being temporally located and the ground corresponding to the reference interval. This extension is productive for all English spatial prepositions (in, at, on, over, before, after, during, through) and generates the full range of English temporal prepositional uses from the same Level-I semantic primitives as the spatial uses.</w:t>
      </w:r>
    </w:p>
    <w:p>
      <w:pPr>
        <w:spacing w:after="160" w:before="0"/>
        <w:jc w:val="both"/>
      </w:pPr>
      <w:r>
        <w:rPr>
          <w:rFonts w:ascii="Georgia" w:cs="Georgia" w:eastAsia="Georgia" w:hAnsi="Georgia"/>
          <w:sz w:val="22"/>
          <w:szCs w:val="22"/>
        </w:rPr>
        <w:t xml:space="preserve">Second, abstract extension: the spatial relation R is applied metaphorically to an abstract domain—typically a domain of authority, control, inclusion, or quantity—with the figure and ground mapped to abstract entities in the target domain. This extension is constrained by the structure of the source domain (not all spatial relations extend equally productively to all abstract domains) and by the Level-II argument-structure properties of the surrounding context.</w:t>
      </w:r>
    </w:p>
    <w:p>
      <w:pPr>
        <w:spacing w:after="160" w:before="0"/>
        <w:jc w:val="both"/>
      </w:pPr>
      <w:r>
        <w:rPr>
          <w:rFonts w:ascii="Georgia" w:cs="Georgia" w:eastAsia="Georgia" w:hAnsi="Georgia"/>
          <w:sz w:val="22"/>
          <w:szCs w:val="22"/>
        </w:rPr>
        <w:t xml:space="preserve">Third, aspectual extension: the spatial relation R is composed with an event-type operator to generate an aspectual interpretation. The completive use of over in (17e) and the inceptive use of at in she’s at her work illustrate this pattern.</w:t>
      </w:r>
    </w:p>
    <w:p>
      <w:pPr>
        <w:spacing w:after="160" w:before="0"/>
        <w:jc w:val="both"/>
      </w:pPr>
      <w:r>
        <w:rPr>
          <w:rFonts w:ascii="Georgia" w:cs="Georgia" w:eastAsia="Georgia" w:hAnsi="Georgia"/>
          <w:sz w:val="22"/>
          <w:szCs w:val="22"/>
        </w:rPr>
        <w:t xml:space="preserve">These three extensions are Level-III phenomena: they apply to Level-I semantic content and are constrained by Level-II argument-structure properties. Their productivity and systematicity argue, again, against a sense-enumeration account and in favor of the layered generative model proposed in this article.</w:t>
      </w:r>
    </w:p>
    <w:p>
      <w:pPr>
        <w:pStyle w:val="Heading2"/>
        <w:spacing w:after="120" w:before="280"/>
      </w:pPr>
      <w:r>
        <w:rPr>
          <w:rFonts w:ascii="Arial" w:cs="Arial" w:eastAsia="Arial" w:hAnsi="Arial"/>
          <w:b/>
          <w:bCs/>
          <w:color w:val="1F3864"/>
          <w:sz w:val="26"/>
          <w:szCs w:val="26"/>
        </w:rPr>
        <w:t xml:space="preserve">7.  Computational Implications</w:t>
      </w:r>
    </w:p>
    <w:p>
      <w:pPr>
        <w:spacing w:after="160" w:before="0"/>
        <w:jc w:val="both"/>
      </w:pPr>
      <w:r>
        <w:rPr>
          <w:rFonts w:ascii="Georgia" w:cs="Georgia" w:eastAsia="Georgia" w:hAnsi="Georgia"/>
          <w:sz w:val="22"/>
          <w:szCs w:val="22"/>
        </w:rPr>
        <w:t xml:space="preserve">The layered model of lexical generativity proposed in this article has direct implications for the design and annotation of computational lexical resources, and for the development of natural language processing systems that rely on such resources.</w:t>
      </w:r>
    </w:p>
    <w:p>
      <w:pPr>
        <w:pStyle w:val="Heading3"/>
        <w:spacing w:after="80" w:before="200"/>
      </w:pPr>
      <w:r>
        <w:rPr>
          <w:rFonts w:ascii="Arial" w:cs="Arial" w:eastAsia="Arial" w:hAnsi="Arial"/>
          <w:b/>
          <w:bCs/>
          <w:color w:val="B8860B"/>
          <w:sz w:val="24"/>
          <w:szCs w:val="24"/>
        </w:rPr>
        <w:t xml:space="preserve">7.1  Implications for Dictionary Design</w:t>
      </w:r>
    </w:p>
    <w:p>
      <w:pPr>
        <w:spacing w:after="160" w:before="0"/>
        <w:jc w:val="both"/>
      </w:pPr>
      <w:r>
        <w:rPr>
          <w:rFonts w:ascii="Georgia" w:cs="Georgia" w:eastAsia="Georgia" w:hAnsi="Georgia"/>
          <w:sz w:val="22"/>
          <w:szCs w:val="22"/>
        </w:rPr>
        <w:t xml:space="preserve">The model argues for a lexicographic architecture that separates the representation of Level-I semantic content (stored primitives and qualia structure) from the representation of Level-II argument-structure templates (licensed by class membership) and Level-III generative mechanisms (type coercion, metonymic transfer, aspectual composition). A dictionary entry, on this architecture, would not list all attested uses of a word as separate senses but would instead encode the Level-I semantic content of the entry and the Level-II class membership that licenses its generative potential, leaving Level-III uses to be derived compositionally.</w:t>
      </w:r>
    </w:p>
    <w:p>
      <w:pPr>
        <w:spacing w:after="160" w:before="0"/>
        <w:jc w:val="both"/>
      </w:pPr>
      <w:r>
        <w:rPr>
          <w:rFonts w:ascii="Georgia" w:cs="Georgia" w:eastAsia="Georgia" w:hAnsi="Georgia"/>
          <w:sz w:val="22"/>
          <w:szCs w:val="22"/>
        </w:rPr>
        <w:t xml:space="preserve">This architecture has several advantages over standard sense-enumeration approaches. It is more parsimonious: a single structured entry replaces multiple listed senses. It is more predictive: the Level-II and Level-III mechanisms generate uses that are not attested in the training data. It is more explanatory: it provides a principled account of why a given word has the range of uses it has, rather than simply recording that range. And it is more computationally tractable: the generative mechanisms can be implemented as algorithms that apply to Level-I and Level-II representations, rather than requiring exhaustive enumeration of all possible uses.</w:t>
      </w:r>
    </w:p>
    <w:p>
      <w:pPr>
        <w:pStyle w:val="Heading3"/>
        <w:spacing w:after="80" w:before="200"/>
      </w:pPr>
      <w:r>
        <w:rPr>
          <w:rFonts w:ascii="Arial" w:cs="Arial" w:eastAsia="Arial" w:hAnsi="Arial"/>
          <w:b/>
          <w:bCs/>
          <w:color w:val="B8860B"/>
          <w:sz w:val="24"/>
          <w:szCs w:val="24"/>
        </w:rPr>
        <w:t xml:space="preserve">7.2  Implications for Lexical Database Annotation</w:t>
      </w:r>
    </w:p>
    <w:p>
      <w:pPr>
        <w:spacing w:after="160" w:before="0"/>
        <w:jc w:val="both"/>
      </w:pPr>
      <w:r>
        <w:rPr>
          <w:rFonts w:ascii="Georgia" w:cs="Georgia" w:eastAsia="Georgia" w:hAnsi="Georgia"/>
          <w:sz w:val="22"/>
          <w:szCs w:val="22"/>
        </w:rPr>
        <w:t xml:space="preserve">The model also has implications for the annotation of large-scale lexical databases such as FrameNet and VerbNet. Current annotation practice in both resources tends to treat each syntactic frame as an independent object to be annotated separately, without explicit encoding of the generative relationships between frames. The present model argues for an annotation architecture that explicitly encodes the Level-II class membership and the Level-III generative mechanisms that relate frames within a class.</w:t>
      </w:r>
    </w:p>
    <w:p>
      <w:pPr>
        <w:spacing w:after="160" w:before="0"/>
        <w:jc w:val="both"/>
      </w:pPr>
      <w:r>
        <w:rPr>
          <w:rFonts w:ascii="Georgia" w:cs="Georgia" w:eastAsia="Georgia" w:hAnsi="Georgia"/>
          <w:sz w:val="22"/>
          <w:szCs w:val="22"/>
        </w:rPr>
        <w:t xml:space="preserve">Concretely, this would mean: (a) annotating each FrameNet lexical unit with its VerbNet class membership (to make explicit the Level-II licensing conditions for each attested frame); (b) annotating each VerbNet alternation with the semantic operation (at Level III) that relates the two frames of the alternation; and (c) annotating each FrameNet frame element with the qualia role (at Level I) that it instantiates. This enriched annotation would make the lexical databases more useful for both linguistic analysis and computational applications.</w:t>
      </w:r>
    </w:p>
    <w:p>
      <w:pPr>
        <w:pStyle w:val="Heading3"/>
        <w:spacing w:after="80" w:before="200"/>
      </w:pPr>
      <w:r>
        <w:rPr>
          <w:rFonts w:ascii="Arial" w:cs="Arial" w:eastAsia="Arial" w:hAnsi="Arial"/>
          <w:b/>
          <w:bCs/>
          <w:color w:val="B8860B"/>
          <w:sz w:val="24"/>
          <w:szCs w:val="24"/>
        </w:rPr>
        <w:t xml:space="preserve">7.3  Implications for Natural Language Processing</w:t>
      </w:r>
    </w:p>
    <w:p>
      <w:pPr>
        <w:spacing w:after="160" w:before="0"/>
        <w:jc w:val="both"/>
      </w:pPr>
      <w:r>
        <w:rPr>
          <w:rFonts w:ascii="Georgia" w:cs="Georgia" w:eastAsia="Georgia" w:hAnsi="Georgia"/>
          <w:sz w:val="22"/>
          <w:szCs w:val="22"/>
        </w:rPr>
        <w:t xml:space="preserve">Natural language processing systems that rely on lexical databases face a persistent problem of coverage: the databases do not contain entries for all words and all uses that appear in real text, and systems that rely exclusively on database lookup perform poorly on out-of-coverage cases. The layered model of lexical generativity offers a principled approach to this problem: rather than relying exclusively on lookup, NLP systems could implement the Level-II and Level-III generative mechanisms as productive algorithms that extend coverage to out-of-vocabulary words and unseen argument-structure configurations.</w:t>
      </w:r>
    </w:p>
    <w:p>
      <w:pPr>
        <w:spacing w:after="160" w:before="0"/>
        <w:jc w:val="both"/>
      </w:pPr>
      <w:r>
        <w:rPr>
          <w:rFonts w:ascii="Georgia" w:cs="Georgia" w:eastAsia="Georgia" w:hAnsi="Georgia"/>
          <w:sz w:val="22"/>
          <w:szCs w:val="22"/>
        </w:rPr>
        <w:t xml:space="preserve">Several lines of recent research in computational linguistics point in this direction. Semantic role labeling systems that incorporate VerbNet class information have been shown to generalize better to unseen verbs than systems that rely only on lexeme-specific training data (Swier &amp; Stevenson, 2004; Giuglea &amp; Moschitti, 2006). Word sense disambiguation systems that incorporate qualia structure have been shown to perform better on polysemous words than systems that treat each sense as an independent class (Navigli, 2009). Argument structure learning systems that exploit Levin class membership have been shown to acquire more accurate semantic representations than systems that operate at the level of individual verbs (Schuler, 2005). The present model provides a theoretical framework that unifies these findings and suggests further extensions.</w:t>
      </w:r>
    </w:p>
    <w:p>
      <w:pPr>
        <w:pStyle w:val="Heading2"/>
        <w:spacing w:after="120" w:before="280"/>
      </w:pPr>
      <w:r>
        <w:rPr>
          <w:rFonts w:ascii="Arial" w:cs="Arial" w:eastAsia="Arial" w:hAnsi="Arial"/>
          <w:b/>
          <w:bCs/>
          <w:color w:val="1F3864"/>
          <w:sz w:val="26"/>
          <w:szCs w:val="26"/>
        </w:rPr>
        <w:t xml:space="preserve">8.  Discussion</w:t>
      </w:r>
    </w:p>
    <w:p>
      <w:pPr>
        <w:spacing w:after="160" w:before="0"/>
        <w:jc w:val="both"/>
      </w:pPr>
      <w:r>
        <w:rPr>
          <w:rFonts w:ascii="Georgia" w:cs="Georgia" w:eastAsia="Georgia" w:hAnsi="Georgia"/>
          <w:sz w:val="22"/>
          <w:szCs w:val="22"/>
        </w:rPr>
        <w:t xml:space="preserve">The analyses presented in sections 4–6 converge on a consistent picture of lexical generativity in English. Across verb classes, nominal polysemy, and prepositional semantics, the same three-level architecture provides a parsimonious and explanatory account of the full range of attested phenomena. The Level-I semantic primitives and qualia structure provide the raw material for generativity; the Level-II argument-structure templates and class membership provide the licensing conditions; and the Level-III generative mechanisms—type coercion, metonymic transfer, and aspectual composition—provide the productive operations that generate the full range of uses from the stored representations.</w:t>
      </w:r>
    </w:p>
    <w:p>
      <w:pPr>
        <w:spacing w:after="160" w:before="0"/>
        <w:jc w:val="both"/>
      </w:pPr>
      <w:r>
        <w:rPr>
          <w:rFonts w:ascii="Georgia" w:cs="Georgia" w:eastAsia="Georgia" w:hAnsi="Georgia"/>
          <w:sz w:val="22"/>
          <w:szCs w:val="22"/>
        </w:rPr>
        <w:t xml:space="preserve">Several broader implications of this picture deserve comment.</w:t>
      </w:r>
    </w:p>
    <w:p>
      <w:pPr>
        <w:spacing w:after="160" w:before="0"/>
        <w:jc w:val="both"/>
      </w:pPr>
      <w:r>
        <w:rPr>
          <w:rFonts w:ascii="Georgia" w:cs="Georgia" w:eastAsia="Georgia" w:hAnsi="Georgia"/>
          <w:sz w:val="22"/>
          <w:szCs w:val="22"/>
        </w:rPr>
        <w:t xml:space="preserve">First, the model supports a principled distinction between stored and computed lexical meaning. The distinction between Levels I and III corresponds, roughly, to the distinction between what is in the lexical entry and what is generated by productive mechanisms at the syntax-semantics interface. This distinction is theoretically important because it constrains the architecture of the lexicon: not everything that a word can mean needs to be stored in the lexical entry; some meanings are generated compositionally and should not be listed as separate senses.</w:t>
      </w:r>
    </w:p>
    <w:p>
      <w:pPr>
        <w:spacing w:after="160" w:before="0"/>
        <w:jc w:val="both"/>
      </w:pPr>
      <w:r>
        <w:rPr>
          <w:rFonts w:ascii="Georgia" w:cs="Georgia" w:eastAsia="Georgia" w:hAnsi="Georgia"/>
          <w:sz w:val="22"/>
          <w:szCs w:val="22"/>
        </w:rPr>
        <w:t xml:space="preserve">Second, the model provides a principled account of the role of class membership in lexical generativity. The observation that verbs in the same Levin class share argument-structure behavior is well-established; the present model explains why: because class membership determines Level-II licensing, which in turn determines the range of argument-structure alternations a verb can undergo. This explanation is more principled than the observation itself because it identifies the mechanism by which class membership constrains generativity.</w:t>
      </w:r>
    </w:p>
    <w:p>
      <w:pPr>
        <w:spacing w:after="160" w:before="0"/>
        <w:jc w:val="both"/>
      </w:pPr>
      <w:r>
        <w:rPr>
          <w:rFonts w:ascii="Georgia" w:cs="Georgia" w:eastAsia="Georgia" w:hAnsi="Georgia"/>
          <w:sz w:val="22"/>
          <w:szCs w:val="22"/>
        </w:rPr>
        <w:t xml:space="preserve">Third, the model has implications for the theory of lexical acquisition. If lexical generativity is organized as proposed here—with Level-I primitives stored, Level-II templates determined by class membership, and Level-III mechanisms applied productively—then a child acquiring the lexicon needs to learn: (a) the Level-I qualia structure of individual lexical entries; (b) the class membership of verbs, nouns, and prepositions; and (c) the Level-III generative mechanisms that apply across classes. This is a much smaller learning problem than it would be if all attested uses needed to be stored individually.</w:t>
      </w:r>
    </w:p>
    <w:p>
      <w:pPr>
        <w:spacing w:after="160" w:before="0"/>
        <w:jc w:val="both"/>
      </w:pPr>
      <w:r>
        <w:rPr>
          <w:rFonts w:ascii="Georgia" w:cs="Georgia" w:eastAsia="Georgia" w:hAnsi="Georgia"/>
          <w:sz w:val="22"/>
          <w:szCs w:val="22"/>
        </w:rPr>
        <w:t xml:space="preserve">Finally, the model has implications for the theory of lexical change. If Level-II and Level-III generativity is productive and systematic, then lexical change can occur at three levels: at Level I (a change in the stored semantic content of an entry), at Level II (a change in class membership, which licenses a new range of argument-structure configurations), or at Level III (a change in the generative mechanisms themselves, which would propagate across all entries that employ the mechanism). Historical linguistics suggests that all three types of change occur, and that Level-II and Level-III changes are typically more systematic and more productive than Level-I changes.</w:t>
      </w:r>
    </w:p>
    <w:p>
      <w:pPr>
        <w:pStyle w:val="Heading2"/>
        <w:spacing w:after="120" w:before="280"/>
      </w:pPr>
      <w:r>
        <w:rPr>
          <w:rFonts w:ascii="Arial" w:cs="Arial" w:eastAsia="Arial" w:hAnsi="Arial"/>
          <w:b/>
          <w:bCs/>
          <w:color w:val="1F3864"/>
          <w:sz w:val="26"/>
          <w:szCs w:val="26"/>
        </w:rPr>
        <w:t xml:space="preserve">9.  Conclusion</w:t>
      </w:r>
    </w:p>
    <w:p>
      <w:pPr>
        <w:spacing w:after="160" w:before="0"/>
        <w:jc w:val="both"/>
      </w:pPr>
      <w:r>
        <w:rPr>
          <w:rFonts w:ascii="Georgia" w:cs="Georgia" w:eastAsia="Georgia" w:hAnsi="Georgia"/>
          <w:sz w:val="22"/>
          <w:szCs w:val="22"/>
        </w:rPr>
        <w:t xml:space="preserve">This article has argued for a layered model of lexical generativity in English that distinguishes among stored semantic primitives and qualia structure (Level I), argument-structure templates licensed by class membership (Level II), and productive generative mechanisms including type coercion, metonymic transfer, and aspectual composition (Level III). The model has been developed through detailed empirical analysis of twelve English verb classes, the systematic polysemy of English nouns, and the spatial-temporal-abstract semantic range of English prepositions.</w:t>
      </w:r>
    </w:p>
    <w:p>
      <w:pPr>
        <w:spacing w:after="160" w:before="0"/>
        <w:jc w:val="both"/>
      </w:pPr>
      <w:r>
        <w:rPr>
          <w:rFonts w:ascii="Georgia" w:cs="Georgia" w:eastAsia="Georgia" w:hAnsi="Georgia"/>
          <w:sz w:val="22"/>
          <w:szCs w:val="22"/>
        </w:rPr>
        <w:t xml:space="preserve">The central finding of the article is that the apparent complexity of the English lexicon—the wide range of uses attested for individual words, the systematic but irregular alternation patterns of verb classes, the context-sensitive polysemy of nouns and prepositions—is the output of a small number of generative mechanisms operating on a relatively simple stored representation. The English lexicon is not a list of senses but a generative system: a structured inventory of primitives, templates, and mechanisms that produces the full range of attested uses from a compact, internally organized representation.</w:t>
      </w:r>
    </w:p>
    <w:p>
      <w:pPr>
        <w:spacing w:after="160" w:before="0"/>
        <w:jc w:val="both"/>
      </w:pPr>
      <w:r>
        <w:rPr>
          <w:rFonts w:ascii="Georgia" w:cs="Georgia" w:eastAsia="Georgia" w:hAnsi="Georgia"/>
          <w:sz w:val="22"/>
          <w:szCs w:val="22"/>
        </w:rPr>
        <w:t xml:space="preserve">This finding has implications at three levels. For lexicographic theory, it argues for a lexicographic architecture that separates stored representations from generatively derived uses and that encodes class membership as a first-class property of lexical entries. For computational lexicography, it provides a principled basis for coverage extension: the generative mechanisms can be implemented algorithmically and applied to out-of-vocabulary words and unseen constructions. For natural language processing, it suggests that systems that exploit class membership and qualia structure will generalize better to new data than systems that rely exclusively on lexeme-specific information.</w:t>
      </w:r>
    </w:p>
    <w:p>
      <w:pPr>
        <w:spacing w:after="160" w:before="0"/>
        <w:jc w:val="both"/>
      </w:pPr>
      <w:r>
        <w:rPr>
          <w:rFonts w:ascii="Georgia" w:cs="Georgia" w:eastAsia="Georgia" w:hAnsi="Georgia"/>
          <w:sz w:val="22"/>
          <w:szCs w:val="22"/>
        </w:rPr>
        <w:t xml:space="preserve">The model proposed here is not complete. Several important phenomena—including scalar implicature, lexical aspect in cross-linguistic perspective, the semantics of determiners and quantifiers, and the interaction of lexical generativity with discourse structure—have been left for future work. The analyses of specific verb classes could be extended and refined through corpus-based investigation of the full range of attested frames for each class. The computational implications of the model deserve more detailed development, including formal specification of the generative mechanisms and evaluation on standard NLP benchmarks.</w:t>
      </w:r>
    </w:p>
    <w:p>
      <w:pPr>
        <w:spacing w:after="160" w:before="0"/>
        <w:jc w:val="both"/>
      </w:pPr>
      <w:r>
        <w:rPr>
          <w:rFonts w:ascii="Georgia" w:cs="Georgia" w:eastAsia="Georgia" w:hAnsi="Georgia"/>
          <w:sz w:val="22"/>
          <w:szCs w:val="22"/>
        </w:rPr>
        <w:t xml:space="preserve">Nevertheless, the present article argues that the layered model provides a principled, empirically grounded, and computationally tractable account of lexical generativity in English—an account that is more parsimonious, more predictive, and more explanatory than the sense-enumeration approaches that have dominated lexicographic practice. The English lexicon, on this account, is not an archive but a grammar: a structured system of generative resources that enables the finite to produce the indefinite.</w:t>
      </w:r>
    </w:p>
    <w:p>
      <w:pPr>
        <w:pStyle w:val="Heading2"/>
        <w:spacing w:after="120" w:before="280"/>
      </w:pPr>
      <w:r>
        <w:rPr>
          <w:rFonts w:ascii="Arial" w:cs="Arial" w:eastAsia="Arial" w:hAnsi="Arial"/>
          <w:b/>
          <w:bCs/>
          <w:color w:val="1F3864"/>
          <w:sz w:val="26"/>
          <w:szCs w:val="26"/>
        </w:rPr>
        <w:t xml:space="preserve">References</w:t>
      </w:r>
    </w:p>
    <w:p>
      <w:pPr>
        <w:spacing w:after="160" w:before="0"/>
        <w:jc w:val="both"/>
      </w:pPr>
      <w:r>
        <w:rPr>
          <w:rFonts w:ascii="Georgia" w:cs="Georgia" w:eastAsia="Georgia" w:hAnsi="Georgia"/>
          <w:sz w:val="22"/>
          <w:szCs w:val="22"/>
        </w:rPr>
        <w:t xml:space="preserve">Asher, N. (2011). Lexical Meaning in Context: A Web of Words. Cambridge University Press.</w:t>
      </w:r>
    </w:p>
    <w:p>
      <w:pPr>
        <w:spacing w:after="160" w:before="0"/>
        <w:jc w:val="both"/>
      </w:pPr>
      <w:r>
        <w:rPr>
          <w:rFonts w:ascii="Georgia" w:cs="Georgia" w:eastAsia="Georgia" w:hAnsi="Georgia"/>
          <w:sz w:val="22"/>
          <w:szCs w:val="22"/>
        </w:rPr>
        <w:t xml:space="preserve">Baker, C. F., Fillmore, C. J., &amp; Lowe, J. B. (1998). The Berkeley FrameNet project. Proceedings of the 17th International Conference on Computational Linguistics (COLING-98), 86–90.</w:t>
      </w:r>
    </w:p>
    <w:p>
      <w:pPr>
        <w:spacing w:after="160" w:before="0"/>
        <w:jc w:val="both"/>
      </w:pPr>
      <w:r>
        <w:rPr>
          <w:rFonts w:ascii="Georgia" w:cs="Georgia" w:eastAsia="Georgia" w:hAnsi="Georgia"/>
          <w:sz w:val="22"/>
          <w:szCs w:val="22"/>
        </w:rPr>
        <w:t xml:space="preserve">Baker, M. (1988). Incorporation: A Theory of Grammatical Function Changing. University of Chicago Press.</w:t>
      </w:r>
    </w:p>
    <w:p>
      <w:pPr>
        <w:spacing w:after="160" w:before="0"/>
        <w:jc w:val="both"/>
      </w:pPr>
      <w:r>
        <w:rPr>
          <w:rFonts w:ascii="Georgia" w:cs="Georgia" w:eastAsia="Georgia" w:hAnsi="Georgia"/>
          <w:sz w:val="22"/>
          <w:szCs w:val="22"/>
        </w:rPr>
        <w:t xml:space="preserve">Belletti, A., &amp; Rizzi, L. (1988). Psych-verbs and theta-theory. Natural Language and Linguistic Theory, 6, 291–352.</w:t>
      </w:r>
    </w:p>
    <w:p>
      <w:pPr>
        <w:spacing w:after="160" w:before="0"/>
        <w:jc w:val="both"/>
      </w:pPr>
      <w:r>
        <w:rPr>
          <w:rFonts w:ascii="Georgia" w:cs="Georgia" w:eastAsia="Georgia" w:hAnsi="Georgia"/>
          <w:sz w:val="22"/>
          <w:szCs w:val="22"/>
        </w:rPr>
        <w:t xml:space="preserve">Brugman, C. (1988). The Story of Over: Polysemy, Semantics, and the Structure of the Lexicon. Garland.</w:t>
      </w:r>
    </w:p>
    <w:p>
      <w:pPr>
        <w:spacing w:after="160" w:before="0"/>
        <w:jc w:val="both"/>
      </w:pPr>
      <w:r>
        <w:rPr>
          <w:rFonts w:ascii="Georgia" w:cs="Georgia" w:eastAsia="Georgia" w:hAnsi="Georgia"/>
          <w:sz w:val="22"/>
          <w:szCs w:val="22"/>
        </w:rPr>
        <w:t xml:space="preserve">Chomsky, N. (1957). Syntactic Structures. Mouton.</w:t>
      </w:r>
    </w:p>
    <w:p>
      <w:pPr>
        <w:spacing w:after="160" w:before="0"/>
        <w:jc w:val="both"/>
      </w:pPr>
      <w:r>
        <w:rPr>
          <w:rFonts w:ascii="Georgia" w:cs="Georgia" w:eastAsia="Georgia" w:hAnsi="Georgia"/>
          <w:sz w:val="22"/>
          <w:szCs w:val="22"/>
        </w:rPr>
        <w:t xml:space="preserve">Chomsky, N. (1965). Aspects of the Theory of Syntax. MIT Press.</w:t>
      </w:r>
    </w:p>
    <w:p>
      <w:pPr>
        <w:spacing w:after="160" w:before="0"/>
        <w:jc w:val="both"/>
      </w:pPr>
      <w:r>
        <w:rPr>
          <w:rFonts w:ascii="Georgia" w:cs="Georgia" w:eastAsia="Georgia" w:hAnsi="Georgia"/>
          <w:sz w:val="22"/>
          <w:szCs w:val="22"/>
        </w:rPr>
        <w:t xml:space="preserve">Copestake, A., &amp; Briscoe, T. (1995). Semi-productive polysemy and sense extension. Journal of Semantics, 12(1), 15–67.</w:t>
      </w:r>
    </w:p>
    <w:p>
      <w:pPr>
        <w:spacing w:after="160" w:before="0"/>
        <w:jc w:val="both"/>
      </w:pPr>
      <w:r>
        <w:rPr>
          <w:rFonts w:ascii="Georgia" w:cs="Georgia" w:eastAsia="Georgia" w:hAnsi="Georgia"/>
          <w:sz w:val="22"/>
          <w:szCs w:val="22"/>
        </w:rPr>
        <w:t xml:space="preserve">Fillmore, C. J. (1976). Frame semantics and the nature of language. Annals of the New York Academy of Sciences, 280(1), 20–32.</w:t>
      </w:r>
    </w:p>
    <w:p>
      <w:pPr>
        <w:spacing w:after="160" w:before="0"/>
        <w:jc w:val="both"/>
      </w:pPr>
      <w:r>
        <w:rPr>
          <w:rFonts w:ascii="Georgia" w:cs="Georgia" w:eastAsia="Georgia" w:hAnsi="Georgia"/>
          <w:sz w:val="22"/>
          <w:szCs w:val="22"/>
        </w:rPr>
        <w:t xml:space="preserve">Fillmore, C. J. (1982). Frame semantics. In Linguistics in the Morning Calm (pp. 111–137). Hanshin.</w:t>
      </w:r>
    </w:p>
    <w:p>
      <w:pPr>
        <w:spacing w:after="160" w:before="0"/>
        <w:jc w:val="both"/>
      </w:pPr>
      <w:r>
        <w:rPr>
          <w:rFonts w:ascii="Georgia" w:cs="Georgia" w:eastAsia="Georgia" w:hAnsi="Georgia"/>
          <w:sz w:val="22"/>
          <w:szCs w:val="22"/>
        </w:rPr>
        <w:t xml:space="preserve">Fillmore, C. J. (1985). Frames and the semantics of understanding. Quaderni di Semantica, 6(2), 222–254.</w:t>
      </w:r>
    </w:p>
    <w:p>
      <w:pPr>
        <w:spacing w:after="160" w:before="0"/>
        <w:jc w:val="both"/>
      </w:pPr>
      <w:r>
        <w:rPr>
          <w:rFonts w:ascii="Georgia" w:cs="Georgia" w:eastAsia="Georgia" w:hAnsi="Georgia"/>
          <w:sz w:val="22"/>
          <w:szCs w:val="22"/>
        </w:rPr>
        <w:t xml:space="preserve">Fillmore, C. J., Johnson, C. R., &amp; Petruck, M. R. L. (2003). Background to FrameNet. International Journal of Lexicography, 16(3), 235–250.</w:t>
      </w:r>
    </w:p>
    <w:p>
      <w:pPr>
        <w:spacing w:after="160" w:before="0"/>
        <w:jc w:val="both"/>
      </w:pPr>
      <w:r>
        <w:rPr>
          <w:rFonts w:ascii="Georgia" w:cs="Georgia" w:eastAsia="Georgia" w:hAnsi="Georgia"/>
          <w:sz w:val="22"/>
          <w:szCs w:val="22"/>
        </w:rPr>
        <w:t xml:space="preserve">Giuglea, A.-M., &amp; Moschitti, A. (2006). Semantic role labeling via FrameNet, VerbNet and PropBank. Proceedings of ACL 2006, 929–936.</w:t>
      </w:r>
    </w:p>
    <w:p>
      <w:pPr>
        <w:spacing w:after="160" w:before="0"/>
        <w:jc w:val="both"/>
      </w:pPr>
      <w:r>
        <w:rPr>
          <w:rFonts w:ascii="Georgia" w:cs="Georgia" w:eastAsia="Georgia" w:hAnsi="Georgia"/>
          <w:sz w:val="22"/>
          <w:szCs w:val="22"/>
        </w:rPr>
        <w:t xml:space="preserve">Goldberg, A. E. (1995). Constructions: A Construction Grammar Approach to Argument Structure. University of Chicago Press.</w:t>
      </w:r>
    </w:p>
    <w:p>
      <w:pPr>
        <w:spacing w:after="160" w:before="0"/>
        <w:jc w:val="both"/>
      </w:pPr>
      <w:r>
        <w:rPr>
          <w:rFonts w:ascii="Georgia" w:cs="Georgia" w:eastAsia="Georgia" w:hAnsi="Georgia"/>
          <w:sz w:val="22"/>
          <w:szCs w:val="22"/>
        </w:rPr>
        <w:t xml:space="preserve">Goldberg, A. E. (2006). Constructions at Work: The Nature of Generalization in Language. Oxford University Press.</w:t>
      </w:r>
    </w:p>
    <w:p>
      <w:pPr>
        <w:spacing w:after="160" w:before="0"/>
        <w:jc w:val="both"/>
      </w:pPr>
      <w:r>
        <w:rPr>
          <w:rFonts w:ascii="Georgia" w:cs="Georgia" w:eastAsia="Georgia" w:hAnsi="Georgia"/>
          <w:sz w:val="22"/>
          <w:szCs w:val="22"/>
        </w:rPr>
        <w:t xml:space="preserve">Goldberg, A. E., &amp; Jackendoff, R. (2004). The English resultative as a family of constructions. Language, 80(3), 532–568.</w:t>
      </w:r>
    </w:p>
    <w:p>
      <w:pPr>
        <w:spacing w:after="160" w:before="0"/>
        <w:jc w:val="both"/>
      </w:pPr>
      <w:r>
        <w:rPr>
          <w:rFonts w:ascii="Georgia" w:cs="Georgia" w:eastAsia="Georgia" w:hAnsi="Georgia"/>
          <w:sz w:val="22"/>
          <w:szCs w:val="22"/>
        </w:rPr>
        <w:t xml:space="preserve">Jackendoff, R. (1990). Semantic Structures. MIT Press.</w:t>
      </w:r>
    </w:p>
    <w:p>
      <w:pPr>
        <w:spacing w:after="160" w:before="0"/>
        <w:jc w:val="both"/>
      </w:pPr>
      <w:r>
        <w:rPr>
          <w:rFonts w:ascii="Georgia" w:cs="Georgia" w:eastAsia="Georgia" w:hAnsi="Georgia"/>
          <w:sz w:val="22"/>
          <w:szCs w:val="22"/>
        </w:rPr>
        <w:t xml:space="preserve">Kipper, K., Korhonen, A., Ryant, N., &amp; Palmer, M. (2008). A large-scale classification of English verbs. Language Resources and Evaluation, 42(1), 21–40.</w:t>
      </w:r>
    </w:p>
    <w:p>
      <w:pPr>
        <w:spacing w:after="160" w:before="0"/>
        <w:jc w:val="both"/>
      </w:pPr>
      <w:r>
        <w:rPr>
          <w:rFonts w:ascii="Georgia" w:cs="Georgia" w:eastAsia="Georgia" w:hAnsi="Georgia"/>
          <w:sz w:val="22"/>
          <w:szCs w:val="22"/>
        </w:rPr>
        <w:t xml:space="preserve">Kipper-Schuler, K. (2005). VerbNet: A Broad-Coverage, Comprehensive Verb Lexicon. PhD dissertation, University of Pennsylvania.</w:t>
      </w:r>
    </w:p>
    <w:p>
      <w:pPr>
        <w:spacing w:after="160" w:before="0"/>
        <w:jc w:val="both"/>
      </w:pPr>
      <w:r>
        <w:rPr>
          <w:rFonts w:ascii="Georgia" w:cs="Georgia" w:eastAsia="Georgia" w:hAnsi="Georgia"/>
          <w:sz w:val="22"/>
          <w:szCs w:val="22"/>
        </w:rPr>
        <w:t xml:space="preserve">Lakoff, G. (1987). Women, Fire, and Dangerous Things: What Categories Reveal about the Mind. University of Chicago Press.</w:t>
      </w:r>
    </w:p>
    <w:p>
      <w:pPr>
        <w:spacing w:after="160" w:before="0"/>
        <w:jc w:val="both"/>
      </w:pPr>
      <w:r>
        <w:rPr>
          <w:rFonts w:ascii="Georgia" w:cs="Georgia" w:eastAsia="Georgia" w:hAnsi="Georgia"/>
          <w:sz w:val="22"/>
          <w:szCs w:val="22"/>
        </w:rPr>
        <w:t xml:space="preserve">Levin, B. (1991). Building a Lexicon: The Contribution of Linguistic Theory. International Journal of Lexicography, 4(3), 205–226.</w:t>
      </w:r>
    </w:p>
    <w:p>
      <w:pPr>
        <w:spacing w:after="160" w:before="0"/>
        <w:jc w:val="both"/>
      </w:pPr>
      <w:r>
        <w:rPr>
          <w:rFonts w:ascii="Georgia" w:cs="Georgia" w:eastAsia="Georgia" w:hAnsi="Georgia"/>
          <w:sz w:val="22"/>
          <w:szCs w:val="22"/>
        </w:rPr>
        <w:t xml:space="preserve">Levin, B. (1993). English Verb Classes and Alternations: A Preliminary Investigation. University of Chicago Press.</w:t>
      </w:r>
    </w:p>
    <w:p>
      <w:pPr>
        <w:spacing w:after="160" w:before="0"/>
        <w:jc w:val="both"/>
      </w:pPr>
      <w:r>
        <w:rPr>
          <w:rFonts w:ascii="Georgia" w:cs="Georgia" w:eastAsia="Georgia" w:hAnsi="Georgia"/>
          <w:sz w:val="22"/>
          <w:szCs w:val="22"/>
        </w:rPr>
        <w:t xml:space="preserve">Levin, B. (2008). Dative verbs: A crosslinguistic perspective. Lingvisticæ Investigationes, 31(2), 285–312.</w:t>
      </w:r>
    </w:p>
    <w:p>
      <w:pPr>
        <w:spacing w:after="160" w:before="0"/>
        <w:jc w:val="both"/>
      </w:pPr>
      <w:r>
        <w:rPr>
          <w:rFonts w:ascii="Georgia" w:cs="Georgia" w:eastAsia="Georgia" w:hAnsi="Georgia"/>
          <w:sz w:val="22"/>
          <w:szCs w:val="22"/>
        </w:rPr>
        <w:t xml:space="preserve">Navigli, R. (2009). Word sense disambiguation: A survey. ACM Computing Surveys, 41(2), 1–69.</w:t>
      </w:r>
    </w:p>
    <w:p>
      <w:pPr>
        <w:spacing w:after="160" w:before="0"/>
        <w:jc w:val="both"/>
      </w:pPr>
      <w:r>
        <w:rPr>
          <w:rFonts w:ascii="Georgia" w:cs="Georgia" w:eastAsia="Georgia" w:hAnsi="Georgia"/>
          <w:sz w:val="22"/>
          <w:szCs w:val="22"/>
        </w:rPr>
        <w:t xml:space="preserve">Nunberg, G. (1995). Transfers of meaning. Journal of Semantics, 12(1), 109–132.</w:t>
      </w:r>
    </w:p>
    <w:p>
      <w:pPr>
        <w:spacing w:after="160" w:before="0"/>
        <w:jc w:val="both"/>
      </w:pPr>
      <w:r>
        <w:rPr>
          <w:rFonts w:ascii="Georgia" w:cs="Georgia" w:eastAsia="Georgia" w:hAnsi="Georgia"/>
          <w:sz w:val="22"/>
          <w:szCs w:val="22"/>
        </w:rPr>
        <w:t xml:space="preserve">Pinker, S. (1989). Learnability and Cognition: The Acquisition of Argument Structure. MIT Press.</w:t>
      </w:r>
    </w:p>
    <w:p>
      <w:pPr>
        <w:spacing w:after="160" w:before="0"/>
        <w:jc w:val="both"/>
      </w:pPr>
      <w:r>
        <w:rPr>
          <w:rFonts w:ascii="Georgia" w:cs="Georgia" w:eastAsia="Georgia" w:hAnsi="Georgia"/>
          <w:sz w:val="22"/>
          <w:szCs w:val="22"/>
        </w:rPr>
        <w:t xml:space="preserve">Pustejovsky, J. (1991). The generative lexicon. Computational Linguistics, 17(4), 409–441.</w:t>
      </w:r>
    </w:p>
    <w:p>
      <w:pPr>
        <w:spacing w:after="160" w:before="0"/>
        <w:jc w:val="both"/>
      </w:pPr>
      <w:r>
        <w:rPr>
          <w:rFonts w:ascii="Georgia" w:cs="Georgia" w:eastAsia="Georgia" w:hAnsi="Georgia"/>
          <w:sz w:val="22"/>
          <w:szCs w:val="22"/>
        </w:rPr>
        <w:t xml:space="preserve">Pustejovsky, J. (1995). The Generative Lexicon. MIT Press.</w:t>
      </w:r>
    </w:p>
    <w:p>
      <w:pPr>
        <w:spacing w:after="160" w:before="0"/>
        <w:jc w:val="both"/>
      </w:pPr>
      <w:r>
        <w:rPr>
          <w:rFonts w:ascii="Georgia" w:cs="Georgia" w:eastAsia="Georgia" w:hAnsi="Georgia"/>
          <w:sz w:val="22"/>
          <w:szCs w:val="22"/>
        </w:rPr>
        <w:t xml:space="preserve">Rappaport, M., &amp; Levin, B. (1988). What to do with theta-roles. In W. Wilkins (Ed.), Thematic Relations (Syntax and Semantics, Vol. 21, pp. 7–36). Academic Press.</w:t>
      </w:r>
    </w:p>
    <w:p>
      <w:pPr>
        <w:spacing w:after="160" w:before="0"/>
        <w:jc w:val="both"/>
      </w:pPr>
      <w:r>
        <w:rPr>
          <w:rFonts w:ascii="Georgia" w:cs="Georgia" w:eastAsia="Georgia" w:hAnsi="Georgia"/>
          <w:sz w:val="22"/>
          <w:szCs w:val="22"/>
        </w:rPr>
        <w:t xml:space="preserve">Rappaport Hovav, M., &amp; Levin, B. (1998). Building verb meanings. In M. Butt &amp; W. Geuder (Eds.), The Projection of Arguments: Lexical and Compositional Factors (pp. 97–134). CSLI Publications.</w:t>
      </w:r>
    </w:p>
    <w:p>
      <w:pPr>
        <w:spacing w:after="160" w:before="0"/>
        <w:jc w:val="both"/>
      </w:pPr>
      <w:r>
        <w:rPr>
          <w:rFonts w:ascii="Georgia" w:cs="Georgia" w:eastAsia="Georgia" w:hAnsi="Georgia"/>
          <w:sz w:val="22"/>
          <w:szCs w:val="22"/>
        </w:rPr>
        <w:t xml:space="preserve">Schuler, K. K. (2005). VerbNet: A broad-coverage, comprehensive verb lexicon. PhD dissertation, University of Pennsylvania.</w:t>
      </w:r>
    </w:p>
    <w:p>
      <w:pPr>
        <w:spacing w:after="160" w:before="0"/>
        <w:jc w:val="both"/>
      </w:pPr>
      <w:r>
        <w:rPr>
          <w:rFonts w:ascii="Georgia" w:cs="Georgia" w:eastAsia="Georgia" w:hAnsi="Georgia"/>
          <w:sz w:val="22"/>
          <w:szCs w:val="22"/>
        </w:rPr>
        <w:t xml:space="preserve">Swier, R. S., &amp; Stevenson, S. (2004). Unsupervised semantic role labelling. Proceedings of EMNLP 2004, 95–102.</w:t>
      </w:r>
    </w:p>
    <w:p>
      <w:pPr>
        <w:spacing w:after="160" w:before="0"/>
        <w:jc w:val="both"/>
      </w:pPr>
      <w:r>
        <w:rPr>
          <w:rFonts w:ascii="Georgia" w:cs="Georgia" w:eastAsia="Georgia" w:hAnsi="Georgia"/>
          <w:sz w:val="22"/>
          <w:szCs w:val="22"/>
        </w:rPr>
        <w:t xml:space="preserve">Tyler, A., &amp; Evans, V. (2003). The Semantics of English Prepositions: Spatial Scenes, Embodied Meaning, and Cognition. Cambridge University Press.</w:t>
      </w:r>
    </w:p>
    <w:p>
      <w:pPr>
        <w:spacing w:after="120" w:before="0"/>
      </w:pPr>
      <w:r>
        <w:t xml:space="preserve"/>
      </w:r>
    </w:p>
    <w:p>
      <w:pPr>
        <w:spacing w:after="160" w:before="0"/>
        <w:jc w:val="both"/>
      </w:pPr>
      <w:r>
        <w:rPr>
          <w:rFonts w:ascii="Georgia" w:cs="Georgia" w:eastAsia="Georgia" w:hAnsi="Georgia"/>
          <w:color w:val="888888"/>
          <w:sz w:val="18"/>
          <w:szCs w:val="18"/>
        </w:rPr>
        <w:t xml:space="preserve">© 2025 Pablo Nogueira Grossi · All rights reserved · G6 LLC</w:t>
      </w:r>
    </w:p>
    <w:sectPr>
      <w:pgSz w:w="12240" w:h="15840" w:orient="portrait"/>
      <w:pgMar w:top="1440" w:right="1260" w:bottom="144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F3864"/>
      <w:sz w:val="32"/>
      <w:szCs w:val="32"/>
    </w:rPr>
  </w:style>
  <w:style w:type="paragraph" w:styleId="Heading2">
    <w:name w:val="Heading 2"/>
    <w:basedOn w:val="Normal"/>
    <w:next w:val="Normal"/>
    <w:qFormat/>
    <w:pPr>
      <w:spacing w:after="120" w:before="280"/>
      <w:outlineLvl w:val="1"/>
    </w:pPr>
    <w:rPr>
      <w:rFonts w:ascii="Arial" w:cs="Arial" w:eastAsia="Arial" w:hAnsi="Arial"/>
      <w:b/>
      <w:bCs/>
      <w:color w:val="1F3864"/>
      <w:sz w:val="26"/>
      <w:szCs w:val="26"/>
    </w:rPr>
  </w:style>
  <w:style w:type="paragraph" w:styleId="Heading3">
    <w:name w:val="Heading 3"/>
    <w:basedOn w:val="Normal"/>
    <w:next w:val="Normal"/>
    <w:qFormat/>
    <w:pPr>
      <w:spacing w:after="80" w:before="200"/>
      <w:outlineLvl w:val="2"/>
    </w:pPr>
    <w:rPr>
      <w:rFonts w:ascii="Arial" w:cs="Arial" w:eastAsia="Arial" w:hAnsi="Arial"/>
      <w:b/>
      <w:bCs/>
      <w:color w:val="B8860B"/>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2026-04-04T14:29:22.497Z</dcterms:created>
  <dcterms:modified xsi:type="dcterms:W3CDTF">2026-04-04T14:29:22.498Z</dcterms:modified>
</cp:coreProperties>
</file>

<file path=docProps/custom.xml><?xml version="1.0" encoding="utf-8"?>
<Properties xmlns="http://schemas.openxmlformats.org/officeDocument/2006/custom-properties" xmlns:vt="http://schemas.openxmlformats.org/officeDocument/2006/docPropsVTypes"/>
</file>