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spacing w:before="0" w:after="283"/>
        <w:rPr>
          <w:sz w:val="52"/>
          <w:szCs w:val="52"/>
        </w:rPr>
      </w:pPr>
      <w:r>
        <w:rPr>
          <w:sz w:val="52"/>
          <w:szCs w:val="52"/>
        </w:rPr>
        <w:t>THE SHEMSU HOR HYPOTHESIS</w:t>
      </w:r>
    </w:p>
    <w:p>
      <w:pPr>
        <w:pStyle w:val="Heading2"/>
        <w:spacing w:before="0" w:after="283"/>
        <w:rPr>
          <w:sz w:val="28"/>
          <w:szCs w:val="28"/>
        </w:rPr>
      </w:pPr>
      <w:r>
        <w:rPr>
          <w:sz w:val="28"/>
          <w:szCs w:val="28"/>
        </w:rPr>
        <w:t>A Continuation: What Egypt Remembered</w:t>
      </w:r>
    </w:p>
    <w:p>
      <w:pPr>
        <w:pStyle w:val="BodyText"/>
        <w:rPr/>
      </w:pPr>
      <w:r>
        <w:rPr>
          <w:rStyle w:val="Emphasis"/>
        </w:rPr>
        <w:t>Zep Tepi Series, Paper III</w:t>
      </w:r>
    </w:p>
    <w:p>
      <w:pPr>
        <w:pStyle w:val="BodyText"/>
        <w:rPr/>
      </w:pPr>
      <w:r>
        <w:rPr>
          <w:sz w:val="16"/>
          <w:szCs w:val="16"/>
        </w:rPr>
        <w:t xml:space="preserve">Sefy Levy | 2026 </w:t>
      </w:r>
      <w:r>
        <w:rPr>
          <w:sz w:val="16"/>
          <w:szCs w:val="16"/>
        </w:rPr>
        <w:t xml:space="preserve">| </w:t>
      </w:r>
      <w:r>
        <w:rPr>
          <w:b w:val="false"/>
          <w:bCs w:val="false"/>
          <w:sz w:val="16"/>
          <w:szCs w:val="16"/>
        </w:rPr>
        <w:t>DOI: 10.5281/zenodo.19449607</w:t>
      </w:r>
    </w:p>
    <w:p>
      <w:pPr>
        <w:pStyle w:val="HorizontalLine"/>
        <w:spacing w:before="0" w:after="0"/>
        <w:rPr>
          <w:sz w:val="24"/>
          <w:szCs w:val="24"/>
        </w:rPr>
      </w:pPr>
      <w:r>
        <w:rPr>
          <w:sz w:val="24"/>
          <w:szCs w:val="24"/>
        </w:rPr>
      </w:r>
    </w:p>
    <w:p>
      <w:pPr>
        <w:pStyle w:val="Heading3"/>
        <w:spacing w:before="0" w:after="283"/>
        <w:rPr>
          <w:sz w:val="24"/>
          <w:szCs w:val="24"/>
        </w:rPr>
      </w:pPr>
      <w:r>
        <w:rPr>
          <w:sz w:val="24"/>
          <w:szCs w:val="24"/>
        </w:rPr>
        <w:t>Abstract</w:t>
      </w:r>
    </w:p>
    <w:p>
      <w:pPr>
        <w:pStyle w:val="BodyText"/>
        <w:rPr/>
      </w:pPr>
      <w:r>
        <w:rPr/>
        <w:t>Paper III is the Egyptian record. Paper I (Levy 2026, DOI: 10.5281/zenodo.19087851) established the Richat Structure in Mauritania as the sole surviving candidate Saharan origin site, through systematic elimination of 14 formations on three documented criteria: concentric ring geology, documented Holocene water, documented human presence. Paper II (Levy 2026, DOI: 10.5281/zenodo.19046278) documented genomic endpoints at both corridor termini and the Wedjat sky-schema: a Canopus gradient encoded in the mathematical tool the Egyptians applied across every domain of threshold quantization.</w:t>
      </w:r>
    </w:p>
    <w:p>
      <w:pPr>
        <w:pStyle w:val="BodyText"/>
        <w:rPr/>
      </w:pPr>
      <w:r>
        <w:rPr/>
        <w:t xml:space="preserve">Egypt itself preserved a consistent answer to the question of its origins: the </w:t>
      </w:r>
      <w:r>
        <w:rPr>
          <w:rStyle w:val="Emphasis"/>
        </w:rPr>
        <w:t>Shemsu Hor</w:t>
      </w:r>
      <w:r>
        <w:rPr/>
        <w:t>—the Followers of Horus. They occupy a non-optional structural slot in Egyptian king-list architecture across fifteen centuries of independent sources: Turin Royal Canon, Pyramid Texts, state inscriptions, and temple-building traditions. They are not generic legitimation figures. Later pharaohs cite their written annals in state inscriptions. Ptolemaic builders cite a goatskin scroll from their time containing architectural plans. This archival specificity—named physical objects cited in professional scribal accountability contexts—is structurally distinct from every other category of Egyptian ancestral invocation, and from the parallel legitimation strategies of every other ancient literate culture. No other ancient king-list tradition credits its pre-dynastic predecessors with findable physical archives rather than cosmic authority.</w:t>
      </w:r>
    </w:p>
    <w:p>
      <w:pPr>
        <w:pStyle w:val="BodyText"/>
        <w:rPr/>
      </w:pPr>
      <w:r>
        <w:rPr/>
        <w:t xml:space="preserve">This paper documents four primary lines of evidence. The HK6 elite cemetery at Hierakonpolis presents five Saharan pastoral markers appearing together, at the right site, in the right window, anchored by skeletal morphological diversity that requires population movement rather than diffusion. Systematic survey of 350+ Egyptian temples documents a statistically significant Canopus orientation family tracking precession across 2,000 years—a pattern the survey authors explicitly state they cannot explain from conventional frameworks. Three independent chronologies converge on the 3800–3100 BCE window. The Edfu Building Texts preserve a migration narrative without structural parallel in any other Ptolemaic priestly corpus: a named western homeland destroyed by cataclysm, survivors carrying exclusive architectural knowledge eastward, a Horus falcon ancestor cult. This narrative appears nowhere else—not at Dendera, Esna, Kom Ombo, or Philae—despite active theological creativity at each site and equivalent motivation to claim ancient authority. Its absence from every other Ptolemaic temple </w:t>
      </w:r>
      <w:r>
        <w:rPr>
          <w:rStyle w:val="Strong"/>
          <w:b w:val="false"/>
          <w:bCs w:val="false"/>
        </w:rPr>
        <w:t>suggests</w:t>
      </w:r>
      <w:r>
        <w:rPr/>
        <w:t xml:space="preserve"> transmission rather than composition.</w:t>
      </w:r>
    </w:p>
    <w:p>
      <w:pPr>
        <w:pStyle w:val="BodyText"/>
        <w:rPr/>
      </w:pPr>
      <w:r>
        <w:rPr>
          <w:rStyle w:val="Emphasis"/>
          <w:b w:val="false"/>
          <w:bCs w:val="false"/>
          <w:i w:val="false"/>
          <w:iCs w:val="false"/>
        </w:rPr>
        <w:t>Six lines of evidence from methodologically independent fields (paleohydrology, genetics, archaeology, archaeoastronomy, textual criticism, and climate chronology) converge consistently with the corridor migration model. The textual and archaeological boundaries both describe the same historical threshold (3100 BCE) — but they derive from independent source classes (written records vs. material remains), making their convergence a case of consilience, not circularity.</w:t>
      </w:r>
      <w:r>
        <w:rPr/>
        <w:t>. This convergence establishes the model as the most parsimonious available explanation: no currently published alternative framework accounts for all six simultaneously without independent ad hoc mechanisms per unexplained line. It does not, alone, constitute demonstration. Proof requires the decisive tests. Predictions 1, 2, 7, and 8—isotopic and aDNA analysis of Predynastic elite contexts, geochemical sourcing of Naqada II hard-stone vessels against the Richat carbonatite signature (Ni ~380 ppm, Cr ~840 ppm, distinctive LREE pattern, absent from all documented Egyptian quarry sources), and A-Group aDNA—target existing museum collections with established methods. Prediction 6 is already documented in published surveys. Consilience establishes the priority of the decisive tests. The tests will determine whether this is history or an elaborate coincidence.</w:t>
      </w:r>
    </w:p>
    <w:p>
      <w:pPr>
        <w:pStyle w:val="BodyText"/>
        <w:rPr/>
      </w:pPr>
      <w:r>
        <w:rPr>
          <w:rStyle w:val="Strong"/>
        </w:rPr>
        <w:t>Keywords:</w:t>
      </w:r>
      <w:r>
        <w:rPr/>
        <w:t xml:space="preserve"> Shemsu Hor; Followers of Horus; Predynastic Egypt; Egyptian state formation; African Humid Period; Green Sahara; Zep Tepi; Eye of Horus; Wedjat; Canopus; Osiris; ancient DNA; A-Group Nubia; Hierakonpolis; HK6; Takarkori; Nuwayrat; Turin Royal Canon; Pyramid Texts; temple orientations; archaeoastronomy; Saharan corridor hypothesis</w:t>
      </w:r>
    </w:p>
    <w:p>
      <w:pPr>
        <w:pStyle w:val="HorizontalLine"/>
        <w:spacing w:before="0" w:after="0"/>
        <w:rPr>
          <w:sz w:val="24"/>
          <w:szCs w:val="24"/>
        </w:rPr>
      </w:pPr>
      <w:r>
        <w:rPr>
          <w:sz w:val="24"/>
          <w:szCs w:val="24"/>
        </w:rPr>
      </w:r>
    </w:p>
    <w:p>
      <w:pPr>
        <w:pStyle w:val="BodyText"/>
        <w:spacing w:before="240" w:after="160"/>
        <w:rPr>
          <w:sz w:val="24"/>
          <w:szCs w:val="24"/>
        </w:rPr>
      </w:pPr>
      <w:r>
        <w:rPr>
          <w:rStyle w:val="Strong"/>
          <w:sz w:val="24"/>
          <w:szCs w:val="24"/>
        </w:rPr>
        <w:t>Author's Note</w:t>
      </w:r>
    </w:p>
    <w:p>
      <w:pPr>
        <w:pStyle w:val="BodyText"/>
        <w:spacing w:before="240" w:after="160"/>
        <w:rPr/>
      </w:pPr>
      <w:r>
        <w:rPr/>
        <w:t>What I have done here is assemble what has already been published—transliterations, translations, footnotes, structural observations—and asked whether those texts, read carefully, are consistent with the corridor migration documented in Papers I and II.</w:t>
      </w:r>
    </w:p>
    <w:p>
      <w:pPr>
        <w:pStyle w:val="BodyText"/>
        <w:spacing w:before="240" w:after="160"/>
        <w:rPr/>
      </w:pPr>
      <w:r>
        <w:rPr/>
        <w:t>No AI generated this argument. The AIs helped me find, verify, and structure sources. The interpretive framework and editorial judgments are my own.</w:t>
      </w:r>
    </w:p>
    <w:p>
      <w:pPr>
        <w:pStyle w:val="BodyText"/>
        <w:spacing w:before="240" w:after="160"/>
        <w:rPr/>
      </w:pPr>
      <w:r>
        <w:rPr/>
        <w:t>The pattern that emerged surprised me. The Shemsu Hor are not generic legitimation figures. Later pharaohs cite their written annals. Ptolemaic builders cite a goatskin scroll from their time containing architectural plans. This archival specificity has no parallel in any other ancient king-list tradition within the documented corpus.</w:t>
      </w:r>
    </w:p>
    <w:p>
      <w:pPr>
        <w:pStyle w:val="BodyText"/>
        <w:spacing w:before="240" w:after="160"/>
        <w:rPr/>
      </w:pPr>
      <w:r>
        <w:rPr/>
        <w:t>The linkage of the Canopus gradient to the unexplained Belmonte orientation family, the numerical correspondence between Belmonte's rotations and the Wedjat fractions, the resulting seven-family hierarchy, and the conditional Richat–Wedjat geometric model are my own original syntheses.</w:t>
      </w:r>
    </w:p>
    <w:p>
      <w:pPr>
        <w:pStyle w:val="HorizontalLine"/>
        <w:spacing w:before="0" w:after="0"/>
        <w:rPr>
          <w:sz w:val="24"/>
          <w:szCs w:val="24"/>
        </w:rPr>
      </w:pPr>
      <w:r>
        <w:rPr>
          <w:sz w:val="24"/>
          <w:szCs w:val="24"/>
        </w:rPr>
      </w:r>
    </w:p>
    <w:p>
      <w:pPr>
        <w:pStyle w:val="BodyText"/>
        <w:spacing w:before="0" w:after="0"/>
        <w:rPr>
          <w:sz w:val="24"/>
          <w:szCs w:val="24"/>
        </w:rPr>
      </w:pPr>
      <w:r>
        <w:rPr>
          <w:sz w:val="24"/>
          <w:szCs w:val="24"/>
        </w:rPr>
      </w:r>
    </w:p>
    <w:p>
      <w:pPr>
        <w:pStyle w:val="Heading3"/>
        <w:spacing w:before="0" w:after="283"/>
        <w:rPr>
          <w:sz w:val="24"/>
          <w:szCs w:val="24"/>
        </w:rPr>
      </w:pPr>
      <w:r>
        <w:rPr>
          <w:sz w:val="24"/>
          <w:szCs w:val="24"/>
        </w:rPr>
        <w:t>Introduction: Three Papers, One Argument</w:t>
      </w:r>
    </w:p>
    <w:p>
      <w:pPr>
        <w:pStyle w:val="BodyText"/>
        <w:rPr/>
      </w:pPr>
      <w:r>
        <w:rPr/>
        <w:t>We have been walking.</w:t>
      </w:r>
    </w:p>
    <w:p>
      <w:pPr>
        <w:pStyle w:val="BodyText"/>
        <w:rPr/>
      </w:pPr>
      <w:r>
        <w:rPr/>
        <w:t>Paper I followed the water. The Green Sahara, green for ten thousand years, then turning to sand. The rivers that guided them east—the Tamanrasset, the Kufra—documented by satellite radar, their beds still visible beneath the dunes. The place they left: the Richat Structure, concentric rings of blue-gray stone, paleolakes dated to the Green Sahara, the only formation in the Sahara that satisfies every criterion the texts describe. Thirteen others failed.</w:t>
      </w:r>
    </w:p>
    <w:p>
      <w:pPr>
        <w:pStyle w:val="BodyText"/>
        <w:rPr/>
      </w:pPr>
      <w:r>
        <w:rPr/>
        <w:t xml:space="preserve">One remained. </w:t>
      </w:r>
      <w:r>
        <w:rPr>
          <w:rStyle w:val="Emphasis"/>
          <w:b/>
          <w:bCs/>
        </w:rPr>
        <w:t>The Eye of the Sahara.</w:t>
      </w:r>
    </w:p>
    <w:p>
      <w:pPr>
        <w:pStyle w:val="BodyText"/>
        <w:rPr/>
      </w:pPr>
      <w:r>
        <w:rPr/>
        <w:t>Paper II followed the people. Their DNA, traced from Taforalt in Morocco (15,000 BP) through the eastern Maghreb to Takarkori in the Fezzan (7,000 BP) to the Nuwayrat genome in Old Kingdom Egypt (2855–2570 BCE). Their cattle, buried in concentric rings at Nabta Playa, sacrificed by the thousands at Kerma. Their symbols: the eye carved at Messak, built in cattle skulls at Kerma, written as the Wedjat in Egypt. Their star: Canopus, sinking as they walked north, disappearing forever at 27.7°N—the latitude of Giza, where they built their greatest temple to Osiris, whose star they could no longer see.</w:t>
      </w:r>
    </w:p>
    <w:p>
      <w:pPr>
        <w:pStyle w:val="BodyText"/>
        <w:rPr/>
      </w:pPr>
      <w:r>
        <w:rPr/>
        <w:t xml:space="preserve">The walk from </w:t>
      </w:r>
      <w:r>
        <w:rPr>
          <w:b/>
          <w:bCs/>
        </w:rPr>
        <w:t>Zep Tepi – People Of The First time.</w:t>
      </w:r>
    </w:p>
    <w:p>
      <w:pPr>
        <w:pStyle w:val="BodyText"/>
        <w:rPr/>
      </w:pPr>
      <w:r>
        <w:rPr/>
        <w:t>Now we are at the end. The Nile. The place where they settled, built, wrote, ruled. And there is a question Paper II did not ask—a question Egypt itself asked, every time a king took the throne, every time a priest opened a scroll, every time a builder laid a foundation stone:</w:t>
      </w:r>
    </w:p>
    <w:p>
      <w:pPr>
        <w:pStyle w:val="BodyText"/>
        <w:rPr/>
      </w:pPr>
      <w:r>
        <w:rPr>
          <w:rStyle w:val="Emphasis"/>
        </w:rPr>
        <w:t>Who came before us?</w:t>
      </w:r>
    </w:p>
    <w:p>
      <w:pPr>
        <w:pStyle w:val="BodyText"/>
        <w:rPr/>
      </w:pPr>
      <w:r>
        <w:rPr/>
        <w:t>The Egyptians had an answer. They gave it a name. They wrote it down. They carved it into temple walls and copied it into royal lists for fifteen centuries.</w:t>
      </w:r>
    </w:p>
    <w:p>
      <w:pPr>
        <w:pStyle w:val="BodyText"/>
        <w:rPr/>
      </w:pPr>
      <w:r>
        <w:rPr/>
        <w:t xml:space="preserve">They called them the </w:t>
      </w:r>
      <w:r>
        <w:rPr>
          <w:rStyle w:val="Strong"/>
        </w:rPr>
        <w:t>Shemsu Hor</w:t>
      </w:r>
      <w:r>
        <w:rPr/>
        <w:t>. The Followers of Horus.</w:t>
      </w:r>
    </w:p>
    <w:p>
      <w:pPr>
        <w:pStyle w:val="BodyText"/>
        <w:rPr/>
      </w:pPr>
      <w:r>
        <w:rPr/>
        <w:t>This is Paper III. It asks what Egypt itself remembered.</w:t>
      </w:r>
    </w:p>
    <w:p>
      <w:pPr>
        <w:pStyle w:val="HorizontalLine"/>
        <w:spacing w:before="0" w:after="0"/>
        <w:rPr>
          <w:sz w:val="24"/>
          <w:szCs w:val="24"/>
        </w:rPr>
      </w:pPr>
      <w:r>
        <w:rPr>
          <w:sz w:val="24"/>
          <w:szCs w:val="24"/>
        </w:rPr>
      </w:r>
    </w:p>
    <w:p>
      <w:pPr>
        <w:pStyle w:val="Heading3"/>
        <w:spacing w:before="0" w:after="283"/>
        <w:rPr>
          <w:sz w:val="24"/>
          <w:szCs w:val="24"/>
        </w:rPr>
      </w:pPr>
      <w:r>
        <w:rPr>
          <w:sz w:val="24"/>
          <w:szCs w:val="24"/>
        </w:rPr>
        <w:t>PART I: THE SKY THEY CARRIED</w:t>
      </w:r>
    </w:p>
    <w:p>
      <w:pPr>
        <w:pStyle w:val="BodyText"/>
        <w:rPr/>
      </w:pPr>
      <w:r>
        <w:rPr/>
        <w:t>We walked north. We watched the star sink.</w:t>
      </w:r>
    </w:p>
    <w:p>
      <w:pPr>
        <w:pStyle w:val="BodyText"/>
        <w:rPr/>
      </w:pPr>
      <w:r>
        <w:rPr/>
        <w:t>That is not metaphor. It is physics.</w:t>
      </w:r>
    </w:p>
    <w:p>
      <w:pPr>
        <w:pStyle w:val="BodyText"/>
        <w:rPr/>
      </w:pPr>
      <w:r>
        <w:rPr/>
        <w:t>Canopus—the second-brightest star in the night sky—is visible only south of 27.7°N. For every degree of northward latitude, it drops approximately one degree in altitude. Any population that moved northeast from the western Sahara toward the Nile watched it descend—a navigational marker, a seasonal clock, sinking generation by generation toward the horizon, then below it.</w:t>
      </w:r>
    </w:p>
    <w:p>
      <w:pPr>
        <w:pStyle w:val="BodyText"/>
        <w:rPr/>
      </w:pPr>
      <w:r>
        <w:rPr/>
        <w:t>At the Richat Structure (21.1°N), Canopus stood high. At Nabta Playa (22.5°N), lower. At Hierakonpolis (25.1°N), barely above the horizon. At Giza (30°N), it was gone.</w:t>
      </w:r>
    </w:p>
    <w:p>
      <w:pPr>
        <w:pStyle w:val="BodyText"/>
        <w:rPr/>
      </w:pPr>
      <w:r>
        <w:rPr/>
        <w:t>This is not a theological claim. It is observable astronomy. The gradient is real. The direction is fixed. Any population that walked this route experienced it.</w:t>
      </w:r>
    </w:p>
    <w:p>
      <w:pPr>
        <w:pStyle w:val="BodyText"/>
        <w:rPr/>
      </w:pPr>
      <w:r>
        <w:rPr/>
        <w:t>Now look at what they built.</w:t>
      </w:r>
    </w:p>
    <w:p>
      <w:pPr>
        <w:pStyle w:val="BodyText"/>
        <w:rPr/>
      </w:pPr>
      <w:r>
        <w:rPr/>
        <w:t>Part I documents what the corridor populations carried in the sky: the Canopus gradient they lived under, the Wedjat sky-schema that encodes it, and the 2,000-year record of what that astronomical tradition built in stone. The evidence in this Part is presented in three tiers, each independently verifiable and each confirming the others.</w:t>
      </w:r>
    </w:p>
    <w:p>
      <w:pPr>
        <w:pStyle w:val="BodyText"/>
        <w:rPr/>
      </w:pPr>
      <w:r>
        <w:rPr>
          <w:rStyle w:val="Strong"/>
        </w:rPr>
        <w:t>Tier 1 (Sections 1–1.2):</w:t>
      </w:r>
      <w:r>
        <w:rPr/>
        <w:t xml:space="preserve"> The Canopus visibility gradient and the Shaltout/Belmonte temple orientation surveys. These are independent of any assumption about the corridor's source site. The gradient is observable physics—Canopus descends approximately 1° per degree of northward latitude. The survey data is peer-reviewed documented record: 350+ temples, seven statistically significant orientation families, Canopus family confirmed, and the survey authors' own published statement that they cannot account for it. These lines stand whether or not the Richat is the correct origin and whether or not the Wedjat correspondence holds.</w:t>
      </w:r>
    </w:p>
    <w:p>
      <w:pPr>
        <w:pStyle w:val="BodyText"/>
        <w:rPr/>
      </w:pPr>
      <w:r>
        <w:rPr>
          <w:b/>
          <w:bCs/>
        </w:rPr>
        <w:t>Tier 2 (Sections 1.3–2.4):</w:t>
      </w:r>
      <w:r>
        <w:rPr/>
        <w:t xml:space="preserve"> The Wedjat as Transmission Architecture. The Wedjat is a generalized system for encoding threshold-crossing under conditions of irreversible loss. A corridor migration is precisely such a condition. The full argument is in Section 1.3. The Wedjat argument is not counted among the six evidence lines used for consilience; it addresses mechanism, not occurrence.</w:t>
      </w:r>
    </w:p>
    <w:p>
      <w:pPr>
        <w:pStyle w:val="BodyText"/>
        <w:rPr/>
      </w:pPr>
      <w:r>
        <w:rPr>
          <w:rStyle w:val="Strong"/>
        </w:rPr>
        <w:t>Tier 3 (Section 8):</w:t>
      </w:r>
      <w:r>
        <w:rPr/>
        <w:t xml:space="preserve"> The Canopus–Osiris identification. Conditional, minority scholarly position, carries no independent evidential weight. Full analysis in Section 1.4. The empirical case in this Part rests entirely on Layers 1 and 2.</w:t>
      </w:r>
    </w:p>
    <w:p>
      <w:pPr>
        <w:pStyle w:val="HorizontalLine"/>
        <w:spacing w:before="0" w:after="0"/>
        <w:rPr>
          <w:sz w:val="24"/>
          <w:szCs w:val="24"/>
        </w:rPr>
      </w:pPr>
      <w:r>
        <w:rPr>
          <w:sz w:val="24"/>
          <w:szCs w:val="24"/>
        </w:rPr>
      </w:r>
    </w:p>
    <w:p>
      <w:pPr>
        <w:pStyle w:val="Heading2"/>
        <w:spacing w:before="0" w:after="283"/>
        <w:rPr>
          <w:sz w:val="24"/>
          <w:szCs w:val="24"/>
        </w:rPr>
      </w:pPr>
      <w:r>
        <w:rPr>
          <w:sz w:val="24"/>
          <w:szCs w:val="24"/>
        </w:rPr>
        <w:t>1. The Canopus Gradient: An Observable Astronomical Reality</w:t>
      </w:r>
    </w:p>
    <w:p>
      <w:pPr>
        <w:pStyle w:val="BodyText"/>
        <w:spacing w:before="0" w:after="283"/>
        <w:rPr/>
      </w:pPr>
      <w:r>
        <w:rPr/>
        <w:t>Before presenting the evidence, a note on how this section is organized. The material falls into four tiers, distinguished by their evidentiary status:</w:t>
      </w:r>
    </w:p>
    <w:tbl>
      <w:tblPr>
        <w:tblW w:w="9972" w:type="dxa"/>
        <w:jc w:val="start"/>
        <w:tblInd w:w="0" w:type="dxa"/>
        <w:tblLayout w:type="fixed"/>
        <w:tblCellMar>
          <w:top w:w="28" w:type="dxa"/>
          <w:start w:w="28" w:type="dxa"/>
          <w:bottom w:w="28" w:type="dxa"/>
          <w:end w:w="28" w:type="dxa"/>
        </w:tblCellMar>
      </w:tblPr>
      <w:tblGrid>
        <w:gridCol w:w="2459"/>
        <w:gridCol w:w="4243"/>
        <w:gridCol w:w="3270"/>
      </w:tblGrid>
      <w:tr>
        <w:trPr>
          <w:tblHeader w:val="true"/>
        </w:trPr>
        <w:tc>
          <w:tcPr>
            <w:tcW w:w="2459" w:type="dxa"/>
            <w:tcBorders/>
            <w:vAlign w:val="center"/>
          </w:tcPr>
          <w:p>
            <w:pPr>
              <w:pStyle w:val="TableHeading"/>
              <w:rPr/>
            </w:pPr>
            <w:r>
              <w:rPr/>
              <w:t>Tier</w:t>
            </w:r>
          </w:p>
        </w:tc>
        <w:tc>
          <w:tcPr>
            <w:tcW w:w="4243" w:type="dxa"/>
            <w:tcBorders/>
            <w:vAlign w:val="center"/>
          </w:tcPr>
          <w:p>
            <w:pPr>
              <w:pStyle w:val="TableHeading"/>
              <w:rPr/>
            </w:pPr>
            <w:r>
              <w:rPr/>
              <w:t>Definition</w:t>
            </w:r>
          </w:p>
        </w:tc>
        <w:tc>
          <w:tcPr>
            <w:tcW w:w="3270" w:type="dxa"/>
            <w:tcBorders/>
            <w:vAlign w:val="center"/>
          </w:tcPr>
          <w:p>
            <w:pPr>
              <w:pStyle w:val="TableHeading"/>
              <w:rPr/>
            </w:pPr>
            <w:r>
              <w:rPr/>
              <w:t>Sections</w:t>
            </w:r>
          </w:p>
        </w:tc>
      </w:tr>
      <w:tr>
        <w:trPr/>
        <w:tc>
          <w:tcPr>
            <w:tcW w:w="2459" w:type="dxa"/>
            <w:tcBorders/>
            <w:vAlign w:val="center"/>
          </w:tcPr>
          <w:p>
            <w:pPr>
              <w:pStyle w:val="TableContents"/>
              <w:rPr/>
            </w:pPr>
            <w:r>
              <w:rPr>
                <w:rStyle w:val="Strong"/>
              </w:rPr>
              <w:t>Tier 1: Established Fact</w:t>
            </w:r>
          </w:p>
        </w:tc>
        <w:tc>
          <w:tcPr>
            <w:tcW w:w="4243" w:type="dxa"/>
            <w:tcBorders/>
            <w:vAlign w:val="center"/>
          </w:tcPr>
          <w:p>
            <w:pPr>
              <w:pStyle w:val="TableContents"/>
              <w:rPr/>
            </w:pPr>
            <w:r>
              <w:rPr/>
              <w:t>Peer-reviewed, verifiable, accepted in the literature. Does not depend on any assumption about the corridor or the Richat.</w:t>
            </w:r>
          </w:p>
        </w:tc>
        <w:tc>
          <w:tcPr>
            <w:tcW w:w="3270" w:type="dxa"/>
            <w:tcBorders/>
            <w:vAlign w:val="center"/>
          </w:tcPr>
          <w:p>
            <w:pPr>
              <w:pStyle w:val="TableContents"/>
              <w:rPr/>
            </w:pPr>
            <w:r>
              <w:rPr/>
              <w:t>1.1 (Canopus gradient), 1.2 (Belmonte rotations as documented), 2.1–2.2 (temple orientation surveys)</w:t>
            </w:r>
          </w:p>
        </w:tc>
      </w:tr>
      <w:tr>
        <w:trPr/>
        <w:tc>
          <w:tcPr>
            <w:tcW w:w="2459" w:type="dxa"/>
            <w:tcBorders/>
            <w:vAlign w:val="center"/>
          </w:tcPr>
          <w:p>
            <w:pPr>
              <w:pStyle w:val="TableContents"/>
              <w:rPr/>
            </w:pPr>
            <w:r>
              <w:rPr>
                <w:rStyle w:val="Strong"/>
              </w:rPr>
              <w:t>Tier 2: Verifiable Correspondence</w:t>
            </w:r>
          </w:p>
        </w:tc>
        <w:tc>
          <w:tcPr>
            <w:tcW w:w="4243" w:type="dxa"/>
            <w:tcBorders/>
            <w:vAlign w:val="center"/>
          </w:tcPr>
          <w:p>
            <w:pPr>
              <w:pStyle w:val="TableContents"/>
              <w:rPr/>
            </w:pPr>
            <w:r>
              <w:rPr/>
              <w:t>Numerical matches in published sources, not previously noted in the literature. Generates testable predictions. Not presented as independent evidence for migration.</w:t>
            </w:r>
          </w:p>
        </w:tc>
        <w:tc>
          <w:tcPr>
            <w:tcW w:w="3270" w:type="dxa"/>
            <w:tcBorders/>
            <w:vAlign w:val="center"/>
          </w:tcPr>
          <w:p>
            <w:pPr>
              <w:pStyle w:val="TableContents"/>
              <w:rPr/>
            </w:pPr>
            <w:r>
              <w:rPr/>
              <w:t>1.2 (1/2, 1/4, 1/8 = Belmonte's documented rotations), 2.5 (Wedjat hierarchy → Predictions 6a–6c)</w:t>
            </w:r>
          </w:p>
        </w:tc>
      </w:tr>
      <w:tr>
        <w:trPr/>
        <w:tc>
          <w:tcPr>
            <w:tcW w:w="2459" w:type="dxa"/>
            <w:tcBorders/>
            <w:vAlign w:val="center"/>
          </w:tcPr>
          <w:p>
            <w:pPr>
              <w:pStyle w:val="TableContents"/>
              <w:rPr/>
            </w:pPr>
            <w:r>
              <w:rPr>
                <w:rStyle w:val="Strong"/>
              </w:rPr>
              <w:t>Tier 3: Conditional Observation</w:t>
            </w:r>
          </w:p>
        </w:tc>
        <w:tc>
          <w:tcPr>
            <w:tcW w:w="4243" w:type="dxa"/>
            <w:tcBorders/>
            <w:vAlign w:val="center"/>
          </w:tcPr>
          <w:p>
            <w:pPr>
              <w:pStyle w:val="TableContents"/>
              <w:rPr/>
            </w:pPr>
            <w:r>
              <w:rPr/>
              <w:t>Depends on Paper I's Richat candidate surviving Prediction 7 (geochemical sourcing). If that candidate is falsified, this observation dissolves.</w:t>
            </w:r>
          </w:p>
        </w:tc>
        <w:tc>
          <w:tcPr>
            <w:tcW w:w="3270" w:type="dxa"/>
            <w:tcBorders/>
            <w:vAlign w:val="center"/>
          </w:tcPr>
          <w:p>
            <w:pPr>
              <w:pStyle w:val="TableContents"/>
              <w:rPr/>
            </w:pPr>
            <w:r>
              <w:rPr/>
              <w:t>1.3.3 (geometric calculation from Richat to Hierakonpolis)</w:t>
            </w:r>
          </w:p>
        </w:tc>
      </w:tr>
      <w:tr>
        <w:trPr/>
        <w:tc>
          <w:tcPr>
            <w:tcW w:w="2459" w:type="dxa"/>
            <w:tcBorders/>
            <w:vAlign w:val="center"/>
          </w:tcPr>
          <w:p>
            <w:pPr>
              <w:pStyle w:val="TableContents"/>
              <w:rPr/>
            </w:pPr>
            <w:r>
              <w:rPr>
                <w:rStyle w:val="Strong"/>
              </w:rPr>
              <w:t>Tier 4: Scholarly Identification (Minority Position)</w:t>
            </w:r>
          </w:p>
        </w:tc>
        <w:tc>
          <w:tcPr>
            <w:tcW w:w="4243" w:type="dxa"/>
            <w:tcBorders/>
            <w:vAlign w:val="center"/>
          </w:tcPr>
          <w:p>
            <w:pPr>
              <w:pStyle w:val="TableContents"/>
              <w:rPr/>
            </w:pPr>
            <w:r>
              <w:rPr/>
              <w:t>Not required for the main argument. Noted as conditional additional convergence, not as evidence.</w:t>
            </w:r>
          </w:p>
        </w:tc>
        <w:tc>
          <w:tcPr>
            <w:tcW w:w="3270" w:type="dxa"/>
            <w:tcBorders/>
            <w:vAlign w:val="center"/>
          </w:tcPr>
          <w:p>
            <w:pPr>
              <w:pStyle w:val="TableContents"/>
              <w:rPr/>
            </w:pPr>
            <w:r>
              <w:rPr/>
              <w:t>1.4 (Canopus-Osiris identification)</w:t>
            </w:r>
          </w:p>
        </w:tc>
      </w:tr>
    </w:tbl>
    <w:p>
      <w:pPr>
        <w:pStyle w:val="BodyText"/>
        <w:spacing w:before="0" w:after="283"/>
        <w:rPr/>
      </w:pPr>
      <w:r>
        <w:rPr/>
        <w:br/>
      </w:r>
      <w:r>
        <w:rPr>
          <w:rStyle w:val="Strong"/>
        </w:rPr>
        <w:t>[Tier 1]</w:t>
      </w:r>
    </w:p>
    <w:p>
      <w:pPr>
        <w:pStyle w:val="BodyText"/>
        <w:spacing w:before="0" w:after="283"/>
        <w:rPr/>
      </w:pPr>
      <w:r>
        <w:rPr/>
        <w:t>Canopus (α Carinae) is the second-brightest star in the night sky. Its visibility is physically constrained: the star cannot be seen from locations north of approximately 27.7°N. For every 1° of northward latitude, it drops approximately 1° in altitude. Any population that moved northeast from the western Sahara toward the Nile watched it descend — a navigational and seasonal marker sinking generation by generation toward the horizon and then below it. This is an observable physical fact, independent of any theological identification.</w:t>
      </w:r>
    </w:p>
    <w:p>
      <w:pPr>
        <w:pStyle w:val="BodyText"/>
        <w:spacing w:before="0" w:after="283"/>
        <w:rPr/>
      </w:pPr>
      <w:r>
        <w:rPr/>
        <w:t>The Shaltout/Belmonte surveys document a statistically significant Canopus orientation family across 350+ Egyptian temples, tracking precession over 2,000 years. The survey authors state they cannot explain this pattern from conventional frameworks (Shaltout &amp; Belmonte 2005: 283; Shaltout, Belmonte &amp; Fekri 2007: 156). The corridor hypothesis provides one possible mechanism: the tradition was formed where the star was prominent, carried north with the populations who held it, and encoded in sacred architecture for two millennia. No theological identification is required for this mechanism to hold.</w:t>
      </w:r>
    </w:p>
    <w:p>
      <w:pPr>
        <w:pStyle w:val="BodyText"/>
        <w:spacing w:before="0" w:after="283"/>
        <w:rPr/>
      </w:pPr>
      <w:r>
        <w:rPr/>
        <w:t>Along the proposed migration route from the western Sahara to the Nile Valley, this gradient is directly observable:</w:t>
      </w:r>
    </w:p>
    <w:tbl>
      <w:tblPr>
        <w:tblW w:w="9972" w:type="dxa"/>
        <w:jc w:val="start"/>
        <w:tblInd w:w="0" w:type="dxa"/>
        <w:tblLayout w:type="fixed"/>
        <w:tblCellMar>
          <w:top w:w="28" w:type="dxa"/>
          <w:start w:w="28" w:type="dxa"/>
          <w:bottom w:w="28" w:type="dxa"/>
          <w:end w:w="28" w:type="dxa"/>
        </w:tblCellMar>
      </w:tblPr>
      <w:tblGrid>
        <w:gridCol w:w="2292"/>
        <w:gridCol w:w="986"/>
        <w:gridCol w:w="6694"/>
      </w:tblGrid>
      <w:tr>
        <w:trPr>
          <w:tblHeader w:val="true"/>
        </w:trPr>
        <w:tc>
          <w:tcPr>
            <w:tcW w:w="2292" w:type="dxa"/>
            <w:tcBorders/>
            <w:vAlign w:val="center"/>
          </w:tcPr>
          <w:p>
            <w:pPr>
              <w:pStyle w:val="TableHeading"/>
              <w:rPr/>
            </w:pPr>
            <w:r>
              <w:rPr/>
              <w:t>Location</w:t>
            </w:r>
          </w:p>
        </w:tc>
        <w:tc>
          <w:tcPr>
            <w:tcW w:w="986" w:type="dxa"/>
            <w:tcBorders/>
            <w:vAlign w:val="center"/>
          </w:tcPr>
          <w:p>
            <w:pPr>
              <w:pStyle w:val="TableHeading"/>
              <w:rPr/>
            </w:pPr>
            <w:r>
              <w:rPr/>
              <w:t>Latitude</w:t>
            </w:r>
          </w:p>
        </w:tc>
        <w:tc>
          <w:tcPr>
            <w:tcW w:w="6694" w:type="dxa"/>
            <w:tcBorders/>
            <w:vAlign w:val="center"/>
          </w:tcPr>
          <w:p>
            <w:pPr>
              <w:pStyle w:val="TableHeading"/>
              <w:rPr/>
            </w:pPr>
            <w:r>
              <w:rPr/>
              <w:t>Canopus Altitude (5500 BCE)</w:t>
            </w:r>
          </w:p>
        </w:tc>
      </w:tr>
      <w:tr>
        <w:trPr/>
        <w:tc>
          <w:tcPr>
            <w:tcW w:w="2292" w:type="dxa"/>
            <w:tcBorders/>
            <w:vAlign w:val="center"/>
          </w:tcPr>
          <w:p>
            <w:pPr>
              <w:pStyle w:val="TableContents"/>
              <w:rPr/>
            </w:pPr>
            <w:r>
              <w:rPr/>
              <w:t>Richat Structure (Mauritania)</w:t>
            </w:r>
          </w:p>
        </w:tc>
        <w:tc>
          <w:tcPr>
            <w:tcW w:w="986" w:type="dxa"/>
            <w:tcBorders/>
            <w:vAlign w:val="center"/>
          </w:tcPr>
          <w:p>
            <w:pPr>
              <w:pStyle w:val="TableContents"/>
              <w:rPr/>
            </w:pPr>
            <w:r>
              <w:rPr/>
              <w:t>21.1°N</w:t>
            </w:r>
          </w:p>
        </w:tc>
        <w:tc>
          <w:tcPr>
            <w:tcW w:w="6694" w:type="dxa"/>
            <w:tcBorders/>
            <w:vAlign w:val="center"/>
          </w:tcPr>
          <w:p>
            <w:pPr>
              <w:pStyle w:val="TableContents"/>
              <w:rPr/>
            </w:pPr>
            <w:r>
              <w:rPr/>
              <w:t>~13.4°</w:t>
            </w:r>
          </w:p>
        </w:tc>
      </w:tr>
      <w:tr>
        <w:trPr/>
        <w:tc>
          <w:tcPr>
            <w:tcW w:w="2292" w:type="dxa"/>
            <w:tcBorders/>
            <w:vAlign w:val="center"/>
          </w:tcPr>
          <w:p>
            <w:pPr>
              <w:pStyle w:val="TableContents"/>
              <w:rPr/>
            </w:pPr>
            <w:r>
              <w:rPr/>
              <w:t>Nabta Playa</w:t>
            </w:r>
          </w:p>
        </w:tc>
        <w:tc>
          <w:tcPr>
            <w:tcW w:w="986" w:type="dxa"/>
            <w:tcBorders/>
            <w:vAlign w:val="center"/>
          </w:tcPr>
          <w:p>
            <w:pPr>
              <w:pStyle w:val="TableContents"/>
              <w:rPr/>
            </w:pPr>
            <w:r>
              <w:rPr/>
              <w:t>22.5°N</w:t>
            </w:r>
          </w:p>
        </w:tc>
        <w:tc>
          <w:tcPr>
            <w:tcW w:w="6694" w:type="dxa"/>
            <w:tcBorders/>
            <w:vAlign w:val="center"/>
          </w:tcPr>
          <w:p>
            <w:pPr>
              <w:pStyle w:val="TableContents"/>
              <w:rPr/>
            </w:pPr>
            <w:r>
              <w:rPr/>
              <w:t>~12°</w:t>
            </w:r>
          </w:p>
        </w:tc>
      </w:tr>
      <w:tr>
        <w:trPr/>
        <w:tc>
          <w:tcPr>
            <w:tcW w:w="2292" w:type="dxa"/>
            <w:tcBorders/>
            <w:vAlign w:val="center"/>
          </w:tcPr>
          <w:p>
            <w:pPr>
              <w:pStyle w:val="TableContents"/>
              <w:rPr/>
            </w:pPr>
            <w:r>
              <w:rPr/>
              <w:t>Hierakonpolis</w:t>
            </w:r>
          </w:p>
        </w:tc>
        <w:tc>
          <w:tcPr>
            <w:tcW w:w="986" w:type="dxa"/>
            <w:tcBorders/>
            <w:vAlign w:val="center"/>
          </w:tcPr>
          <w:p>
            <w:pPr>
              <w:pStyle w:val="TableContents"/>
              <w:rPr/>
            </w:pPr>
            <w:r>
              <w:rPr/>
              <w:t>25.1°N</w:t>
            </w:r>
          </w:p>
        </w:tc>
        <w:tc>
          <w:tcPr>
            <w:tcW w:w="6694" w:type="dxa"/>
            <w:tcBorders/>
            <w:vAlign w:val="center"/>
          </w:tcPr>
          <w:p>
            <w:pPr>
              <w:pStyle w:val="TableContents"/>
              <w:rPr/>
            </w:pPr>
            <w:r>
              <w:rPr/>
              <w:t>~9.4°</w:t>
            </w:r>
          </w:p>
        </w:tc>
      </w:tr>
      <w:tr>
        <w:trPr/>
        <w:tc>
          <w:tcPr>
            <w:tcW w:w="2292" w:type="dxa"/>
            <w:tcBorders/>
            <w:vAlign w:val="center"/>
          </w:tcPr>
          <w:p>
            <w:pPr>
              <w:pStyle w:val="TableContents"/>
              <w:rPr/>
            </w:pPr>
            <w:r>
              <w:rPr/>
              <w:t>Luxor / Thebes</w:t>
            </w:r>
          </w:p>
        </w:tc>
        <w:tc>
          <w:tcPr>
            <w:tcW w:w="986" w:type="dxa"/>
            <w:tcBorders/>
            <w:vAlign w:val="center"/>
          </w:tcPr>
          <w:p>
            <w:pPr>
              <w:pStyle w:val="TableContents"/>
              <w:rPr/>
            </w:pPr>
            <w:r>
              <w:rPr/>
              <w:t>27.0°N</w:t>
            </w:r>
          </w:p>
        </w:tc>
        <w:tc>
          <w:tcPr>
            <w:tcW w:w="6694" w:type="dxa"/>
            <w:tcBorders/>
            <w:vAlign w:val="center"/>
          </w:tcPr>
          <w:p>
            <w:pPr>
              <w:pStyle w:val="TableContents"/>
              <w:rPr/>
            </w:pPr>
            <w:r>
              <w:rPr/>
              <w:t>~7°</w:t>
            </w:r>
          </w:p>
        </w:tc>
      </w:tr>
      <w:tr>
        <w:trPr/>
        <w:tc>
          <w:tcPr>
            <w:tcW w:w="2292" w:type="dxa"/>
            <w:tcBorders/>
            <w:vAlign w:val="center"/>
          </w:tcPr>
          <w:p>
            <w:pPr>
              <w:pStyle w:val="TableContents"/>
              <w:rPr/>
            </w:pPr>
            <w:r>
              <w:rPr/>
              <w:t>Canopus visibility limit</w:t>
            </w:r>
          </w:p>
        </w:tc>
        <w:tc>
          <w:tcPr>
            <w:tcW w:w="986" w:type="dxa"/>
            <w:tcBorders/>
            <w:vAlign w:val="center"/>
          </w:tcPr>
          <w:p>
            <w:pPr>
              <w:pStyle w:val="TableContents"/>
              <w:rPr/>
            </w:pPr>
            <w:r>
              <w:rPr/>
              <w:t>27.7°N</w:t>
            </w:r>
          </w:p>
        </w:tc>
        <w:tc>
          <w:tcPr>
            <w:tcW w:w="6694" w:type="dxa"/>
            <w:tcBorders/>
            <w:vAlign w:val="center"/>
          </w:tcPr>
          <w:p>
            <w:pPr>
              <w:pStyle w:val="TableContents"/>
              <w:rPr/>
            </w:pPr>
            <w:r>
              <w:rPr/>
              <w:t>0°</w:t>
            </w:r>
          </w:p>
        </w:tc>
      </w:tr>
      <w:tr>
        <w:trPr/>
        <w:tc>
          <w:tcPr>
            <w:tcW w:w="2292" w:type="dxa"/>
            <w:tcBorders/>
            <w:vAlign w:val="center"/>
          </w:tcPr>
          <w:p>
            <w:pPr>
              <w:pStyle w:val="TableContents"/>
              <w:rPr/>
            </w:pPr>
            <w:r>
              <w:rPr/>
              <w:t>Giza</w:t>
            </w:r>
          </w:p>
        </w:tc>
        <w:tc>
          <w:tcPr>
            <w:tcW w:w="986" w:type="dxa"/>
            <w:tcBorders/>
            <w:vAlign w:val="center"/>
          </w:tcPr>
          <w:p>
            <w:pPr>
              <w:pStyle w:val="TableContents"/>
              <w:rPr/>
            </w:pPr>
            <w:r>
              <w:rPr/>
              <w:t>30.0°N</w:t>
            </w:r>
          </w:p>
        </w:tc>
        <w:tc>
          <w:tcPr>
            <w:tcW w:w="6694" w:type="dxa"/>
            <w:tcBorders/>
            <w:vAlign w:val="center"/>
          </w:tcPr>
          <w:p>
            <w:pPr>
              <w:pStyle w:val="TableContents"/>
              <w:rPr/>
            </w:pPr>
            <w:r>
              <w:rPr/>
              <w:t>Below horizon (~4.5° at 3100 BCE by precession; reddened by atmospheric extinction — no longer navigational)</w:t>
            </w:r>
          </w:p>
        </w:tc>
      </w:tr>
    </w:tbl>
    <w:p>
      <w:pPr>
        <w:pStyle w:val="BodyText"/>
        <w:spacing w:before="0" w:after="283"/>
        <w:rPr/>
      </w:pPr>
      <w:r>
        <w:rPr/>
        <w:t>The total latitude difference between the Richat Structure (21.1°N) and Giza (30°N) is 8.865°. This is an observable, unambiguous gradient that any population moving northeast over generations would have witnessed.</w:t>
      </w:r>
    </w:p>
    <w:p>
      <w:pPr>
        <w:pStyle w:val="BodyText"/>
        <w:spacing w:before="0" w:after="283"/>
        <w:rPr/>
      </w:pPr>
      <w:r>
        <w:rPr/>
        <w:t>The architectural implication follows directly. The builders of the Great Pyramid constructed one of history's most sophisticated religious monuments to Osiris — yet Canopus was permanently invisible from Giza at the time of construction. This observation is identification-independent: regardless of which deity Canopus represented, any population carrying a tradition in which this star held funerary or threshold significance would have experienced its gradual disappearance on the northward migration as a theologically significant event. Traditions can persist after loss of visibility; the argument here is that the tradition was formed where the star was prominent, carried north by migrating populations, and preserved in institutional memory long after the star had permanently set.</w:t>
      </w:r>
    </w:p>
    <w:p>
      <w:pPr>
        <w:pStyle w:val="BodyText"/>
        <w:spacing w:before="0" w:after="283"/>
        <w:rPr/>
      </w:pPr>
      <w:r>
        <w:rPr/>
        <w:t>A specific geographic alternative requires direct engagement. The claim that the Canopus tradition could have originated in Upper Egypt — at Luxor or Aswan — and spread north, without any western Saharan migration, fails on the gradient evidence. At Luxor (25.7°N), Canopus stood at approximately 7° altitude in the Predynastic period — already near the practical limit of navigational usefulness for naked-eye stellar observation. Nabta Playa, located in the Egyptian western desert at 22.5°N, provides documented evidence. Malville et al. (2008) explicitly note that at Nabta in 4500 BCE, Canopus reached a maximum altitude of approximately 8° above the southern horizon — and observe that, with the exception of Canopus, the megalithic alignments at Nabta appear to correspond to the brightest stars in the night sky. The second-brightest star in the sky was conspicuously absent from the Nabta megalithic alignment programme despite being visible, apparently because even at 22.5°N the star was already too low for reliable monumental alignment work. At 21.1°N — the latitude of the Richat Structure — Canopus stood at approximately 13–16°: fully prominent, genuinely navigational, and meaningfully above the horizon over a seasonal and generational timescale. Upper Egypt is therefore more consistent with a destination context than an origin context within this framework. This is a testable claim: if the Canopus tradition originated in Upper Egypt, we would expect no Canopus-oriented temples at latitudes where the star was non-observable. Prediction 6c addresses this directly.</w:t>
        <w:br/>
        <w:t xml:space="preserve">These are not independent lines but coherent expressions of a single astronomical-cultural system. Their strength lies in internal consistency across domains, not statistical independence. </w:t>
      </w:r>
    </w:p>
    <w:p>
      <w:pPr>
        <w:pStyle w:val="HorizontalLine"/>
        <w:spacing w:lineRule="auto" w:line="276"/>
        <w:rPr>
          <w:sz w:val="24"/>
          <w:szCs w:val="24"/>
        </w:rPr>
      </w:pPr>
      <w:r>
        <w:rPr>
          <w:sz w:val="24"/>
          <w:szCs w:val="24"/>
        </w:rPr>
      </w:r>
    </w:p>
    <w:p>
      <w:pPr>
        <w:pStyle w:val="Heading2"/>
        <w:spacing w:lineRule="auto" w:line="276" w:before="0" w:after="283"/>
        <w:rPr>
          <w:sz w:val="24"/>
          <w:szCs w:val="24"/>
        </w:rPr>
      </w:pPr>
      <w:r>
        <w:rPr>
          <w:sz w:val="24"/>
          <w:szCs w:val="24"/>
        </w:rPr>
        <w:t>1.2 How the Cardinal Families Are Built: The Construction Protocol</w:t>
      </w:r>
    </w:p>
    <w:p>
      <w:pPr>
        <w:pStyle w:val="BodyText"/>
        <w:spacing w:before="0" w:after="283"/>
        <w:rPr/>
      </w:pPr>
      <w:r>
        <w:rPr>
          <w:rStyle w:val="Strong"/>
        </w:rPr>
        <w:t>[Tier 1 / Tier 2]</w:t>
      </w:r>
    </w:p>
    <w:p>
      <w:pPr>
        <w:pStyle w:val="BodyText"/>
        <w:spacing w:before="0" w:after="283"/>
        <w:rPr/>
      </w:pPr>
      <w:r>
        <w:rPr/>
        <w:t>The seven orientation families documented by the Shaltout/Belmonte surveys fall into three groups by the survey authors' own classification (Belmonte 2011: 80; Shaltout, Belmonte and Fekri 2007: 156). Two families (II and III) are solar. Two (IV and V) correspond to the two brightest stars in the Egyptian sky, Sirius and Canopus. Three families — I (equinoctial/eastern), VI (meridian/northern), and VII (quarter-cardinal/diagonal) — form what Belmonte explicitly terms a "cardinal super-family," accounting for the majority of temples in the dataset.</w:t>
      </w:r>
    </w:p>
    <w:p>
      <w:pPr>
        <w:pStyle w:val="BodyText"/>
        <w:spacing w:before="0" w:after="283"/>
        <w:rPr/>
      </w:pPr>
      <w:r>
        <w:rPr/>
        <w:t>The cardinal super-family has a documented construction method. A primary north–south axis was first established through stellar observation of Meskhetyu — the Bull's Foreleg asterism, the Egyptian name for the Plough — sighting circumpolar stars to identify true north. That axis was then rotated to produce the three cardinal orientations. The three rotations Belmonte documents are:</w:t>
      </w:r>
    </w:p>
    <w:p>
      <w:pPr>
        <w:pStyle w:val="BodyText"/>
        <w:numPr>
          <w:ilvl w:val="0"/>
          <w:numId w:val="15"/>
        </w:numPr>
        <w:tabs>
          <w:tab w:val="clear" w:pos="709"/>
          <w:tab w:val="left" w:pos="0" w:leader="none"/>
        </w:tabs>
        <w:spacing w:before="0" w:after="283"/>
        <w:rPr/>
      </w:pPr>
      <w:r>
        <w:rPr/>
        <w:t>One-half of a circumference (180°): due north or south — the meridian family (VI)</w:t>
      </w:r>
    </w:p>
    <w:p>
      <w:pPr>
        <w:pStyle w:val="BodyText"/>
        <w:numPr>
          <w:ilvl w:val="0"/>
          <w:numId w:val="15"/>
        </w:numPr>
        <w:tabs>
          <w:tab w:val="clear" w:pos="709"/>
          <w:tab w:val="left" w:pos="0" w:leader="none"/>
        </w:tabs>
        <w:spacing w:before="0" w:after="283"/>
        <w:rPr/>
      </w:pPr>
      <w:r>
        <w:rPr/>
        <w:t>One-quarter of a circumference (90°): due east — the equinoctial family (I)</w:t>
      </w:r>
    </w:p>
    <w:p>
      <w:pPr>
        <w:pStyle w:val="BodyText"/>
        <w:numPr>
          <w:ilvl w:val="0"/>
          <w:numId w:val="15"/>
        </w:numPr>
        <w:tabs>
          <w:tab w:val="clear" w:pos="709"/>
          <w:tab w:val="left" w:pos="0" w:leader="none"/>
        </w:tabs>
        <w:spacing w:before="0" w:after="283"/>
        <w:rPr/>
      </w:pPr>
      <w:r>
        <w:rPr/>
        <w:t>One-eighth of a circumference (45°): the NE/NW diagonal — the quarter-cardinal family (VII)</w:t>
      </w:r>
    </w:p>
    <w:p>
      <w:pPr>
        <w:pStyle w:val="BodyText"/>
        <w:spacing w:before="0" w:after="283"/>
        <w:rPr/>
      </w:pPr>
      <w:r>
        <w:rPr>
          <w:rStyle w:val="Strong"/>
        </w:rPr>
        <w:t>[Tier 1]</w:t>
      </w:r>
      <w:r>
        <w:rPr/>
        <w:t xml:space="preserve"> These values are Belmonte's own stated practical construction steps, documented in peer-reviewed publications. They describe how the dominant category of Egyptian temples was oriented across 2,000 years of construction history and 350+ surveyed sites.</w:t>
      </w:r>
    </w:p>
    <w:p>
      <w:pPr>
        <w:pStyle w:val="BodyText"/>
        <w:spacing w:before="0" w:after="283"/>
        <w:rPr/>
      </w:pPr>
      <w:r>
        <w:rPr>
          <w:rStyle w:val="Strong"/>
        </w:rPr>
        <w:t>[Tier 2]</w:t>
      </w:r>
      <w:r>
        <w:rPr/>
        <w:t xml:space="preserve"> They are also the first three fractions of the Wedjat binary system: 1/2, 1/4, 1/8.</w:t>
      </w:r>
    </w:p>
    <w:p>
      <w:pPr>
        <w:pStyle w:val="BodyText"/>
        <w:spacing w:before="0" w:after="283"/>
        <w:rPr/>
      </w:pPr>
      <w:r>
        <w:rPr/>
        <w:t>This correspondence has not previously been noted in either the archaeoastronomical or Egyptological literature. No publication connects Belmonte's rotation fractions to the Wedjat sequence. This numerical match is verifiable in published sources on both sides. Section 1.3 documents the Wedjat system across its attested domains; Section 2.5 applies the full seven-fraction hierarchy to the orientation dataset and to the Canopus anomaly.</w:t>
      </w:r>
    </w:p>
    <w:p>
      <w:pPr>
        <w:pStyle w:val="HorizontalLine"/>
        <w:spacing w:lineRule="auto" w:line="276"/>
        <w:rPr>
          <w:sz w:val="24"/>
          <w:szCs w:val="24"/>
        </w:rPr>
      </w:pPr>
      <w:r>
        <w:rPr>
          <w:sz w:val="24"/>
          <w:szCs w:val="24"/>
        </w:rPr>
      </w:r>
    </w:p>
    <w:p>
      <w:pPr>
        <w:pStyle w:val="Heading2"/>
        <w:spacing w:lineRule="auto" w:line="276" w:before="0" w:after="283"/>
        <w:rPr>
          <w:sz w:val="24"/>
          <w:szCs w:val="24"/>
        </w:rPr>
      </w:pPr>
      <w:r>
        <w:rPr>
          <w:sz w:val="24"/>
          <w:szCs w:val="24"/>
        </w:rPr>
        <w:t>1.3 The Wedjat as Transmission Architecture</w:t>
      </w:r>
    </w:p>
    <w:p>
      <w:pPr>
        <w:pStyle w:val="BodyText"/>
        <w:spacing w:before="0" w:after="283"/>
        <w:rPr/>
      </w:pPr>
      <w:r>
        <w:rPr>
          <w:rStyle w:val="Strong"/>
          <w:b w:val="false"/>
          <w:bCs w:val="false"/>
        </w:rPr>
        <w:t>The Wedjat is treated here in two strictly separated roles: first, as a cognitive-preservation framework describing how partial knowledge can be structured and transmitted over time; second, as a hypothesis-generating tool used to generate testable expectations about patterns that would be expected if such a system were historically operative.</w:t>
      </w:r>
    </w:p>
    <w:p>
      <w:pPr>
        <w:pStyle w:val="BodyText"/>
        <w:spacing w:before="0" w:after="283"/>
        <w:rPr/>
      </w:pPr>
      <w:r>
        <w:rPr>
          <w:b/>
          <w:bCs/>
        </w:rPr>
        <w:t>Conditional Status:</w:t>
      </w:r>
      <w:r>
        <w:rPr/>
        <w:t xml:space="preserve"> The material in this section uses the Richat Structure coordinates (21.1°N) because Paper I identified the Richat as the sole surviving candidate among 14 Saharan formations. This material is conditional on Paper I's candidate surviving Prediction 7 (geochemical sourcing). If Prediction 7 falsifies the Richat candidate, the correspondence dissolves entirely.</w:t>
      </w:r>
    </w:p>
    <w:p>
      <w:pPr>
        <w:pStyle w:val="BodyText"/>
        <w:spacing w:before="0" w:after="283"/>
        <w:rPr/>
      </w:pPr>
      <w:r>
        <w:rPr/>
        <w:t>The Wedjat framework addresses a different question: how continuity could be maintained across such a migration. It is therefore not counted among the six primary evidence lines used for consilience.</w:t>
      </w:r>
    </w:p>
    <w:p>
      <w:pPr>
        <w:pStyle w:val="HorizontalLine"/>
        <w:spacing w:lineRule="auto" w:line="276"/>
        <w:rPr>
          <w:sz w:val="24"/>
          <w:szCs w:val="24"/>
        </w:rPr>
      </w:pPr>
      <w:r>
        <w:rPr>
          <w:sz w:val="24"/>
          <w:szCs w:val="24"/>
        </w:rPr>
      </w:r>
    </w:p>
    <w:p>
      <w:pPr>
        <w:pStyle w:val="Heading3"/>
        <w:spacing w:lineRule="auto" w:line="276" w:before="0" w:after="283"/>
        <w:rPr>
          <w:sz w:val="24"/>
          <w:szCs w:val="24"/>
        </w:rPr>
      </w:pPr>
      <w:r>
        <w:rPr>
          <w:sz w:val="24"/>
          <w:szCs w:val="24"/>
        </w:rPr>
        <w:t>1.3.1 Established Evidence: The Wedjat as a Documented Cognitive System</w:t>
      </w:r>
    </w:p>
    <w:p>
      <w:pPr>
        <w:pStyle w:val="BodyText"/>
        <w:spacing w:before="0" w:after="283"/>
        <w:rPr/>
      </w:pPr>
      <w:r>
        <w:rPr>
          <w:rStyle w:val="Strong"/>
        </w:rPr>
        <w:t>[Tier 1]</w:t>
      </w:r>
    </w:p>
    <w:p>
      <w:pPr>
        <w:pStyle w:val="BodyText"/>
        <w:spacing w:before="0" w:after="283"/>
        <w:rPr/>
      </w:pPr>
      <w:r>
        <w:rPr/>
        <w:t>The Wedjat binary fraction series — 1/2, 1/4, 1/8, 1/16, 1/32, 1/64 — is attested across every major domain of Egyptian knowledge without dispute:</w:t>
      </w:r>
    </w:p>
    <w:p>
      <w:pPr>
        <w:pStyle w:val="BodyText"/>
        <w:numPr>
          <w:ilvl w:val="0"/>
          <w:numId w:val="12"/>
        </w:numPr>
        <w:tabs>
          <w:tab w:val="clear" w:pos="709"/>
          <w:tab w:val="left" w:pos="0" w:leader="none"/>
        </w:tabs>
        <w:spacing w:before="0" w:after="283"/>
        <w:ind w:hanging="283" w:start="709"/>
        <w:rPr/>
      </w:pPr>
      <w:r>
        <w:rPr>
          <w:rStyle w:val="Strong"/>
        </w:rPr>
        <w:t>Grain administration:</w:t>
      </w:r>
      <w:r>
        <w:rPr/>
        <w:t xml:space="preserve"> The hekat measurement system of the Rhind Mathematical Papyrus uses the binary series as its foundational structure (Gillings 1972; Clagett 1999).</w:t>
      </w:r>
    </w:p>
    <w:p>
      <w:pPr>
        <w:pStyle w:val="BodyText"/>
        <w:numPr>
          <w:ilvl w:val="0"/>
          <w:numId w:val="12"/>
        </w:numPr>
        <w:tabs>
          <w:tab w:val="clear" w:pos="709"/>
          <w:tab w:val="left" w:pos="0" w:leader="none"/>
        </w:tabs>
        <w:spacing w:before="0" w:after="283"/>
        <w:ind w:hanging="283" w:start="709"/>
        <w:rPr/>
      </w:pPr>
      <w:r>
        <w:rPr>
          <w:rStyle w:val="Strong"/>
        </w:rPr>
        <w:t>Pharmaceutical dosing:</w:t>
      </w:r>
      <w:r>
        <w:rPr/>
        <w:t xml:space="preserve"> The Ebers Papyrus employs the same binary fractions for measuring ingredients, with a secondary system extending to 1/128 for smaller units (Pommerening 2003).</w:t>
      </w:r>
    </w:p>
    <w:p>
      <w:pPr>
        <w:pStyle w:val="BodyText"/>
        <w:numPr>
          <w:ilvl w:val="0"/>
          <w:numId w:val="12"/>
        </w:numPr>
        <w:tabs>
          <w:tab w:val="clear" w:pos="709"/>
          <w:tab w:val="left" w:pos="0" w:leader="none"/>
        </w:tabs>
        <w:spacing w:before="0" w:after="283"/>
        <w:ind w:hanging="283" w:start="709"/>
        <w:rPr/>
      </w:pPr>
      <w:r>
        <w:rPr>
          <w:rStyle w:val="Strong"/>
        </w:rPr>
        <w:t>Lunar timekeeping:</w:t>
      </w:r>
      <w:r>
        <w:rPr/>
        <w:t xml:space="preserve"> The 15-day filling of the eye from new moon to full moon structured lunar festivals; the Coffin Texts identify Thoth as "who protects and fills the Eye of Horus in the Day of new moon" (Parker 1950; Eaton 2011; Faulkner 1973–78).</w:t>
      </w:r>
    </w:p>
    <w:p>
      <w:pPr>
        <w:pStyle w:val="BodyText"/>
        <w:numPr>
          <w:ilvl w:val="0"/>
          <w:numId w:val="12"/>
        </w:numPr>
        <w:tabs>
          <w:tab w:val="clear" w:pos="709"/>
          <w:tab w:val="left" w:pos="0" w:leader="none"/>
        </w:tabs>
        <w:spacing w:before="0" w:after="283"/>
        <w:ind w:hanging="283" w:start="709"/>
        <w:rPr/>
      </w:pPr>
      <w:r>
        <w:rPr>
          <w:rStyle w:val="Strong"/>
        </w:rPr>
        <w:t>Funerary protection:</w:t>
      </w:r>
      <w:r>
        <w:rPr/>
        <w:t xml:space="preserve"> Book of the Dead Chapter 140 prescribes the placement of wedjat amulets on the mummy; Chapter 167 equates the restored eye with the deceased's revitalization.</w:t>
      </w:r>
    </w:p>
    <w:p>
      <w:pPr>
        <w:pStyle w:val="BodyText"/>
        <w:numPr>
          <w:ilvl w:val="0"/>
          <w:numId w:val="12"/>
        </w:numPr>
        <w:tabs>
          <w:tab w:val="clear" w:pos="709"/>
          <w:tab w:val="left" w:pos="0" w:leader="none"/>
        </w:tabs>
        <w:spacing w:before="0" w:after="283"/>
        <w:ind w:hanging="283" w:start="709"/>
        <w:rPr/>
      </w:pPr>
      <w:r>
        <w:rPr>
          <w:rStyle w:val="Strong"/>
        </w:rPr>
        <w:t>The Opening of the Mouth ritual:</w:t>
      </w:r>
      <w:r>
        <w:rPr/>
        <w:t xml:space="preserve"> An adze shaped like the wedjat eye was used to ritually open the mouth, eyes, and ears of the mummy, restoring the senses lost at death (Otto 1960; Roth 1993).</w:t>
      </w:r>
    </w:p>
    <w:p>
      <w:pPr>
        <w:pStyle w:val="BodyText"/>
        <w:numPr>
          <w:ilvl w:val="0"/>
          <w:numId w:val="12"/>
        </w:numPr>
        <w:tabs>
          <w:tab w:val="clear" w:pos="709"/>
          <w:tab w:val="left" w:pos="0" w:leader="none"/>
        </w:tabs>
        <w:spacing w:before="0" w:after="283"/>
        <w:ind w:hanging="283" w:start="709"/>
        <w:rPr/>
      </w:pPr>
      <w:r>
        <w:rPr>
          <w:rStyle w:val="Strong"/>
        </w:rPr>
        <w:t>Temple offerings:</w:t>
      </w:r>
      <w:r>
        <w:rPr/>
        <w:t xml:space="preserve"> Edfu Temple hosted a formally named Wedjat presentation ritual (the </w:t>
      </w:r>
      <w:r>
        <w:rPr>
          <w:rStyle w:val="Emphasis"/>
        </w:rPr>
        <w:t>Hnk WDAt</w:t>
      </w:r>
      <w:r>
        <w:rPr/>
        <w:t>), in which the king received "everything upon which the sun and moon shine" and the power to perceive "those things which are hidden in the dark" (Ibrahim and Aboelmagd 2023).</w:t>
      </w:r>
    </w:p>
    <w:p>
      <w:pPr>
        <w:pStyle w:val="BodyText"/>
        <w:numPr>
          <w:ilvl w:val="0"/>
          <w:numId w:val="12"/>
        </w:numPr>
        <w:tabs>
          <w:tab w:val="clear" w:pos="709"/>
          <w:tab w:val="left" w:pos="0" w:leader="none"/>
        </w:tabs>
        <w:spacing w:before="0" w:after="283"/>
        <w:ind w:hanging="283" w:start="709"/>
        <w:rPr/>
      </w:pPr>
      <w:r>
        <w:rPr>
          <w:rStyle w:val="Strong"/>
        </w:rPr>
        <w:t>Primeval creation marker:</w:t>
      </w:r>
      <w:r>
        <w:rPr/>
        <w:t xml:space="preserve"> In the cosmogonical creation text inscribed on the inner face of the Edfu enclosure wall, the Eye of Horus hieroglyph is used uniquely to spell the word </w:t>
      </w:r>
      <w:r>
        <w:rPr>
          <w:rStyle w:val="Emphasis"/>
        </w:rPr>
        <w:t>'nt</w:t>
      </w:r>
      <w:r>
        <w:rPr/>
        <w:t xml:space="preserve"> ("moment") in the opening lines of the Zep Tepi creation narrative. This is its only occurrence in the passage written with the Eye sign; all subsequent instances use phonetic spelling. Kurth's team identifies this as a deliberate compositional choice (Seyfzadeh 2024, translating Kurth et al., </w:t>
      </w:r>
      <w:r>
        <w:rPr>
          <w:rStyle w:val="Emphasis"/>
        </w:rPr>
        <w:t>Edfou VI</w:t>
      </w:r>
      <w:r>
        <w:rPr/>
        <w:t>, 2014).</w:t>
      </w:r>
    </w:p>
    <w:p>
      <w:pPr>
        <w:pStyle w:val="BodyText"/>
        <w:spacing w:before="0" w:after="283"/>
        <w:rPr/>
      </w:pPr>
      <w:r>
        <w:rPr/>
        <w:t xml:space="preserve">Across all these domains, the Wedjat performs the same cognitive work: it </w:t>
      </w:r>
      <w:r>
        <w:rPr>
          <w:rStyle w:val="Strong"/>
        </w:rPr>
        <w:t>quantizes a continuous domain</w:t>
      </w:r>
      <w:r>
        <w:rPr/>
        <w:t xml:space="preserve"> (grain volume, pharmaceutical dose, lunar time, sensory perception), </w:t>
      </w:r>
      <w:r>
        <w:rPr>
          <w:rStyle w:val="Strong"/>
        </w:rPr>
        <w:t>marks a threshold</w:t>
      </w:r>
      <w:r>
        <w:rPr/>
        <w:t xml:space="preserve"> (between life and death, profane and sacred, visible and hidden), and </w:t>
      </w:r>
      <w:r>
        <w:rPr>
          <w:rStyle w:val="Strong"/>
        </w:rPr>
        <w:t>encodes the restoration of what was lost</w:t>
      </w:r>
      <w:r>
        <w:rPr/>
        <w:t xml:space="preserve"> (the eye healed, the dead revived, the senses restored).</w:t>
      </w:r>
    </w:p>
    <w:p>
      <w:pPr>
        <w:pStyle w:val="BodyText"/>
        <w:spacing w:before="0" w:after="283"/>
        <w:rPr/>
      </w:pPr>
      <w:r>
        <w:rPr/>
        <w:t>The six fractions sum to 63/64. The missing 1/64 is acknowledged in Egyptian sources as requiring the magic of Thoth to complete the whole. Thoth's domain is writing, transmission, and the substitution of encoded knowledge for the thing itself. The 1/64 is not a mathematical error. It is a structural acknowledgment that some component of any whole cannot be physically recovered — and must therefore be preserved through externalized encoding.</w:t>
      </w:r>
    </w:p>
    <w:p>
      <w:pPr>
        <w:pStyle w:val="HorizontalLine"/>
        <w:spacing w:lineRule="auto" w:line="276"/>
        <w:rPr>
          <w:sz w:val="24"/>
          <w:szCs w:val="24"/>
        </w:rPr>
      </w:pPr>
      <w:r>
        <w:rPr>
          <w:sz w:val="24"/>
          <w:szCs w:val="24"/>
        </w:rPr>
      </w:r>
    </w:p>
    <w:p>
      <w:pPr>
        <w:pStyle w:val="Heading3"/>
        <w:spacing w:lineRule="auto" w:line="276" w:before="0" w:after="283"/>
        <w:rPr>
          <w:sz w:val="24"/>
          <w:szCs w:val="24"/>
        </w:rPr>
      </w:pPr>
      <w:r>
        <w:rPr>
          <w:sz w:val="24"/>
          <w:szCs w:val="24"/>
        </w:rPr>
        <w:t>1.3.2 Model-Based Inference: The Wedjat as a Framework for Threshold Crossing</w:t>
      </w:r>
    </w:p>
    <w:p>
      <w:pPr>
        <w:pStyle w:val="BodyText"/>
        <w:spacing w:before="0" w:after="283"/>
        <w:rPr/>
      </w:pPr>
      <w:r>
        <w:rPr>
          <w:rStyle w:val="Strong"/>
        </w:rPr>
        <w:t>[Tier 2 — Interpretation generating predictions]</w:t>
      </w:r>
    </w:p>
    <w:p>
      <w:pPr>
        <w:pStyle w:val="BodyText"/>
        <w:spacing w:before="0" w:after="283"/>
        <w:rPr/>
      </w:pPr>
      <w:r>
        <w:rPr/>
        <w:t>A population executing a corridor migration faces exactly the problem the Wedjat is built to solve. The following can be carried north: ritual practice, iconography, astronomical observation systems, oral tradition, material culture. The following cannot be carried north: the ground itself, the specific latitude, the particular altitude of Canopus at 16° above the southern horizon. That specific sky is the 1/64. No human effort recovers it. It can only be preserved through Thoth's mechanism — written record, institutional memory, architectural encoding of where the star last appeared.</w:t>
      </w:r>
    </w:p>
    <w:p>
      <w:pPr>
        <w:pStyle w:val="BodyText"/>
        <w:spacing w:before="0" w:after="283"/>
        <w:rPr/>
      </w:pPr>
      <w:r>
        <w:rPr/>
        <w:t>The argument here is not that the Wedjat was designed for migration. It is that the Wedjat is a generalized architecture for threshold-crossing under conditions of irreversible loss — and a corridor migration is precisely such a condition. A culture already in possession of this cognitive tool would deploy it at the moment it was most needed.</w:t>
      </w:r>
    </w:p>
    <w:p>
      <w:pPr>
        <w:pStyle w:val="BodyText"/>
        <w:spacing w:before="0" w:after="283"/>
        <w:rPr/>
      </w:pPr>
      <w:r>
        <w:rPr/>
        <w:t>This framework generates a specific behavioral prediction. If the Wedjat logic governed how this culture preserved what could not be physically carried, we would expect them to preferentially encode irrecoverable elements through externalized records rather than symbolic substitution. We would expect findable archives, not cosmic myth. We would expect named physical documents in professional accountability contexts, not impossible reign lengths. Section 4 documents whether this prediction holds.</w:t>
      </w:r>
    </w:p>
    <w:p>
      <w:pPr>
        <w:pStyle w:val="HorizontalLine"/>
        <w:spacing w:lineRule="auto" w:line="276"/>
        <w:rPr>
          <w:sz w:val="24"/>
          <w:szCs w:val="24"/>
        </w:rPr>
      </w:pPr>
      <w:r>
        <w:rPr>
          <w:sz w:val="24"/>
          <w:szCs w:val="24"/>
        </w:rPr>
      </w:r>
    </w:p>
    <w:p>
      <w:pPr>
        <w:pStyle w:val="Heading3"/>
        <w:spacing w:lineRule="auto" w:line="276" w:before="0" w:after="283"/>
        <w:rPr>
          <w:sz w:val="24"/>
          <w:szCs w:val="24"/>
        </w:rPr>
      </w:pPr>
      <w:r>
        <w:rPr>
          <w:sz w:val="24"/>
          <w:szCs w:val="24"/>
        </w:rPr>
        <w:t>1.3.3 Geometric Observation (Conditional)</w:t>
      </w:r>
    </w:p>
    <w:p>
      <w:pPr>
        <w:pStyle w:val="BodyText"/>
        <w:spacing w:before="0" w:after="283"/>
        <w:rPr/>
      </w:pPr>
      <w:r>
        <w:rPr>
          <w:rStyle w:val="Strong"/>
        </w:rPr>
        <w:t>[Tier 3 — Conditional on Paper I's Richat candidate]</w:t>
      </w:r>
    </w:p>
    <w:p>
      <w:pPr>
        <w:pStyle w:val="BodyText"/>
        <w:spacing w:before="0" w:after="283"/>
        <w:rPr/>
      </w:pPr>
      <w:r>
        <w:rPr/>
        <w:t>One geometric observation follows from the corridor's dimensions and is noted for completeness. Applied to the corridor from the Richat Structure (21.124°N) to Giza (29.98°N), the 1/2 fraction — the primary threshold, the largest recoverable piece — falls at 25.55°N. This corresponds to within 70 km of the Upper Egyptian primary settlement zone: Hierakonpolis (25.1°N), El Kab (25.15°N), Luxor (25.7°N), Edfu (24.98°N). The remaining five fractions produce no named correspondences and are not claimed to.</w:t>
      </w:r>
    </w:p>
    <w:p>
      <w:pPr>
        <w:pStyle w:val="BodyText"/>
        <w:spacing w:before="0" w:after="283"/>
        <w:rPr/>
      </w:pPr>
      <w:r>
        <w:rPr/>
        <w:t>This single observation is conditional on Prediction 7a: if the Richat candidate is falsified by geochemical sourcing, the corridor calculation dissolves and is withdrawn. It is presented as a conditional observation consistent with the corridor model, not as independent evidence.</w:t>
      </w:r>
    </w:p>
    <w:p>
      <w:pPr>
        <w:pStyle w:val="BodyText"/>
        <w:spacing w:before="0" w:after="283"/>
        <w:rPr/>
      </w:pPr>
      <w:r>
        <w:rPr/>
        <w:t>Separately: the Canopus visibility limit (27.7°N) falls at 74% of the corridor distance — a constraint of stellar mechanics, not of the Wedjat, and noted independently.</w:t>
      </w:r>
    </w:p>
    <w:p>
      <w:pPr>
        <w:pStyle w:val="Heading2"/>
        <w:spacing w:before="0" w:after="283"/>
        <w:rPr>
          <w:sz w:val="24"/>
          <w:szCs w:val="24"/>
        </w:rPr>
      </w:pPr>
      <w:r>
        <w:rPr>
          <w:sz w:val="24"/>
          <w:szCs w:val="24"/>
        </w:rPr>
        <w:t>1.3.4 Testable Prediction — Uniqueness of the Richat Structure as the Wedjat Origin</w:t>
      </w:r>
    </w:p>
    <w:p>
      <w:pPr>
        <w:pStyle w:val="BodyText"/>
        <w:spacing w:before="0" w:after="283"/>
        <w:rPr/>
      </w:pPr>
      <w:r>
        <w:rPr>
          <w:rStyle w:val="Strong"/>
        </w:rPr>
        <w:t>[Tier 2/3 — Model-Based Prediction Conditional on Paper I]</w:t>
      </w:r>
    </w:p>
    <w:p>
      <w:pPr>
        <w:pStyle w:val="BodyText"/>
        <w:spacing w:before="0" w:after="283"/>
        <w:rPr/>
      </w:pPr>
      <w:r>
        <w:rPr/>
        <w:t>The synthesis of the Wedjat binary fraction system, Belmonte's documented temple orientation rotations, and the Canopus visibility gradient generates one unified, falsifiable prediction.</w:t>
      </w:r>
    </w:p>
    <w:p>
      <w:pPr>
        <w:pStyle w:val="BodyText"/>
        <w:spacing w:before="0" w:after="283"/>
        <w:rPr/>
      </w:pPr>
      <w:r>
        <w:rPr>
          <w:rStyle w:val="Strong"/>
        </w:rPr>
        <w:t>Derivation order:</w:t>
      </w:r>
      <w:r>
        <w:rPr/>
        <w:t xml:space="preserve"> The six conditions below are first derived from the established properties of the Wedjat binary series, Belmonte's rotation families, Canopus declination physics, and the documented northeast migration corridor. Only then is the Richat Structure tested against this pre-defined set.</w:t>
      </w:r>
    </w:p>
    <w:p>
      <w:pPr>
        <w:pStyle w:val="BodyText"/>
        <w:spacing w:before="0" w:after="283"/>
        <w:rPr/>
      </w:pPr>
      <w:r>
        <w:rPr/>
        <w:t>If the Wedjat encodes a structured transmission of knowledge from a southern/western concentric-ring origin along the northeast migration corridor to Giza — with the binary fractions representing quantized stages of loss and the missing 1/64 the irrecoverable portion supplied by Thoth's externalized memory (writing) — then applying the 1/64 fraction to the latitude difference between the origin and Giza must satisfy six independent conditions:</w:t>
      </w:r>
    </w:p>
    <w:p>
      <w:pPr>
        <w:pStyle w:val="BodyText"/>
        <w:numPr>
          <w:ilvl w:val="0"/>
          <w:numId w:val="13"/>
        </w:numPr>
        <w:tabs>
          <w:tab w:val="clear" w:pos="709"/>
          <w:tab w:val="left" w:pos="0" w:leader="none"/>
        </w:tabs>
        <w:spacing w:before="0" w:after="283"/>
        <w:ind w:hanging="283" w:start="709"/>
        <w:rPr/>
      </w:pPr>
      <w:r>
        <w:rPr>
          <w:rStyle w:val="Strong"/>
        </w:rPr>
        <w:t>Geometric placement.</w:t>
      </w:r>
      <w:r>
        <w:rPr/>
        <w:t xml:space="preserve"> The resulting point lies inside a prominent natural concentric-ring geological dome, providing visual and symbolic resonance with the layered "eye" form of the Wedjat.</w:t>
      </w:r>
    </w:p>
    <w:p>
      <w:pPr>
        <w:pStyle w:val="BodyText"/>
        <w:numPr>
          <w:ilvl w:val="0"/>
          <w:numId w:val="13"/>
        </w:numPr>
        <w:tabs>
          <w:tab w:val="clear" w:pos="709"/>
          <w:tab w:val="left" w:pos="0" w:leader="none"/>
        </w:tabs>
        <w:spacing w:before="0" w:after="283"/>
        <w:ind w:hanging="283" w:start="709"/>
        <w:rPr/>
      </w:pPr>
      <w:r>
        <w:rPr>
          <w:rStyle w:val="Strong"/>
        </w:rPr>
        <w:t>Directional orientation.</w:t>
      </w:r>
      <w:r>
        <w:rPr/>
        <w:t xml:space="preserve"> The point falls in the mid-to-outer ring zone on the northeast-facing side of the structure, aligned with the documented ancient migration corridor to the Nile Valley.</w:t>
      </w:r>
    </w:p>
    <w:p>
      <w:pPr>
        <w:pStyle w:val="BodyText"/>
        <w:numPr>
          <w:ilvl w:val="0"/>
          <w:numId w:val="13"/>
        </w:numPr>
        <w:tabs>
          <w:tab w:val="clear" w:pos="709"/>
          <w:tab w:val="left" w:pos="0" w:leader="none"/>
        </w:tabs>
        <w:spacing w:before="0" w:after="283"/>
        <w:ind w:hanging="283" w:start="709"/>
        <w:rPr/>
      </w:pPr>
      <w:r>
        <w:rPr>
          <w:rStyle w:val="Strong"/>
        </w:rPr>
        <w:t>Canopus visibility.</w:t>
      </w:r>
      <w:r>
        <w:rPr/>
        <w:t xml:space="preserve"> Canopus is low but visible from the origin at 5500 BCE (maximum altitude approximately 16°, calculated using standard precession models), while permanently invisible from Giza (30°N).</w:t>
      </w:r>
    </w:p>
    <w:p>
      <w:pPr>
        <w:pStyle w:val="BodyText"/>
        <w:numPr>
          <w:ilvl w:val="0"/>
          <w:numId w:val="13"/>
        </w:numPr>
        <w:tabs>
          <w:tab w:val="clear" w:pos="709"/>
          <w:tab w:val="left" w:pos="0" w:leader="none"/>
        </w:tabs>
        <w:spacing w:before="0" w:after="283"/>
        <w:ind w:hanging="283" w:start="709"/>
        <w:rPr/>
      </w:pPr>
      <w:r>
        <w:rPr>
          <w:rStyle w:val="Strong"/>
        </w:rPr>
        <w:t>Chronological occupation.</w:t>
      </w:r>
      <w:r>
        <w:rPr/>
        <w:t xml:space="preserve"> The site shows evidence of human activity during the Green Sahara window (c. 6500–4500 BCE).</w:t>
      </w:r>
    </w:p>
    <w:p>
      <w:pPr>
        <w:pStyle w:val="BodyText"/>
        <w:numPr>
          <w:ilvl w:val="0"/>
          <w:numId w:val="13"/>
        </w:numPr>
        <w:tabs>
          <w:tab w:val="clear" w:pos="709"/>
          <w:tab w:val="left" w:pos="0" w:leader="none"/>
        </w:tabs>
        <w:spacing w:before="0" w:after="283"/>
        <w:ind w:hanging="283" w:start="709"/>
        <w:rPr/>
      </w:pPr>
      <w:r>
        <w:rPr>
          <w:rStyle w:val="Strong"/>
        </w:rPr>
        <w:t>Corridor alignment.</w:t>
      </w:r>
      <w:r>
        <w:rPr/>
        <w:t xml:space="preserve"> The directional bearing from the 1/64 point aligns with the documented northeast paleoriver/migration corridor (Drake et al. 2011; Skonieczny et al. 2015).</w:t>
      </w:r>
    </w:p>
    <w:p>
      <w:pPr>
        <w:pStyle w:val="BodyText"/>
        <w:numPr>
          <w:ilvl w:val="0"/>
          <w:numId w:val="13"/>
        </w:numPr>
        <w:tabs>
          <w:tab w:val="clear" w:pos="709"/>
          <w:tab w:val="left" w:pos="0" w:leader="none"/>
        </w:tabs>
        <w:spacing w:before="0" w:after="283"/>
        <w:ind w:hanging="283" w:start="709"/>
        <w:rPr/>
      </w:pPr>
      <w:r>
        <w:rPr>
          <w:rStyle w:val="Strong"/>
        </w:rPr>
        <w:t>Symbolic consistency.</w:t>
      </w:r>
      <w:r>
        <w:rPr/>
        <w:t xml:space="preserve"> The placement is consistent with the missing 1/64 as the piece that cannot be recovered by direct observation alone — preserved only through institutional memory (the Shemsu Hor / Followers of Horus).</w:t>
      </w:r>
    </w:p>
    <w:p>
      <w:pPr>
        <w:pStyle w:val="BodyText"/>
        <w:spacing w:before="0" w:after="283"/>
        <w:rPr/>
      </w:pPr>
      <w:r>
        <w:rPr>
          <w:rStyle w:val="Strong"/>
        </w:rPr>
        <w:t>Calculation using exact centers</w:t>
      </w:r>
    </w:p>
    <w:p>
      <w:pPr>
        <w:pStyle w:val="BodyText"/>
        <w:spacing w:before="0" w:after="283"/>
        <w:rPr/>
      </w:pPr>
      <w:r>
        <w:rPr/>
        <w:t>Richat Structure center: 21.1167°N (Abdeina et al. 2024; USGS/NASA consensus)</w:t>
        <w:br/>
        <w:t>Great Pyramid apex (Giza): 29.97917°N</w:t>
      </w:r>
    </w:p>
    <w:p>
      <w:pPr>
        <w:pStyle w:val="BodyText"/>
        <w:spacing w:before="0" w:after="283"/>
        <w:rPr/>
      </w:pPr>
      <w:r>
        <w:rPr/>
        <w:t>Latitude difference: 8.86247°</w:t>
        <w:br/>
        <w:t>1/64 of this difference = 0.138476°</w:t>
      </w:r>
    </w:p>
    <w:p>
      <w:pPr>
        <w:pStyle w:val="BodyText"/>
        <w:spacing w:before="0" w:after="283"/>
        <w:rPr/>
      </w:pPr>
      <w:r>
        <w:rPr/>
        <w:t>Using the standard Earth meridian length of 111.32 km per degree of latitude:</w:t>
        <w:br/>
        <w:t>0.138476° × 111.32 km/° ≈ 15.415 km north of Richat center.</w:t>
      </w:r>
    </w:p>
    <w:p>
      <w:pPr>
        <w:pStyle w:val="BodyText"/>
        <w:spacing w:before="0" w:after="283"/>
        <w:rPr/>
      </w:pPr>
      <w:r>
        <w:rPr/>
        <w:t>This point lies well inside the Richat's documented ~40 km diameter (outer radius ~20 km), within the mid-to-outer concentric ring zone on the northeast sector oriented toward the Nile corridor. Ring features are mapped with outer dikes approximately 7–8 km from center, placing the point comfortably inside the main concentric system. Canopus was low but visible from this latitude in 5500 BCE and remains permanently below the horizon at Giza.</w:t>
      </w:r>
    </w:p>
    <w:p>
      <w:pPr>
        <w:pStyle w:val="BodyText"/>
        <w:spacing w:before="0" w:after="283"/>
        <w:rPr/>
      </w:pPr>
      <w:r>
        <w:rPr/>
        <w:t>Archaeological surveys document predominantly Acheulean lithics, with scattered, low-density Neolithic surface finds along wadis in the outer annular depressions. No published evidence exists of sustained pastoralist camps or cattle-related activity comparable to Takarkori or Nabta Playa; the material is consistent with intermittent human presence during the Green Sahara period rather than intensive habitation (Giresse et al. 2012; Sao et al. 2008). The bearing from this point to Giza aligns with the documented northeast paleoriver/migration corridor.</w:t>
      </w:r>
    </w:p>
    <w:p>
      <w:pPr>
        <w:pStyle w:val="BodyText"/>
        <w:spacing w:before="0" w:after="283"/>
        <w:rPr/>
      </w:pPr>
      <w:r>
        <w:rPr>
          <w:rStyle w:val="Strong"/>
        </w:rPr>
        <w:t>Numerical correspondence between Belmonte's rotations and the Wedjat fractions:</w:t>
      </w:r>
      <w:r>
        <w:rPr/>
        <w:t xml:space="preserve"> The three rotations Belmonte documents for the cardinal super-family — 180° (half turn), 90° (quarter turn), and 45° (eighth turn) — correspond exactly to the Wedjat's first three binary fractions (1/2, 1/4, 1/8). This correspondence has not previously been noted in the archaeoastronomical or Egyptological literature. It is a verifiable numerical fact in published sources and generates independent falsifiable expectations about orientation frequency (Predictions 6a–6c).</w:t>
      </w:r>
    </w:p>
    <w:p>
      <w:pPr>
        <w:pStyle w:val="BodyText"/>
        <w:spacing w:before="0" w:after="283"/>
        <w:rPr/>
      </w:pPr>
      <w:r>
        <w:rPr>
          <w:rStyle w:val="Strong"/>
        </w:rPr>
        <w:t>Uniqueness claim</w:t>
      </w:r>
    </w:p>
    <w:p>
      <w:pPr>
        <w:pStyle w:val="BodyText"/>
        <w:spacing w:before="0" w:after="283"/>
        <w:rPr/>
      </w:pPr>
      <w:r>
        <w:rPr/>
        <w:t>Among known concentric-ring geological features and Green Sahara occupation sites, the Richat Structure currently appears to be the only location satisfying the full set of six independent conditions. No other candidate combines the precise 1/64 geometric placement inside the rings, directional alignment, Canopus visibility gradient, chronological occupation evidence (however intermittent), corridor bearing, and symbolic "irrecoverable piece" constraints.</w:t>
      </w:r>
    </w:p>
    <w:p>
      <w:pPr>
        <w:pStyle w:val="BodyText"/>
        <w:spacing w:before="0" w:after="283"/>
        <w:rPr/>
      </w:pPr>
      <w:r>
        <w:rPr>
          <w:rStyle w:val="Strong"/>
        </w:rPr>
        <w:t>Falsification criteria</w:t>
      </w:r>
    </w:p>
    <w:p>
      <w:pPr>
        <w:pStyle w:val="BodyText"/>
        <w:spacing w:before="0" w:after="283"/>
        <w:rPr/>
      </w:pPr>
      <w:r>
        <w:rPr/>
        <w:t>This prediction is directly testable and can be falsified by:</w:t>
      </w:r>
    </w:p>
    <w:p>
      <w:pPr>
        <w:pStyle w:val="BodyText"/>
        <w:numPr>
          <w:ilvl w:val="0"/>
          <w:numId w:val="14"/>
        </w:numPr>
        <w:tabs>
          <w:tab w:val="clear" w:pos="709"/>
          <w:tab w:val="left" w:pos="0" w:leader="none"/>
        </w:tabs>
        <w:spacing w:before="0" w:after="283"/>
        <w:ind w:hanging="283" w:start="709"/>
        <w:rPr/>
      </w:pPr>
      <w:r>
        <w:rPr/>
        <w:t>A systematic global survey of known concentric-ring structures and Green Sahara sites demonstrating that any alternative candidate satisfies all six conditions; or</w:t>
      </w:r>
    </w:p>
    <w:p>
      <w:pPr>
        <w:pStyle w:val="BodyText"/>
        <w:numPr>
          <w:ilvl w:val="0"/>
          <w:numId w:val="14"/>
        </w:numPr>
        <w:tabs>
          <w:tab w:val="clear" w:pos="709"/>
          <w:tab w:val="left" w:pos="0" w:leader="none"/>
        </w:tabs>
        <w:spacing w:before="0" w:after="283"/>
        <w:ind w:hanging="283" w:start="709"/>
        <w:rPr/>
      </w:pPr>
      <w:r>
        <w:rPr/>
        <w:t>Higher-resolution geological or satellite mapping, or targeted excavation, demonstrating that the 1/64 point falls outside the Richat's main concentric system, lacks northeast-side orientation, or shows no occupation evidence in the 6500–4500 BCE window.</w:t>
      </w:r>
    </w:p>
    <w:p>
      <w:pPr>
        <w:pStyle w:val="BodyText"/>
        <w:spacing w:before="0" w:after="283"/>
        <w:rPr/>
      </w:pPr>
      <w:r>
        <w:rPr/>
        <w:t>If either occurs, the specific Richat–Wedjat geometric-astronomical model is falsified. Confirmation of the full set at Richat (and absence elsewhere) would provide strong support for the hypothesis that the Wedjat encodes a structured memory of a southern/western origin transmitted northeast along the migration corridor, carried by the Shemsu Hor, and preserved in the unexplained Canopus orientation family documented by Belmonte's surveys.</w:t>
      </w:r>
    </w:p>
    <w:p>
      <w:pPr>
        <w:pStyle w:val="BodyText"/>
        <w:spacing w:before="0" w:after="283"/>
        <w:rPr/>
      </w:pPr>
      <w:r>
        <w:rPr>
          <w:rStyle w:val="Strong"/>
        </w:rPr>
        <w:t>Derivation statement</w:t>
      </w:r>
    </w:p>
    <w:p>
      <w:pPr>
        <w:pStyle w:val="BodyText"/>
        <w:spacing w:before="0" w:after="283"/>
        <w:rPr/>
      </w:pPr>
      <w:r>
        <w:rPr/>
        <w:t>This prediction is derived solely from established spherical astronomy (Canopus declination vs. latitude), the documented Wedjat binary fractions, Belmonte's archaeoastronomical surveys (including the authors' own admission that they cannot explain the Canopus family from conventional frameworks), publicly available geological and satellite data (Abdeina et al. 2024), paleoclimate and occupation records (Kuper and Kröpelin 2006; Giresse et al. 2012), paleohydrological corridor data (Drake et al. 2011; Skonieczny et al. 2015), and the Shemsu Hor textual tradition. It does not rely on any unverified acoustic, electromagnetic, or golden-ratio interpretations.</w:t>
      </w:r>
    </w:p>
    <w:p>
      <w:pPr>
        <w:pStyle w:val="HorizontalLine"/>
        <w:spacing w:lineRule="auto" w:line="276"/>
        <w:rPr>
          <w:sz w:val="24"/>
          <w:szCs w:val="24"/>
        </w:rPr>
      </w:pPr>
      <w:r>
        <w:rPr>
          <w:sz w:val="24"/>
          <w:szCs w:val="24"/>
        </w:rPr>
      </w:r>
    </w:p>
    <w:p>
      <w:pPr>
        <w:pStyle w:val="Heading2"/>
        <w:spacing w:lineRule="auto" w:line="276" w:before="0" w:after="283"/>
        <w:rPr>
          <w:sz w:val="24"/>
          <w:szCs w:val="24"/>
        </w:rPr>
      </w:pPr>
      <w:r>
        <w:rPr>
          <w:sz w:val="24"/>
          <w:szCs w:val="24"/>
        </w:rPr>
        <w:t>1.4 An Additional Layer: The Canopus–Osiris Scholarly Identification</w:t>
      </w:r>
    </w:p>
    <w:p>
      <w:pPr>
        <w:pStyle w:val="BodyText"/>
        <w:spacing w:before="0" w:after="283"/>
        <w:rPr/>
      </w:pPr>
      <w:r>
        <w:rPr>
          <w:rStyle w:val="Strong"/>
        </w:rPr>
        <w:t>[Tier 4 — Minority scholarly position, conditional additional convergence, not evidence]</w:t>
      </w:r>
    </w:p>
    <w:p>
      <w:pPr>
        <w:pStyle w:val="BodyText"/>
        <w:spacing w:before="0" w:after="283"/>
        <w:rPr/>
      </w:pPr>
      <w:r>
        <w:rPr>
          <w:rStyle w:val="Strong"/>
        </w:rPr>
        <w:t>Status:</w:t>
      </w:r>
      <w:r>
        <w:rPr/>
        <w:t xml:space="preserve"> The physical case established in Sections 1–2 does not depend on what follows. This subsection is presented as conditional additional convergence, not as evidence. The dominant Egyptological tradition places Osiris's stellar form with Orion (Sah); the Canopus identification is a minority scholarly position.</w:t>
      </w:r>
    </w:p>
    <w:p>
      <w:pPr>
        <w:pStyle w:val="BodyText"/>
        <w:spacing w:before="0" w:after="283"/>
        <w:rPr/>
      </w:pPr>
      <w:r>
        <w:rPr/>
        <w:t>The Canopus–Osiris identification has a scholarly history independent of this paper. Allen (1889) first observed the connection between Canopus and Osiris's celestial ship. Lockyer (1894) documented early Egyptian temple orientations toward Canopus and noted the star's association with Osiris as god of the Nile. The city of Canopus in the Nile Delta was a pre-Ptolemaic centre of Osirian cult worship: throughout the existence of the grand temple of Amun-Gereb in Thonis-Heracleion, Osiris was taken by ritual barque to his sanctuary in Canopus in an annual procession, and Osiris was worshipped there under the form of a human-headed vessel — the origin of the Egyptological term "canopic jars" (Goddio 2000; Britannica). The city named after the star was an Osirian cult centre before the Ptolemaic period. This is independent archaeological grounding that does not pass through any single scholar's argument.</w:t>
      </w:r>
    </w:p>
    <w:p>
      <w:pPr>
        <w:pStyle w:val="BodyText"/>
        <w:spacing w:before="0" w:after="283"/>
        <w:rPr/>
      </w:pPr>
      <w:r>
        <w:rPr/>
        <w:t xml:space="preserve">Priskin's contribution is systematic peer-reviewed analysis of the astronomical evidence from primary sources. Across a series of publications in </w:t>
      </w:r>
      <w:r>
        <w:rPr>
          <w:rStyle w:val="Emphasis"/>
        </w:rPr>
        <w:t>Égypte Nilotique et Méditerranéenne</w:t>
      </w:r>
      <w:r>
        <w:rPr/>
        <w:t>, he builds the Canopus–Osiris case from systematic analysis of the Dendera zodiacs (ENiM 8, 2015), the astral decans of Taurus and Libra (ENiM 9, 2016), and New Kingdom royal tomb astronomical ceilings (ENiM 12, 2019). His 2019 paper specifically describes Canopus as appearing "hovering low down in the southern parts of the sky, as if just in front of the prow" of Osiris's celestial ship, citing Plutarch's own identification of the ship with Osiris — a connection first noted by Allen (1889) and Lockyer (1894).</w:t>
      </w:r>
    </w:p>
    <w:p>
      <w:pPr>
        <w:pStyle w:val="BodyText"/>
        <w:spacing w:before="0" w:after="283"/>
        <w:rPr/>
      </w:pPr>
      <w:r>
        <w:rPr/>
        <w:t>If the identification holds: the Pyramid Texts record that the Shemsu Hor followed Osiris in this world before passing after him into the Other World (Allen 2005; Faulkner 1969). That is a textual statement about the Shemsu Hor's cultic relationship to Osiris that stands without any stellar identification. If Priskin's identification is correct, it acquires a second literal meaning: the Shemsu Hor followed the star northward until it set. A population that literally followed Canopus northward until it disappeared and then built 2,000 years of sacred architecture oriented toward where it last appeared — the orientation pattern is documented physical evidence. The identification, if confirmed, makes the textual and physical records say the same thing. Until it is confirmed, the physical records stand alone.</w:t>
      </w:r>
    </w:p>
    <w:p>
      <w:pPr>
        <w:pStyle w:val="BodyText"/>
        <w:spacing w:before="0" w:after="283"/>
        <w:rPr/>
      </w:pPr>
      <w:r>
        <w:rPr/>
        <w:t xml:space="preserve">Osiris is also titled </w:t>
      </w:r>
      <w:r>
        <w:rPr>
          <w:rStyle w:val="Emphasis"/>
        </w:rPr>
        <w:t>Khenti-Amentiu</w:t>
      </w:r>
      <w:r>
        <w:rPr/>
        <w:t xml:space="preserve"> — Foremost of the Westerners — in the Pyramid Texts (Allen 2005). The conventional funerary reading places Osiris at the head of the dead. If the Shemsu Hor came from the west, a complementary reading is available: Osiris was literally foremost among the peoples of the western Sahara. Both readings are compatible.</w:t>
      </w:r>
    </w:p>
    <w:p>
      <w:pPr>
        <w:pStyle w:val="HorizontalLine"/>
        <w:spacing w:before="0" w:after="0"/>
        <w:rPr>
          <w:sz w:val="24"/>
          <w:szCs w:val="24"/>
        </w:rPr>
      </w:pPr>
      <w:r>
        <w:rPr>
          <w:sz w:val="24"/>
          <w:szCs w:val="24"/>
        </w:rPr>
      </w:r>
    </w:p>
    <w:p>
      <w:pPr>
        <w:pStyle w:val="Heading2"/>
        <w:spacing w:before="0" w:after="283"/>
        <w:rPr>
          <w:sz w:val="24"/>
          <w:szCs w:val="24"/>
        </w:rPr>
      </w:pPr>
      <w:r>
        <w:rPr>
          <w:sz w:val="24"/>
          <w:szCs w:val="24"/>
        </w:rPr>
        <w:t>2. The Temple Orientation Evidence: A Pattern Requiring Explanation</w:t>
      </w:r>
    </w:p>
    <w:p>
      <w:pPr>
        <w:pStyle w:val="BodyText"/>
        <w:spacing w:before="0" w:after="283"/>
        <w:rPr/>
      </w:pPr>
      <w:r>
        <w:rPr/>
        <w:t>The Canopus gradient described above is not merely a geometric calculation. It is documented in the physical archaeological record through the most systematic survey of Egyptian temple orientations ever undertaken. A multi-campaign research project led by Shaltout, Belmonte, and collaborators measured the orientations of over 350 ancient Egyptian temples across Upper Egypt, Lower Nubia, Lower Egypt, the Delta, the oases, and Sudan. Using declination histograms, the surveys identified seven statistically significant orientation families — including a distinct Canopus family (Shaltout and Belmonte 2005; Shaltout, Belmonte and Fekri 2007; Belmonte et al. 2010).</w:t>
      </w:r>
    </w:p>
    <w:tbl>
      <w:tblPr>
        <w:tblW w:w="9972" w:type="dxa"/>
        <w:jc w:val="start"/>
        <w:tblInd w:w="0" w:type="dxa"/>
        <w:tblLayout w:type="fixed"/>
        <w:tblCellMar>
          <w:top w:w="28" w:type="dxa"/>
          <w:start w:w="28" w:type="dxa"/>
          <w:bottom w:w="28" w:type="dxa"/>
          <w:end w:w="28" w:type="dxa"/>
        </w:tblCellMar>
      </w:tblPr>
      <w:tblGrid>
        <w:gridCol w:w="5938"/>
        <w:gridCol w:w="4034"/>
      </w:tblGrid>
      <w:tr>
        <w:trPr>
          <w:tblHeader w:val="true"/>
        </w:trPr>
        <w:tc>
          <w:tcPr>
            <w:tcW w:w="5938" w:type="dxa"/>
            <w:tcBorders/>
            <w:vAlign w:val="center"/>
          </w:tcPr>
          <w:p>
            <w:pPr>
              <w:pStyle w:val="TableHeading"/>
              <w:rPr/>
            </w:pPr>
            <w:r>
              <w:rPr/>
              <w:t>Finding</w:t>
            </w:r>
          </w:p>
        </w:tc>
        <w:tc>
          <w:tcPr>
            <w:tcW w:w="4034" w:type="dxa"/>
            <w:tcBorders/>
            <w:vAlign w:val="center"/>
          </w:tcPr>
          <w:p>
            <w:pPr>
              <w:pStyle w:val="TableHeading"/>
              <w:rPr/>
            </w:pPr>
            <w:r>
              <w:rPr/>
              <w:t>Source</w:t>
            </w:r>
          </w:p>
        </w:tc>
      </w:tr>
      <w:tr>
        <w:trPr/>
        <w:tc>
          <w:tcPr>
            <w:tcW w:w="5938" w:type="dxa"/>
            <w:tcBorders/>
            <w:vAlign w:val="center"/>
          </w:tcPr>
          <w:p>
            <w:pPr>
              <w:pStyle w:val="TableContents"/>
              <w:rPr/>
            </w:pPr>
            <w:r>
              <w:rPr/>
              <w:t>Seven statistically significant orientation families identified; Canopus family confirmed distinct across all regions surveyed</w:t>
            </w:r>
          </w:p>
        </w:tc>
        <w:tc>
          <w:tcPr>
            <w:tcW w:w="4034" w:type="dxa"/>
            <w:tcBorders/>
            <w:vAlign w:val="center"/>
          </w:tcPr>
          <w:p>
            <w:pPr>
              <w:pStyle w:val="TableContents"/>
              <w:rPr/>
            </w:pPr>
            <w:r>
              <w:rPr/>
              <w:t>Shaltout &amp; Belmonte 2005; Shaltout, Belmonte &amp; Fekri 2007; Belmonte et al. 2010</w:t>
            </w:r>
          </w:p>
        </w:tc>
      </w:tr>
      <w:tr>
        <w:trPr/>
        <w:tc>
          <w:tcPr>
            <w:tcW w:w="5938" w:type="dxa"/>
            <w:tcBorders/>
            <w:vAlign w:val="center"/>
          </w:tcPr>
          <w:p>
            <w:pPr>
              <w:pStyle w:val="TableContents"/>
              <w:rPr/>
            </w:pPr>
            <w:r>
              <w:rPr/>
              <w:t>In Upper Egypt: statistically significant peak at −53.5° declination corresponds to Canopus</w:t>
            </w:r>
          </w:p>
        </w:tc>
        <w:tc>
          <w:tcPr>
            <w:tcW w:w="4034" w:type="dxa"/>
            <w:tcBorders/>
            <w:vAlign w:val="center"/>
          </w:tcPr>
          <w:p>
            <w:pPr>
              <w:pStyle w:val="TableContents"/>
              <w:rPr/>
            </w:pPr>
            <w:r>
              <w:rPr/>
              <w:t>Shaltout &amp; Belmonte 2005: 283</w:t>
            </w:r>
          </w:p>
        </w:tc>
      </w:tr>
      <w:tr>
        <w:trPr/>
        <w:tc>
          <w:tcPr>
            <w:tcW w:w="5938" w:type="dxa"/>
            <w:tcBorders/>
            <w:vAlign w:val="center"/>
          </w:tcPr>
          <w:p>
            <w:pPr>
              <w:pStyle w:val="TableContents"/>
              <w:rPr/>
            </w:pPr>
            <w:r>
              <w:rPr/>
              <w:t>In Lower Egypt: Canopus family emerges as a distinct cluster in the statistical classification</w:t>
            </w:r>
          </w:p>
        </w:tc>
        <w:tc>
          <w:tcPr>
            <w:tcW w:w="4034" w:type="dxa"/>
            <w:tcBorders/>
            <w:vAlign w:val="center"/>
          </w:tcPr>
          <w:p>
            <w:pPr>
              <w:pStyle w:val="TableContents"/>
              <w:rPr/>
            </w:pPr>
            <w:r>
              <w:rPr/>
              <w:t>Shaltout, Belmonte &amp; Fekri 2007: 156</w:t>
            </w:r>
          </w:p>
        </w:tc>
      </w:tr>
      <w:tr>
        <w:trPr/>
        <w:tc>
          <w:tcPr>
            <w:tcW w:w="5938" w:type="dxa"/>
            <w:tcBorders/>
            <w:vAlign w:val="center"/>
          </w:tcPr>
          <w:p>
            <w:pPr>
              <w:pStyle w:val="TableContents"/>
              <w:rPr/>
            </w:pPr>
            <w:r>
              <w:rPr/>
              <w:t>In Sudan: Canopus peak independently confirmed</w:t>
            </w:r>
          </w:p>
        </w:tc>
        <w:tc>
          <w:tcPr>
            <w:tcW w:w="4034" w:type="dxa"/>
            <w:tcBorders/>
            <w:vAlign w:val="center"/>
          </w:tcPr>
          <w:p>
            <w:pPr>
              <w:pStyle w:val="TableContents"/>
              <w:rPr/>
            </w:pPr>
            <w:r>
              <w:rPr/>
              <w:t>Belmonte et al. 2010, Figure 7</w:t>
            </w:r>
          </w:p>
        </w:tc>
      </w:tr>
      <w:tr>
        <w:trPr/>
        <w:tc>
          <w:tcPr>
            <w:tcW w:w="5938" w:type="dxa"/>
            <w:tcBorders/>
            <w:vAlign w:val="center"/>
          </w:tcPr>
          <w:p>
            <w:pPr>
              <w:pStyle w:val="TableContents"/>
              <w:rPr/>
            </w:pPr>
            <w:r>
              <w:rPr/>
              <w:t>Survey authors document they cannot account for the Canopus pattern from conventional religious, economic, or social frameworks</w:t>
            </w:r>
          </w:p>
        </w:tc>
        <w:tc>
          <w:tcPr>
            <w:tcW w:w="4034" w:type="dxa"/>
            <w:tcBorders/>
            <w:vAlign w:val="center"/>
          </w:tcPr>
          <w:p>
            <w:pPr>
              <w:pStyle w:val="TableContents"/>
              <w:rPr/>
            </w:pPr>
            <w:r>
              <w:rPr/>
              <w:t>Shaltout &amp; Belmonte 2005: 283; Shaltout, Belmonte &amp; Fekri 2007: 156</w:t>
            </w:r>
          </w:p>
        </w:tc>
      </w:tr>
    </w:tbl>
    <w:p>
      <w:pPr>
        <w:pStyle w:val="BodyText"/>
        <w:spacing w:before="0" w:after="283"/>
        <w:rPr/>
      </w:pPr>
      <w:r>
        <w:rPr/>
        <w:t>The survey authors' own words define the problem precisely. Shaltout and Belmonte (2005: 283): "It is at least striking that the following three peaks at −18.5°, 40.5° and −53.5°, correspond, within the errors, to the declination of the three brightest stars of ancient Egyptian skies: Sirius, Vega and Canopus, respectively. There is no doubt concerning the importance of Sirius... Unfortunately, the relative cultural importance, or even the identifications, of Canopus and Vega is not yet established." Shaltout, Belmonte and Fekri (2007: 156): "V. The Canopus family. This is far more complicated because we cannot prove the importance of Canopus for the ancient Egyptians, notwithstanding the fact that it was their second brightest star in the sky... in our present state of knowledge we do not know how to justify this from the religious, economical or social point of view."</w:t>
      </w:r>
    </w:p>
    <w:p>
      <w:pPr>
        <w:pStyle w:val="BodyText"/>
        <w:spacing w:before="0" w:after="283"/>
        <w:rPr/>
      </w:pPr>
      <w:r>
        <w:rPr/>
        <w:t>The corridor migration hypothesis is consistent with a testable explanation: a population carrying the Osirian cult from latitudes where Canopus was a prominent star encoded its observation in the orientation of sacred buildings. As the state consolidated northward, temple builders continued orienting toward Canopus wherever the star was visible — and stopped building Canopus-oriented temples where it was not. The pattern the survey authors documented and could not explain is precisely the pattern the migration model predicts.</w:t>
      </w:r>
    </w:p>
    <w:p>
      <w:pPr>
        <w:pStyle w:val="Heading3"/>
        <w:spacing w:lineRule="auto" w:line="276" w:before="0" w:after="283"/>
        <w:rPr>
          <w:sz w:val="24"/>
          <w:szCs w:val="24"/>
        </w:rPr>
      </w:pPr>
      <w:r>
        <w:rPr>
          <w:sz w:val="24"/>
          <w:szCs w:val="24"/>
        </w:rPr>
        <w:t>2.1 Temporal Analysis: Temple Orientations Track Precession</w:t>
      </w:r>
    </w:p>
    <w:p>
      <w:pPr>
        <w:pStyle w:val="BodyText"/>
        <w:spacing w:before="0" w:after="283"/>
        <w:rPr/>
      </w:pPr>
      <w:r>
        <w:rPr/>
        <w:t>The strongest evidence that Canopus orientations reflect deliberate astronomical tradition rather than coincidence is their temporal behaviour. Due to precession, Canopus's visibility from northern Egyptian sites changed over the 2,000-year span covered by the surveys. Canopus orientations appear in northern Egypt only when precession brought the star to a practically visible altitude — and disappear when it does not.</w:t>
      </w:r>
    </w:p>
    <w:p>
      <w:pPr>
        <w:pStyle w:val="BodyText"/>
        <w:spacing w:before="0" w:after="283"/>
        <w:rPr/>
      </w:pPr>
      <w:r>
        <w:rPr>
          <w:rStyle w:val="Strong"/>
        </w:rPr>
        <w:t>Attribution note:</w:t>
      </w:r>
      <w:r>
        <w:rPr/>
        <w:t xml:space="preserve"> The Shaltout/Belmonte survey authors document the Canopus family as a statistically significant orientation cluster across independent campaign surveys. The period-by-period table below — showing orientations appearing and disappearing as precession changes Canopus's altitude at northern sites across historical periods — is the author's own analytical synthesis from the published data, using standard precession calculations. The underlying pattern is documented in the surveys; the period-by-period periodisation is the author's derivation and is independently verifiable.</w:t>
      </w:r>
    </w:p>
    <w:p>
      <w:pPr>
        <w:pStyle w:val="BodyText"/>
        <w:spacing w:before="0" w:after="283"/>
        <w:rPr/>
      </w:pPr>
      <w:r>
        <w:rPr>
          <w:rStyle w:val="Strong"/>
        </w:rPr>
        <w:t>Methodological clarification:</w:t>
      </w:r>
      <w:r>
        <w:rPr/>
        <w:t xml:space="preserve"> The Shaltout/Belmonte surveys analyzed cult temples, not pyramid complexes. Belmonte (2001, </w:t>
      </w:r>
      <w:r>
        <w:rPr>
          <w:rStyle w:val="Emphasis"/>
        </w:rPr>
        <w:t>Archaeoastronomy</w:t>
      </w:r>
      <w:r>
        <w:rPr/>
        <w:t xml:space="preserve"> 26) treats Old Kingdom pyramid complexes as a separate orientation family with distinct astronomical constraints — cardinal alignment via equinoctial gnomon, circumpolar stellar transits, Heliopolis sightlines — and they are not included in the Canopus temple survey. The absence of northern Canopus orientations in the Old Kingdom therefore reflects the cult temple survey specifically, not any confound from pyramid orientation requirements.</w:t>
      </w:r>
    </w:p>
    <w:p>
      <w:pPr>
        <w:pStyle w:val="BodyText"/>
        <w:spacing w:before="0" w:after="283"/>
        <w:rPr/>
      </w:pPr>
      <w:r>
        <w:rPr/>
        <w:t>The geographic distribution argument in Section 2.2 — adequate sample sizes across the full latitude range, drawing directly from published survey data — is the primary independent pillar of this astronomical case. The temporal precession-tracking analysis reinforces it: orientations appear when precession brings the star to visible altitude and disappear when it does not. For northern cult temples in the Old Kingdom only, one limitation applies: they were fewer, so the absence is consistent with both precession effects and sparse sample — the two cannot be distinguished from current data. For the full dataset spanning all periods and regions, the pattern tracks precession across 2,000 years, as documented in the table below. This temporal argument alone would be vulnerable to a sampling-intensity alternative: more temples in later periods means more absolute Canopus-oriented temples even if proportions were constant. The temporal pattern is therefore corroborating, not primary. The decisive argument is the geographic distribution in Section 2.2, which carries no such confound.</w:t>
      </w:r>
    </w:p>
    <w:tbl>
      <w:tblPr>
        <w:tblW w:w="9972" w:type="dxa"/>
        <w:jc w:val="start"/>
        <w:tblInd w:w="0" w:type="dxa"/>
        <w:tblLayout w:type="fixed"/>
        <w:tblCellMar>
          <w:top w:w="28" w:type="dxa"/>
          <w:start w:w="28" w:type="dxa"/>
          <w:bottom w:w="28" w:type="dxa"/>
          <w:end w:w="28" w:type="dxa"/>
        </w:tblCellMar>
      </w:tblPr>
      <w:tblGrid>
        <w:gridCol w:w="1716"/>
        <w:gridCol w:w="1622"/>
        <w:gridCol w:w="1648"/>
        <w:gridCol w:w="1818"/>
        <w:gridCol w:w="3168"/>
      </w:tblGrid>
      <w:tr>
        <w:trPr>
          <w:tblHeader w:val="true"/>
        </w:trPr>
        <w:tc>
          <w:tcPr>
            <w:tcW w:w="1716" w:type="dxa"/>
            <w:tcBorders/>
            <w:vAlign w:val="center"/>
          </w:tcPr>
          <w:p>
            <w:pPr>
              <w:pStyle w:val="TableHeading"/>
              <w:rPr/>
            </w:pPr>
            <w:r>
              <w:rPr/>
              <w:t>Period</w:t>
            </w:r>
          </w:p>
        </w:tc>
        <w:tc>
          <w:tcPr>
            <w:tcW w:w="1622" w:type="dxa"/>
            <w:tcBorders/>
            <w:vAlign w:val="center"/>
          </w:tcPr>
          <w:p>
            <w:pPr>
              <w:pStyle w:val="TableHeading"/>
              <w:rPr/>
            </w:pPr>
            <w:r>
              <w:rPr/>
              <w:t>Canopus Altitude at Giza (30°N)</w:t>
            </w:r>
          </w:p>
        </w:tc>
        <w:tc>
          <w:tcPr>
            <w:tcW w:w="1648" w:type="dxa"/>
            <w:tcBorders/>
            <w:vAlign w:val="center"/>
          </w:tcPr>
          <w:p>
            <w:pPr>
              <w:pStyle w:val="TableHeading"/>
              <w:rPr/>
            </w:pPr>
            <w:r>
              <w:rPr/>
              <w:t>Northern Sites</w:t>
            </w:r>
          </w:p>
        </w:tc>
        <w:tc>
          <w:tcPr>
            <w:tcW w:w="1818" w:type="dxa"/>
            <w:tcBorders/>
            <w:vAlign w:val="center"/>
          </w:tcPr>
          <w:p>
            <w:pPr>
              <w:pStyle w:val="TableHeading"/>
              <w:rPr/>
            </w:pPr>
            <w:r>
              <w:rPr/>
              <w:t>Southern Sites (25°N)</w:t>
            </w:r>
          </w:p>
        </w:tc>
        <w:tc>
          <w:tcPr>
            <w:tcW w:w="3168" w:type="dxa"/>
            <w:tcBorders/>
            <w:vAlign w:val="center"/>
          </w:tcPr>
          <w:p>
            <w:pPr>
              <w:pStyle w:val="TableHeading"/>
              <w:rPr/>
            </w:pPr>
            <w:r>
              <w:rPr/>
              <w:t>Evidentiary Status</w:t>
            </w:r>
          </w:p>
        </w:tc>
      </w:tr>
      <w:tr>
        <w:trPr/>
        <w:tc>
          <w:tcPr>
            <w:tcW w:w="1716" w:type="dxa"/>
            <w:tcBorders/>
            <w:vAlign w:val="center"/>
          </w:tcPr>
          <w:p>
            <w:pPr>
              <w:pStyle w:val="TableContents"/>
              <w:rPr/>
            </w:pPr>
            <w:r>
              <w:rPr/>
              <w:t>Old Kingdom (2686–2181 BCE)</w:t>
            </w:r>
          </w:p>
        </w:tc>
        <w:tc>
          <w:tcPr>
            <w:tcW w:w="1622" w:type="dxa"/>
            <w:tcBorders/>
            <w:vAlign w:val="center"/>
          </w:tcPr>
          <w:p>
            <w:pPr>
              <w:pStyle w:val="TableContents"/>
              <w:rPr/>
            </w:pPr>
            <w:r>
              <w:rPr/>
              <w:t>~3.5° → below practical visibility</w:t>
            </w:r>
          </w:p>
        </w:tc>
        <w:tc>
          <w:tcPr>
            <w:tcW w:w="1648" w:type="dxa"/>
            <w:tcBorders/>
            <w:vAlign w:val="center"/>
          </w:tcPr>
          <w:p>
            <w:pPr>
              <w:pStyle w:val="TableContents"/>
              <w:rPr/>
            </w:pPr>
            <w:r>
              <w:rPr/>
              <w:t>No orientations</w:t>
            </w:r>
          </w:p>
        </w:tc>
        <w:tc>
          <w:tcPr>
            <w:tcW w:w="1818" w:type="dxa"/>
            <w:tcBorders/>
            <w:vAlign w:val="center"/>
          </w:tcPr>
          <w:p>
            <w:pPr>
              <w:pStyle w:val="TableContents"/>
              <w:rPr/>
            </w:pPr>
            <w:r>
              <w:rPr/>
              <w:t>No data</w:t>
            </w:r>
          </w:p>
        </w:tc>
        <w:tc>
          <w:tcPr>
            <w:tcW w:w="3168" w:type="dxa"/>
            <w:tcBorders/>
            <w:vAlign w:val="center"/>
          </w:tcPr>
          <w:p>
            <w:pPr>
              <w:pStyle w:val="TableContents"/>
              <w:rPr/>
            </w:pPr>
            <w:r>
              <w:rPr/>
              <w:t>Inconclusive (northern sample too sparse to distinguish precession from sampling gap)</w:t>
            </w:r>
          </w:p>
        </w:tc>
      </w:tr>
      <w:tr>
        <w:trPr/>
        <w:tc>
          <w:tcPr>
            <w:tcW w:w="1716" w:type="dxa"/>
            <w:tcBorders/>
            <w:vAlign w:val="center"/>
          </w:tcPr>
          <w:p>
            <w:pPr>
              <w:pStyle w:val="TableContents"/>
              <w:rPr/>
            </w:pPr>
            <w:r>
              <w:rPr/>
              <w:t>Middle Kingdom (2055–1650 BCE)</w:t>
            </w:r>
          </w:p>
        </w:tc>
        <w:tc>
          <w:tcPr>
            <w:tcW w:w="1622" w:type="dxa"/>
            <w:tcBorders/>
            <w:vAlign w:val="center"/>
          </w:tcPr>
          <w:p>
            <w:pPr>
              <w:pStyle w:val="TableContents"/>
              <w:rPr/>
            </w:pPr>
            <w:r>
              <w:rPr/>
              <w:t>~4.9° → marginal</w:t>
            </w:r>
          </w:p>
        </w:tc>
        <w:tc>
          <w:tcPr>
            <w:tcW w:w="1648" w:type="dxa"/>
            <w:tcBorders/>
            <w:vAlign w:val="center"/>
          </w:tcPr>
          <w:p>
            <w:pPr>
              <w:pStyle w:val="TableContents"/>
              <w:rPr/>
            </w:pPr>
            <w:r>
              <w:rPr/>
              <w:t>1 marginal (Qsar al-Sagha)</w:t>
            </w:r>
          </w:p>
        </w:tc>
        <w:tc>
          <w:tcPr>
            <w:tcW w:w="1818" w:type="dxa"/>
            <w:tcBorders/>
            <w:vAlign w:val="center"/>
          </w:tcPr>
          <w:p>
            <w:pPr>
              <w:pStyle w:val="TableContents"/>
              <w:rPr/>
            </w:pPr>
            <w:r>
              <w:rPr/>
              <w:t>Clear (Tod, Armant)</w:t>
            </w:r>
          </w:p>
        </w:tc>
        <w:tc>
          <w:tcPr>
            <w:tcW w:w="3168" w:type="dxa"/>
            <w:tcBorders/>
            <w:vAlign w:val="center"/>
          </w:tcPr>
          <w:p>
            <w:pPr>
              <w:pStyle w:val="TableContents"/>
              <w:rPr/>
            </w:pPr>
            <w:r>
              <w:rPr/>
              <w:t>Consistent with precession (star becoming marginally visible)</w:t>
            </w:r>
          </w:p>
        </w:tc>
      </w:tr>
      <w:tr>
        <w:trPr/>
        <w:tc>
          <w:tcPr>
            <w:tcW w:w="1716" w:type="dxa"/>
            <w:tcBorders/>
            <w:vAlign w:val="center"/>
          </w:tcPr>
          <w:p>
            <w:pPr>
              <w:pStyle w:val="TableContents"/>
              <w:rPr/>
            </w:pPr>
            <w:r>
              <w:rPr/>
              <w:t>New Kingdom (1550–1077 BCE)</w:t>
            </w:r>
          </w:p>
        </w:tc>
        <w:tc>
          <w:tcPr>
            <w:tcW w:w="1622" w:type="dxa"/>
            <w:tcBorders/>
            <w:vAlign w:val="center"/>
          </w:tcPr>
          <w:p>
            <w:pPr>
              <w:pStyle w:val="TableContents"/>
              <w:rPr/>
            </w:pPr>
            <w:r>
              <w:rPr/>
              <w:t>~5.7° → low but visible</w:t>
            </w:r>
          </w:p>
        </w:tc>
        <w:tc>
          <w:tcPr>
            <w:tcW w:w="1648" w:type="dxa"/>
            <w:tcBorders/>
            <w:vAlign w:val="center"/>
          </w:tcPr>
          <w:p>
            <w:pPr>
              <w:pStyle w:val="TableContents"/>
              <w:rPr/>
            </w:pPr>
            <w:r>
              <w:rPr/>
              <w:t>1 low (Tanis)</w:t>
            </w:r>
          </w:p>
        </w:tc>
        <w:tc>
          <w:tcPr>
            <w:tcW w:w="1818" w:type="dxa"/>
            <w:tcBorders/>
            <w:vAlign w:val="center"/>
          </w:tcPr>
          <w:p>
            <w:pPr>
              <w:pStyle w:val="TableContents"/>
              <w:rPr/>
            </w:pPr>
            <w:r>
              <w:rPr/>
              <w:t>Clear to high (Es Sebua, Armant, El Qab)</w:t>
            </w:r>
          </w:p>
        </w:tc>
        <w:tc>
          <w:tcPr>
            <w:tcW w:w="3168" w:type="dxa"/>
            <w:tcBorders/>
            <w:vAlign w:val="center"/>
          </w:tcPr>
          <w:p>
            <w:pPr>
              <w:pStyle w:val="TableContents"/>
              <w:rPr/>
            </w:pPr>
            <w:r>
              <w:rPr/>
              <w:t>Consistent with precession (star visible, northern orientations appear)</w:t>
            </w:r>
          </w:p>
        </w:tc>
      </w:tr>
      <w:tr>
        <w:trPr/>
        <w:tc>
          <w:tcPr>
            <w:tcW w:w="1716" w:type="dxa"/>
            <w:tcBorders/>
            <w:vAlign w:val="center"/>
          </w:tcPr>
          <w:p>
            <w:pPr>
              <w:pStyle w:val="TableContents"/>
              <w:rPr/>
            </w:pPr>
            <w:r>
              <w:rPr/>
              <w:t>Late Period (747–332 BCE)</w:t>
            </w:r>
          </w:p>
        </w:tc>
        <w:tc>
          <w:tcPr>
            <w:tcW w:w="1622" w:type="dxa"/>
            <w:tcBorders/>
            <w:vAlign w:val="center"/>
          </w:tcPr>
          <w:p>
            <w:pPr>
              <w:pStyle w:val="TableContents"/>
              <w:rPr/>
            </w:pPr>
            <w:r>
              <w:rPr/>
              <w:t>~6.5° → visible</w:t>
            </w:r>
          </w:p>
        </w:tc>
        <w:tc>
          <w:tcPr>
            <w:tcW w:w="1648" w:type="dxa"/>
            <w:tcBorders/>
            <w:vAlign w:val="center"/>
          </w:tcPr>
          <w:p>
            <w:pPr>
              <w:pStyle w:val="TableContents"/>
              <w:rPr/>
            </w:pPr>
            <w:r>
              <w:rPr/>
              <w:t>1 (Siwa)</w:t>
            </w:r>
          </w:p>
        </w:tc>
        <w:tc>
          <w:tcPr>
            <w:tcW w:w="1818" w:type="dxa"/>
            <w:tcBorders/>
            <w:vAlign w:val="center"/>
          </w:tcPr>
          <w:p>
            <w:pPr>
              <w:pStyle w:val="TableContents"/>
              <w:rPr/>
            </w:pPr>
            <w:r>
              <w:rPr/>
              <w:t>Very high (Djebel Barkal, Soniyat)</w:t>
            </w:r>
          </w:p>
        </w:tc>
        <w:tc>
          <w:tcPr>
            <w:tcW w:w="3168" w:type="dxa"/>
            <w:tcBorders/>
            <w:vAlign w:val="center"/>
          </w:tcPr>
          <w:p>
            <w:pPr>
              <w:pStyle w:val="TableContents"/>
              <w:rPr/>
            </w:pPr>
            <w:r>
              <w:rPr/>
              <w:t>Consistent with precession (star well visible)</w:t>
            </w:r>
          </w:p>
        </w:tc>
      </w:tr>
      <w:tr>
        <w:trPr/>
        <w:tc>
          <w:tcPr>
            <w:tcW w:w="1716" w:type="dxa"/>
            <w:tcBorders/>
            <w:vAlign w:val="center"/>
          </w:tcPr>
          <w:p>
            <w:pPr>
              <w:pStyle w:val="TableContents"/>
              <w:rPr/>
            </w:pPr>
            <w:r>
              <w:rPr/>
              <w:t>Ptolemaic (332–30 BCE)</w:t>
            </w:r>
          </w:p>
        </w:tc>
        <w:tc>
          <w:tcPr>
            <w:tcW w:w="1622" w:type="dxa"/>
            <w:tcBorders/>
            <w:vAlign w:val="center"/>
          </w:tcPr>
          <w:p>
            <w:pPr>
              <w:pStyle w:val="TableContents"/>
              <w:rPr/>
            </w:pPr>
            <w:r>
              <w:rPr/>
              <w:t>~7.5° → visible</w:t>
            </w:r>
          </w:p>
        </w:tc>
        <w:tc>
          <w:tcPr>
            <w:tcW w:w="1648" w:type="dxa"/>
            <w:tcBorders/>
            <w:vAlign w:val="center"/>
          </w:tcPr>
          <w:p>
            <w:pPr>
              <w:pStyle w:val="TableContents"/>
              <w:rPr/>
            </w:pPr>
            <w:r>
              <w:rPr/>
              <w:t>No northern construction</w:t>
            </w:r>
          </w:p>
        </w:tc>
        <w:tc>
          <w:tcPr>
            <w:tcW w:w="1818" w:type="dxa"/>
            <w:tcBorders/>
            <w:vAlign w:val="center"/>
          </w:tcPr>
          <w:p>
            <w:pPr>
              <w:pStyle w:val="TableContents"/>
              <w:rPr/>
            </w:pPr>
            <w:r>
              <w:rPr/>
              <w:t>8+ confirmed southern temples</w:t>
            </w:r>
          </w:p>
        </w:tc>
        <w:tc>
          <w:tcPr>
            <w:tcW w:w="3168" w:type="dxa"/>
            <w:tcBorders/>
            <w:vAlign w:val="center"/>
          </w:tcPr>
          <w:p>
            <w:pPr>
              <w:pStyle w:val="TableContents"/>
              <w:rPr/>
            </w:pPr>
            <w:r>
              <w:rPr/>
              <w:t>N/A (no northern construction — pattern continues in south where star visible)</w:t>
            </w:r>
          </w:p>
        </w:tc>
      </w:tr>
      <w:tr>
        <w:trPr/>
        <w:tc>
          <w:tcPr>
            <w:tcW w:w="1716" w:type="dxa"/>
            <w:tcBorders/>
            <w:vAlign w:val="center"/>
          </w:tcPr>
          <w:p>
            <w:pPr>
              <w:pStyle w:val="TableContents"/>
              <w:rPr/>
            </w:pPr>
            <w:r>
              <w:rPr/>
              <w:t>Roman (30 BCE–300 CE)</w:t>
            </w:r>
          </w:p>
        </w:tc>
        <w:tc>
          <w:tcPr>
            <w:tcW w:w="1622" w:type="dxa"/>
            <w:tcBorders/>
            <w:vAlign w:val="center"/>
          </w:tcPr>
          <w:p>
            <w:pPr>
              <w:pStyle w:val="TableContents"/>
              <w:rPr/>
            </w:pPr>
            <w:r>
              <w:rPr/>
              <w:t>~8.0° → visible</w:t>
            </w:r>
          </w:p>
        </w:tc>
        <w:tc>
          <w:tcPr>
            <w:tcW w:w="1648" w:type="dxa"/>
            <w:tcBorders/>
            <w:vAlign w:val="center"/>
          </w:tcPr>
          <w:p>
            <w:pPr>
              <w:pStyle w:val="TableContents"/>
              <w:rPr/>
            </w:pPr>
            <w:r>
              <w:rPr/>
              <w:t>No northern construction</w:t>
            </w:r>
          </w:p>
        </w:tc>
        <w:tc>
          <w:tcPr>
            <w:tcW w:w="1818" w:type="dxa"/>
            <w:tcBorders/>
            <w:vAlign w:val="center"/>
          </w:tcPr>
          <w:p>
            <w:pPr>
              <w:pStyle w:val="TableContents"/>
              <w:rPr/>
            </w:pPr>
            <w:r>
              <w:rPr/>
              <w:t>Clear (Dakka, Qertasi)</w:t>
            </w:r>
          </w:p>
        </w:tc>
        <w:tc>
          <w:tcPr>
            <w:tcW w:w="3168" w:type="dxa"/>
            <w:tcBorders/>
            <w:vAlign w:val="center"/>
          </w:tcPr>
          <w:p>
            <w:pPr>
              <w:pStyle w:val="TableContents"/>
              <w:rPr/>
            </w:pPr>
            <w:r>
              <w:rPr/>
              <w:t>N/A (no northern construction — pattern continues in south where star visible)</w:t>
            </w:r>
          </w:p>
        </w:tc>
      </w:tr>
    </w:tbl>
    <w:p>
      <w:pPr>
        <w:pStyle w:val="BodyText"/>
        <w:spacing w:before="0" w:after="283"/>
        <w:rPr/>
      </w:pPr>
      <w:r>
        <w:rPr/>
        <w:t>The pattern is systematic. During the Old Kingdom, Canopus stood at only 3.5° above the Giza horizon, reddened by atmospheric extinction and no longer functionally observable. No Canopus cult temple orientations appear in the north in the survey data; the dominant northern construction of this period was pyramid complexes, treated by Belmonte (2001) as a separate orientation family with distinct astronomical constraints, and not included in the Canopus temple analysis. One marginal orientation appears in the Middle Kingdom at 4.9°. A northern orientation appears at Tanis in the New Kingdom at 5.7°. This pattern is unlikely to reflect random variation. The temples track precession across 2,000 years of construction history, appearing when Canopus became visible and not appearing when it did not. An astronomical tradition this durable — sustained in the absence of the star itself at the northern sites, preserved in the south where the star remained visible — requires an origin. The corridor hypothesis proposes that origin.</w:t>
        <w:br/>
        <w:br/>
        <w:t>A critical distinction must be made between astronomy as a supporting correlation and astronomy as a discriminating test. If the observed orientation patterns emerged through independent local development, they should display continuity across latitudes and regions without sharp boundary behavior. By contrast, a migration-based model predicts specific constraints: latitudinal cutoffs tied to stellar visibility limits, temporal clustering of initial appearances within a defined horizon, and regional asymmetries reflecting directional movement. These expectations convert the astronomical pattern from correlation into a testable discriminator between competing explanations.</w:t>
      </w:r>
    </w:p>
    <w:p>
      <w:pPr>
        <w:pStyle w:val="Heading3"/>
        <w:spacing w:lineRule="auto" w:line="276" w:before="0" w:after="283"/>
        <w:rPr>
          <w:sz w:val="24"/>
          <w:szCs w:val="24"/>
        </w:rPr>
      </w:pPr>
      <w:r>
        <w:rPr>
          <w:sz w:val="24"/>
          <w:szCs w:val="24"/>
        </w:rPr>
        <w:t>2.2 Geographic Analysis: The South-North Gradient in Stone</w:t>
      </w:r>
    </w:p>
    <w:tbl>
      <w:tblPr>
        <w:tblW w:w="9858" w:type="dxa"/>
        <w:jc w:val="start"/>
        <w:tblInd w:w="0" w:type="dxa"/>
        <w:tblLayout w:type="fixed"/>
        <w:tblCellMar>
          <w:top w:w="28" w:type="dxa"/>
          <w:start w:w="28" w:type="dxa"/>
          <w:bottom w:w="28" w:type="dxa"/>
          <w:end w:w="28" w:type="dxa"/>
        </w:tblCellMar>
      </w:tblPr>
      <w:tblGrid>
        <w:gridCol w:w="2085"/>
        <w:gridCol w:w="4457"/>
        <w:gridCol w:w="3316"/>
      </w:tblGrid>
      <w:tr>
        <w:trPr>
          <w:tblHeader w:val="true"/>
        </w:trPr>
        <w:tc>
          <w:tcPr>
            <w:tcW w:w="2085" w:type="dxa"/>
            <w:tcBorders/>
            <w:vAlign w:val="center"/>
          </w:tcPr>
          <w:p>
            <w:pPr>
              <w:pStyle w:val="TableHeading"/>
              <w:rPr/>
            </w:pPr>
            <w:r>
              <w:rPr/>
              <w:t>Region</w:t>
            </w:r>
          </w:p>
        </w:tc>
        <w:tc>
          <w:tcPr>
            <w:tcW w:w="4457" w:type="dxa"/>
            <w:tcBorders/>
            <w:vAlign w:val="center"/>
          </w:tcPr>
          <w:p>
            <w:pPr>
              <w:pStyle w:val="TableHeading"/>
              <w:rPr/>
            </w:pPr>
            <w:r>
              <w:rPr/>
              <w:t>Latitude / Canopus Altitude (c. 1000 BCE)</w:t>
            </w:r>
          </w:p>
        </w:tc>
        <w:tc>
          <w:tcPr>
            <w:tcW w:w="3316" w:type="dxa"/>
            <w:tcBorders/>
            <w:vAlign w:val="center"/>
          </w:tcPr>
          <w:p>
            <w:pPr>
              <w:pStyle w:val="TableHeading"/>
              <w:rPr/>
            </w:pPr>
            <w:r>
              <w:rPr/>
              <w:t>Documented Canopus Temples</w:t>
            </w:r>
          </w:p>
        </w:tc>
      </w:tr>
      <w:tr>
        <w:trPr/>
        <w:tc>
          <w:tcPr>
            <w:tcW w:w="2085" w:type="dxa"/>
            <w:tcBorders/>
            <w:vAlign w:val="center"/>
          </w:tcPr>
          <w:p>
            <w:pPr>
              <w:pStyle w:val="TableContents"/>
              <w:rPr/>
            </w:pPr>
            <w:r>
              <w:rPr/>
              <w:t>Sudan</w:t>
            </w:r>
          </w:p>
        </w:tc>
        <w:tc>
          <w:tcPr>
            <w:tcW w:w="4457" w:type="dxa"/>
            <w:tcBorders/>
            <w:vAlign w:val="center"/>
          </w:tcPr>
          <w:p>
            <w:pPr>
              <w:pStyle w:val="TableContents"/>
              <w:rPr/>
            </w:pPr>
            <w:r>
              <w:rPr/>
              <w:t>16–20°N / 10–18°</w:t>
            </w:r>
          </w:p>
        </w:tc>
        <w:tc>
          <w:tcPr>
            <w:tcW w:w="3316" w:type="dxa"/>
            <w:tcBorders/>
            <w:vAlign w:val="center"/>
          </w:tcPr>
          <w:p>
            <w:pPr>
              <w:pStyle w:val="TableContents"/>
              <w:rPr/>
            </w:pPr>
            <w:r>
              <w:rPr/>
              <w:t>3 confirmed</w:t>
            </w:r>
          </w:p>
        </w:tc>
      </w:tr>
      <w:tr>
        <w:trPr/>
        <w:tc>
          <w:tcPr>
            <w:tcW w:w="2085" w:type="dxa"/>
            <w:tcBorders/>
            <w:vAlign w:val="center"/>
          </w:tcPr>
          <w:p>
            <w:pPr>
              <w:pStyle w:val="TableContents"/>
              <w:rPr/>
            </w:pPr>
            <w:r>
              <w:rPr/>
              <w:t>Upper Egypt</w:t>
            </w:r>
          </w:p>
        </w:tc>
        <w:tc>
          <w:tcPr>
            <w:tcW w:w="4457" w:type="dxa"/>
            <w:tcBorders/>
            <w:vAlign w:val="center"/>
          </w:tcPr>
          <w:p>
            <w:pPr>
              <w:pStyle w:val="TableContents"/>
              <w:rPr/>
            </w:pPr>
            <w:r>
              <w:rPr/>
              <w:t>22–25°N / 8–12°</w:t>
            </w:r>
          </w:p>
        </w:tc>
        <w:tc>
          <w:tcPr>
            <w:tcW w:w="3316" w:type="dxa"/>
            <w:tcBorders/>
            <w:vAlign w:val="center"/>
          </w:tcPr>
          <w:p>
            <w:pPr>
              <w:pStyle w:val="TableContents"/>
              <w:rPr/>
            </w:pPr>
            <w:r>
              <w:rPr/>
              <w:t>8+ confirmed</w:t>
            </w:r>
          </w:p>
        </w:tc>
      </w:tr>
      <w:tr>
        <w:trPr/>
        <w:tc>
          <w:tcPr>
            <w:tcW w:w="2085" w:type="dxa"/>
            <w:tcBorders/>
            <w:vAlign w:val="center"/>
          </w:tcPr>
          <w:p>
            <w:pPr>
              <w:pStyle w:val="TableContents"/>
              <w:rPr/>
            </w:pPr>
            <w:r>
              <w:rPr/>
              <w:t>Middle Egypt</w:t>
            </w:r>
          </w:p>
        </w:tc>
        <w:tc>
          <w:tcPr>
            <w:tcW w:w="4457" w:type="dxa"/>
            <w:tcBorders/>
            <w:vAlign w:val="center"/>
          </w:tcPr>
          <w:p>
            <w:pPr>
              <w:pStyle w:val="TableContents"/>
              <w:rPr/>
            </w:pPr>
            <w:r>
              <w:rPr/>
              <w:t>27–29°N / 6–8°</w:t>
            </w:r>
          </w:p>
        </w:tc>
        <w:tc>
          <w:tcPr>
            <w:tcW w:w="3316" w:type="dxa"/>
            <w:tcBorders/>
            <w:vAlign w:val="center"/>
          </w:tcPr>
          <w:p>
            <w:pPr>
              <w:pStyle w:val="TableContents"/>
              <w:rPr/>
            </w:pPr>
            <w:r>
              <w:rPr/>
              <w:t>1 confirmed (Qsar al-Sagha)</w:t>
            </w:r>
          </w:p>
        </w:tc>
      </w:tr>
      <w:tr>
        <w:trPr/>
        <w:tc>
          <w:tcPr>
            <w:tcW w:w="2085" w:type="dxa"/>
            <w:tcBorders/>
            <w:vAlign w:val="center"/>
          </w:tcPr>
          <w:p>
            <w:pPr>
              <w:pStyle w:val="TableContents"/>
              <w:rPr/>
            </w:pPr>
            <w:r>
              <w:rPr/>
              <w:t>Lower Egypt / Delta</w:t>
            </w:r>
          </w:p>
        </w:tc>
        <w:tc>
          <w:tcPr>
            <w:tcW w:w="4457" w:type="dxa"/>
            <w:tcBorders/>
            <w:vAlign w:val="center"/>
          </w:tcPr>
          <w:p>
            <w:pPr>
              <w:pStyle w:val="TableContents"/>
              <w:rPr/>
            </w:pPr>
            <w:r>
              <w:rPr/>
              <w:t>30–31°N / 5–6°</w:t>
            </w:r>
          </w:p>
        </w:tc>
        <w:tc>
          <w:tcPr>
            <w:tcW w:w="3316" w:type="dxa"/>
            <w:tcBorders/>
            <w:vAlign w:val="center"/>
          </w:tcPr>
          <w:p>
            <w:pPr>
              <w:pStyle w:val="TableContents"/>
              <w:rPr/>
            </w:pPr>
            <w:r>
              <w:rPr/>
              <w:t>2 confirmed (Tanis, Siwa)</w:t>
            </w:r>
          </w:p>
        </w:tc>
      </w:tr>
      <w:tr>
        <w:trPr/>
        <w:tc>
          <w:tcPr>
            <w:tcW w:w="2085" w:type="dxa"/>
            <w:tcBorders/>
            <w:vAlign w:val="center"/>
          </w:tcPr>
          <w:p>
            <w:pPr>
              <w:pStyle w:val="TableContents"/>
              <w:rPr/>
            </w:pPr>
            <w:r>
              <w:rPr/>
              <w:t>Giza / Delta</w:t>
            </w:r>
          </w:p>
        </w:tc>
        <w:tc>
          <w:tcPr>
            <w:tcW w:w="4457" w:type="dxa"/>
            <w:tcBorders/>
            <w:vAlign w:val="center"/>
          </w:tcPr>
          <w:p>
            <w:pPr>
              <w:pStyle w:val="TableContents"/>
              <w:rPr/>
            </w:pPr>
            <w:r>
              <w:rPr/>
              <w:t>30°N / ~4.5°</w:t>
            </w:r>
          </w:p>
        </w:tc>
        <w:tc>
          <w:tcPr>
            <w:tcW w:w="3316" w:type="dxa"/>
            <w:tcBorders/>
            <w:vAlign w:val="center"/>
          </w:tcPr>
          <w:p>
            <w:pPr>
              <w:pStyle w:val="TableContents"/>
              <w:rPr/>
            </w:pPr>
            <w:r>
              <w:rPr/>
              <w:t>None documented</w:t>
            </w:r>
          </w:p>
        </w:tc>
      </w:tr>
    </w:tbl>
    <w:p>
      <w:pPr>
        <w:pStyle w:val="BodyText"/>
        <w:spacing w:before="0" w:after="283"/>
        <w:rPr/>
      </w:pPr>
      <w:r>
        <w:rPr/>
        <w:t>The geographic distribution of Canopus temples follows the altitude gradient directly: densest in Sudan and Upper Egypt where Canopus was highest, declining through Middle Egypt, marginal at the Delta, absent at Giza. This is not a random distribution. It maps onto the Canopus visibility gradient with geographic precision. Prediction 6 of this hypothesis anticipated exactly this distribution. The published surveys confirm it — produced by independent researchers working without this framework, who document the pattern and state they cannot explain it.</w:t>
      </w:r>
    </w:p>
    <w:p>
      <w:pPr>
        <w:pStyle w:val="Heading3"/>
        <w:spacing w:lineRule="auto" w:line="276" w:before="0" w:after="283"/>
        <w:rPr>
          <w:sz w:val="24"/>
          <w:szCs w:val="24"/>
        </w:rPr>
      </w:pPr>
      <w:r>
        <w:rPr>
          <w:sz w:val="24"/>
          <w:szCs w:val="24"/>
        </w:rPr>
        <w:t>2.3 The Wedjat's Geographic Reach</w:t>
      </w:r>
    </w:p>
    <w:p>
      <w:pPr>
        <w:pStyle w:val="BodyText"/>
        <w:spacing w:before="0" w:after="283"/>
        <w:rPr/>
      </w:pPr>
      <w:r>
        <w:rPr/>
        <w:t>Paper II proposed that the Wedjat's distribution traces the migration and then the state expansion. The symbol appears in Nubian A-Group contexts contemporaneously with its earliest Egyptian appearances (Williams 1986) — consistent with shared ancestral heritage rather than Egyptian export to Nubia. The state expansion phase is documented separately: Levant appearances after 3100 BCE, Phoenician maritime network from ca. 800 BCE, local Punic manufacture without Levantine population movement (Ringbauer et al. 2025). A 2024 discovery of a Wedjat amulet in a Late Pre-Islamic tomb at Dibbā al-Bayah in the Sultanate of Oman documents the symbol's reach via long-distance trade networks after state consolidation, testifying to the "international nature of trades linked to the port of Dibbā" (Tursi and Genchi 2024).</w:t>
      </w:r>
    </w:p>
    <w:p>
      <w:pPr>
        <w:pStyle w:val="BodyText"/>
        <w:spacing w:before="0" w:after="283"/>
        <w:rPr/>
      </w:pPr>
      <w:r>
        <w:rPr/>
        <w:t>The Punic and Omani cases illustrate a mechanism central to this series: culture migrates independently of genes. A symbol can travel with people who no longer understand its full meaning and still perform its original function. This is the mechanism the corridor hypothesis proposes for Saharan symbolic vocabulary entering dynastic Egypt through gradual demographic integration rather than conquest.</w:t>
      </w:r>
    </w:p>
    <w:p>
      <w:pPr>
        <w:pStyle w:val="BodyText"/>
        <w:spacing w:before="0" w:after="283"/>
        <w:rPr/>
      </w:pPr>
      <w:r>
        <w:rPr>
          <w:rStyle w:val="Emphasis"/>
        </w:rPr>
        <w:t>"The examples are not offered as evidence for the migration window itself, but as illustrations of the post-state mechanism by which the Wedjat — and by extension, Saharan symbolic vocabulary — propagated through trade networks and persisted across millennia."</w:t>
      </w:r>
    </w:p>
    <w:p>
      <w:pPr>
        <w:pStyle w:val="Heading3"/>
        <w:spacing w:lineRule="auto" w:line="276" w:before="0" w:after="283"/>
        <w:rPr>
          <w:sz w:val="24"/>
          <w:szCs w:val="24"/>
        </w:rPr>
      </w:pPr>
      <w:r>
        <w:rPr>
          <w:sz w:val="24"/>
          <w:szCs w:val="24"/>
        </w:rPr>
        <w:t>2.4 The Wedjat as a Cognitive System: Threshold Quantization Across Domains</w:t>
      </w:r>
    </w:p>
    <w:p>
      <w:pPr>
        <w:pStyle w:val="BodyText"/>
        <w:spacing w:before="0" w:after="283"/>
        <w:rPr/>
      </w:pPr>
      <w:r>
        <w:rPr/>
        <w:t>The Wedjat is not a single-purpose symbol. Its binary fractions (1/2 through 1/64) are documented across every major domain of Egyptian cognition:</w:t>
      </w:r>
    </w:p>
    <w:p>
      <w:pPr>
        <w:pStyle w:val="BodyText"/>
        <w:numPr>
          <w:ilvl w:val="0"/>
          <w:numId w:val="10"/>
        </w:numPr>
        <w:tabs>
          <w:tab w:val="clear" w:pos="709"/>
          <w:tab w:val="left" w:pos="0" w:leader="none"/>
        </w:tabs>
        <w:spacing w:before="0" w:after="283"/>
        <w:ind w:hanging="283" w:start="709"/>
        <w:rPr/>
      </w:pPr>
      <w:r>
        <w:rPr>
          <w:rStyle w:val="Strong"/>
        </w:rPr>
        <w:t>Grain administration:</w:t>
      </w:r>
      <w:r>
        <w:rPr/>
        <w:t xml:space="preserve"> The hekat measurement system of the Rhind Mathematical Papyrus uses the binary series as its foundational structure (Gillings 1972; Clagett 1999).</w:t>
      </w:r>
    </w:p>
    <w:p>
      <w:pPr>
        <w:pStyle w:val="BodyText"/>
        <w:numPr>
          <w:ilvl w:val="0"/>
          <w:numId w:val="10"/>
        </w:numPr>
        <w:tabs>
          <w:tab w:val="clear" w:pos="709"/>
          <w:tab w:val="left" w:pos="0" w:leader="none"/>
        </w:tabs>
        <w:spacing w:before="0" w:after="283"/>
        <w:ind w:hanging="283" w:start="709"/>
        <w:rPr/>
      </w:pPr>
      <w:r>
        <w:rPr>
          <w:rStyle w:val="Strong"/>
        </w:rPr>
        <w:t>Pharmaceutical dosing:</w:t>
      </w:r>
      <w:r>
        <w:rPr/>
        <w:t xml:space="preserve"> The Ebers Papyrus employs the same binary fractions for measuring ingredients, with a secondary system extending to 1/128 for smaller units (Pommerening 2003).</w:t>
      </w:r>
    </w:p>
    <w:p>
      <w:pPr>
        <w:pStyle w:val="BodyText"/>
        <w:numPr>
          <w:ilvl w:val="0"/>
          <w:numId w:val="10"/>
        </w:numPr>
        <w:tabs>
          <w:tab w:val="clear" w:pos="709"/>
          <w:tab w:val="left" w:pos="0" w:leader="none"/>
        </w:tabs>
        <w:spacing w:before="0" w:after="283"/>
        <w:ind w:hanging="283" w:start="709"/>
        <w:rPr/>
      </w:pPr>
      <w:r>
        <w:rPr>
          <w:rStyle w:val="Strong"/>
        </w:rPr>
        <w:t>Funerary protection:</w:t>
      </w:r>
      <w:r>
        <w:rPr/>
        <w:t xml:space="preserve"> Book of the Dead Chapter 140 prescribes the placement of wedjat amulets on the mummy; Chapter 167 equates the restored eye with the deceased's revitalization (University of Birmingham; Royal Ontario Museum).</w:t>
      </w:r>
    </w:p>
    <w:p>
      <w:pPr>
        <w:pStyle w:val="BodyText"/>
        <w:numPr>
          <w:ilvl w:val="0"/>
          <w:numId w:val="10"/>
        </w:numPr>
        <w:tabs>
          <w:tab w:val="clear" w:pos="709"/>
          <w:tab w:val="left" w:pos="0" w:leader="none"/>
        </w:tabs>
        <w:spacing w:before="0" w:after="283"/>
        <w:ind w:hanging="283" w:start="709"/>
        <w:rPr/>
      </w:pPr>
      <w:r>
        <w:rPr>
          <w:rStyle w:val="Strong"/>
        </w:rPr>
        <w:t>The Opening of the Mouth ritual:</w:t>
      </w:r>
      <w:r>
        <w:rPr/>
        <w:t xml:space="preserve"> An adze shaped like the wedjat eye was used to ritually open the mouth, eyes, and ears of the mummy, restoring the senses lost at death (Otto 1960; Roth 1993).</w:t>
      </w:r>
    </w:p>
    <w:p>
      <w:pPr>
        <w:pStyle w:val="BodyText"/>
        <w:numPr>
          <w:ilvl w:val="0"/>
          <w:numId w:val="10"/>
        </w:numPr>
        <w:tabs>
          <w:tab w:val="clear" w:pos="709"/>
          <w:tab w:val="left" w:pos="0" w:leader="none"/>
        </w:tabs>
        <w:spacing w:before="0" w:after="283"/>
        <w:ind w:hanging="283" w:start="709"/>
        <w:rPr/>
      </w:pPr>
      <w:r>
        <w:rPr>
          <w:rStyle w:val="Strong"/>
        </w:rPr>
        <w:t>Lunar timekeeping:</w:t>
      </w:r>
      <w:r>
        <w:rPr/>
        <w:t xml:space="preserve"> The 15-day filling of the eye from new moon to full moon structured lunar festivals; the Coffin Texts identify Thoth as "who protects and fills the Eye of Horus in the Day of new moon" (Parker 1950; Eaton 2011; Faulkner 1973–78).</w:t>
      </w:r>
    </w:p>
    <w:p>
      <w:pPr>
        <w:pStyle w:val="BodyText"/>
        <w:numPr>
          <w:ilvl w:val="0"/>
          <w:numId w:val="10"/>
        </w:numPr>
        <w:tabs>
          <w:tab w:val="clear" w:pos="709"/>
          <w:tab w:val="left" w:pos="0" w:leader="none"/>
        </w:tabs>
        <w:spacing w:before="0" w:after="283"/>
        <w:ind w:hanging="283" w:start="709"/>
        <w:rPr/>
      </w:pPr>
      <w:r>
        <w:rPr>
          <w:rStyle w:val="Strong"/>
        </w:rPr>
        <w:t>Temple offerings:</w:t>
      </w:r>
      <w:r>
        <w:rPr/>
        <w:t xml:space="preserve"> Edfu Temple hosted a formally named Wedjat presentation ritual (the </w:t>
      </w:r>
      <w:r>
        <w:rPr>
          <w:rStyle w:val="Emphasis"/>
        </w:rPr>
        <w:t>Hnk WDAt</w:t>
      </w:r>
      <w:r>
        <w:rPr/>
        <w:t xml:space="preserve"> — see Section 8.3), in which the king received supreme authority and the power to perceive hidden things (Ibrahim and Aboelmagd 2023).</w:t>
      </w:r>
    </w:p>
    <w:p>
      <w:pPr>
        <w:pStyle w:val="BodyText"/>
        <w:numPr>
          <w:ilvl w:val="0"/>
          <w:numId w:val="10"/>
        </w:numPr>
        <w:tabs>
          <w:tab w:val="clear" w:pos="709"/>
          <w:tab w:val="left" w:pos="0" w:leader="none"/>
        </w:tabs>
        <w:spacing w:before="0" w:after="283"/>
        <w:ind w:hanging="283" w:start="709"/>
        <w:rPr/>
      </w:pPr>
      <w:r>
        <w:rPr>
          <w:rStyle w:val="Strong"/>
        </w:rPr>
        <w:t>Primeval creation marker:</w:t>
      </w:r>
      <w:r>
        <w:rPr/>
        <w:t xml:space="preserve"> In the cosmogonical creation text inscribed on the inner face of the Edfu enclosure wall, the Eye of Horus hieroglyph is used uniquely to spell the word </w:t>
      </w:r>
      <w:r>
        <w:rPr>
          <w:rStyle w:val="Emphasis"/>
        </w:rPr>
        <w:t>'nt</w:t>
      </w:r>
      <w:r>
        <w:rPr/>
        <w:t xml:space="preserve"> — "moment" or "point in time" — in the opening lines of the Zep Tepi creation narrative. This is its only occurrence in the passage written with the Eye sign; all subsequent instances use phonetic spelling. Kurth's team identify this as a deliberate compositional choice, marking the primeval creative instant with the Eye symbol itself. The Wedjat thus functions not only as a symbol of restoration and threshold in the completed Egyptian system, but as the literal hieroglyph for the founding moment of creation in the cosmogonical record (Seyfzadeh 2024, translating Kurth et al., </w:t>
      </w:r>
      <w:r>
        <w:rPr>
          <w:rStyle w:val="Emphasis"/>
        </w:rPr>
        <w:t>Edfou VI</w:t>
      </w:r>
      <w:r>
        <w:rPr/>
        <w:t>, 2014).</w:t>
      </w:r>
    </w:p>
    <w:p>
      <w:pPr>
        <w:pStyle w:val="BodyText"/>
        <w:spacing w:before="0" w:after="283"/>
        <w:rPr/>
      </w:pPr>
      <w:r>
        <w:rPr/>
        <w:t xml:space="preserve">In each application, the Wedjat performs the same cognitive work: it </w:t>
      </w:r>
      <w:r>
        <w:rPr>
          <w:rStyle w:val="Strong"/>
        </w:rPr>
        <w:t>quantizes a continuous domain</w:t>
      </w:r>
      <w:r>
        <w:rPr/>
        <w:t xml:space="preserve"> (grain volume, pharmaceutical dose, lunar time, sensory perception), </w:t>
      </w:r>
      <w:r>
        <w:rPr>
          <w:rStyle w:val="Strong"/>
        </w:rPr>
        <w:t>marks a threshold</w:t>
      </w:r>
      <w:r>
        <w:rPr/>
        <w:t xml:space="preserve"> (between life and death, profane and sacred, visible and hidden), and </w:t>
      </w:r>
      <w:r>
        <w:rPr>
          <w:rStyle w:val="Strong"/>
        </w:rPr>
        <w:t>encodes the restoration of what was lost</w:t>
      </w:r>
      <w:r>
        <w:rPr/>
        <w:t xml:space="preserve"> (the eye healed, the dead revived, the senses restored).</w:t>
      </w:r>
    </w:p>
    <w:p>
      <w:pPr>
        <w:pStyle w:val="BodyText"/>
        <w:spacing w:before="0" w:after="283"/>
        <w:rPr/>
      </w:pPr>
      <w:r>
        <w:rPr/>
        <w:t>This is the documented pattern of use across the Egyptian record. The Wedjat was not a single-purpose amulet. It was a system — a structured cognitive tool for managing transitions across every domain of Egyptian knowledge.</w:t>
      </w:r>
    </w:p>
    <w:p>
      <w:pPr>
        <w:pStyle w:val="Heading3"/>
        <w:spacing w:lineRule="auto" w:line="276" w:before="0" w:after="283"/>
        <w:rPr>
          <w:sz w:val="24"/>
          <w:szCs w:val="24"/>
        </w:rPr>
      </w:pPr>
      <w:r>
        <w:rPr>
          <w:sz w:val="24"/>
          <w:szCs w:val="24"/>
        </w:rPr>
        <w:t>2.5 The Seven Families and the Wedjat Hierarchy</w:t>
      </w:r>
    </w:p>
    <w:p>
      <w:pPr>
        <w:pStyle w:val="BodyText"/>
        <w:spacing w:before="0" w:after="283"/>
        <w:rPr/>
      </w:pPr>
      <w:r>
        <w:rPr/>
        <w:t>The seven orientation families documented by the surveys, arranged in order of knowledge accessibility, correspond to the seven components of the Wedjat binary system. The first three fractions match Belmonte's documented construction rotations exactly. The remaining four map to increasing levels of knowledge required to produce each orientation tradition.</w:t>
      </w:r>
    </w:p>
    <w:tbl>
      <w:tblPr>
        <w:tblW w:w="9972" w:type="dxa"/>
        <w:jc w:val="start"/>
        <w:tblInd w:w="0" w:type="dxa"/>
        <w:tblLayout w:type="fixed"/>
        <w:tblCellMar>
          <w:top w:w="28" w:type="dxa"/>
          <w:start w:w="28" w:type="dxa"/>
          <w:bottom w:w="28" w:type="dxa"/>
          <w:end w:w="28" w:type="dxa"/>
        </w:tblCellMar>
      </w:tblPr>
      <w:tblGrid>
        <w:gridCol w:w="880"/>
        <w:gridCol w:w="2216"/>
        <w:gridCol w:w="1793"/>
        <w:gridCol w:w="5083"/>
      </w:tblGrid>
      <w:tr>
        <w:trPr>
          <w:tblHeader w:val="true"/>
        </w:trPr>
        <w:tc>
          <w:tcPr>
            <w:tcW w:w="880" w:type="dxa"/>
            <w:tcBorders/>
            <w:vAlign w:val="center"/>
          </w:tcPr>
          <w:p>
            <w:pPr>
              <w:pStyle w:val="TableHeading"/>
              <w:rPr/>
            </w:pPr>
            <w:r>
              <w:rPr/>
              <w:t>Wedjat</w:t>
            </w:r>
          </w:p>
        </w:tc>
        <w:tc>
          <w:tcPr>
            <w:tcW w:w="2216" w:type="dxa"/>
            <w:tcBorders/>
            <w:vAlign w:val="center"/>
          </w:tcPr>
          <w:p>
            <w:pPr>
              <w:pStyle w:val="TableHeading"/>
              <w:rPr/>
            </w:pPr>
            <w:r>
              <w:rPr/>
              <w:t>Belmonte Family</w:t>
            </w:r>
          </w:p>
        </w:tc>
        <w:tc>
          <w:tcPr>
            <w:tcW w:w="1793" w:type="dxa"/>
            <w:tcBorders/>
            <w:vAlign w:val="center"/>
          </w:tcPr>
          <w:p>
            <w:pPr>
              <w:pStyle w:val="TableHeading"/>
              <w:rPr/>
            </w:pPr>
            <w:r>
              <w:rPr/>
              <w:t>Construction Rotation</w:t>
            </w:r>
          </w:p>
        </w:tc>
        <w:tc>
          <w:tcPr>
            <w:tcW w:w="5083" w:type="dxa"/>
            <w:tcBorders/>
            <w:vAlign w:val="center"/>
          </w:tcPr>
          <w:p>
            <w:pPr>
              <w:pStyle w:val="TableHeading"/>
              <w:rPr/>
            </w:pPr>
            <w:r>
              <w:rPr/>
              <w:t>Knowledge Required</w:t>
            </w:r>
          </w:p>
        </w:tc>
      </w:tr>
      <w:tr>
        <w:trPr/>
        <w:tc>
          <w:tcPr>
            <w:tcW w:w="880" w:type="dxa"/>
            <w:tcBorders/>
            <w:vAlign w:val="center"/>
          </w:tcPr>
          <w:p>
            <w:pPr>
              <w:pStyle w:val="TableContents"/>
              <w:rPr/>
            </w:pPr>
            <w:r>
              <w:rPr/>
              <w:t>1/2</w:t>
            </w:r>
          </w:p>
        </w:tc>
        <w:tc>
          <w:tcPr>
            <w:tcW w:w="2216" w:type="dxa"/>
            <w:tcBorders/>
            <w:vAlign w:val="center"/>
          </w:tcPr>
          <w:p>
            <w:pPr>
              <w:pStyle w:val="TableContents"/>
              <w:rPr/>
            </w:pPr>
            <w:r>
              <w:rPr/>
              <w:t>VI — Meridian/Northern</w:t>
            </w:r>
          </w:p>
        </w:tc>
        <w:tc>
          <w:tcPr>
            <w:tcW w:w="1793" w:type="dxa"/>
            <w:tcBorders/>
            <w:vAlign w:val="center"/>
          </w:tcPr>
          <w:p>
            <w:pPr>
              <w:pStyle w:val="TableContents"/>
              <w:rPr/>
            </w:pPr>
            <w:r>
              <w:rPr/>
              <w:t>180° (half turn)</w:t>
            </w:r>
          </w:p>
        </w:tc>
        <w:tc>
          <w:tcPr>
            <w:tcW w:w="5083" w:type="dxa"/>
            <w:tcBorders/>
            <w:vAlign w:val="center"/>
          </w:tcPr>
          <w:p>
            <w:pPr>
              <w:pStyle w:val="TableContents"/>
              <w:rPr/>
            </w:pPr>
            <w:r>
              <w:rPr/>
              <w:t>Pure geometry: rotate N–S axis by half turn</w:t>
            </w:r>
          </w:p>
        </w:tc>
      </w:tr>
      <w:tr>
        <w:trPr/>
        <w:tc>
          <w:tcPr>
            <w:tcW w:w="880" w:type="dxa"/>
            <w:tcBorders/>
            <w:vAlign w:val="center"/>
          </w:tcPr>
          <w:p>
            <w:pPr>
              <w:pStyle w:val="TableContents"/>
              <w:rPr/>
            </w:pPr>
            <w:r>
              <w:rPr/>
              <w:t>1/4</w:t>
            </w:r>
          </w:p>
        </w:tc>
        <w:tc>
          <w:tcPr>
            <w:tcW w:w="2216" w:type="dxa"/>
            <w:tcBorders/>
            <w:vAlign w:val="center"/>
          </w:tcPr>
          <w:p>
            <w:pPr>
              <w:pStyle w:val="TableContents"/>
              <w:rPr/>
            </w:pPr>
            <w:r>
              <w:rPr/>
              <w:t>I — Equinoctial/Eastern</w:t>
            </w:r>
          </w:p>
        </w:tc>
        <w:tc>
          <w:tcPr>
            <w:tcW w:w="1793" w:type="dxa"/>
            <w:tcBorders/>
            <w:vAlign w:val="center"/>
          </w:tcPr>
          <w:p>
            <w:pPr>
              <w:pStyle w:val="TableContents"/>
              <w:rPr/>
            </w:pPr>
            <w:r>
              <w:rPr/>
              <w:t>90° (quarter turn)</w:t>
            </w:r>
          </w:p>
        </w:tc>
        <w:tc>
          <w:tcPr>
            <w:tcW w:w="5083" w:type="dxa"/>
            <w:tcBorders/>
            <w:vAlign w:val="center"/>
          </w:tcPr>
          <w:p>
            <w:pPr>
              <w:pStyle w:val="TableContents"/>
              <w:rPr/>
            </w:pPr>
            <w:r>
              <w:rPr/>
              <w:t>Pure geometry: perpendicular to established axis</w:t>
            </w:r>
          </w:p>
        </w:tc>
      </w:tr>
      <w:tr>
        <w:trPr/>
        <w:tc>
          <w:tcPr>
            <w:tcW w:w="880" w:type="dxa"/>
            <w:tcBorders/>
            <w:vAlign w:val="center"/>
          </w:tcPr>
          <w:p>
            <w:pPr>
              <w:pStyle w:val="TableContents"/>
              <w:rPr/>
            </w:pPr>
            <w:r>
              <w:rPr/>
              <w:t>1/8</w:t>
            </w:r>
          </w:p>
        </w:tc>
        <w:tc>
          <w:tcPr>
            <w:tcW w:w="2216" w:type="dxa"/>
            <w:tcBorders/>
            <w:vAlign w:val="center"/>
          </w:tcPr>
          <w:p>
            <w:pPr>
              <w:pStyle w:val="TableContents"/>
              <w:rPr/>
            </w:pPr>
            <w:r>
              <w:rPr/>
              <w:t>VII — Quarter-Cardinal</w:t>
            </w:r>
          </w:p>
        </w:tc>
        <w:tc>
          <w:tcPr>
            <w:tcW w:w="1793" w:type="dxa"/>
            <w:tcBorders/>
            <w:vAlign w:val="center"/>
          </w:tcPr>
          <w:p>
            <w:pPr>
              <w:pStyle w:val="TableContents"/>
              <w:rPr/>
            </w:pPr>
            <w:r>
              <w:rPr/>
              <w:t>45° (eighth turn)</w:t>
            </w:r>
          </w:p>
        </w:tc>
        <w:tc>
          <w:tcPr>
            <w:tcW w:w="5083" w:type="dxa"/>
            <w:tcBorders/>
            <w:vAlign w:val="center"/>
          </w:tcPr>
          <w:p>
            <w:pPr>
              <w:pStyle w:val="TableContents"/>
              <w:rPr/>
            </w:pPr>
            <w:r>
              <w:rPr/>
              <w:t>Pure geometry: 45° rotation of established axis</w:t>
            </w:r>
          </w:p>
        </w:tc>
      </w:tr>
      <w:tr>
        <w:trPr/>
        <w:tc>
          <w:tcPr>
            <w:tcW w:w="880" w:type="dxa"/>
            <w:tcBorders/>
            <w:vAlign w:val="center"/>
          </w:tcPr>
          <w:p>
            <w:pPr>
              <w:pStyle w:val="TableContents"/>
              <w:rPr/>
            </w:pPr>
            <w:r>
              <w:rPr/>
              <w:t>1/16</w:t>
            </w:r>
          </w:p>
        </w:tc>
        <w:tc>
          <w:tcPr>
            <w:tcW w:w="2216" w:type="dxa"/>
            <w:tcBorders/>
            <w:vAlign w:val="center"/>
          </w:tcPr>
          <w:p>
            <w:pPr>
              <w:pStyle w:val="TableContents"/>
              <w:rPr/>
            </w:pPr>
            <w:r>
              <w:rPr/>
              <w:t>II — Solstitial</w:t>
            </w:r>
          </w:p>
        </w:tc>
        <w:tc>
          <w:tcPr>
            <w:tcW w:w="1793" w:type="dxa"/>
            <w:tcBorders/>
            <w:vAlign w:val="center"/>
          </w:tcPr>
          <w:p>
            <w:pPr>
              <w:pStyle w:val="TableContents"/>
              <w:rPr/>
            </w:pPr>
            <w:r>
              <w:rPr/>
              <w:t>—</w:t>
            </w:r>
          </w:p>
        </w:tc>
        <w:tc>
          <w:tcPr>
            <w:tcW w:w="5083" w:type="dxa"/>
            <w:tcBorders/>
            <w:vAlign w:val="center"/>
          </w:tcPr>
          <w:p>
            <w:pPr>
              <w:pStyle w:val="TableContents"/>
              <w:rPr/>
            </w:pPr>
            <w:r>
              <w:rPr/>
              <w:t>Solar observation: sun at extreme positions, requires years of watching</w:t>
            </w:r>
          </w:p>
        </w:tc>
      </w:tr>
      <w:tr>
        <w:trPr/>
        <w:tc>
          <w:tcPr>
            <w:tcW w:w="880" w:type="dxa"/>
            <w:tcBorders/>
            <w:vAlign w:val="center"/>
          </w:tcPr>
          <w:p>
            <w:pPr>
              <w:pStyle w:val="TableContents"/>
              <w:rPr/>
            </w:pPr>
            <w:r>
              <w:rPr/>
              <w:t>1/32</w:t>
            </w:r>
          </w:p>
        </w:tc>
        <w:tc>
          <w:tcPr>
            <w:tcW w:w="2216" w:type="dxa"/>
            <w:tcBorders/>
            <w:vAlign w:val="center"/>
          </w:tcPr>
          <w:p>
            <w:pPr>
              <w:pStyle w:val="TableContents"/>
              <w:rPr/>
            </w:pPr>
            <w:r>
              <w:rPr/>
              <w:t>III — Seasonal</w:t>
            </w:r>
          </w:p>
        </w:tc>
        <w:tc>
          <w:tcPr>
            <w:tcW w:w="1793" w:type="dxa"/>
            <w:tcBorders/>
            <w:vAlign w:val="center"/>
          </w:tcPr>
          <w:p>
            <w:pPr>
              <w:pStyle w:val="TableContents"/>
              <w:rPr/>
            </w:pPr>
            <w:r>
              <w:rPr/>
              <w:t>—</w:t>
            </w:r>
          </w:p>
        </w:tc>
        <w:tc>
          <w:tcPr>
            <w:tcW w:w="5083" w:type="dxa"/>
            <w:tcBorders/>
            <w:vAlign w:val="center"/>
          </w:tcPr>
          <w:p>
            <w:pPr>
              <w:pStyle w:val="TableContents"/>
              <w:rPr/>
            </w:pPr>
            <w:r>
              <w:rPr/>
              <w:t>Solar observation: Egyptian calendar markers, requires multi-year tradition</w:t>
            </w:r>
          </w:p>
        </w:tc>
      </w:tr>
      <w:tr>
        <w:trPr/>
        <w:tc>
          <w:tcPr>
            <w:tcW w:w="880" w:type="dxa"/>
            <w:tcBorders/>
            <w:vAlign w:val="center"/>
          </w:tcPr>
          <w:p>
            <w:pPr>
              <w:pStyle w:val="TableContents"/>
              <w:rPr/>
            </w:pPr>
            <w:r>
              <w:rPr/>
              <w:t>1/64</w:t>
            </w:r>
          </w:p>
        </w:tc>
        <w:tc>
          <w:tcPr>
            <w:tcW w:w="2216" w:type="dxa"/>
            <w:tcBorders/>
            <w:vAlign w:val="center"/>
          </w:tcPr>
          <w:p>
            <w:pPr>
              <w:pStyle w:val="TableContents"/>
              <w:rPr/>
            </w:pPr>
            <w:r>
              <w:rPr/>
              <w:t>IV — Sirius</w:t>
            </w:r>
          </w:p>
        </w:tc>
        <w:tc>
          <w:tcPr>
            <w:tcW w:w="1793" w:type="dxa"/>
            <w:tcBorders/>
            <w:vAlign w:val="center"/>
          </w:tcPr>
          <w:p>
            <w:pPr>
              <w:pStyle w:val="TableContents"/>
              <w:rPr/>
            </w:pPr>
            <w:r>
              <w:rPr/>
              <w:t>—</w:t>
            </w:r>
          </w:p>
        </w:tc>
        <w:tc>
          <w:tcPr>
            <w:tcW w:w="5083" w:type="dxa"/>
            <w:tcBorders/>
            <w:vAlign w:val="center"/>
          </w:tcPr>
          <w:p>
            <w:pPr>
              <w:pStyle w:val="TableContents"/>
              <w:rPr/>
            </w:pPr>
            <w:r>
              <w:rPr/>
              <w:t>Transmissional: identification of a specific star and its significance, requires generational instruction</w:t>
            </w:r>
          </w:p>
        </w:tc>
      </w:tr>
      <w:tr>
        <w:trPr/>
        <w:tc>
          <w:tcPr>
            <w:tcW w:w="880" w:type="dxa"/>
            <w:tcBorders/>
            <w:vAlign w:val="center"/>
          </w:tcPr>
          <w:p>
            <w:pPr>
              <w:pStyle w:val="TableContents"/>
              <w:rPr/>
            </w:pPr>
            <w:r>
              <w:rPr>
                <w:rStyle w:val="Emphasis"/>
              </w:rPr>
              <w:t>Missing</w:t>
            </w:r>
          </w:p>
        </w:tc>
        <w:tc>
          <w:tcPr>
            <w:tcW w:w="2216" w:type="dxa"/>
            <w:tcBorders/>
            <w:vAlign w:val="center"/>
          </w:tcPr>
          <w:p>
            <w:pPr>
              <w:pStyle w:val="TableContents"/>
              <w:rPr/>
            </w:pPr>
            <w:r>
              <w:rPr/>
              <w:t>V — Canopus</w:t>
            </w:r>
          </w:p>
        </w:tc>
        <w:tc>
          <w:tcPr>
            <w:tcW w:w="1793" w:type="dxa"/>
            <w:tcBorders/>
            <w:vAlign w:val="center"/>
          </w:tcPr>
          <w:p>
            <w:pPr>
              <w:pStyle w:val="TableContents"/>
              <w:rPr/>
            </w:pPr>
            <w:r>
              <w:rPr/>
              <w:t>—</w:t>
            </w:r>
          </w:p>
        </w:tc>
        <w:tc>
          <w:tcPr>
            <w:tcW w:w="5083" w:type="dxa"/>
            <w:tcBorders/>
            <w:vAlign w:val="center"/>
          </w:tcPr>
          <w:p>
            <w:pPr>
              <w:pStyle w:val="TableContents"/>
              <w:rPr/>
            </w:pPr>
            <w:r>
              <w:rPr/>
              <w:t>Irrecoverable at northern latitudes: preserved only through institutional memory of a sky that can no longer be seen</w:t>
            </w:r>
          </w:p>
        </w:tc>
      </w:tr>
    </w:tbl>
    <w:p>
      <w:pPr>
        <w:pStyle w:val="BodyText"/>
        <w:spacing w:before="0" w:after="283"/>
        <w:rPr/>
      </w:pPr>
      <w:r>
        <w:rPr/>
        <w:t>The three largest fractions — 1/2, 1/4, 1/8 — generate orientations any builder can produce through pure geometry from a single observed north–south line. No astronomical observation beyond finding north is required. They are immediately and always recoverable on-site. The middle fractions — 1/16, 1/32 — require solar observation sustained across seasons and years: recoverable, but not immediately, requiring time and a watching tradition. The smallest fraction — 1/64 — maps to Sirius: not discoverable by geometry or patience alone, requiring transmitted knowledge of which star matters and why.</w:t>
      </w:r>
    </w:p>
    <w:p>
      <w:pPr>
        <w:pStyle w:val="BodyText"/>
        <w:spacing w:before="0" w:after="283"/>
        <w:rPr/>
      </w:pPr>
      <w:r>
        <w:rPr/>
        <w:t>The missing fraction maps to Canopus: permanently invisible above 27.7°N, irrecoverable by any observation method from the latitude of Giza, preserved only through institutional memory of a sky that can no longer be seen. This is precisely what the surveys document: a Canopus orientation family persisting at sites where the star is non-observable, whose cultural importance the survey authors state they cannot explain from any conventional framework. The Wedjat's own structure, applied to the orientation families, predicts exactly one inexplicable family: the one whose celestial target has disappeared from the observable sky.</w:t>
      </w:r>
    </w:p>
    <w:p>
      <w:pPr>
        <w:pStyle w:val="BodyText"/>
        <w:spacing w:before="0" w:after="283"/>
        <w:rPr/>
      </w:pPr>
      <w:r>
        <w:rPr>
          <w:rStyle w:val="Strong"/>
        </w:rPr>
        <w:t>Status of this hierarchy:</w:t>
      </w:r>
      <w:r>
        <w:rPr/>
        <w:t xml:space="preserve"> The hierarchy proposed here is an interpretation, not an established finding. It generates three specific predictions that can be tested against the published Belmonte dataset without new fieldwork.</w:t>
      </w:r>
    </w:p>
    <w:p>
      <w:pPr>
        <w:pStyle w:val="BodyText"/>
        <w:numPr>
          <w:ilvl w:val="0"/>
          <w:numId w:val="11"/>
        </w:numPr>
        <w:tabs>
          <w:tab w:val="clear" w:pos="709"/>
          <w:tab w:val="left" w:pos="0" w:leader="none"/>
        </w:tabs>
        <w:spacing w:before="0" w:after="283"/>
        <w:ind w:hanging="283" w:start="709"/>
        <w:rPr/>
      </w:pPr>
      <w:r>
        <w:rPr>
          <w:rStyle w:val="Strong"/>
        </w:rPr>
        <w:t>Prediction 6a:</w:t>
      </w:r>
      <w:r>
        <w:rPr/>
        <w:t xml:space="preserve"> The cardinal super-family (Families I, VI, VII) should be the most frequent orientation group in the dataset, the solar families less frequent, and the stellar families least frequent — decreasing accessibility predicts decreasing frequency.</w:t>
      </w:r>
    </w:p>
    <w:p>
      <w:pPr>
        <w:pStyle w:val="BodyText"/>
        <w:numPr>
          <w:ilvl w:val="0"/>
          <w:numId w:val="11"/>
        </w:numPr>
        <w:tabs>
          <w:tab w:val="clear" w:pos="709"/>
          <w:tab w:val="left" w:pos="0" w:leader="none"/>
        </w:tabs>
        <w:spacing w:before="0" w:after="283"/>
        <w:ind w:hanging="283" w:start="709"/>
        <w:rPr/>
      </w:pPr>
      <w:r>
        <w:rPr>
          <w:rStyle w:val="Strong"/>
        </w:rPr>
        <w:t>Prediction 6b:</w:t>
      </w:r>
      <w:r>
        <w:rPr/>
        <w:t xml:space="preserve"> Canopus orientation frequency should decline continuously and proportionally to the star's altitude at each latitude, not as a binary present/absent threshold.</w:t>
      </w:r>
    </w:p>
    <w:p>
      <w:pPr>
        <w:pStyle w:val="BodyText"/>
        <w:numPr>
          <w:ilvl w:val="0"/>
          <w:numId w:val="11"/>
        </w:numPr>
        <w:tabs>
          <w:tab w:val="clear" w:pos="709"/>
          <w:tab w:val="left" w:pos="0" w:leader="none"/>
        </w:tabs>
        <w:spacing w:before="0" w:after="283"/>
        <w:ind w:hanging="283" w:start="709"/>
        <w:rPr/>
      </w:pPr>
      <w:r>
        <w:rPr>
          <w:rStyle w:val="Strong"/>
        </w:rPr>
        <w:t>Prediction 6c (the hardest test):</w:t>
      </w:r>
      <w:r>
        <w:rPr/>
        <w:t xml:space="preserve"> Canopus-oriented temples exist in the dataset at sites and periods where Canopus was genuinely non-observable — below practical naked-eye altitude — indicating transmitted institutional memory rather than direct observation. Partial confirmation of Prediction 6c already appears in the temporal analysis of Section 2.1, where northern orientations appear when precession brings the star to marginal visibility.</w:t>
      </w:r>
    </w:p>
    <w:p>
      <w:pPr>
        <w:pStyle w:val="BodyText"/>
        <w:spacing w:before="0" w:after="283"/>
        <w:rPr/>
      </w:pPr>
      <w:r>
        <w:rPr/>
        <w:t>All three predictions are testable against the published Belmonte survey dataset without new fieldwork.</w:t>
      </w:r>
    </w:p>
    <w:p>
      <w:pPr>
        <w:pStyle w:val="BodyText"/>
        <w:spacing w:before="0" w:after="283"/>
        <w:rPr/>
      </w:pPr>
      <w:r>
        <w:rPr/>
        <w:t>The Shaltout/Belmonte surveys and the Wedjat system were produced independently, in different millennia, by different methodological traditions. Their convergence on the same hierarchical structure is a verifiable correspondence in published sources. The Edfu Building Texts — analyzed in Section 8 — independently describe this same system from the inside: what the surveys measure from the outside, the texts record from the inside. The relationship between those two bodies of evidence is the subject of Section 8.</w:t>
      </w:r>
    </w:p>
    <w:p>
      <w:pPr>
        <w:pStyle w:val="Heading3"/>
        <w:spacing w:before="0" w:after="283"/>
        <w:rPr>
          <w:sz w:val="24"/>
          <w:szCs w:val="24"/>
        </w:rPr>
      </w:pPr>
      <w:r>
        <w:rPr>
          <w:sz w:val="24"/>
          <w:szCs w:val="24"/>
        </w:rPr>
        <w:t>PART II: THE GAP—WHAT EGYPT ITSELF REMEMBERED</w:t>
      </w:r>
    </w:p>
    <w:p>
      <w:pPr>
        <w:pStyle w:val="BodyText"/>
        <w:rPr/>
      </w:pPr>
      <w:r>
        <w:rPr/>
        <w:t>We have traced the corridor. We have followed the DNA, the cattle, the eye, the star. We have watched them walk from a green Sahara to the Nile.</w:t>
      </w:r>
    </w:p>
    <w:p>
      <w:pPr>
        <w:pStyle w:val="BodyText"/>
        <w:rPr/>
      </w:pPr>
      <w:r>
        <w:rPr/>
        <w:t>But there is a question we have not asked. It is the question Egypt itself asked, every time a king took the throne, every time a priest opened a scroll, every time a builder laid a foundation stone:</w:t>
      </w:r>
    </w:p>
    <w:p>
      <w:pPr>
        <w:pStyle w:val="BodyText"/>
        <w:rPr/>
      </w:pPr>
      <w:r>
        <w:rPr>
          <w:rStyle w:val="Emphasis"/>
        </w:rPr>
        <w:t>Who came before us?</w:t>
      </w:r>
    </w:p>
    <w:p>
      <w:pPr>
        <w:pStyle w:val="BodyText"/>
        <w:rPr/>
      </w:pPr>
      <w:r>
        <w:rPr/>
        <w:t xml:space="preserve">Papers I and II establish the physical case for corridor migration. The corridor is documented in paleohydrology. The migration pressure is documented in 150 radiocarbon dates. The material markers at Hierakonpolis are documented in peer-reviewed publications spanning 2008 to 2024. The genomic endpoints are documented in two 2025 </w:t>
      </w:r>
      <w:r>
        <w:rPr>
          <w:rStyle w:val="Emphasis"/>
        </w:rPr>
        <w:t>Nature</w:t>
      </w:r>
      <w:r>
        <w:rPr/>
        <w:t xml:space="preserve"> papers. What none of this evidence addresses directly is the question of identity: what did the Egyptians call the people whose arrival is written in stone, bone, and DNA? The answer is in the Egyptian textual record—and it has been there for three thousand years.</w:t>
      </w:r>
    </w:p>
    <w:p>
      <w:pPr>
        <w:pStyle w:val="HorizontalLine"/>
        <w:spacing w:before="0" w:after="0"/>
        <w:rPr>
          <w:sz w:val="24"/>
          <w:szCs w:val="24"/>
        </w:rPr>
      </w:pPr>
      <w:r>
        <w:rPr>
          <w:sz w:val="24"/>
          <w:szCs w:val="24"/>
        </w:rPr>
      </w:r>
    </w:p>
    <w:p>
      <w:pPr>
        <w:pStyle w:val="Heading2"/>
        <w:spacing w:before="0" w:after="283"/>
        <w:rPr>
          <w:sz w:val="24"/>
          <w:szCs w:val="24"/>
        </w:rPr>
      </w:pPr>
      <w:r>
        <w:rPr>
          <w:sz w:val="24"/>
          <w:szCs w:val="24"/>
        </w:rPr>
        <w:t>3. The Structural Argument: A Category the King-List Cannot Do Without</w:t>
      </w:r>
    </w:p>
    <w:p>
      <w:pPr>
        <w:pStyle w:val="BodyText"/>
        <w:spacing w:before="0" w:after="283"/>
        <w:rPr/>
      </w:pPr>
      <w:r>
        <w:rPr/>
        <w:t>The most important observation in this paper does not require the migration model to be correct. It requires only that the Egyptian textual record be read carefully. The Egyptian king-list structure demands a transitional category between divine time and human kingship. The Shemsu Hor fill that slot consistently across every major source in which it appears.</w:t>
      </w:r>
    </w:p>
    <w:p>
      <w:pPr>
        <w:pStyle w:val="Heading3"/>
        <w:spacing w:lineRule="auto" w:line="276" w:before="0" w:after="283"/>
        <w:rPr>
          <w:sz w:val="24"/>
          <w:szCs w:val="24"/>
        </w:rPr>
      </w:pPr>
      <w:r>
        <w:rPr>
          <w:sz w:val="24"/>
          <w:szCs w:val="24"/>
        </w:rPr>
        <w:t>3.1 The Tripartite Sequence</w:t>
      </w:r>
    </w:p>
    <w:p>
      <w:pPr>
        <w:pStyle w:val="BodyText"/>
        <w:spacing w:before="0" w:after="283"/>
        <w:rPr/>
      </w:pPr>
      <w:r>
        <w:rPr/>
        <w:t>The sequence is consistent across fifteen centuries of independent attestation:</w:t>
      </w:r>
    </w:p>
    <w:tbl>
      <w:tblPr>
        <w:tblW w:w="9972" w:type="dxa"/>
        <w:jc w:val="start"/>
        <w:tblInd w:w="0" w:type="dxa"/>
        <w:tblLayout w:type="fixed"/>
        <w:tblCellMar>
          <w:top w:w="28" w:type="dxa"/>
          <w:start w:w="28" w:type="dxa"/>
          <w:bottom w:w="28" w:type="dxa"/>
          <w:end w:w="28" w:type="dxa"/>
        </w:tblCellMar>
      </w:tblPr>
      <w:tblGrid>
        <w:gridCol w:w="1590"/>
        <w:gridCol w:w="4787"/>
        <w:gridCol w:w="3595"/>
      </w:tblGrid>
      <w:tr>
        <w:trPr>
          <w:tblHeader w:val="true"/>
        </w:trPr>
        <w:tc>
          <w:tcPr>
            <w:tcW w:w="1590" w:type="dxa"/>
            <w:tcBorders/>
            <w:vAlign w:val="center"/>
          </w:tcPr>
          <w:p>
            <w:pPr>
              <w:pStyle w:val="TableHeading"/>
              <w:rPr/>
            </w:pPr>
            <w:r>
              <w:rPr/>
              <w:t>Layer</w:t>
            </w:r>
          </w:p>
        </w:tc>
        <w:tc>
          <w:tcPr>
            <w:tcW w:w="4787" w:type="dxa"/>
            <w:tcBorders/>
            <w:vAlign w:val="center"/>
          </w:tcPr>
          <w:p>
            <w:pPr>
              <w:pStyle w:val="TableHeading"/>
              <w:rPr/>
            </w:pPr>
            <w:r>
              <w:rPr/>
              <w:t>Egyptian Category</w:t>
            </w:r>
          </w:p>
        </w:tc>
        <w:tc>
          <w:tcPr>
            <w:tcW w:w="3595" w:type="dxa"/>
            <w:tcBorders/>
            <w:vAlign w:val="center"/>
          </w:tcPr>
          <w:p>
            <w:pPr>
              <w:pStyle w:val="TableHeading"/>
              <w:rPr/>
            </w:pPr>
            <w:r>
              <w:rPr/>
              <w:t>Position in Sequence</w:t>
            </w:r>
          </w:p>
        </w:tc>
      </w:tr>
      <w:tr>
        <w:trPr/>
        <w:tc>
          <w:tcPr>
            <w:tcW w:w="1590" w:type="dxa"/>
            <w:tcBorders/>
            <w:vAlign w:val="center"/>
          </w:tcPr>
          <w:p>
            <w:pPr>
              <w:pStyle w:val="TableContents"/>
              <w:rPr/>
            </w:pPr>
            <w:r>
              <w:rPr/>
              <w:t>Divine era</w:t>
            </w:r>
          </w:p>
        </w:tc>
        <w:tc>
          <w:tcPr>
            <w:tcW w:w="4787" w:type="dxa"/>
            <w:tcBorders/>
            <w:vAlign w:val="center"/>
          </w:tcPr>
          <w:p>
            <w:pPr>
              <w:pStyle w:val="TableContents"/>
              <w:rPr/>
            </w:pPr>
            <w:r>
              <w:rPr/>
              <w:t>Divine dynasties (individual gods listed in Manetho)</w:t>
            </w:r>
          </w:p>
        </w:tc>
        <w:tc>
          <w:tcPr>
            <w:tcW w:w="3595" w:type="dxa"/>
            <w:tcBorders/>
            <w:vAlign w:val="center"/>
          </w:tcPr>
          <w:p>
            <w:pPr>
              <w:pStyle w:val="TableContents"/>
              <w:rPr/>
            </w:pPr>
            <w:r>
              <w:rPr/>
              <w:t>First — cosmic primordial time</w:t>
            </w:r>
          </w:p>
        </w:tc>
      </w:tr>
      <w:tr>
        <w:trPr/>
        <w:tc>
          <w:tcPr>
            <w:tcW w:w="1590" w:type="dxa"/>
            <w:tcBorders/>
            <w:vAlign w:val="center"/>
          </w:tcPr>
          <w:p>
            <w:pPr>
              <w:pStyle w:val="TableContents"/>
              <w:rPr/>
            </w:pPr>
            <w:r>
              <w:rPr/>
              <w:t>Transitional era</w:t>
            </w:r>
          </w:p>
        </w:tc>
        <w:tc>
          <w:tcPr>
            <w:tcW w:w="4787" w:type="dxa"/>
            <w:tcBorders/>
            <w:vAlign w:val="center"/>
          </w:tcPr>
          <w:p>
            <w:pPr>
              <w:pStyle w:val="TableContents"/>
              <w:rPr/>
            </w:pPr>
            <w:r>
              <w:rPr/>
              <w:t>Spirits (Akhu) / Followers of Horus (Shemsu Hor)</w:t>
            </w:r>
          </w:p>
        </w:tc>
        <w:tc>
          <w:tcPr>
            <w:tcW w:w="3595" w:type="dxa"/>
            <w:tcBorders/>
            <w:vAlign w:val="center"/>
          </w:tcPr>
          <w:p>
            <w:pPr>
              <w:pStyle w:val="TableContents"/>
              <w:rPr/>
            </w:pPr>
            <w:r>
              <w:rPr/>
              <w:t>Second — between divine and human</w:t>
            </w:r>
          </w:p>
        </w:tc>
      </w:tr>
      <w:tr>
        <w:trPr/>
        <w:tc>
          <w:tcPr>
            <w:tcW w:w="1590" w:type="dxa"/>
            <w:tcBorders/>
            <w:vAlign w:val="center"/>
          </w:tcPr>
          <w:p>
            <w:pPr>
              <w:pStyle w:val="TableContents"/>
              <w:rPr/>
            </w:pPr>
            <w:r>
              <w:rPr/>
              <w:t>Historical era</w:t>
            </w:r>
          </w:p>
        </w:tc>
        <w:tc>
          <w:tcPr>
            <w:tcW w:w="4787" w:type="dxa"/>
            <w:tcBorders/>
            <w:vAlign w:val="center"/>
          </w:tcPr>
          <w:p>
            <w:pPr>
              <w:pStyle w:val="TableContents"/>
              <w:rPr/>
            </w:pPr>
            <w:r>
              <w:rPr/>
              <w:t>Human kings beginning with Menes</w:t>
            </w:r>
          </w:p>
        </w:tc>
        <w:tc>
          <w:tcPr>
            <w:tcW w:w="3595" w:type="dxa"/>
            <w:tcBorders/>
            <w:vAlign w:val="center"/>
          </w:tcPr>
          <w:p>
            <w:pPr>
              <w:pStyle w:val="TableContents"/>
              <w:rPr/>
            </w:pPr>
            <w:r>
              <w:rPr/>
              <w:t>Third — documented human history</w:t>
            </w:r>
          </w:p>
        </w:tc>
      </w:tr>
    </w:tbl>
    <w:p>
      <w:pPr>
        <w:pStyle w:val="BodyText"/>
        <w:spacing w:before="0" w:after="283"/>
        <w:rPr/>
      </w:pPr>
      <w:r>
        <w:rPr/>
        <w:br/>
        <w:t xml:space="preserve">This sequence appears in the Turin Royal Canon, the Pyramid Texts, the Coffin Texts' associated ancestral traditions, Manetho's structural framework, and later pharaonic inscriptions. Remove the Shemsu Hor, and the Egyptian king-list has no transitional generation. Wilkinson (1999: 170) confirms that </w:t>
      </w:r>
      <w:r>
        <w:rPr>
          <w:rStyle w:val="Emphasis"/>
        </w:rPr>
        <w:t>šmsw Ḥr</w:t>
      </w:r>
      <w:r>
        <w:rPr/>
        <w:t xml:space="preserve"> was applied to the semi-legendary pre-unification kings associated with the living tradition of Horus-worship at Nekhen. The structural slot is non-optional. What remains to explain is what it encodes.</w:t>
      </w:r>
    </w:p>
    <w:p>
      <w:pPr>
        <w:pStyle w:val="Heading3"/>
        <w:spacing w:lineRule="auto" w:line="276" w:before="0" w:after="283"/>
        <w:rPr>
          <w:sz w:val="24"/>
          <w:szCs w:val="24"/>
        </w:rPr>
      </w:pPr>
      <w:r>
        <w:rPr>
          <w:sz w:val="24"/>
          <w:szCs w:val="24"/>
        </w:rPr>
        <w:t>3.2 Comparative Archival Specificity</w:t>
      </w:r>
    </w:p>
    <w:p>
      <w:pPr>
        <w:pStyle w:val="BodyText"/>
        <w:spacing w:before="0" w:after="283"/>
        <w:rPr/>
      </w:pPr>
      <w:r>
        <w:rPr/>
        <w:t>The claim that the Shemsu Hor archival citations are structurally anomalous requires systematic comparison against other documented primordial or pre-dynastic traditions in the ancient literate world. The following table highlights the dimension of archival medium specificity — whether the tradition names a physical, institutionally recoverable writing material.</w:t>
      </w:r>
    </w:p>
    <w:tbl>
      <w:tblPr>
        <w:tblW w:w="9972" w:type="dxa"/>
        <w:jc w:val="start"/>
        <w:tblInd w:w="0" w:type="dxa"/>
        <w:tblLayout w:type="fixed"/>
        <w:tblCellMar>
          <w:top w:w="28" w:type="dxa"/>
          <w:start w:w="28" w:type="dxa"/>
          <w:bottom w:w="28" w:type="dxa"/>
          <w:end w:w="28" w:type="dxa"/>
        </w:tblCellMar>
      </w:tblPr>
      <w:tblGrid>
        <w:gridCol w:w="1672"/>
        <w:gridCol w:w="1963"/>
        <w:gridCol w:w="1395"/>
        <w:gridCol w:w="1992"/>
        <w:gridCol w:w="2950"/>
      </w:tblGrid>
      <w:tr>
        <w:trPr>
          <w:tblHeader w:val="true"/>
        </w:trPr>
        <w:tc>
          <w:tcPr>
            <w:tcW w:w="1672" w:type="dxa"/>
            <w:tcBorders/>
            <w:vAlign w:val="center"/>
          </w:tcPr>
          <w:p>
            <w:pPr>
              <w:pStyle w:val="TableHeading"/>
              <w:rPr/>
            </w:pPr>
            <w:r>
              <w:rPr/>
              <w:t>Tradition</w:t>
            </w:r>
          </w:p>
        </w:tc>
        <w:tc>
          <w:tcPr>
            <w:tcW w:w="1963" w:type="dxa"/>
            <w:tcBorders/>
            <w:vAlign w:val="center"/>
          </w:tcPr>
          <w:p>
            <w:pPr>
              <w:pStyle w:val="TableHeading"/>
              <w:rPr/>
            </w:pPr>
            <w:r>
              <w:rPr/>
              <w:t>Pre-dynastic / Primordial Category</w:t>
            </w:r>
          </w:p>
        </w:tc>
        <w:tc>
          <w:tcPr>
            <w:tcW w:w="1395" w:type="dxa"/>
            <w:tcBorders/>
            <w:vAlign w:val="center"/>
          </w:tcPr>
          <w:p>
            <w:pPr>
              <w:pStyle w:val="TableHeading"/>
              <w:rPr/>
            </w:pPr>
            <w:r>
              <w:rPr/>
              <w:t>Named Physical Archive?</w:t>
            </w:r>
          </w:p>
        </w:tc>
        <w:tc>
          <w:tcPr>
            <w:tcW w:w="1992" w:type="dxa"/>
            <w:tcBorders/>
            <w:vAlign w:val="center"/>
          </w:tcPr>
          <w:p>
            <w:pPr>
              <w:pStyle w:val="TableHeading"/>
              <w:rPr/>
            </w:pPr>
            <w:r>
              <w:rPr/>
              <w:t>Archival Medium Specified?</w:t>
            </w:r>
          </w:p>
        </w:tc>
        <w:tc>
          <w:tcPr>
            <w:tcW w:w="2950" w:type="dxa"/>
            <w:tcBorders/>
            <w:vAlign w:val="center"/>
          </w:tcPr>
          <w:p>
            <w:pPr>
              <w:pStyle w:val="TableHeading"/>
              <w:rPr/>
            </w:pPr>
            <w:r>
              <w:rPr/>
              <w:t>Cited in Professional Accountability Context?</w:t>
            </w:r>
          </w:p>
        </w:tc>
      </w:tr>
      <w:tr>
        <w:trPr/>
        <w:tc>
          <w:tcPr>
            <w:tcW w:w="1672" w:type="dxa"/>
            <w:tcBorders/>
            <w:vAlign w:val="center"/>
          </w:tcPr>
          <w:p>
            <w:pPr>
              <w:pStyle w:val="TableContents"/>
              <w:rPr/>
            </w:pPr>
            <w:r>
              <w:rPr/>
              <w:t>Sumerian King List</w:t>
            </w:r>
          </w:p>
        </w:tc>
        <w:tc>
          <w:tcPr>
            <w:tcW w:w="1963" w:type="dxa"/>
            <w:tcBorders/>
            <w:vAlign w:val="center"/>
          </w:tcPr>
          <w:p>
            <w:pPr>
              <w:pStyle w:val="TableContents"/>
              <w:rPr/>
            </w:pPr>
            <w:r>
              <w:rPr/>
              <w:t>Antediluvian kings</w:t>
            </w:r>
          </w:p>
        </w:tc>
        <w:tc>
          <w:tcPr>
            <w:tcW w:w="1395" w:type="dxa"/>
            <w:tcBorders/>
            <w:vAlign w:val="center"/>
          </w:tcPr>
          <w:p>
            <w:pPr>
              <w:pStyle w:val="TableContents"/>
              <w:rPr/>
            </w:pPr>
            <w:r>
              <w:rPr/>
              <w:t>No</w:t>
            </w:r>
          </w:p>
        </w:tc>
        <w:tc>
          <w:tcPr>
            <w:tcW w:w="1992" w:type="dxa"/>
            <w:tcBorders/>
            <w:vAlign w:val="center"/>
          </w:tcPr>
          <w:p>
            <w:pPr>
              <w:pStyle w:val="TableContents"/>
              <w:rPr/>
            </w:pPr>
            <w:r>
              <w:rPr/>
              <w:t>—</w:t>
            </w:r>
          </w:p>
        </w:tc>
        <w:tc>
          <w:tcPr>
            <w:tcW w:w="2950" w:type="dxa"/>
            <w:tcBorders/>
            <w:vAlign w:val="center"/>
          </w:tcPr>
          <w:p>
            <w:pPr>
              <w:pStyle w:val="TableContents"/>
              <w:rPr/>
            </w:pPr>
            <w:r>
              <w:rPr/>
              <w:t>No</w:t>
            </w:r>
          </w:p>
        </w:tc>
      </w:tr>
      <w:tr>
        <w:trPr/>
        <w:tc>
          <w:tcPr>
            <w:tcW w:w="1672" w:type="dxa"/>
            <w:tcBorders/>
            <w:vAlign w:val="center"/>
          </w:tcPr>
          <w:p>
            <w:pPr>
              <w:pStyle w:val="TableContents"/>
              <w:rPr/>
            </w:pPr>
            <w:r>
              <w:rPr/>
              <w:t>Berossus (Babylonian)</w:t>
            </w:r>
          </w:p>
        </w:tc>
        <w:tc>
          <w:tcPr>
            <w:tcW w:w="1963" w:type="dxa"/>
            <w:tcBorders/>
            <w:vAlign w:val="center"/>
          </w:tcPr>
          <w:p>
            <w:pPr>
              <w:pStyle w:val="TableContents"/>
              <w:rPr/>
            </w:pPr>
            <w:r>
              <w:rPr/>
              <w:t>Antediluvian kings</w:t>
            </w:r>
          </w:p>
        </w:tc>
        <w:tc>
          <w:tcPr>
            <w:tcW w:w="1395" w:type="dxa"/>
            <w:tcBorders/>
            <w:vAlign w:val="center"/>
          </w:tcPr>
          <w:p>
            <w:pPr>
              <w:pStyle w:val="TableContents"/>
              <w:rPr/>
            </w:pPr>
            <w:r>
              <w:rPr/>
              <w:t>No</w:t>
            </w:r>
          </w:p>
        </w:tc>
        <w:tc>
          <w:tcPr>
            <w:tcW w:w="1992" w:type="dxa"/>
            <w:tcBorders/>
            <w:vAlign w:val="center"/>
          </w:tcPr>
          <w:p>
            <w:pPr>
              <w:pStyle w:val="TableContents"/>
              <w:rPr/>
            </w:pPr>
            <w:r>
              <w:rPr/>
              <w:t>—</w:t>
            </w:r>
          </w:p>
        </w:tc>
        <w:tc>
          <w:tcPr>
            <w:tcW w:w="2950" w:type="dxa"/>
            <w:tcBorders/>
            <w:vAlign w:val="center"/>
          </w:tcPr>
          <w:p>
            <w:pPr>
              <w:pStyle w:val="TableContents"/>
              <w:rPr/>
            </w:pPr>
            <w:r>
              <w:rPr/>
              <w:t>No</w:t>
            </w:r>
          </w:p>
        </w:tc>
      </w:tr>
      <w:tr>
        <w:trPr/>
        <w:tc>
          <w:tcPr>
            <w:tcW w:w="1672" w:type="dxa"/>
            <w:tcBorders/>
            <w:vAlign w:val="center"/>
          </w:tcPr>
          <w:p>
            <w:pPr>
              <w:pStyle w:val="TableContents"/>
              <w:rPr/>
            </w:pPr>
            <w:r>
              <w:rPr/>
              <w:t>Hebrew Patriarchs</w:t>
            </w:r>
          </w:p>
        </w:tc>
        <w:tc>
          <w:tcPr>
            <w:tcW w:w="1963" w:type="dxa"/>
            <w:tcBorders/>
            <w:vAlign w:val="center"/>
          </w:tcPr>
          <w:p>
            <w:pPr>
              <w:pStyle w:val="TableContents"/>
              <w:rPr/>
            </w:pPr>
            <w:r>
              <w:rPr/>
              <w:t>Antediluvian figures</w:t>
            </w:r>
          </w:p>
        </w:tc>
        <w:tc>
          <w:tcPr>
            <w:tcW w:w="1395" w:type="dxa"/>
            <w:tcBorders/>
            <w:vAlign w:val="center"/>
          </w:tcPr>
          <w:p>
            <w:pPr>
              <w:pStyle w:val="TableContents"/>
              <w:rPr/>
            </w:pPr>
            <w:r>
              <w:rPr/>
              <w:t>No</w:t>
            </w:r>
          </w:p>
        </w:tc>
        <w:tc>
          <w:tcPr>
            <w:tcW w:w="1992" w:type="dxa"/>
            <w:tcBorders/>
            <w:vAlign w:val="center"/>
          </w:tcPr>
          <w:p>
            <w:pPr>
              <w:pStyle w:val="TableContents"/>
              <w:rPr/>
            </w:pPr>
            <w:r>
              <w:rPr/>
              <w:t>—</w:t>
            </w:r>
          </w:p>
        </w:tc>
        <w:tc>
          <w:tcPr>
            <w:tcW w:w="2950" w:type="dxa"/>
            <w:tcBorders/>
            <w:vAlign w:val="center"/>
          </w:tcPr>
          <w:p>
            <w:pPr>
              <w:pStyle w:val="TableContents"/>
              <w:rPr/>
            </w:pPr>
            <w:r>
              <w:rPr/>
              <w:t>No</w:t>
            </w:r>
          </w:p>
        </w:tc>
      </w:tr>
      <w:tr>
        <w:trPr/>
        <w:tc>
          <w:tcPr>
            <w:tcW w:w="1672" w:type="dxa"/>
            <w:tcBorders/>
            <w:vAlign w:val="center"/>
          </w:tcPr>
          <w:p>
            <w:pPr>
              <w:pStyle w:val="TableContents"/>
              <w:rPr/>
            </w:pPr>
            <w:r>
              <w:rPr/>
              <w:t>Vedic / Hindu</w:t>
            </w:r>
          </w:p>
        </w:tc>
        <w:tc>
          <w:tcPr>
            <w:tcW w:w="1963" w:type="dxa"/>
            <w:tcBorders/>
            <w:vAlign w:val="center"/>
          </w:tcPr>
          <w:p>
            <w:pPr>
              <w:pStyle w:val="TableContents"/>
              <w:rPr/>
            </w:pPr>
            <w:r>
              <w:rPr/>
              <w:t>Manvantara rulers</w:t>
            </w:r>
          </w:p>
        </w:tc>
        <w:tc>
          <w:tcPr>
            <w:tcW w:w="1395" w:type="dxa"/>
            <w:tcBorders/>
            <w:vAlign w:val="center"/>
          </w:tcPr>
          <w:p>
            <w:pPr>
              <w:pStyle w:val="TableContents"/>
              <w:rPr/>
            </w:pPr>
            <w:r>
              <w:rPr/>
              <w:t>No</w:t>
            </w:r>
          </w:p>
        </w:tc>
        <w:tc>
          <w:tcPr>
            <w:tcW w:w="1992" w:type="dxa"/>
            <w:tcBorders/>
            <w:vAlign w:val="center"/>
          </w:tcPr>
          <w:p>
            <w:pPr>
              <w:pStyle w:val="TableContents"/>
              <w:rPr/>
            </w:pPr>
            <w:r>
              <w:rPr/>
              <w:t>—</w:t>
            </w:r>
          </w:p>
        </w:tc>
        <w:tc>
          <w:tcPr>
            <w:tcW w:w="2950" w:type="dxa"/>
            <w:tcBorders/>
            <w:vAlign w:val="center"/>
          </w:tcPr>
          <w:p>
            <w:pPr>
              <w:pStyle w:val="TableContents"/>
              <w:rPr/>
            </w:pPr>
            <w:r>
              <w:rPr/>
              <w:t>No</w:t>
            </w:r>
          </w:p>
        </w:tc>
      </w:tr>
      <w:tr>
        <w:trPr/>
        <w:tc>
          <w:tcPr>
            <w:tcW w:w="1672" w:type="dxa"/>
            <w:tcBorders/>
            <w:vAlign w:val="center"/>
          </w:tcPr>
          <w:p>
            <w:pPr>
              <w:pStyle w:val="TableContents"/>
              <w:rPr/>
            </w:pPr>
            <w:r>
              <w:rPr/>
              <w:t>Chinese (Three Sovereigns)</w:t>
            </w:r>
          </w:p>
        </w:tc>
        <w:tc>
          <w:tcPr>
            <w:tcW w:w="1963" w:type="dxa"/>
            <w:tcBorders/>
            <w:vAlign w:val="center"/>
          </w:tcPr>
          <w:p>
            <w:pPr>
              <w:pStyle w:val="TableContents"/>
              <w:rPr/>
            </w:pPr>
            <w:r>
              <w:rPr/>
              <w:t>Culture heroes</w:t>
            </w:r>
          </w:p>
        </w:tc>
        <w:tc>
          <w:tcPr>
            <w:tcW w:w="1395" w:type="dxa"/>
            <w:tcBorders/>
            <w:vAlign w:val="center"/>
          </w:tcPr>
          <w:p>
            <w:pPr>
              <w:pStyle w:val="TableContents"/>
              <w:rPr/>
            </w:pPr>
            <w:r>
              <w:rPr/>
              <w:t>No</w:t>
            </w:r>
          </w:p>
        </w:tc>
        <w:tc>
          <w:tcPr>
            <w:tcW w:w="1992" w:type="dxa"/>
            <w:tcBorders/>
            <w:vAlign w:val="center"/>
          </w:tcPr>
          <w:p>
            <w:pPr>
              <w:pStyle w:val="TableContents"/>
              <w:rPr/>
            </w:pPr>
            <w:r>
              <w:rPr/>
              <w:t>—</w:t>
            </w:r>
          </w:p>
        </w:tc>
        <w:tc>
          <w:tcPr>
            <w:tcW w:w="2950" w:type="dxa"/>
            <w:tcBorders/>
            <w:vAlign w:val="center"/>
          </w:tcPr>
          <w:p>
            <w:pPr>
              <w:pStyle w:val="TableContents"/>
              <w:rPr/>
            </w:pPr>
            <w:r>
              <w:rPr/>
              <w:t>No</w:t>
            </w:r>
          </w:p>
        </w:tc>
      </w:tr>
      <w:tr>
        <w:trPr/>
        <w:tc>
          <w:tcPr>
            <w:tcW w:w="1672" w:type="dxa"/>
            <w:tcBorders/>
            <w:vAlign w:val="center"/>
          </w:tcPr>
          <w:p>
            <w:pPr>
              <w:pStyle w:val="TableContents"/>
              <w:rPr/>
            </w:pPr>
            <w:r>
              <w:rPr/>
              <w:t>Hittite (Kumarbi cycle)</w:t>
            </w:r>
          </w:p>
        </w:tc>
        <w:tc>
          <w:tcPr>
            <w:tcW w:w="1963" w:type="dxa"/>
            <w:tcBorders/>
            <w:vAlign w:val="center"/>
          </w:tcPr>
          <w:p>
            <w:pPr>
              <w:pStyle w:val="TableContents"/>
              <w:rPr/>
            </w:pPr>
            <w:r>
              <w:rPr/>
              <w:t>Primordial kings</w:t>
            </w:r>
          </w:p>
        </w:tc>
        <w:tc>
          <w:tcPr>
            <w:tcW w:w="1395" w:type="dxa"/>
            <w:tcBorders/>
            <w:vAlign w:val="center"/>
          </w:tcPr>
          <w:p>
            <w:pPr>
              <w:pStyle w:val="TableContents"/>
              <w:rPr/>
            </w:pPr>
            <w:r>
              <w:rPr/>
              <w:t>No</w:t>
            </w:r>
          </w:p>
        </w:tc>
        <w:tc>
          <w:tcPr>
            <w:tcW w:w="1992" w:type="dxa"/>
            <w:tcBorders/>
            <w:vAlign w:val="center"/>
          </w:tcPr>
          <w:p>
            <w:pPr>
              <w:pStyle w:val="TableContents"/>
              <w:rPr/>
            </w:pPr>
            <w:r>
              <w:rPr/>
              <w:t>—</w:t>
            </w:r>
          </w:p>
        </w:tc>
        <w:tc>
          <w:tcPr>
            <w:tcW w:w="2950" w:type="dxa"/>
            <w:tcBorders/>
            <w:vAlign w:val="center"/>
          </w:tcPr>
          <w:p>
            <w:pPr>
              <w:pStyle w:val="TableContents"/>
              <w:rPr/>
            </w:pPr>
            <w:r>
              <w:rPr/>
              <w:t>No</w:t>
            </w:r>
          </w:p>
        </w:tc>
      </w:tr>
      <w:tr>
        <w:trPr/>
        <w:tc>
          <w:tcPr>
            <w:tcW w:w="1672" w:type="dxa"/>
            <w:tcBorders/>
            <w:vAlign w:val="center"/>
          </w:tcPr>
          <w:p>
            <w:pPr>
              <w:pStyle w:val="TableContents"/>
              <w:rPr/>
            </w:pPr>
            <w:r>
              <w:rPr/>
              <w:t>Shemsu Hor (Egyptian)</w:t>
            </w:r>
          </w:p>
        </w:tc>
        <w:tc>
          <w:tcPr>
            <w:tcW w:w="1963" w:type="dxa"/>
            <w:tcBorders/>
            <w:vAlign w:val="center"/>
          </w:tcPr>
          <w:p>
            <w:pPr>
              <w:pStyle w:val="TableContents"/>
              <w:rPr/>
            </w:pPr>
            <w:r>
              <w:rPr/>
              <w:t>Transitional Followers of Horus</w:t>
            </w:r>
          </w:p>
        </w:tc>
        <w:tc>
          <w:tcPr>
            <w:tcW w:w="1395" w:type="dxa"/>
            <w:tcBorders/>
            <w:vAlign w:val="center"/>
          </w:tcPr>
          <w:p>
            <w:pPr>
              <w:pStyle w:val="TableContents"/>
              <w:rPr/>
            </w:pPr>
            <w:r>
              <w:rPr/>
              <w:t>Yes</w:t>
            </w:r>
          </w:p>
        </w:tc>
        <w:tc>
          <w:tcPr>
            <w:tcW w:w="1992" w:type="dxa"/>
            <w:tcBorders/>
            <w:vAlign w:val="center"/>
          </w:tcPr>
          <w:p>
            <w:pPr>
              <w:pStyle w:val="TableContents"/>
              <w:rPr/>
            </w:pPr>
            <w:r>
              <w:rPr/>
              <w:t>Goatskin scroll, written annals, architectural plans</w:t>
            </w:r>
          </w:p>
        </w:tc>
        <w:tc>
          <w:tcPr>
            <w:tcW w:w="2950" w:type="dxa"/>
            <w:tcBorders/>
            <w:vAlign w:val="center"/>
          </w:tcPr>
          <w:p>
            <w:pPr>
              <w:pStyle w:val="TableContents"/>
              <w:rPr/>
            </w:pPr>
            <w:r>
              <w:rPr/>
              <w:t>Yes (Thutmose I stela; Merneptah building inscription; Dendera crypt)</w:t>
            </w:r>
          </w:p>
        </w:tc>
      </w:tr>
    </w:tbl>
    <w:p>
      <w:pPr>
        <w:pStyle w:val="BodyText"/>
        <w:spacing w:before="0" w:after="283"/>
        <w:rPr/>
      </w:pPr>
      <w:r>
        <w:rPr/>
        <w:t>Of the major king-list and cosmogonic traditions surveyed, the Shemsu Hor are the only category for which all three archival criteria are simultaneously met: (1) a named physical object type, (2) specified as recoverable through institutional access, and (3) cited in a professional scribal accountability context where falsification would have been professionally risky.</w:t>
      </w:r>
    </w:p>
    <w:p>
      <w:pPr>
        <w:pStyle w:val="BodyText"/>
        <w:spacing w:before="0" w:after="283"/>
        <w:rPr/>
      </w:pPr>
      <w:r>
        <w:rPr/>
        <w:t xml:space="preserve">Generic legitimation rhetoric is widespread across Egyptian, Mesopotamian, and broader Near Eastern traditions, yet it typically invokes ancestral authority without material specificity. The Shemsu Hor references uniquely specify </w:t>
      </w:r>
      <w:r>
        <w:rPr>
          <w:rStyle w:val="Emphasis"/>
        </w:rPr>
        <w:t>šnw n ʿrq</w:t>
      </w:r>
      <w:r>
        <w:rPr/>
        <w:t xml:space="preserve"> (goatskin scroll) and *gn.wt npy.w-ḥ3.t* (annals of predecessors) in state inscriptions and temple foundation contexts.</w:t>
      </w:r>
    </w:p>
    <w:p>
      <w:pPr>
        <w:pStyle w:val="Heading3"/>
        <w:spacing w:lineRule="auto" w:line="276" w:before="0" w:after="283"/>
        <w:rPr>
          <w:sz w:val="24"/>
          <w:szCs w:val="24"/>
        </w:rPr>
      </w:pPr>
      <w:r>
        <w:rPr>
          <w:sz w:val="24"/>
          <w:szCs w:val="24"/>
        </w:rPr>
        <w:t>3.3 Response to the Mainstream Interpretation</w:t>
      </w:r>
    </w:p>
    <w:p>
      <w:pPr>
        <w:pStyle w:val="BodyText"/>
        <w:spacing w:before="0" w:after="283"/>
        <w:rPr/>
      </w:pPr>
      <w:r>
        <w:rPr/>
        <w:t>The observation that the Edfu Building Texts function primarily as cosmogonic temple-foundation mythology is not contested (Reymond 1969; Kurth et al.). The question is whether the distinctive structural features of this particular tradition — a named western homeland destroyed by cataclysm, survivors carrying exclusive architectural knowledge eastward, and a Horus falcon ancestor cult — are adequately explained by generic legitimation models. These elements appear at Edfu but have no structural parallel at Dendera, Esna, Kom Ombo, or Philae, despite equivalent scribal capacity and theological motivation at those sites with active cosmogonic creativity.</w:t>
      </w:r>
    </w:p>
    <w:p>
      <w:pPr>
        <w:pStyle w:val="BodyText"/>
        <w:spacing w:before="0" w:after="283"/>
        <w:rPr/>
      </w:pPr>
      <w:r>
        <w:rPr/>
        <w:t>The corridor migration model supplies one coherent explanatory mechanism for this distinctiveness without invoking otherwise unattested priestly invention at Edfu alone. The alternative — independent composition of a structurally unique migration narrative at Edfu while other Ptolemaic temples relied on standard cosmogonies — itself requires justification.</w:t>
      </w:r>
    </w:p>
    <w:p>
      <w:pPr>
        <w:pStyle w:val="Heading3"/>
        <w:spacing w:lineRule="auto" w:line="276" w:before="0" w:after="283"/>
        <w:rPr>
          <w:sz w:val="24"/>
          <w:szCs w:val="24"/>
        </w:rPr>
      </w:pPr>
      <w:r>
        <w:rPr>
          <w:sz w:val="24"/>
          <w:szCs w:val="24"/>
        </w:rPr>
        <w:t>3.4 Internal Textual Evidence for Memory-Encoding Function</w:t>
      </w:r>
    </w:p>
    <w:p>
      <w:pPr>
        <w:pStyle w:val="BodyText"/>
        <w:spacing w:before="0" w:after="283"/>
        <w:rPr/>
      </w:pPr>
      <w:r>
        <w:rPr/>
        <w:t xml:space="preserve">Seyfzadeh's (2024) translation of the creation passage on the inner face of the Edfu enclosure wall (following Kurth et al., </w:t>
      </w:r>
      <w:r>
        <w:rPr>
          <w:rStyle w:val="Emphasis"/>
        </w:rPr>
        <w:t>Edfou VI</w:t>
      </w:r>
      <w:r>
        <w:rPr/>
        <w:t xml:space="preserve">, 2014) documents a deliberate scribal choice: the Eye of Horus hieroglyph is used uniquely to spell </w:t>
      </w:r>
      <w:r>
        <w:rPr>
          <w:rStyle w:val="Emphasis"/>
        </w:rPr>
        <w:t>'nt</w:t>
      </w:r>
      <w:r>
        <w:rPr/>
        <w:t xml:space="preserve"> ("moment" or "point in time") in the opening lines of the Zep Tepi sequence. This is its only occurrence with the Eye sign in the passage; subsequent instances use phonetic spelling. Kurth's team identifies this as intentional. The Wedjat thus operates not merely as a ritual symbol but as the literal hieroglyph for the primeval creative instant — embedding threshold quantization and restoration at the textual foundation of Egyptian sacred geography, consistent with a transmitted memory of irreversible loss across a major environmental and cultural transition.</w:t>
      </w:r>
    </w:p>
    <w:p>
      <w:pPr>
        <w:pStyle w:val="Heading3"/>
        <w:spacing w:lineRule="auto" w:line="276" w:before="0" w:after="283"/>
        <w:rPr>
          <w:sz w:val="24"/>
          <w:szCs w:val="24"/>
        </w:rPr>
      </w:pPr>
      <w:r>
        <w:rPr>
          <w:sz w:val="24"/>
          <w:szCs w:val="24"/>
        </w:rPr>
        <w:t>3.5 The Shemsu Hor and the Akhu</w:t>
      </w:r>
    </w:p>
    <w:p>
      <w:pPr>
        <w:pStyle w:val="BodyText"/>
        <w:spacing w:before="0" w:after="283"/>
        <w:rPr/>
      </w:pPr>
      <w:r>
        <w:rPr/>
        <w:t xml:space="preserve">The Turin Canon lists the Shemsu Hor alongside or in association with the Akhu (Spirits / Transfigured Ones). Waddell's footnote 5 on Manetho Fragment 1 notes that across three independent manuscript traditions — the </w:t>
      </w:r>
      <w:r>
        <w:rPr>
          <w:rStyle w:val="Emphasis"/>
        </w:rPr>
        <w:t>Excerpta Latina Barbari</w:t>
      </w:r>
      <w:r>
        <w:rPr/>
        <w:t>, Africanus (Fr. 6.1), and the Armenian Eusebius — 'Demigods' should be read 'in apposition to Spirits of the Dead': they are the same group in all three traditions. The argument here does not depend on resolving this identification. The structural position of the Shemsu Hor and its functional use as a source of archival authority holds regardless of whether Akhu and Shemsu Hor are synonymous or distinct.</w:t>
      </w:r>
    </w:p>
    <w:p>
      <w:pPr>
        <w:pStyle w:val="Heading3"/>
        <w:spacing w:lineRule="auto" w:line="276" w:before="0" w:after="283"/>
        <w:rPr>
          <w:sz w:val="24"/>
          <w:szCs w:val="24"/>
        </w:rPr>
      </w:pPr>
      <w:r>
        <w:rPr>
          <w:sz w:val="24"/>
          <w:szCs w:val="24"/>
        </w:rPr>
        <w:t>3.6 Scholarly Confirmation of Western Origins</w:t>
      </w:r>
    </w:p>
    <w:p>
      <w:pPr>
        <w:pStyle w:val="BodyText"/>
        <w:spacing w:before="0" w:after="283"/>
        <w:rPr/>
      </w:pPr>
      <w:r>
        <w:rPr/>
        <w:t>Waddell's footnote 5 identifies the group to which the 5,813-month figure attaches as 'perhaps the Shemsu Hor, the Followers or Worshippers of Horus, of the Turin Papyrus,' drawing on H.R. Hall (</w:t>
      </w:r>
      <w:r>
        <w:rPr>
          <w:rStyle w:val="Emphasis"/>
        </w:rPr>
        <w:t>Cambridge Ancient History</w:t>
      </w:r>
      <w:r>
        <w:rPr/>
        <w:t>, i. p. 265), V. Gordon Childe (1934), and Breasted (1930). Waddell further notes that 'the Shemsu Hor, the men of the Falcon Clan whose original home was in the West Delta, had formed an earlier united kingdom by conquering Upper Egypt.'</w:t>
      </w:r>
    </w:p>
    <w:p>
      <w:pPr>
        <w:pStyle w:val="BodyText"/>
        <w:spacing w:before="0" w:after="283"/>
        <w:rPr/>
      </w:pPr>
      <w:r>
        <w:rPr/>
        <w:t>This scholarly chain — Breasted (1930) → Childe (1934) → Waddell (1940) → Hall — established the Shemsu Hor's western origins as part of the authoritative scholarly apparatus by 1940. Those scholars, working without Kuper and Kröpelin (2006), Salem et al. (2025), or the Belmonte survey series, could not extend that western origin beyond the West Delta. The migration model extends it to the Saharan corridor.</w:t>
      </w:r>
    </w:p>
    <w:p>
      <w:pPr>
        <w:pStyle w:val="Heading3"/>
        <w:spacing w:lineRule="auto" w:line="276" w:before="0" w:after="283"/>
        <w:rPr>
          <w:sz w:val="24"/>
          <w:szCs w:val="24"/>
        </w:rPr>
      </w:pPr>
      <w:r>
        <w:rPr>
          <w:sz w:val="24"/>
          <w:szCs w:val="24"/>
        </w:rPr>
        <w:t>3.7 Independent Confirmation from Petrie and Budge</w:t>
      </w:r>
    </w:p>
    <w:p>
      <w:pPr>
        <w:pStyle w:val="BodyText"/>
        <w:spacing w:before="0" w:after="283"/>
        <w:rPr/>
      </w:pPr>
      <w:r>
        <w:rPr/>
        <w:t>Two major Egyptological authorities from the late 19th and early 20th centuries independently confirm the Shemsu Hor as historical figures.</w:t>
      </w:r>
    </w:p>
    <w:p>
      <w:pPr>
        <w:pStyle w:val="BodyText"/>
        <w:spacing w:before="0" w:after="283"/>
        <w:rPr/>
      </w:pPr>
      <w:r>
        <w:rPr>
          <w:rStyle w:val="Strong"/>
        </w:rPr>
        <w:t>W.M. Flinders Petrie</w:t>
      </w:r>
      <w:r>
        <w:rPr/>
        <w:t xml:space="preserve"> (1894/1920), the founder of scientific Egyptian archaeology, wrote:</w:t>
      </w:r>
    </w:p>
    <w:p>
      <w:pPr>
        <w:pStyle w:val="BodyText"/>
        <w:spacing w:before="0" w:after="283"/>
        <w:ind w:hanging="0" w:start="567" w:end="567"/>
        <w:rPr/>
      </w:pPr>
      <w:r>
        <w:rPr>
          <w:rStyle w:val="Emphasis"/>
        </w:rPr>
        <w:t>"These Asiatic immigrants were known in legend to the later Egyptians as the Mesniu, or 'Metal-workers,' and the chiefs who established their rule in the country were known traditionally as the Shemsu-Heru, or 'Followers of the Sky-god Horus'"</w:t>
      </w:r>
      <w:r>
        <w:rPr/>
        <w:t xml:space="preserve"> (Petrie 1920: 24).</w:t>
      </w:r>
    </w:p>
    <w:p>
      <w:pPr>
        <w:pStyle w:val="BodyText"/>
        <w:spacing w:before="0" w:after="283"/>
        <w:rPr/>
      </w:pPr>
      <w:r>
        <w:rPr/>
        <w:t>Petrie explicitly links the Shemsu-Heru to state formation:</w:t>
      </w:r>
    </w:p>
    <w:p>
      <w:pPr>
        <w:pStyle w:val="BodyText"/>
        <w:spacing w:before="0" w:after="283"/>
        <w:ind w:hanging="0" w:start="567" w:end="567"/>
        <w:rPr/>
      </w:pPr>
      <w:r>
        <w:rPr>
          <w:rStyle w:val="Emphasis"/>
        </w:rPr>
        <w:t>"The advent of the followers of Horus was followed by a rapid political development... eventually two kingdoms were established in Southern and Northern Egypt, with capitals at Nekheb-Nekhen (Hierakönpolis) and Per-Uatchet (Buto) respectively"</w:t>
      </w:r>
      <w:r>
        <w:rPr/>
        <w:t xml:space="preserve"> (Petrie 1920: 25).</w:t>
      </w:r>
    </w:p>
    <w:p>
      <w:pPr>
        <w:pStyle w:val="BodyText"/>
        <w:spacing w:before="0" w:after="283"/>
        <w:rPr/>
      </w:pPr>
      <w:r>
        <w:rPr>
          <w:rStyle w:val="Strong"/>
        </w:rPr>
        <w:t>E.A. Wallis Budge</w:t>
      </w:r>
      <w:r>
        <w:rPr/>
        <w:t xml:space="preserve"> (1904), Keeper of Egyptian and Assyrian Antiquities at the British Museum, similarly identified the Shemsu-Heru as historical chiefs who established rule and introduced Horus worship (Budge 1904a: 24–25).</w:t>
      </w:r>
    </w:p>
    <w:p>
      <w:pPr>
        <w:pStyle w:val="BodyText"/>
        <w:spacing w:before="0" w:after="283"/>
        <w:rPr/>
      </w:pPr>
      <w:r>
        <w:rPr/>
        <w:t>These sources were written without knowledge of the genetic, paleohydrological, or archaeoastronomical evidence cited elsewhere in this paper. Their convergence with the corridor hypothesis is therefore independent confirmation, not circular reasoning. (Petrie's framing of the Shemsu Hor as "Asiatic" reflects his older Dynastic Race theory, which is not supported by current evidence; the confirmation here is of the historical reality of the Shemsu Hor as a pre-dynastic group, not of their specific origin as proposed by Petrie.)</w:t>
      </w:r>
    </w:p>
    <w:p>
      <w:pPr>
        <w:pStyle w:val="Heading3"/>
        <w:spacing w:lineRule="auto" w:line="276" w:before="0" w:after="283"/>
        <w:rPr>
          <w:sz w:val="24"/>
          <w:szCs w:val="24"/>
        </w:rPr>
      </w:pPr>
      <w:r>
        <w:rPr>
          <w:sz w:val="24"/>
          <w:szCs w:val="24"/>
        </w:rPr>
        <w:t>3.8 The Chronological Window</w:t>
      </w:r>
    </w:p>
    <w:p>
      <w:pPr>
        <w:pStyle w:val="BodyText"/>
        <w:spacing w:before="0" w:after="283"/>
        <w:rPr/>
      </w:pPr>
      <w:r>
        <w:rPr/>
        <w:t>When Eusebius's later lunar conversion is applied to the 5,813 months Waddell suggests correspond to the Shemsu Hor group, the result (approximately 477 solar years before 3100 BCE = ca. 3577 BCE) places the pre-Menes slot inside the migration window identified on wholly independent grounds. This is noted as a structural coincidence, not as chronological evidence. The conversion is Eusebius's apologetic device, and Waddell explicitly rejects its Egyptological validity.</w:t>
      </w:r>
    </w:p>
    <w:p>
      <w:pPr>
        <w:pStyle w:val="Heading3"/>
        <w:spacing w:lineRule="auto" w:line="276" w:before="0" w:after="283"/>
        <w:rPr>
          <w:sz w:val="24"/>
          <w:szCs w:val="24"/>
        </w:rPr>
      </w:pPr>
      <w:r>
        <w:rPr>
          <w:sz w:val="24"/>
          <w:szCs w:val="24"/>
        </w:rPr>
        <w:t>3.9 Relationship to Mainstream Identification</w:t>
      </w:r>
    </w:p>
    <w:p>
      <w:pPr>
        <w:pStyle w:val="BodyText"/>
        <w:spacing w:before="0" w:after="283"/>
        <w:rPr/>
      </w:pPr>
      <w:r>
        <w:rPr/>
        <w:t>The mainstream Egyptological identification of the Shemsu Hor with the Souls of Pe and Nekhen (Sethe 1902; Frankfort 1978) is not contested here. If the Horus falcon cult at Hierakonpolis has western Saharan roots — as Papers I and II propose — then its first political instantiation occurs precisely at the site where the hypothesis predicts elite Saharan migrants consolidated.</w:t>
      </w:r>
    </w:p>
    <w:p>
      <w:pPr>
        <w:pStyle w:val="BodyText"/>
        <w:spacing w:before="0" w:after="283"/>
        <w:rPr/>
      </w:pPr>
      <w:r>
        <w:rPr/>
        <w:t>The geographic tension in the paired tradition — Nekhen in Upper Egypt and Pe/Buto in the Delta — is resolved by the textual record itself. Nekhen (Hierakonpolis) was the original Horus cult center; Pe/Buto was not originally a Horus cult site but was awarded to Horus in the mythological settlement following the unification struggle (Frankfort 1978, 93ff; Hart 1986, 153). Pe enters the tradition through dynastic unification theology requiring paired North-South ancestral claims, not as a second corridor destination. The hypothesis predicts integration at the Horus cult center; that is Hierakonpolis, not Buto. The hypothesis converges with mainstream identification rather than competing with it.</w:t>
      </w:r>
    </w:p>
    <w:p>
      <w:pPr>
        <w:pStyle w:val="Heading3"/>
        <w:spacing w:lineRule="auto" w:line="276" w:before="0" w:after="283"/>
        <w:rPr>
          <w:sz w:val="24"/>
          <w:szCs w:val="24"/>
        </w:rPr>
      </w:pPr>
      <w:r>
        <w:rPr>
          <w:sz w:val="24"/>
          <w:szCs w:val="24"/>
        </w:rPr>
        <w:t>3.10 Summary</w:t>
      </w:r>
    </w:p>
    <w:p>
      <w:pPr>
        <w:pStyle w:val="BodyText"/>
        <w:spacing w:before="0" w:after="283"/>
        <w:rPr/>
      </w:pPr>
      <w:r>
        <w:rPr/>
        <w:t>The Egyptian king-list structure requires a transitional category between divine time and human kingship. The Shemsu Hor fill that slot consistently across fifteen centuries of independent sources. Their archival specificity — named physical media cited in professional accountability contexts — has no clear documented parallel in the surveyed corpus of other ancient king-list and cosmogonic traditions. Older Egyptological authorities (Petrie, Budge) independently identified the Shemsu Hor as historical figures linked to state formation at Hierakonpolis. The corridor hypothesis converges with this mainstream identification and extends it to the Saharan corridor. The structural slot is real. What remains to explain is what it encodes.</w:t>
      </w:r>
    </w:p>
    <w:p>
      <w:pPr>
        <w:pStyle w:val="HorizontalLine"/>
        <w:spacing w:before="0" w:after="0"/>
        <w:rPr>
          <w:sz w:val="24"/>
          <w:szCs w:val="24"/>
        </w:rPr>
      </w:pPr>
      <w:r>
        <w:rPr>
          <w:sz w:val="24"/>
          <w:szCs w:val="24"/>
        </w:rPr>
      </w:r>
    </w:p>
    <w:p>
      <w:pPr>
        <w:pStyle w:val="Heading2"/>
        <w:spacing w:before="0" w:after="283"/>
        <w:rPr>
          <w:sz w:val="24"/>
          <w:szCs w:val="24"/>
        </w:rPr>
      </w:pPr>
      <w:r>
        <w:rPr>
          <w:sz w:val="24"/>
          <w:szCs w:val="24"/>
        </w:rPr>
        <w:t>4. Primary Textual Sources: Fifteen Centuries of Independent Attestation</w:t>
      </w:r>
    </w:p>
    <w:p>
      <w:pPr>
        <w:pStyle w:val="BodyText"/>
        <w:spacing w:before="0" w:after="283"/>
        <w:rPr/>
      </w:pPr>
      <w:r>
        <w:rPr/>
        <w:t>The Shemsu Hor are documented across multiple primary Egyptian sources spanning nearly fifteen centuries. In every source, they occupy the same structural position: the last pre-dynastic category before human kingship begins.</w:t>
      </w:r>
    </w:p>
    <w:tbl>
      <w:tblPr>
        <w:tblW w:w="9972" w:type="dxa"/>
        <w:jc w:val="start"/>
        <w:tblInd w:w="0" w:type="dxa"/>
        <w:tblLayout w:type="fixed"/>
        <w:tblCellMar>
          <w:top w:w="28" w:type="dxa"/>
          <w:start w:w="28" w:type="dxa"/>
          <w:bottom w:w="28" w:type="dxa"/>
          <w:end w:w="28" w:type="dxa"/>
        </w:tblCellMar>
      </w:tblPr>
      <w:tblGrid>
        <w:gridCol w:w="1539"/>
        <w:gridCol w:w="1283"/>
        <w:gridCol w:w="7150"/>
      </w:tblGrid>
      <w:tr>
        <w:trPr>
          <w:tblHeader w:val="true"/>
        </w:trPr>
        <w:tc>
          <w:tcPr>
            <w:tcW w:w="1539" w:type="dxa"/>
            <w:tcBorders/>
            <w:vAlign w:val="center"/>
          </w:tcPr>
          <w:p>
            <w:pPr>
              <w:pStyle w:val="TableHeading"/>
              <w:rPr/>
            </w:pPr>
            <w:r>
              <w:rPr/>
              <w:t>Source</w:t>
            </w:r>
          </w:p>
        </w:tc>
        <w:tc>
          <w:tcPr>
            <w:tcW w:w="1283" w:type="dxa"/>
            <w:tcBorders/>
            <w:vAlign w:val="center"/>
          </w:tcPr>
          <w:p>
            <w:pPr>
              <w:pStyle w:val="TableHeading"/>
              <w:rPr/>
            </w:pPr>
            <w:r>
              <w:rPr/>
              <w:t>Date (approx.)</w:t>
            </w:r>
          </w:p>
        </w:tc>
        <w:tc>
          <w:tcPr>
            <w:tcW w:w="7150" w:type="dxa"/>
            <w:tcBorders/>
            <w:vAlign w:val="center"/>
          </w:tcPr>
          <w:p>
            <w:pPr>
              <w:pStyle w:val="TableHeading"/>
              <w:rPr/>
            </w:pPr>
            <w:r>
              <w:rPr/>
              <w:t>What It States</w:t>
            </w:r>
          </w:p>
        </w:tc>
      </w:tr>
      <w:tr>
        <w:trPr/>
        <w:tc>
          <w:tcPr>
            <w:tcW w:w="1539" w:type="dxa"/>
            <w:tcBorders/>
            <w:vAlign w:val="center"/>
          </w:tcPr>
          <w:p>
            <w:pPr>
              <w:pStyle w:val="TableContents"/>
              <w:rPr/>
            </w:pPr>
            <w:r>
              <w:rPr/>
              <w:t>Turin Royal Canon</w:t>
            </w:r>
          </w:p>
        </w:tc>
        <w:tc>
          <w:tcPr>
            <w:tcW w:w="1283" w:type="dxa"/>
            <w:tcBorders/>
            <w:vAlign w:val="center"/>
          </w:tcPr>
          <w:p>
            <w:pPr>
              <w:pStyle w:val="TableContents"/>
              <w:rPr/>
            </w:pPr>
            <w:r>
              <w:rPr/>
              <w:t>ca. 1245 BCE</w:t>
            </w:r>
          </w:p>
        </w:tc>
        <w:tc>
          <w:tcPr>
            <w:tcW w:w="7150" w:type="dxa"/>
            <w:tcBorders/>
            <w:vAlign w:val="center"/>
          </w:tcPr>
          <w:p>
            <w:pPr>
              <w:pStyle w:val="TableContents"/>
              <w:rPr/>
            </w:pPr>
            <w:r>
              <w:rPr/>
              <w:t>Listed as collective group before human kings; structural order: Gods → Shemsu Hor → Menes. No individual reign lengths preserved in any surviving fragment.</w:t>
            </w:r>
          </w:p>
        </w:tc>
      </w:tr>
      <w:tr>
        <w:trPr/>
        <w:tc>
          <w:tcPr>
            <w:tcW w:w="1539" w:type="dxa"/>
            <w:tcBorders/>
            <w:vAlign w:val="center"/>
          </w:tcPr>
          <w:p>
            <w:pPr>
              <w:pStyle w:val="TableContents"/>
              <w:rPr/>
            </w:pPr>
            <w:r>
              <w:rPr/>
              <w:t>Pyramid Texts</w:t>
            </w:r>
          </w:p>
        </w:tc>
        <w:tc>
          <w:tcPr>
            <w:tcW w:w="1283" w:type="dxa"/>
            <w:tcBorders/>
            <w:vAlign w:val="center"/>
          </w:tcPr>
          <w:p>
            <w:pPr>
              <w:pStyle w:val="TableContents"/>
              <w:rPr/>
            </w:pPr>
            <w:r>
              <w:rPr/>
              <w:t>ca. 2400–2300 BCE</w:t>
            </w:r>
          </w:p>
        </w:tc>
        <w:tc>
          <w:tcPr>
            <w:tcW w:w="7150" w:type="dxa"/>
            <w:tcBorders/>
            <w:vAlign w:val="center"/>
          </w:tcPr>
          <w:p>
            <w:pPr>
              <w:pStyle w:val="TableContents"/>
              <w:rPr/>
            </w:pPr>
            <w:r>
              <w:rPr/>
              <w:t>Celestial beings assisting the dead king's ascent, participating in ritual purification, and providing spells for emergence and ascension. PT 34 (Unis): natron purification ritual. PT 525/Spell 473 (Pepi I): they perform cleansing and provide spells for emergence and ascension. PT 1245: 'A follower of Horus am I.' PT 32 (Faulkner Utterance 32): 'You are pure with Horus and with the Followers of Horus.'</w:t>
            </w:r>
          </w:p>
        </w:tc>
      </w:tr>
      <w:tr>
        <w:trPr/>
        <w:tc>
          <w:tcPr>
            <w:tcW w:w="1539" w:type="dxa"/>
            <w:tcBorders/>
            <w:vAlign w:val="center"/>
          </w:tcPr>
          <w:p>
            <w:pPr>
              <w:pStyle w:val="TableContents"/>
              <w:rPr/>
            </w:pPr>
            <w:r>
              <w:rPr/>
              <w:t>Coffin Texts</w:t>
            </w:r>
          </w:p>
        </w:tc>
        <w:tc>
          <w:tcPr>
            <w:tcW w:w="1283" w:type="dxa"/>
            <w:tcBorders/>
            <w:vAlign w:val="center"/>
          </w:tcPr>
          <w:p>
            <w:pPr>
              <w:pStyle w:val="TableContents"/>
              <w:rPr/>
            </w:pPr>
            <w:r>
              <w:rPr/>
              <w:t>ca. 2100–1700 BCE</w:t>
            </w:r>
          </w:p>
        </w:tc>
        <w:tc>
          <w:tcPr>
            <w:tcW w:w="7150" w:type="dxa"/>
            <w:tcBorders/>
            <w:vAlign w:val="center"/>
          </w:tcPr>
          <w:p>
            <w:pPr>
              <w:pStyle w:val="TableContents"/>
              <w:rPr/>
            </w:pPr>
            <w:r>
              <w:rPr/>
              <w:t xml:space="preserve">No widely accepted explicit mention of </w:t>
            </w:r>
            <w:r>
              <w:rPr>
                <w:rStyle w:val="Emphasis"/>
              </w:rPr>
              <w:t>šmsw Ḥr</w:t>
            </w:r>
            <w:r>
              <w:rPr/>
              <w:t>. However, Spell 493 (de Buck V, 320–324) places the deceased among the Souls of Pe and Nekhen—the ancestral figures mainstream Egyptology identifies with the Shemsu Hor (Sethe 1902; Frankfort 1978). See Appendix A.3.</w:t>
            </w:r>
          </w:p>
        </w:tc>
      </w:tr>
      <w:tr>
        <w:trPr/>
        <w:tc>
          <w:tcPr>
            <w:tcW w:w="1539" w:type="dxa"/>
            <w:tcBorders/>
            <w:vAlign w:val="center"/>
          </w:tcPr>
          <w:p>
            <w:pPr>
              <w:pStyle w:val="TableContents"/>
              <w:rPr/>
            </w:pPr>
            <w:r>
              <w:rPr/>
              <w:t>Teachings of Ptahhotep</w:t>
            </w:r>
          </w:p>
        </w:tc>
        <w:tc>
          <w:tcPr>
            <w:tcW w:w="1283" w:type="dxa"/>
            <w:tcBorders/>
            <w:vAlign w:val="center"/>
          </w:tcPr>
          <w:p>
            <w:pPr>
              <w:pStyle w:val="TableContents"/>
              <w:rPr/>
            </w:pPr>
            <w:r>
              <w:rPr/>
              <w:t>ca. 2400–2300 BCE</w:t>
            </w:r>
          </w:p>
        </w:tc>
        <w:tc>
          <w:tcPr>
            <w:tcW w:w="7150" w:type="dxa"/>
            <w:tcBorders/>
            <w:vAlign w:val="center"/>
          </w:tcPr>
          <w:p>
            <w:pPr>
              <w:pStyle w:val="TableContents"/>
              <w:rPr/>
            </w:pPr>
            <w:r>
              <w:rPr/>
              <w:t>'A son that hearkeneth is as a Follower of Horus.' Ethical usage demonstrating the term's semantic breadth—following Horus as a moral ideal applicable to living persons. See Appendix A.4.</w:t>
            </w:r>
          </w:p>
        </w:tc>
      </w:tr>
      <w:tr>
        <w:trPr/>
        <w:tc>
          <w:tcPr>
            <w:tcW w:w="1539" w:type="dxa"/>
            <w:tcBorders/>
            <w:vAlign w:val="center"/>
          </w:tcPr>
          <w:p>
            <w:pPr>
              <w:pStyle w:val="TableContents"/>
              <w:rPr/>
            </w:pPr>
            <w:r>
              <w:rPr/>
              <w:t>Tomb of Rekhmire (TT100)</w:t>
            </w:r>
          </w:p>
        </w:tc>
        <w:tc>
          <w:tcPr>
            <w:tcW w:w="1283" w:type="dxa"/>
            <w:tcBorders/>
            <w:vAlign w:val="center"/>
          </w:tcPr>
          <w:p>
            <w:pPr>
              <w:pStyle w:val="TableContents"/>
              <w:rPr/>
            </w:pPr>
            <w:r>
              <w:rPr/>
              <w:t>ca. 1450 BCE</w:t>
            </w:r>
          </w:p>
        </w:tc>
        <w:tc>
          <w:tcPr>
            <w:tcW w:w="7150" w:type="dxa"/>
            <w:tcBorders/>
            <w:vAlign w:val="center"/>
          </w:tcPr>
          <w:p>
            <w:pPr>
              <w:pStyle w:val="TableContents"/>
              <w:rPr/>
            </w:pPr>
            <w:r>
              <w:rPr/>
              <w:t>The Opening of the Mouth ritual depicts participants within a framework involving Horus and Osiris, illustrating the conceptual association between ritual actors and the divine entourage of Horus (Davies 1943). See Appendix A.5.</w:t>
            </w:r>
          </w:p>
        </w:tc>
      </w:tr>
      <w:tr>
        <w:trPr/>
        <w:tc>
          <w:tcPr>
            <w:tcW w:w="1539" w:type="dxa"/>
            <w:tcBorders/>
            <w:vAlign w:val="center"/>
          </w:tcPr>
          <w:p>
            <w:pPr>
              <w:pStyle w:val="TableContents"/>
              <w:rPr/>
            </w:pPr>
            <w:r>
              <w:rPr/>
              <w:t>Thutmose I, Karnak (Tombos Stela)</w:t>
            </w:r>
          </w:p>
        </w:tc>
        <w:tc>
          <w:tcPr>
            <w:tcW w:w="1283" w:type="dxa"/>
            <w:tcBorders/>
            <w:vAlign w:val="center"/>
          </w:tcPr>
          <w:p>
            <w:pPr>
              <w:pStyle w:val="TableContents"/>
              <w:rPr/>
            </w:pPr>
            <w:r>
              <w:rPr/>
              <w:t>ca. 1500 BCE</w:t>
            </w:r>
          </w:p>
        </w:tc>
        <w:tc>
          <w:tcPr>
            <w:tcW w:w="7150" w:type="dxa"/>
            <w:tcBorders/>
            <w:vAlign w:val="center"/>
          </w:tcPr>
          <w:p>
            <w:pPr>
              <w:pStyle w:val="TableContents"/>
              <w:rPr/>
            </w:pPr>
            <w:r>
              <w:rPr/>
              <w:t xml:space="preserve">'Nor has one ever seen it in the annals of predecessors since the Followers-of-Horus.' Explicit invocation of written records from the Shemsu Hor period as a temporal benchmark (Sethe, </w:t>
            </w:r>
            <w:r>
              <w:rPr>
                <w:rStyle w:val="Emphasis"/>
              </w:rPr>
              <w:t>Urkunden IV</w:t>
            </w:r>
            <w:r>
              <w:rPr/>
              <w:t>, 82–87). Sethe's editorial footnote defines the Shemsu Hor as 'the prehistoric kings of Hierakonpolis and Buto, who ruled before Menes, who worshipped the god Horus.'</w:t>
            </w:r>
          </w:p>
        </w:tc>
      </w:tr>
      <w:tr>
        <w:trPr/>
        <w:tc>
          <w:tcPr>
            <w:tcW w:w="1539" w:type="dxa"/>
            <w:tcBorders/>
            <w:vAlign w:val="center"/>
          </w:tcPr>
          <w:p>
            <w:pPr>
              <w:pStyle w:val="TableContents"/>
              <w:rPr/>
            </w:pPr>
            <w:r>
              <w:rPr/>
              <w:t>Merneptah, Karnak</w:t>
            </w:r>
          </w:p>
        </w:tc>
        <w:tc>
          <w:tcPr>
            <w:tcW w:w="1283" w:type="dxa"/>
            <w:tcBorders/>
            <w:vAlign w:val="center"/>
          </w:tcPr>
          <w:p>
            <w:pPr>
              <w:pStyle w:val="TableContents"/>
              <w:rPr/>
            </w:pPr>
            <w:r>
              <w:rPr/>
              <w:t>ca. 1210 BCE</w:t>
            </w:r>
          </w:p>
        </w:tc>
        <w:tc>
          <w:tcPr>
            <w:tcW w:w="7150" w:type="dxa"/>
            <w:tcBorders/>
            <w:vAlign w:val="center"/>
          </w:tcPr>
          <w:p>
            <w:pPr>
              <w:pStyle w:val="TableContents"/>
              <w:rPr/>
            </w:pPr>
            <w:r>
              <w:rPr/>
              <w:t>Temple built 'according to the plan of the ancestors from the time of the Followers of Horus, found in the ancient writings' (Mariette 1889–1894, Vol. 1, Pl. 53, lines 36–39).</w:t>
            </w:r>
          </w:p>
        </w:tc>
      </w:tr>
      <w:tr>
        <w:trPr/>
        <w:tc>
          <w:tcPr>
            <w:tcW w:w="1539" w:type="dxa"/>
            <w:tcBorders/>
            <w:vAlign w:val="center"/>
          </w:tcPr>
          <w:p>
            <w:pPr>
              <w:pStyle w:val="TableContents"/>
              <w:rPr/>
            </w:pPr>
            <w:r>
              <w:rPr/>
              <w:t>Dendera Temple Crypt</w:t>
            </w:r>
          </w:p>
        </w:tc>
        <w:tc>
          <w:tcPr>
            <w:tcW w:w="1283" w:type="dxa"/>
            <w:tcBorders/>
            <w:vAlign w:val="center"/>
          </w:tcPr>
          <w:p>
            <w:pPr>
              <w:pStyle w:val="TableContents"/>
              <w:rPr/>
            </w:pPr>
            <w:r>
              <w:rPr/>
              <w:t>Ptolemaic, ca. 54 BCE</w:t>
            </w:r>
          </w:p>
        </w:tc>
        <w:tc>
          <w:tcPr>
            <w:tcW w:w="7150" w:type="dxa"/>
            <w:tcBorders/>
            <w:vAlign w:val="center"/>
          </w:tcPr>
          <w:p>
            <w:pPr>
              <w:pStyle w:val="TableContents"/>
              <w:rPr/>
            </w:pPr>
            <w:r>
              <w:rPr/>
              <w:t>Plans copied from 'a goatskin scroll from the time of the Followers of Horus.' Specific archival designation persisting fifteen centuries after the Shemsu Hor period. See Appendix A.8.</w:t>
            </w:r>
          </w:p>
        </w:tc>
      </w:tr>
      <w:tr>
        <w:trPr/>
        <w:tc>
          <w:tcPr>
            <w:tcW w:w="1539" w:type="dxa"/>
            <w:tcBorders/>
            <w:vAlign w:val="center"/>
          </w:tcPr>
          <w:p>
            <w:pPr>
              <w:pStyle w:val="TableContents"/>
              <w:rPr/>
            </w:pPr>
            <w:r>
              <w:rPr/>
              <w:t>Manetho (structural)</w:t>
            </w:r>
          </w:p>
        </w:tc>
        <w:tc>
          <w:tcPr>
            <w:tcW w:w="1283" w:type="dxa"/>
            <w:tcBorders/>
            <w:vAlign w:val="center"/>
          </w:tcPr>
          <w:p>
            <w:pPr>
              <w:pStyle w:val="TableContents"/>
              <w:rPr/>
            </w:pPr>
            <w:r>
              <w:rPr/>
              <w:t>ca. 280 BCE</w:t>
            </w:r>
          </w:p>
        </w:tc>
        <w:tc>
          <w:tcPr>
            <w:tcW w:w="7150" w:type="dxa"/>
            <w:tcBorders/>
            <w:vAlign w:val="center"/>
          </w:tcPr>
          <w:p>
            <w:pPr>
              <w:pStyle w:val="TableContents"/>
              <w:rPr/>
            </w:pPr>
            <w:r>
              <w:rPr/>
              <w:t>Gods → Demigods → Spirits → Human kings; sequence preserved, numbers unreliable. Lunar-unit conversion places Shemsu Hor period at ~3577 BCE. See Appendix A.9.</w:t>
            </w:r>
          </w:p>
        </w:tc>
      </w:tr>
    </w:tbl>
    <w:p>
      <w:pPr>
        <w:pStyle w:val="BodyText"/>
        <w:spacing w:before="0" w:after="283"/>
        <w:rPr/>
      </w:pPr>
      <w:r>
        <w:rPr/>
        <w:t>Three features of this record are analytically significant.</w:t>
      </w:r>
    </w:p>
    <w:p>
      <w:pPr>
        <w:pStyle w:val="BodyText"/>
        <w:spacing w:before="0" w:after="283"/>
        <w:rPr/>
      </w:pPr>
      <w:r>
        <w:rPr>
          <w:rStyle w:val="Strong"/>
        </w:rPr>
        <w:t>First, the Shemsu Hor are invoked across fifteen centuries as ancestral authorities with tangible records.</w:t>
      </w:r>
      <w:r>
        <w:rPr/>
        <w:t xml:space="preserve"> Later pharaohs cite their written annals. Ptolemaic builders cite a goatskin scroll of architectural plans. Standard mythological predecessors—gods, demigods, cosmic beings—are not cited in Egyptian state inscriptions as sources of recoverable archival documents. The Shemsu Hor are.</w:t>
      </w:r>
    </w:p>
    <w:p>
      <w:pPr>
        <w:pStyle w:val="BodyText"/>
        <w:spacing w:before="0" w:after="283"/>
        <w:rPr/>
      </w:pPr>
      <w:r>
        <w:rPr>
          <w:rStyle w:val="Strong"/>
        </w:rPr>
        <w:t>Second, the category recurs consistently across multiple independent textual traditions.</w:t>
      </w:r>
      <w:r>
        <w:rPr/>
        <w:t xml:space="preserve"> It appears in the royal administrative tradition (Turin Canon), the mortuary-ritual tradition (Pyramid Texts), the wisdom tradition (Ptahhotep), and the temple-building tradition (Dendera, Merneptah). This breadth of independent attestation is not characteristic of ad hoc legitimation invention.</w:t>
      </w:r>
    </w:p>
    <w:p>
      <w:pPr>
        <w:pStyle w:val="BodyText"/>
        <w:spacing w:before="0" w:after="283"/>
        <w:rPr/>
      </w:pPr>
      <w:r>
        <w:rPr>
          <w:rStyle w:val="Strong"/>
        </w:rPr>
        <w:t>Third, the trajectory of the term's usage moves in the opposite direction from mythological categories.</w:t>
      </w:r>
      <w:r>
        <w:rPr/>
        <w:t xml:space="preserve"> Mythological categories characteristically lose precision and archival specificity over time. The Shemsu Hor do the opposite. In the Pyramid Texts they perform a specific ritual function. In Ptahhotep the term is extended metaphorically. In the Thutmose I Tombos Stela they possess dated written annals cited in a state inscription. In the Dendera tradition they are named custodians of recoverable architectural plans. Archival specificity increases across fifteen centuries.</w:t>
      </w:r>
    </w:p>
    <w:p>
      <w:pPr>
        <w:pStyle w:val="Heading3"/>
        <w:spacing w:lineRule="auto" w:line="276" w:before="0" w:after="283"/>
        <w:rPr>
          <w:sz w:val="24"/>
          <w:szCs w:val="24"/>
        </w:rPr>
      </w:pPr>
      <w:r>
        <w:rPr>
          <w:sz w:val="24"/>
          <w:szCs w:val="24"/>
        </w:rPr>
        <w:t>4.1 The Structural Anomaly: Archival Specificity vs. Cosmic Authority</w:t>
      </w:r>
    </w:p>
    <w:p>
      <w:pPr>
        <w:pStyle w:val="BodyText"/>
        <w:spacing w:before="0" w:after="283"/>
        <w:rPr/>
      </w:pPr>
      <w:r>
        <w:rPr/>
        <w:t xml:space="preserve">The claim that the Shemsu Hor archival citations are structurally anomalous requires comparison against all documented pre-dynastic traditions in the ancient literate world. The following table expands the comparison presented in Section 4.1, adding the crucial dimension of </w:t>
      </w:r>
      <w:r>
        <w:rPr>
          <w:rStyle w:val="Strong"/>
        </w:rPr>
        <w:t>archival medium specificity</w:t>
      </w:r>
      <w:r>
        <w:rPr/>
        <w:t xml:space="preserve"> — whether the tradition names a physical writing material recoverable through institutional consultation.</w:t>
      </w:r>
    </w:p>
    <w:tbl>
      <w:tblPr>
        <w:tblW w:w="9972" w:type="dxa"/>
        <w:jc w:val="start"/>
        <w:tblInd w:w="0" w:type="dxa"/>
        <w:tblLayout w:type="fixed"/>
        <w:tblCellMar>
          <w:top w:w="28" w:type="dxa"/>
          <w:start w:w="28" w:type="dxa"/>
          <w:bottom w:w="28" w:type="dxa"/>
          <w:end w:w="28" w:type="dxa"/>
        </w:tblCellMar>
      </w:tblPr>
      <w:tblGrid>
        <w:gridCol w:w="1598"/>
        <w:gridCol w:w="1863"/>
        <w:gridCol w:w="1355"/>
        <w:gridCol w:w="2047"/>
        <w:gridCol w:w="3109"/>
      </w:tblGrid>
      <w:tr>
        <w:trPr>
          <w:tblHeader w:val="true"/>
        </w:trPr>
        <w:tc>
          <w:tcPr>
            <w:tcW w:w="1598" w:type="dxa"/>
            <w:tcBorders/>
            <w:vAlign w:val="center"/>
          </w:tcPr>
          <w:p>
            <w:pPr>
              <w:pStyle w:val="TableHeading"/>
              <w:rPr/>
            </w:pPr>
            <w:r>
              <w:rPr/>
              <w:t>Tradition</w:t>
            </w:r>
          </w:p>
        </w:tc>
        <w:tc>
          <w:tcPr>
            <w:tcW w:w="1863" w:type="dxa"/>
            <w:tcBorders/>
            <w:vAlign w:val="center"/>
          </w:tcPr>
          <w:p>
            <w:pPr>
              <w:pStyle w:val="TableHeading"/>
              <w:rPr/>
            </w:pPr>
            <w:r>
              <w:rPr/>
              <w:t>Pre-dynastic category</w:t>
            </w:r>
          </w:p>
        </w:tc>
        <w:tc>
          <w:tcPr>
            <w:tcW w:w="1355" w:type="dxa"/>
            <w:tcBorders/>
            <w:vAlign w:val="center"/>
          </w:tcPr>
          <w:p>
            <w:pPr>
              <w:pStyle w:val="TableHeading"/>
              <w:rPr/>
            </w:pPr>
            <w:r>
              <w:rPr/>
              <w:t>Named physical archive?</w:t>
            </w:r>
          </w:p>
        </w:tc>
        <w:tc>
          <w:tcPr>
            <w:tcW w:w="2047" w:type="dxa"/>
            <w:tcBorders/>
            <w:vAlign w:val="center"/>
          </w:tcPr>
          <w:p>
            <w:pPr>
              <w:pStyle w:val="TableHeading"/>
              <w:rPr/>
            </w:pPr>
            <w:r>
              <w:rPr/>
              <w:t>Archival medium specified?</w:t>
            </w:r>
          </w:p>
        </w:tc>
        <w:tc>
          <w:tcPr>
            <w:tcW w:w="3109" w:type="dxa"/>
            <w:tcBorders/>
            <w:vAlign w:val="center"/>
          </w:tcPr>
          <w:p>
            <w:pPr>
              <w:pStyle w:val="TableHeading"/>
              <w:rPr/>
            </w:pPr>
            <w:r>
              <w:rPr/>
              <w:t>Cited in professional accountability context?</w:t>
            </w:r>
          </w:p>
        </w:tc>
      </w:tr>
      <w:tr>
        <w:trPr/>
        <w:tc>
          <w:tcPr>
            <w:tcW w:w="1598" w:type="dxa"/>
            <w:tcBorders/>
            <w:vAlign w:val="center"/>
          </w:tcPr>
          <w:p>
            <w:pPr>
              <w:pStyle w:val="TableContents"/>
              <w:rPr/>
            </w:pPr>
            <w:r>
              <w:rPr/>
              <w:t>Sumerian (King List)</w:t>
            </w:r>
          </w:p>
        </w:tc>
        <w:tc>
          <w:tcPr>
            <w:tcW w:w="1863" w:type="dxa"/>
            <w:tcBorders/>
            <w:vAlign w:val="center"/>
          </w:tcPr>
          <w:p>
            <w:pPr>
              <w:pStyle w:val="TableContents"/>
              <w:rPr/>
            </w:pPr>
            <w:r>
              <w:rPr/>
              <w:t>Antediluvian kings</w:t>
            </w:r>
          </w:p>
        </w:tc>
        <w:tc>
          <w:tcPr>
            <w:tcW w:w="1355" w:type="dxa"/>
            <w:tcBorders/>
            <w:vAlign w:val="center"/>
          </w:tcPr>
          <w:p>
            <w:pPr>
              <w:pStyle w:val="TableContents"/>
              <w:rPr/>
            </w:pPr>
            <w:r>
              <w:rPr/>
              <w:t>No</w:t>
            </w:r>
          </w:p>
        </w:tc>
        <w:tc>
          <w:tcPr>
            <w:tcW w:w="2047" w:type="dxa"/>
            <w:tcBorders/>
            <w:vAlign w:val="center"/>
          </w:tcPr>
          <w:p>
            <w:pPr>
              <w:pStyle w:val="TableContents"/>
              <w:rPr/>
            </w:pPr>
            <w:r>
              <w:rPr/>
              <w:t>—</w:t>
            </w:r>
          </w:p>
        </w:tc>
        <w:tc>
          <w:tcPr>
            <w:tcW w:w="3109" w:type="dxa"/>
            <w:tcBorders/>
            <w:vAlign w:val="center"/>
          </w:tcPr>
          <w:p>
            <w:pPr>
              <w:pStyle w:val="TableContents"/>
              <w:rPr/>
            </w:pPr>
            <w:r>
              <w:rPr/>
              <w:t>No</w:t>
            </w:r>
          </w:p>
        </w:tc>
      </w:tr>
      <w:tr>
        <w:trPr/>
        <w:tc>
          <w:tcPr>
            <w:tcW w:w="1598" w:type="dxa"/>
            <w:tcBorders/>
            <w:vAlign w:val="center"/>
          </w:tcPr>
          <w:p>
            <w:pPr>
              <w:pStyle w:val="TableContents"/>
              <w:rPr/>
            </w:pPr>
            <w:r>
              <w:rPr/>
              <w:t>Babylonian (Berossus)</w:t>
            </w:r>
          </w:p>
        </w:tc>
        <w:tc>
          <w:tcPr>
            <w:tcW w:w="1863" w:type="dxa"/>
            <w:tcBorders/>
            <w:vAlign w:val="center"/>
          </w:tcPr>
          <w:p>
            <w:pPr>
              <w:pStyle w:val="TableContents"/>
              <w:rPr/>
            </w:pPr>
            <w:r>
              <w:rPr/>
              <w:t>Antediluvian kings</w:t>
            </w:r>
          </w:p>
        </w:tc>
        <w:tc>
          <w:tcPr>
            <w:tcW w:w="1355" w:type="dxa"/>
            <w:tcBorders/>
            <w:vAlign w:val="center"/>
          </w:tcPr>
          <w:p>
            <w:pPr>
              <w:pStyle w:val="TableContents"/>
              <w:rPr/>
            </w:pPr>
            <w:r>
              <w:rPr/>
              <w:t>No</w:t>
            </w:r>
          </w:p>
        </w:tc>
        <w:tc>
          <w:tcPr>
            <w:tcW w:w="2047" w:type="dxa"/>
            <w:tcBorders/>
            <w:vAlign w:val="center"/>
          </w:tcPr>
          <w:p>
            <w:pPr>
              <w:pStyle w:val="TableContents"/>
              <w:rPr/>
            </w:pPr>
            <w:r>
              <w:rPr/>
              <w:t>—</w:t>
            </w:r>
          </w:p>
        </w:tc>
        <w:tc>
          <w:tcPr>
            <w:tcW w:w="3109" w:type="dxa"/>
            <w:tcBorders/>
            <w:vAlign w:val="center"/>
          </w:tcPr>
          <w:p>
            <w:pPr>
              <w:pStyle w:val="TableContents"/>
              <w:rPr/>
            </w:pPr>
            <w:r>
              <w:rPr/>
              <w:t>No</w:t>
            </w:r>
          </w:p>
        </w:tc>
      </w:tr>
      <w:tr>
        <w:trPr/>
        <w:tc>
          <w:tcPr>
            <w:tcW w:w="1598" w:type="dxa"/>
            <w:tcBorders/>
            <w:vAlign w:val="center"/>
          </w:tcPr>
          <w:p>
            <w:pPr>
              <w:pStyle w:val="TableContents"/>
              <w:rPr/>
            </w:pPr>
            <w:r>
              <w:rPr/>
              <w:t>Hebrew patriarchs</w:t>
            </w:r>
          </w:p>
        </w:tc>
        <w:tc>
          <w:tcPr>
            <w:tcW w:w="1863" w:type="dxa"/>
            <w:tcBorders/>
            <w:vAlign w:val="center"/>
          </w:tcPr>
          <w:p>
            <w:pPr>
              <w:pStyle w:val="TableContents"/>
              <w:rPr/>
            </w:pPr>
            <w:r>
              <w:rPr/>
              <w:t>Antediluvian</w:t>
            </w:r>
          </w:p>
        </w:tc>
        <w:tc>
          <w:tcPr>
            <w:tcW w:w="1355" w:type="dxa"/>
            <w:tcBorders/>
            <w:vAlign w:val="center"/>
          </w:tcPr>
          <w:p>
            <w:pPr>
              <w:pStyle w:val="TableContents"/>
              <w:rPr/>
            </w:pPr>
            <w:r>
              <w:rPr/>
              <w:t>No</w:t>
            </w:r>
          </w:p>
        </w:tc>
        <w:tc>
          <w:tcPr>
            <w:tcW w:w="2047" w:type="dxa"/>
            <w:tcBorders/>
            <w:vAlign w:val="center"/>
          </w:tcPr>
          <w:p>
            <w:pPr>
              <w:pStyle w:val="TableContents"/>
              <w:rPr/>
            </w:pPr>
            <w:r>
              <w:rPr/>
              <w:t>—</w:t>
            </w:r>
          </w:p>
        </w:tc>
        <w:tc>
          <w:tcPr>
            <w:tcW w:w="3109" w:type="dxa"/>
            <w:tcBorders/>
            <w:vAlign w:val="center"/>
          </w:tcPr>
          <w:p>
            <w:pPr>
              <w:pStyle w:val="TableContents"/>
              <w:rPr/>
            </w:pPr>
            <w:r>
              <w:rPr/>
              <w:t>No</w:t>
            </w:r>
          </w:p>
        </w:tc>
      </w:tr>
      <w:tr>
        <w:trPr/>
        <w:tc>
          <w:tcPr>
            <w:tcW w:w="1598" w:type="dxa"/>
            <w:tcBorders/>
            <w:vAlign w:val="center"/>
          </w:tcPr>
          <w:p>
            <w:pPr>
              <w:pStyle w:val="TableContents"/>
              <w:rPr/>
            </w:pPr>
            <w:r>
              <w:rPr/>
              <w:t>Vedic/Hindu</w:t>
            </w:r>
          </w:p>
        </w:tc>
        <w:tc>
          <w:tcPr>
            <w:tcW w:w="1863" w:type="dxa"/>
            <w:tcBorders/>
            <w:vAlign w:val="center"/>
          </w:tcPr>
          <w:p>
            <w:pPr>
              <w:pStyle w:val="TableContents"/>
              <w:rPr/>
            </w:pPr>
            <w:r>
              <w:rPr/>
              <w:t>Manvantara rulers</w:t>
            </w:r>
          </w:p>
        </w:tc>
        <w:tc>
          <w:tcPr>
            <w:tcW w:w="1355" w:type="dxa"/>
            <w:tcBorders/>
            <w:vAlign w:val="center"/>
          </w:tcPr>
          <w:p>
            <w:pPr>
              <w:pStyle w:val="TableContents"/>
              <w:rPr/>
            </w:pPr>
            <w:r>
              <w:rPr/>
              <w:t>No</w:t>
            </w:r>
          </w:p>
        </w:tc>
        <w:tc>
          <w:tcPr>
            <w:tcW w:w="2047" w:type="dxa"/>
            <w:tcBorders/>
            <w:vAlign w:val="center"/>
          </w:tcPr>
          <w:p>
            <w:pPr>
              <w:pStyle w:val="TableContents"/>
              <w:rPr/>
            </w:pPr>
            <w:r>
              <w:rPr/>
              <w:t>—</w:t>
            </w:r>
          </w:p>
        </w:tc>
        <w:tc>
          <w:tcPr>
            <w:tcW w:w="3109" w:type="dxa"/>
            <w:tcBorders/>
            <w:vAlign w:val="center"/>
          </w:tcPr>
          <w:p>
            <w:pPr>
              <w:pStyle w:val="TableContents"/>
              <w:rPr/>
            </w:pPr>
            <w:r>
              <w:rPr/>
              <w:t>No</w:t>
            </w:r>
          </w:p>
        </w:tc>
      </w:tr>
      <w:tr>
        <w:trPr/>
        <w:tc>
          <w:tcPr>
            <w:tcW w:w="1598" w:type="dxa"/>
            <w:tcBorders/>
            <w:vAlign w:val="center"/>
          </w:tcPr>
          <w:p>
            <w:pPr>
              <w:pStyle w:val="TableContents"/>
              <w:rPr/>
            </w:pPr>
            <w:r>
              <w:rPr/>
              <w:t>Chinese (Three Sovereigns)</w:t>
            </w:r>
          </w:p>
        </w:tc>
        <w:tc>
          <w:tcPr>
            <w:tcW w:w="1863" w:type="dxa"/>
            <w:tcBorders/>
            <w:vAlign w:val="center"/>
          </w:tcPr>
          <w:p>
            <w:pPr>
              <w:pStyle w:val="TableContents"/>
              <w:rPr/>
            </w:pPr>
            <w:r>
              <w:rPr/>
              <w:t>Culture heroes</w:t>
            </w:r>
          </w:p>
        </w:tc>
        <w:tc>
          <w:tcPr>
            <w:tcW w:w="1355" w:type="dxa"/>
            <w:tcBorders/>
            <w:vAlign w:val="center"/>
          </w:tcPr>
          <w:p>
            <w:pPr>
              <w:pStyle w:val="TableContents"/>
              <w:rPr/>
            </w:pPr>
            <w:r>
              <w:rPr/>
              <w:t>No</w:t>
            </w:r>
          </w:p>
        </w:tc>
        <w:tc>
          <w:tcPr>
            <w:tcW w:w="2047" w:type="dxa"/>
            <w:tcBorders/>
            <w:vAlign w:val="center"/>
          </w:tcPr>
          <w:p>
            <w:pPr>
              <w:pStyle w:val="TableContents"/>
              <w:rPr/>
            </w:pPr>
            <w:r>
              <w:rPr/>
              <w:t>—</w:t>
            </w:r>
          </w:p>
        </w:tc>
        <w:tc>
          <w:tcPr>
            <w:tcW w:w="3109" w:type="dxa"/>
            <w:tcBorders/>
            <w:vAlign w:val="center"/>
          </w:tcPr>
          <w:p>
            <w:pPr>
              <w:pStyle w:val="TableContents"/>
              <w:rPr/>
            </w:pPr>
            <w:r>
              <w:rPr/>
              <w:t>No</w:t>
            </w:r>
          </w:p>
        </w:tc>
      </w:tr>
      <w:tr>
        <w:trPr/>
        <w:tc>
          <w:tcPr>
            <w:tcW w:w="1598" w:type="dxa"/>
            <w:tcBorders/>
            <w:vAlign w:val="center"/>
          </w:tcPr>
          <w:p>
            <w:pPr>
              <w:pStyle w:val="TableContents"/>
              <w:rPr/>
            </w:pPr>
            <w:r>
              <w:rPr/>
              <w:t>Hittite (Kumarbi cycle)</w:t>
            </w:r>
          </w:p>
        </w:tc>
        <w:tc>
          <w:tcPr>
            <w:tcW w:w="1863" w:type="dxa"/>
            <w:tcBorders/>
            <w:vAlign w:val="center"/>
          </w:tcPr>
          <w:p>
            <w:pPr>
              <w:pStyle w:val="TableContents"/>
              <w:rPr/>
            </w:pPr>
            <w:r>
              <w:rPr/>
              <w:t>Primordial kings</w:t>
            </w:r>
          </w:p>
        </w:tc>
        <w:tc>
          <w:tcPr>
            <w:tcW w:w="1355" w:type="dxa"/>
            <w:tcBorders/>
            <w:vAlign w:val="center"/>
          </w:tcPr>
          <w:p>
            <w:pPr>
              <w:pStyle w:val="TableContents"/>
              <w:rPr/>
            </w:pPr>
            <w:r>
              <w:rPr/>
              <w:t>No</w:t>
            </w:r>
          </w:p>
        </w:tc>
        <w:tc>
          <w:tcPr>
            <w:tcW w:w="2047" w:type="dxa"/>
            <w:tcBorders/>
            <w:vAlign w:val="center"/>
          </w:tcPr>
          <w:p>
            <w:pPr>
              <w:pStyle w:val="TableContents"/>
              <w:rPr/>
            </w:pPr>
            <w:r>
              <w:rPr/>
              <w:t>—</w:t>
            </w:r>
          </w:p>
        </w:tc>
        <w:tc>
          <w:tcPr>
            <w:tcW w:w="3109" w:type="dxa"/>
            <w:tcBorders/>
            <w:vAlign w:val="center"/>
          </w:tcPr>
          <w:p>
            <w:pPr>
              <w:pStyle w:val="TableContents"/>
              <w:rPr/>
            </w:pPr>
            <w:r>
              <w:rPr/>
              <w:t>No</w:t>
            </w:r>
          </w:p>
        </w:tc>
      </w:tr>
      <w:tr>
        <w:trPr/>
        <w:tc>
          <w:tcPr>
            <w:tcW w:w="1598" w:type="dxa"/>
            <w:tcBorders/>
            <w:vAlign w:val="center"/>
          </w:tcPr>
          <w:p>
            <w:pPr>
              <w:pStyle w:val="TableContents"/>
              <w:rPr/>
            </w:pPr>
            <w:r>
              <w:rPr>
                <w:rStyle w:val="Strong"/>
              </w:rPr>
              <w:t>Shemsu Hor (Egyptian)</w:t>
            </w:r>
          </w:p>
        </w:tc>
        <w:tc>
          <w:tcPr>
            <w:tcW w:w="1863" w:type="dxa"/>
            <w:tcBorders/>
            <w:vAlign w:val="center"/>
          </w:tcPr>
          <w:p>
            <w:pPr>
              <w:pStyle w:val="TableContents"/>
              <w:rPr/>
            </w:pPr>
            <w:r>
              <w:rPr>
                <w:rStyle w:val="Strong"/>
              </w:rPr>
              <w:t>Transitional Followers of Horus</w:t>
            </w:r>
          </w:p>
        </w:tc>
        <w:tc>
          <w:tcPr>
            <w:tcW w:w="1355" w:type="dxa"/>
            <w:tcBorders/>
            <w:vAlign w:val="center"/>
          </w:tcPr>
          <w:p>
            <w:pPr>
              <w:pStyle w:val="TableContents"/>
              <w:rPr/>
            </w:pPr>
            <w:r>
              <w:rPr>
                <w:rStyle w:val="Strong"/>
              </w:rPr>
              <w:t>Yes</w:t>
            </w:r>
          </w:p>
        </w:tc>
        <w:tc>
          <w:tcPr>
            <w:tcW w:w="2047" w:type="dxa"/>
            <w:tcBorders/>
            <w:vAlign w:val="center"/>
          </w:tcPr>
          <w:p>
            <w:pPr>
              <w:pStyle w:val="TableContents"/>
              <w:rPr/>
            </w:pPr>
            <w:r>
              <w:rPr>
                <w:rStyle w:val="Strong"/>
              </w:rPr>
              <w:t>Goatskin scroll, written annals, architectural plans</w:t>
            </w:r>
          </w:p>
        </w:tc>
        <w:tc>
          <w:tcPr>
            <w:tcW w:w="3109" w:type="dxa"/>
            <w:tcBorders/>
            <w:vAlign w:val="center"/>
          </w:tcPr>
          <w:p>
            <w:pPr>
              <w:pStyle w:val="TableContents"/>
              <w:rPr/>
            </w:pPr>
            <w:r>
              <w:rPr>
                <w:rStyle w:val="Strong"/>
              </w:rPr>
              <w:t>Yes (Thutmose I state stela; Merneptah building inscription; Dendera crypt)</w:t>
            </w:r>
          </w:p>
        </w:tc>
      </w:tr>
    </w:tbl>
    <w:p>
      <w:pPr>
        <w:pStyle w:val="BodyText"/>
        <w:spacing w:before="0" w:after="283"/>
        <w:rPr/>
      </w:pPr>
      <w:r>
        <w:rPr/>
        <w:t>Of the eight independent king-list traditions surveyed, the Shemsu Hor are the only category for which all three archival criteria are simultaneously met: (1) a named physical object type, (2) specified as recoverable through institutional access, and (3) cited in a professional scribal accountability context where falsification would have been possible.</w:t>
      </w:r>
    </w:p>
    <w:p>
      <w:pPr>
        <w:pStyle w:val="BodyText"/>
        <w:spacing w:before="0" w:after="283"/>
        <w:rPr/>
      </w:pPr>
      <w:r>
        <w:rPr>
          <w:rStyle w:val="Strong"/>
        </w:rPr>
        <w:t>The statistical baseline:</w:t>
      </w:r>
      <w:r>
        <w:rPr/>
        <w:t xml:space="preserve"> Generic legitimation rhetoric across Egyptian, Mesopotamian, and Near Eastern traditions invokes ancestral authority without specifying material form. The Shemsu Hor citations specify </w:t>
      </w:r>
      <w:r>
        <w:rPr>
          <w:rStyle w:val="Emphasis"/>
        </w:rPr>
        <w:t>šnw n ʿrq</w:t>
      </w:r>
      <w:r>
        <w:rPr/>
        <w:t xml:space="preserve"> (goatskin scroll) and *gn.wt npy.w-ḥ3.t* (annals of predecessors). This level of material specificity in a falsifiable institutional context has no documented parallel in the surveyed corpus.</w:t>
      </w:r>
    </w:p>
    <w:p>
      <w:pPr>
        <w:pStyle w:val="BodyText"/>
        <w:spacing w:before="0" w:after="283"/>
        <w:rPr/>
      </w:pPr>
      <w:r>
        <w:rPr>
          <w:rStyle w:val="Strong"/>
        </w:rPr>
        <w:t>Response to the mainstream interpretation:</w:t>
      </w:r>
      <w:r>
        <w:rPr/>
        <w:t xml:space="preserve"> The observation that the Edfu narrative functions cosmogonically is not contested here. Reymond (1969) and Kurth et al. are correct: the texts operate as temple foundation mythology. The question is not whether they are mythological — they are — but whether the unique structural features of this particular mythological tradition (western homeland, cataclysm, survivor-builders, transmitted architectural knowledge, falcon ancestor cult) are adequately explained by generic legitimation models that produce no parallel narrative at Dendera, Esna, Kom Ombo, or Philae despite equivalent motivation and scribal capacity.</w:t>
      </w:r>
    </w:p>
    <w:p>
      <w:pPr>
        <w:pStyle w:val="BodyText"/>
        <w:spacing w:before="0" w:after="283"/>
        <w:rPr/>
      </w:pPr>
      <w:r>
        <w:rPr/>
        <w:t>The corridor model supplies one explanatory mechanism for this distinctiveness without requiring otherwise unattested priestly invention at Edfu alone. The alternative — that Edfu's priests independently composed a structurally unique migration narrative without any source tradition while every other Ptolemaic temple drew on standard cosmogonies — requires its own justification.</w:t>
      </w:r>
    </w:p>
    <w:p>
      <w:pPr>
        <w:pStyle w:val="BodyText"/>
        <w:spacing w:before="0" w:after="283"/>
        <w:rPr/>
      </w:pPr>
      <w:r>
        <w:rPr>
          <w:rStyle w:val="Strong"/>
        </w:rPr>
        <w:t>Internal textual evidence for memory-encoding function:</w:t>
      </w:r>
      <w:r>
        <w:rPr/>
        <w:t xml:space="preserve"> Seyfzadeh's (2024) translation of Kurth et al. (</w:t>
      </w:r>
      <w:r>
        <w:rPr>
          <w:rStyle w:val="Emphasis"/>
        </w:rPr>
        <w:t>Edfou VI</w:t>
      </w:r>
      <w:r>
        <w:rPr/>
        <w:t xml:space="preserve">, 2014) documents a deliberate compositional choice at the opening of the Zep Tepi creation sequence: the Eye of Horus hieroglyph is used uniquely to spell the word </w:t>
      </w:r>
      <w:r>
        <w:rPr>
          <w:rStyle w:val="Emphasis"/>
        </w:rPr>
        <w:t>'nt</w:t>
      </w:r>
      <w:r>
        <w:rPr/>
        <w:t xml:space="preserve"> ("moment" or "point in time") in the primeval creative instant. This is its only occurrence in the passage written with the Eye sign; all subsequent instances use phonetic spelling. Kurth's team identifies this as a deliberate scribal choice. The Wedjat glyph thus functions not only as a ritual object but as the literal hieroglyph for the founding moment of creation — placing the Wedjat's threshold-encoding function at the textual origin of Egyptian sacred geography itself.</w:t>
      </w:r>
    </w:p>
    <w:p>
      <w:pPr>
        <w:pStyle w:val="Heading3"/>
        <w:spacing w:lineRule="auto" w:line="276" w:before="0" w:after="283"/>
        <w:rPr>
          <w:sz w:val="24"/>
          <w:szCs w:val="24"/>
        </w:rPr>
      </w:pPr>
      <w:r>
        <w:rPr>
          <w:sz w:val="24"/>
          <w:szCs w:val="24"/>
        </w:rPr>
        <w:t>4.2 Archaeological Confirmation: Leather as a Prestige Writing Material</w:t>
      </w:r>
    </w:p>
    <w:p>
      <w:pPr>
        <w:pStyle w:val="BodyText"/>
        <w:spacing w:before="0" w:after="283"/>
        <w:rPr/>
      </w:pPr>
      <w:r>
        <w:rPr/>
        <w:t>The Dendera inscription's claim of a "goatskin scroll from the time of the Followers of Horus" describes a specific material object: a leather scroll containing architectural plans. Three independent data points confirm that leather scrolls containing sacred texts and drawings were produced, archived in temples, and used as master copies from the Old Kingdom through the Islamic period.</w:t>
      </w:r>
    </w:p>
    <w:p>
      <w:pPr>
        <w:pStyle w:val="BodyText"/>
        <w:spacing w:before="0" w:after="283"/>
        <w:rPr/>
      </w:pPr>
      <w:r>
        <w:rPr>
          <w:rStyle w:val="Strong"/>
        </w:rPr>
        <w:t>The Cairo Leather Roll (c. 2300–2000 BCE).</w:t>
      </w:r>
      <w:r>
        <w:rPr/>
        <w:t xml:space="preserve"> Rediscovered in the Egyptian Museum in 2015 after being forgotten for over 70 years, this is the oldest and longest Egyptian leather manuscript. Dating from the late Old Kingdom to the early Middle Kingdom, it measures about 2.5 meters (8.2 feet), written on both sides. It contains religious spells and portions of the </w:t>
      </w:r>
      <w:r>
        <w:rPr>
          <w:rStyle w:val="Emphasis"/>
        </w:rPr>
        <w:t>Book of Two Ways</w:t>
      </w:r>
      <w:r>
        <w:rPr/>
        <w:t>—a composition previously known only from Middle Kingdom coffins. The scholar who rediscovered it notes:</w:t>
      </w:r>
    </w:p>
    <w:p>
      <w:pPr>
        <w:pStyle w:val="BodyText"/>
        <w:spacing w:before="0" w:after="283"/>
        <w:ind w:hanging="0" w:start="567" w:end="567"/>
        <w:rPr/>
      </w:pPr>
      <w:r>
        <w:rPr>
          <w:rStyle w:val="Emphasis"/>
        </w:rPr>
        <w:t>"Leather was considered a very precious writing material in ancient Egypt. It was the principal writing medium to record holy texts and great historic events... Such prestigious leather rolls, kept in the libraries and archives of temples, were also used as master copies from which cheaper copies were reproduced on papyrus"</w:t>
      </w:r>
      <w:r>
        <w:rPr/>
        <w:t xml:space="preserve"> (Sherbiny, reported in Lorenzi 2015).</w:t>
      </w:r>
    </w:p>
    <w:p>
      <w:pPr>
        <w:pStyle w:val="BodyText"/>
        <w:spacing w:before="0" w:after="283"/>
        <w:rPr/>
      </w:pPr>
      <w:r>
        <w:rPr/>
        <w:t xml:space="preserve">The roll contains depictions of divine beings that predate the drawings found in the Book of the Dead manuscripts. Sherbiny concludes: </w:t>
      </w:r>
      <w:r>
        <w:rPr>
          <w:rStyle w:val="Emphasis"/>
        </w:rPr>
        <w:t>"The roll shows that parts of this composition were already known before their appearance on the Hermopolis coffins. It suggests that several segments of the composition were probably not the creation of Hermopolitan theologians, but had rather longer history of transmission"</w:t>
      </w:r>
      <w:r>
        <w:rPr/>
        <w:t xml:space="preserve"> (Sherbiny, reported in Lorenzi 2015).</w:t>
      </w:r>
    </w:p>
    <w:p>
      <w:pPr>
        <w:pStyle w:val="BodyText"/>
        <w:spacing w:before="0" w:after="283"/>
        <w:rPr/>
      </w:pPr>
      <w:r>
        <w:rPr>
          <w:rStyle w:val="Strong"/>
        </w:rPr>
        <w:t>The Dendera Temple Crypt Inscription (c. 54 BCE).</w:t>
      </w:r>
      <w:r>
        <w:rPr/>
        <w:t xml:space="preserve"> The Ptolemaic inscription at Dendera cites architectural plans copied from "a goatskin scroll from the time of the Followers of Horus" (see Appendix A.8). This reference specifies the material (goatskin), the content (architectural plans), and the source (the Shemsu Hor period). It is not a generic appeal to ancient authority but a citation of a specific, recoverable physical document.</w:t>
      </w:r>
    </w:p>
    <w:p>
      <w:pPr>
        <w:pStyle w:val="BodyText"/>
        <w:spacing w:before="0" w:after="283"/>
        <w:rPr/>
      </w:pPr>
      <w:r>
        <w:rPr>
          <w:rStyle w:val="Strong"/>
        </w:rPr>
        <w:t>The Hay Archive of Coptic Spells on Leather (8th–9th century CE).</w:t>
      </w:r>
      <w:r>
        <w:rPr/>
        <w:t xml:space="preserve"> The British Museum's 2022 multidisciplinary study (O'Connell et al.) documents seven leather manuscripts radiocarbon-dated to the 8th–9th century CE, found in Western Thebes—the same region as the HK6 elite cemetery and the Shemsu Hor textual tradition. The study confirms:</w:t>
      </w:r>
    </w:p>
    <w:p>
      <w:pPr>
        <w:pStyle w:val="BodyText"/>
        <w:numPr>
          <w:ilvl w:val="0"/>
          <w:numId w:val="3"/>
        </w:numPr>
        <w:tabs>
          <w:tab w:val="clear" w:pos="709"/>
          <w:tab w:val="left" w:pos="0" w:leader="none"/>
        </w:tabs>
        <w:spacing w:before="0" w:after="283"/>
        <w:ind w:hanging="283" w:start="709"/>
        <w:rPr/>
      </w:pPr>
      <w:r>
        <w:rPr/>
        <w:t>Leather was an unusual writing substrate for Coptic texts, concentrated in Upper Egypt and Lower Nubia—precisely the corridor route.</w:t>
      </w:r>
    </w:p>
    <w:p>
      <w:pPr>
        <w:pStyle w:val="BodyText"/>
        <w:numPr>
          <w:ilvl w:val="0"/>
          <w:numId w:val="3"/>
        </w:numPr>
        <w:tabs>
          <w:tab w:val="clear" w:pos="709"/>
          <w:tab w:val="left" w:pos="0" w:leader="none"/>
        </w:tabs>
        <w:spacing w:before="0" w:after="283"/>
        <w:ind w:hanging="283" w:start="709"/>
        <w:rPr/>
      </w:pPr>
      <w:r>
        <w:rPr/>
        <w:t>The findspot is likely the Monastery of Paul at Deir el-Bakhit in Western Thebes.</w:t>
      </w:r>
    </w:p>
    <w:p>
      <w:pPr>
        <w:pStyle w:val="BodyText"/>
        <w:numPr>
          <w:ilvl w:val="0"/>
          <w:numId w:val="3"/>
        </w:numPr>
        <w:tabs>
          <w:tab w:val="clear" w:pos="709"/>
          <w:tab w:val="left" w:pos="0" w:leader="none"/>
        </w:tabs>
        <w:spacing w:before="0" w:after="283"/>
        <w:ind w:hanging="283" w:start="709"/>
        <w:rPr/>
      </w:pPr>
      <w:r>
        <w:rPr/>
        <w:t>The manuscripts contain explicit invocations of Horus alongside Christian and pre-Christian ritual material.</w:t>
      </w:r>
    </w:p>
    <w:p>
      <w:pPr>
        <w:pStyle w:val="BodyText"/>
        <w:numPr>
          <w:ilvl w:val="0"/>
          <w:numId w:val="3"/>
        </w:numPr>
        <w:tabs>
          <w:tab w:val="clear" w:pos="709"/>
          <w:tab w:val="left" w:pos="0" w:leader="none"/>
        </w:tabs>
        <w:spacing w:before="0" w:after="283"/>
        <w:ind w:hanging="283" w:start="709"/>
        <w:rPr/>
      </w:pPr>
      <w:r>
        <w:rPr/>
        <w:t>The manuscripts were produced by multiple non-professional copyists working within a family or group context.</w:t>
      </w:r>
    </w:p>
    <w:p>
      <w:pPr>
        <w:pStyle w:val="BodyText"/>
        <w:numPr>
          <w:ilvl w:val="0"/>
          <w:numId w:val="3"/>
        </w:numPr>
        <w:tabs>
          <w:tab w:val="clear" w:pos="709"/>
          <w:tab w:val="left" w:pos="0" w:leader="none"/>
        </w:tabs>
        <w:spacing w:before="0" w:after="283"/>
        <w:ind w:hanging="283" w:start="709"/>
        <w:rPr/>
      </w:pPr>
      <w:r>
        <w:rPr/>
        <w:t>The Edfu temple contained a working physical archive, with inscriptions recording "many chests of books and large leather rolls" including building plans, liturgical manuscripts, and administrative documents (Hussein 2002, citing Edfu inscriptions).</w:t>
      </w:r>
    </w:p>
    <w:p>
      <w:pPr>
        <w:pStyle w:val="BodyText"/>
        <w:spacing w:before="0" w:after="283"/>
        <w:rPr/>
      </w:pPr>
      <w:r>
        <w:rPr>
          <w:rStyle w:val="Strong"/>
        </w:rPr>
        <w:t>Significance for the Shemsu Hor Hypothesis.</w:t>
      </w:r>
      <w:r>
        <w:rPr/>
        <w:t xml:space="preserve"> The Cairo Leather Roll confirms that leather scrolls containing sacred texts and drawings were produced, archived in temples, and used as master copies from at least the Old Kingdom onward. The Dendera inscription's claim of a "goatskin scroll from the time of the Followers of Horus" describing architectural plans is therefore not an isolated, implausible literary invention. It describes a real material practice documented archaeologically across two millennia: from the Old Kingdom Cairo roll through the Ptolemaic Dendera reference to the Islamic-period Hay Archive. The Shemsu Hor goatskin scroll fits a continuous tradition of leather as the medium for sacred, authoritative texts in Egypt.</w:t>
      </w:r>
    </w:p>
    <w:p>
      <w:pPr>
        <w:pStyle w:val="Heading3"/>
        <w:spacing w:lineRule="auto" w:line="276" w:before="0" w:after="283"/>
        <w:rPr>
          <w:sz w:val="24"/>
          <w:szCs w:val="24"/>
        </w:rPr>
      </w:pPr>
      <w:r>
        <w:rPr>
          <w:sz w:val="24"/>
          <w:szCs w:val="24"/>
        </w:rPr>
        <w:t>4.3 Why the Structural Anomaly Matters</w:t>
      </w:r>
    </w:p>
    <w:p>
      <w:pPr>
        <w:pStyle w:val="BodyText"/>
        <w:spacing w:before="0" w:after="283"/>
        <w:rPr/>
      </w:pPr>
      <w:r>
        <w:rPr/>
        <w:t>The legitimation model—that the Shemsu Hor category was invented during state formation to legitimate the Horus dynasty—cannot easily account for why Egyptian scribes would specifically claim the existence of recoverable archival objects rather than simply invoking ancestral authority in general terms. Generic legitimation rhetoric invokes ancestral authority in general terms, as documented across Egyptian, Mesopotamian, and Near Eastern traditions. It does not produce named material forms with specific physical descriptions (goatskin, not leather; scroll, not writings; plans, not knowledge) in professional accountability contexts.</w:t>
      </w:r>
    </w:p>
    <w:p>
      <w:pPr>
        <w:pStyle w:val="BodyText"/>
        <w:spacing w:before="0" w:after="283"/>
        <w:rPr/>
      </w:pPr>
      <w:r>
        <w:rPr/>
        <w:t>Ancient scribal communities understood the mechanics of institutional authority. They made vague-but-impressive claims, not specific-but-falsifiable ones, unless the specific thing actually existed. A claim that a recoverable scroll can be found and consulted is falsifiable within the scribal community's own institutional context. If the scroll were sought and not found, the inscription would lose authority. The Shemsu Hor archival citations specify locatable physical objects with named material forms in contexts of professional scribal accountability. The broader Ptolemaic "ancient book" tradition invokes cosmic or divine sources without specifying physical locations or material descriptions. The Shemsu Hor citations specify recoverable objects.</w:t>
      </w:r>
    </w:p>
    <w:p>
      <w:pPr>
        <w:pStyle w:val="BodyText"/>
        <w:spacing w:before="0" w:after="283"/>
        <w:rPr/>
      </w:pPr>
      <w:r>
        <w:rPr/>
        <w:t>The Cairo Leather Roll and the Hay Archive confirm that leather scrolls of precisely this type were produced and archived in Egypt from the Old Kingdom through the Islamic period. The material practice the Dendera inscription describes was real.</w:t>
      </w:r>
    </w:p>
    <w:p>
      <w:pPr>
        <w:pStyle w:val="HorizontalLine"/>
        <w:spacing w:before="0" w:after="0"/>
        <w:rPr>
          <w:sz w:val="24"/>
          <w:szCs w:val="24"/>
        </w:rPr>
      </w:pPr>
      <w:r>
        <w:rPr>
          <w:sz w:val="24"/>
          <w:szCs w:val="24"/>
        </w:rPr>
      </w:r>
    </w:p>
    <w:p>
      <w:pPr>
        <w:pStyle w:val="Heading2"/>
        <w:spacing w:before="0" w:after="283"/>
        <w:rPr>
          <w:sz w:val="24"/>
          <w:szCs w:val="24"/>
        </w:rPr>
      </w:pPr>
      <w:r>
        <w:rPr>
          <w:sz w:val="24"/>
          <w:szCs w:val="24"/>
        </w:rPr>
        <w:t>5. Archaeological Correlates: The Material Record of Arrival</w:t>
      </w:r>
    </w:p>
    <w:p>
      <w:pPr>
        <w:pStyle w:val="BodyText"/>
        <w:spacing w:before="0" w:after="283"/>
        <w:rPr/>
      </w:pPr>
      <w:r>
        <w:rPr/>
        <w:t>Texts record the Shemsu Hor as a generation before kings, with records, plans, and annals. The archaeological record at Hierakonpolis documents a set of material markers consistent with contact with—and integration of—Saharan pastoral populations during the window ca. 3800–3100 BCE. Each marker is published in peer-reviewed sources. Full analysis appears in Paper II of this Series.</w:t>
      </w:r>
    </w:p>
    <w:p>
      <w:pPr>
        <w:pStyle w:val="Heading2"/>
        <w:spacing w:lineRule="auto" w:line="276" w:before="0" w:after="283"/>
        <w:rPr>
          <w:sz w:val="24"/>
          <w:szCs w:val="24"/>
        </w:rPr>
      </w:pPr>
      <w:r>
        <w:rPr>
          <w:sz w:val="24"/>
          <w:szCs w:val="24"/>
        </w:rPr>
        <w:t>5.1 Five Pastoral Markers at HK6</w:t>
      </w:r>
    </w:p>
    <w:p>
      <w:pPr>
        <w:pStyle w:val="BodyText"/>
        <w:spacing w:before="0" w:after="283"/>
        <w:rPr/>
      </w:pPr>
      <w:r>
        <w:rPr/>
        <w:t>The following five markers appear together at Hierakonpolis HK6 within the same archaeological window.</w:t>
      </w:r>
    </w:p>
    <w:tbl>
      <w:tblPr>
        <w:tblW w:w="9972" w:type="dxa"/>
        <w:jc w:val="start"/>
        <w:tblInd w:w="0" w:type="dxa"/>
        <w:tblLayout w:type="fixed"/>
        <w:tblCellMar>
          <w:top w:w="28" w:type="dxa"/>
          <w:start w:w="28" w:type="dxa"/>
          <w:bottom w:w="28" w:type="dxa"/>
          <w:end w:w="28" w:type="dxa"/>
        </w:tblCellMar>
      </w:tblPr>
      <w:tblGrid>
        <w:gridCol w:w="1828"/>
        <w:gridCol w:w="1677"/>
        <w:gridCol w:w="1758"/>
        <w:gridCol w:w="4709"/>
      </w:tblGrid>
      <w:tr>
        <w:trPr>
          <w:tblHeader w:val="true"/>
        </w:trPr>
        <w:tc>
          <w:tcPr>
            <w:tcW w:w="1828" w:type="dxa"/>
            <w:tcBorders/>
            <w:vAlign w:val="center"/>
          </w:tcPr>
          <w:p>
            <w:pPr>
              <w:pStyle w:val="TableHeading"/>
              <w:rPr/>
            </w:pPr>
            <w:r>
              <w:rPr/>
              <w:t>Material Marker</w:t>
            </w:r>
          </w:p>
        </w:tc>
        <w:tc>
          <w:tcPr>
            <w:tcW w:w="1677" w:type="dxa"/>
            <w:tcBorders/>
            <w:vAlign w:val="center"/>
          </w:tcPr>
          <w:p>
            <w:pPr>
              <w:pStyle w:val="TableHeading"/>
              <w:rPr/>
            </w:pPr>
            <w:r>
              <w:rPr/>
              <w:t>Date (BCE)</w:t>
            </w:r>
          </w:p>
        </w:tc>
        <w:tc>
          <w:tcPr>
            <w:tcW w:w="1758" w:type="dxa"/>
            <w:tcBorders/>
            <w:vAlign w:val="center"/>
          </w:tcPr>
          <w:p>
            <w:pPr>
              <w:pStyle w:val="TableHeading"/>
              <w:rPr/>
            </w:pPr>
            <w:r>
              <w:rPr/>
              <w:t>Primary Source</w:t>
            </w:r>
          </w:p>
        </w:tc>
        <w:tc>
          <w:tcPr>
            <w:tcW w:w="4709" w:type="dxa"/>
            <w:tcBorders/>
            <w:vAlign w:val="center"/>
          </w:tcPr>
          <w:p>
            <w:pPr>
              <w:pStyle w:val="TableHeading"/>
              <w:rPr/>
            </w:pPr>
            <w:r>
              <w:rPr/>
              <w:t>Archaeological Context</w:t>
            </w:r>
          </w:p>
        </w:tc>
      </w:tr>
      <w:tr>
        <w:trPr/>
        <w:tc>
          <w:tcPr>
            <w:tcW w:w="1828" w:type="dxa"/>
            <w:tcBorders/>
            <w:vAlign w:val="center"/>
          </w:tcPr>
          <w:p>
            <w:pPr>
              <w:pStyle w:val="TableContents"/>
              <w:rPr/>
            </w:pPr>
            <w:r>
              <w:rPr/>
              <w:t>Dung fuel use</w:t>
            </w:r>
          </w:p>
        </w:tc>
        <w:tc>
          <w:tcPr>
            <w:tcW w:w="1677" w:type="dxa"/>
            <w:tcBorders/>
            <w:vAlign w:val="center"/>
          </w:tcPr>
          <w:p>
            <w:pPr>
              <w:pStyle w:val="TableContents"/>
              <w:rPr/>
            </w:pPr>
            <w:r>
              <w:rPr/>
              <w:t>Appears abruptly ca. 3700</w:t>
            </w:r>
          </w:p>
        </w:tc>
        <w:tc>
          <w:tcPr>
            <w:tcW w:w="1758" w:type="dxa"/>
            <w:tcBorders/>
            <w:vAlign w:val="center"/>
          </w:tcPr>
          <w:p>
            <w:pPr>
              <w:pStyle w:val="TableContents"/>
              <w:rPr/>
            </w:pPr>
            <w:r>
              <w:rPr/>
              <w:t>Linseele et al. 2014</w:t>
            </w:r>
          </w:p>
        </w:tc>
        <w:tc>
          <w:tcPr>
            <w:tcW w:w="4709" w:type="dxa"/>
            <w:tcBorders/>
            <w:vAlign w:val="center"/>
          </w:tcPr>
          <w:p>
            <w:pPr>
              <w:pStyle w:val="TableContents"/>
              <w:rPr/>
            </w:pPr>
            <w:r>
              <w:rPr/>
              <w:t>Characteristic of mobile pastoralists without access to riverine wood. Not adopted by existing Nilotic communities with abundant wood resources.</w:t>
            </w:r>
          </w:p>
        </w:tc>
      </w:tr>
      <w:tr>
        <w:trPr/>
        <w:tc>
          <w:tcPr>
            <w:tcW w:w="1828" w:type="dxa"/>
            <w:tcBorders/>
            <w:vAlign w:val="center"/>
          </w:tcPr>
          <w:p>
            <w:pPr>
              <w:pStyle w:val="TableContents"/>
              <w:rPr/>
            </w:pPr>
            <w:r>
              <w:rPr>
                <w:rStyle w:val="Emphasis"/>
              </w:rPr>
              <w:t>Balanites aegyptiaca</w:t>
            </w:r>
            <w:r>
              <w:rPr/>
              <w:t xml:space="preserve"> offerings</w:t>
            </w:r>
          </w:p>
        </w:tc>
        <w:tc>
          <w:tcPr>
            <w:tcW w:w="1677" w:type="dxa"/>
            <w:tcBorders/>
            <w:vAlign w:val="center"/>
          </w:tcPr>
          <w:p>
            <w:pPr>
              <w:pStyle w:val="TableContents"/>
              <w:rPr/>
            </w:pPr>
            <w:r>
              <w:rPr/>
              <w:t>ca. 3800–3200</w:t>
            </w:r>
          </w:p>
        </w:tc>
        <w:tc>
          <w:tcPr>
            <w:tcW w:w="1758" w:type="dxa"/>
            <w:tcBorders/>
            <w:vAlign w:val="center"/>
          </w:tcPr>
          <w:p>
            <w:pPr>
              <w:pStyle w:val="TableContents"/>
              <w:rPr/>
            </w:pPr>
            <w:r>
              <w:rPr/>
              <w:t>Fahmy, Friedman and Fadl 2008</w:t>
            </w:r>
          </w:p>
        </w:tc>
        <w:tc>
          <w:tcPr>
            <w:tcW w:w="4709" w:type="dxa"/>
            <w:tcBorders/>
            <w:vAlign w:val="center"/>
          </w:tcPr>
          <w:p>
            <w:pPr>
              <w:pStyle w:val="TableContents"/>
              <w:rPr/>
            </w:pPr>
            <w:r>
              <w:rPr/>
              <w:t>Desert date tree native to Sahara–Sahel corridor, not the Nile Valley. Deliberate food offering in elite HK6 graves.</w:t>
            </w:r>
          </w:p>
        </w:tc>
      </w:tr>
      <w:tr>
        <w:trPr/>
        <w:tc>
          <w:tcPr>
            <w:tcW w:w="1828" w:type="dxa"/>
            <w:tcBorders/>
            <w:vAlign w:val="center"/>
          </w:tcPr>
          <w:p>
            <w:pPr>
              <w:pStyle w:val="TableContents"/>
              <w:rPr/>
            </w:pPr>
            <w:r>
              <w:rPr/>
              <w:t>Livestock horn modification</w:t>
            </w:r>
          </w:p>
        </w:tc>
        <w:tc>
          <w:tcPr>
            <w:tcW w:w="1677" w:type="dxa"/>
            <w:tcBorders/>
            <w:vAlign w:val="center"/>
          </w:tcPr>
          <w:p>
            <w:pPr>
              <w:pStyle w:val="TableContents"/>
              <w:rPr/>
            </w:pPr>
            <w:r>
              <w:rPr/>
              <w:t>ca. 3700 (oldest in Egypt, among earliest in Africa)</w:t>
            </w:r>
          </w:p>
        </w:tc>
        <w:tc>
          <w:tcPr>
            <w:tcW w:w="1758" w:type="dxa"/>
            <w:tcBorders/>
            <w:vAlign w:val="center"/>
          </w:tcPr>
          <w:p>
            <w:pPr>
              <w:pStyle w:val="TableContents"/>
              <w:rPr/>
            </w:pPr>
            <w:r>
              <w:rPr/>
              <w:t>Van Neer, De Cupere and Friedman 2024</w:t>
            </w:r>
          </w:p>
        </w:tc>
        <w:tc>
          <w:tcPr>
            <w:tcW w:w="4709" w:type="dxa"/>
            <w:tcBorders/>
            <w:vAlign w:val="center"/>
          </w:tcPr>
          <w:p>
            <w:pPr>
              <w:pStyle w:val="TableContents"/>
              <w:rPr/>
            </w:pPr>
            <w:r>
              <w:rPr/>
              <w:t>Practice requiring generations of sustained intentional tradition. Documented at Nabta Playa in Green Sahara rock art. Chain: Sahara → HK6 → Kerma.</w:t>
            </w:r>
          </w:p>
        </w:tc>
      </w:tr>
      <w:tr>
        <w:trPr/>
        <w:tc>
          <w:tcPr>
            <w:tcW w:w="1828" w:type="dxa"/>
            <w:tcBorders/>
            <w:vAlign w:val="center"/>
          </w:tcPr>
          <w:p>
            <w:pPr>
              <w:pStyle w:val="TableContents"/>
              <w:rPr/>
            </w:pPr>
            <w:r>
              <w:rPr/>
              <w:t>Bat cow goddess emblem</w:t>
            </w:r>
          </w:p>
        </w:tc>
        <w:tc>
          <w:tcPr>
            <w:tcW w:w="1677" w:type="dxa"/>
            <w:tcBorders/>
            <w:vAlign w:val="center"/>
          </w:tcPr>
          <w:p>
            <w:pPr>
              <w:pStyle w:val="TableContents"/>
              <w:rPr/>
            </w:pPr>
            <w:r>
              <w:rPr/>
              <w:t>Naqada IC–IIA, Tomb 16</w:t>
            </w:r>
          </w:p>
        </w:tc>
        <w:tc>
          <w:tcPr>
            <w:tcW w:w="1758" w:type="dxa"/>
            <w:tcBorders/>
            <w:vAlign w:val="center"/>
          </w:tcPr>
          <w:p>
            <w:pPr>
              <w:pStyle w:val="TableContents"/>
              <w:rPr/>
            </w:pPr>
            <w:r>
              <w:rPr/>
              <w:t>Hendrickx 2005</w:t>
            </w:r>
          </w:p>
        </w:tc>
        <w:tc>
          <w:tcPr>
            <w:tcW w:w="4709" w:type="dxa"/>
            <w:tcBorders/>
            <w:vAlign w:val="center"/>
          </w:tcPr>
          <w:p>
            <w:pPr>
              <w:pStyle w:val="TableContents"/>
              <w:rPr/>
            </w:pPr>
            <w:r>
              <w:rPr/>
              <w:t>Earliest attestation in Egypt. Connects iconographically to Nabta Playa cattle cult imagery. Appears at the site mainstream Egyptology identifies as the primary Shemsu Hor context.</w:t>
            </w:r>
          </w:p>
        </w:tc>
      </w:tr>
      <w:tr>
        <w:trPr/>
        <w:tc>
          <w:tcPr>
            <w:tcW w:w="1828" w:type="dxa"/>
            <w:tcBorders/>
            <w:vAlign w:val="center"/>
          </w:tcPr>
          <w:p>
            <w:pPr>
              <w:pStyle w:val="TableContents"/>
              <w:rPr/>
            </w:pPr>
            <w:r>
              <w:rPr/>
              <w:t>Morphological diversity</w:t>
            </w:r>
          </w:p>
        </w:tc>
        <w:tc>
          <w:tcPr>
            <w:tcW w:w="1677" w:type="dxa"/>
            <w:tcBorders/>
            <w:vAlign w:val="center"/>
          </w:tcPr>
          <w:p>
            <w:pPr>
              <w:pStyle w:val="TableContents"/>
              <w:rPr/>
            </w:pPr>
            <w:r>
              <w:rPr/>
              <w:t>ca. 3800–3100</w:t>
            </w:r>
          </w:p>
        </w:tc>
        <w:tc>
          <w:tcPr>
            <w:tcW w:w="1758" w:type="dxa"/>
            <w:tcBorders/>
            <w:vAlign w:val="center"/>
          </w:tcPr>
          <w:p>
            <w:pPr>
              <w:pStyle w:val="TableContents"/>
              <w:rPr/>
            </w:pPr>
            <w:r>
              <w:rPr/>
              <w:t>Zakrzewski and Powell 2011</w:t>
            </w:r>
          </w:p>
        </w:tc>
        <w:tc>
          <w:tcPr>
            <w:tcW w:w="4709" w:type="dxa"/>
            <w:tcBorders/>
            <w:vAlign w:val="center"/>
          </w:tcPr>
          <w:p>
            <w:pPr>
              <w:pStyle w:val="TableContents"/>
              <w:rPr/>
            </w:pPr>
            <w:r>
              <w:rPr/>
              <w:t>45 crania from Hierakonpolis show diversity inconsistent with a simple local demographic history.</w:t>
            </w:r>
          </w:p>
        </w:tc>
      </w:tr>
    </w:tbl>
    <w:p>
      <w:pPr>
        <w:pStyle w:val="BodyText"/>
        <w:spacing w:before="0" w:after="283"/>
        <w:rPr/>
      </w:pPr>
      <w:r>
        <w:rPr/>
        <w:t xml:space="preserve">Individually, each marker could be explained by regional interaction or diffusion — </w:t>
      </w:r>
      <w:r>
        <w:rPr>
          <w:rStyle w:val="Emphasis"/>
        </w:rPr>
        <w:t>Balanites</w:t>
      </w:r>
      <w:r>
        <w:rPr/>
        <w:t>, horn modification, and dung fuel use all appear in the Egyptian Western Desert record as well. The marker that most directly supports population movement is morphological diversity. Unlike plant offerings, fuel practices, or iconic emblems, skeletal morphological diversity cannot arrive through trade or cultural borrowing alone. The 45-cranial HK6 sample's diversity, inconsistent with a simple local demographic history, requires people carrying different biological heritage into the burial population.</w:t>
      </w:r>
    </w:p>
    <w:p>
      <w:pPr>
        <w:pStyle w:val="Heading3"/>
        <w:spacing w:lineRule="auto" w:line="276" w:before="0" w:after="283"/>
        <w:rPr>
          <w:sz w:val="24"/>
          <w:szCs w:val="24"/>
        </w:rPr>
      </w:pPr>
      <w:r>
        <w:rPr>
          <w:sz w:val="24"/>
          <w:szCs w:val="24"/>
        </w:rPr>
        <w:t>Site-Specificity: HK6 vs. Naqada Cemeteries T and B</w:t>
      </w:r>
    </w:p>
    <w:p>
      <w:pPr>
        <w:pStyle w:val="BodyText"/>
        <w:spacing w:before="0" w:after="283"/>
        <w:rPr/>
      </w:pPr>
      <w:r>
        <w:rPr/>
        <w:t>The corridor hypothesis predicts integration specifically at the Horus cult center (Hierakonpolis/Nekhen), not at the rival Seth cult center (Naqada/Nubt). A comparison between HK6 and contemporaneous Naqada elite cemeteries (Cemetery T, Naqada IIC–IIIA; Cemetery B, Naqada IID–IIIA) tests this prediction.</w:t>
      </w:r>
    </w:p>
    <w:tbl>
      <w:tblPr>
        <w:tblW w:w="9972" w:type="dxa"/>
        <w:jc w:val="start"/>
        <w:tblInd w:w="0" w:type="dxa"/>
        <w:tblLayout w:type="fixed"/>
        <w:tblCellMar>
          <w:top w:w="28" w:type="dxa"/>
          <w:start w:w="28" w:type="dxa"/>
          <w:bottom w:w="28" w:type="dxa"/>
          <w:end w:w="28" w:type="dxa"/>
        </w:tblCellMar>
      </w:tblPr>
      <w:tblGrid>
        <w:gridCol w:w="2163"/>
        <w:gridCol w:w="2822"/>
        <w:gridCol w:w="2426"/>
        <w:gridCol w:w="2561"/>
      </w:tblGrid>
      <w:tr>
        <w:trPr>
          <w:tblHeader w:val="true"/>
        </w:trPr>
        <w:tc>
          <w:tcPr>
            <w:tcW w:w="2163" w:type="dxa"/>
            <w:tcBorders/>
            <w:vAlign w:val="center"/>
          </w:tcPr>
          <w:p>
            <w:pPr>
              <w:pStyle w:val="TableHeading"/>
              <w:rPr/>
            </w:pPr>
            <w:r>
              <w:rPr/>
              <w:t>Pastoral Marker</w:t>
            </w:r>
          </w:p>
        </w:tc>
        <w:tc>
          <w:tcPr>
            <w:tcW w:w="2822" w:type="dxa"/>
            <w:tcBorders/>
            <w:vAlign w:val="center"/>
          </w:tcPr>
          <w:p>
            <w:pPr>
              <w:pStyle w:val="TableHeading"/>
              <w:rPr/>
            </w:pPr>
            <w:r>
              <w:rPr/>
              <w:t>HK6 (Hierakonpolis)</w:t>
            </w:r>
          </w:p>
        </w:tc>
        <w:tc>
          <w:tcPr>
            <w:tcW w:w="2426" w:type="dxa"/>
            <w:tcBorders/>
            <w:vAlign w:val="center"/>
          </w:tcPr>
          <w:p>
            <w:pPr>
              <w:pStyle w:val="TableHeading"/>
              <w:rPr/>
            </w:pPr>
            <w:r>
              <w:rPr/>
              <w:t>Naqada T / B</w:t>
            </w:r>
          </w:p>
        </w:tc>
        <w:tc>
          <w:tcPr>
            <w:tcW w:w="2561" w:type="dxa"/>
            <w:tcBorders/>
            <w:vAlign w:val="center"/>
          </w:tcPr>
          <w:p>
            <w:pPr>
              <w:pStyle w:val="TableHeading"/>
              <w:rPr/>
            </w:pPr>
            <w:r>
              <w:rPr/>
              <w:t>Primary Sources</w:t>
            </w:r>
          </w:p>
        </w:tc>
      </w:tr>
      <w:tr>
        <w:trPr/>
        <w:tc>
          <w:tcPr>
            <w:tcW w:w="2163" w:type="dxa"/>
            <w:tcBorders/>
            <w:vAlign w:val="center"/>
          </w:tcPr>
          <w:p>
            <w:pPr>
              <w:pStyle w:val="TableContents"/>
              <w:rPr/>
            </w:pPr>
            <w:r>
              <w:rPr/>
              <w:t>Cattle skull / bucrania deposits</w:t>
            </w:r>
          </w:p>
        </w:tc>
        <w:tc>
          <w:tcPr>
            <w:tcW w:w="2822" w:type="dxa"/>
            <w:tcBorders/>
            <w:vAlign w:val="center"/>
          </w:tcPr>
          <w:p>
            <w:pPr>
              <w:pStyle w:val="TableContents"/>
              <w:rPr/>
            </w:pPr>
            <w:r>
              <w:rPr/>
              <w:t>High frequency in elite burials</w:t>
            </w:r>
          </w:p>
        </w:tc>
        <w:tc>
          <w:tcPr>
            <w:tcW w:w="2426" w:type="dxa"/>
            <w:tcBorders/>
            <w:vAlign w:val="center"/>
          </w:tcPr>
          <w:p>
            <w:pPr>
              <w:pStyle w:val="TableContents"/>
              <w:rPr/>
            </w:pPr>
            <w:r>
              <w:rPr/>
              <w:t>Rare / absent in published elite contexts</w:t>
            </w:r>
          </w:p>
        </w:tc>
        <w:tc>
          <w:tcPr>
            <w:tcW w:w="2561" w:type="dxa"/>
            <w:tcBorders/>
            <w:vAlign w:val="center"/>
          </w:tcPr>
          <w:p>
            <w:pPr>
              <w:pStyle w:val="TableContents"/>
              <w:rPr/>
            </w:pPr>
            <w:r>
              <w:rPr/>
              <w:t>Van Neer et al. 2004, 2014; Hendrickx 2002</w:t>
            </w:r>
          </w:p>
        </w:tc>
      </w:tr>
      <w:tr>
        <w:trPr/>
        <w:tc>
          <w:tcPr>
            <w:tcW w:w="2163" w:type="dxa"/>
            <w:tcBorders/>
            <w:vAlign w:val="center"/>
          </w:tcPr>
          <w:p>
            <w:pPr>
              <w:pStyle w:val="TableContents"/>
              <w:rPr/>
            </w:pPr>
            <w:r>
              <w:rPr/>
              <w:t>Wild desert fauna offerings</w:t>
            </w:r>
          </w:p>
        </w:tc>
        <w:tc>
          <w:tcPr>
            <w:tcW w:w="2822" w:type="dxa"/>
            <w:tcBorders/>
            <w:vAlign w:val="center"/>
          </w:tcPr>
          <w:p>
            <w:pPr>
              <w:pStyle w:val="TableContents"/>
              <w:rPr/>
            </w:pPr>
            <w:r>
              <w:rPr/>
              <w:t>Present, diverse assemblage</w:t>
            </w:r>
          </w:p>
        </w:tc>
        <w:tc>
          <w:tcPr>
            <w:tcW w:w="2426" w:type="dxa"/>
            <w:tcBorders/>
            <w:vAlign w:val="center"/>
          </w:tcPr>
          <w:p>
            <w:pPr>
              <w:pStyle w:val="TableContents"/>
              <w:rPr/>
            </w:pPr>
            <w:r>
              <w:rPr/>
              <w:t>Lower diversity documented</w:t>
            </w:r>
          </w:p>
        </w:tc>
        <w:tc>
          <w:tcPr>
            <w:tcW w:w="2561" w:type="dxa"/>
            <w:tcBorders/>
            <w:vAlign w:val="center"/>
          </w:tcPr>
          <w:p>
            <w:pPr>
              <w:pStyle w:val="TableContents"/>
              <w:rPr/>
            </w:pPr>
            <w:r>
              <w:rPr/>
              <w:t>Van Neer et al. 2004; Gautier and Van Neer 2009</w:t>
            </w:r>
          </w:p>
        </w:tc>
      </w:tr>
      <w:tr>
        <w:trPr/>
        <w:tc>
          <w:tcPr>
            <w:tcW w:w="2163" w:type="dxa"/>
            <w:tcBorders/>
            <w:vAlign w:val="center"/>
          </w:tcPr>
          <w:p>
            <w:pPr>
              <w:pStyle w:val="TableContents"/>
              <w:rPr/>
            </w:pPr>
            <w:r>
              <w:rPr/>
              <w:t>Baboon imports</w:t>
            </w:r>
          </w:p>
        </w:tc>
        <w:tc>
          <w:tcPr>
            <w:tcW w:w="2822" w:type="dxa"/>
            <w:tcBorders/>
            <w:vAlign w:val="center"/>
          </w:tcPr>
          <w:p>
            <w:pPr>
              <w:pStyle w:val="TableContents"/>
              <w:rPr/>
            </w:pPr>
            <w:r>
              <w:rPr/>
              <w:t>Documented, 20 individuals, multiple species</w:t>
            </w:r>
          </w:p>
        </w:tc>
        <w:tc>
          <w:tcPr>
            <w:tcW w:w="2426" w:type="dxa"/>
            <w:tcBorders/>
            <w:vAlign w:val="center"/>
          </w:tcPr>
          <w:p>
            <w:pPr>
              <w:pStyle w:val="TableContents"/>
              <w:rPr/>
            </w:pPr>
            <w:r>
              <w:rPr/>
              <w:t>Not documented</w:t>
            </w:r>
          </w:p>
        </w:tc>
        <w:tc>
          <w:tcPr>
            <w:tcW w:w="2561" w:type="dxa"/>
            <w:tcBorders/>
            <w:vAlign w:val="center"/>
          </w:tcPr>
          <w:p>
            <w:pPr>
              <w:pStyle w:val="TableContents"/>
              <w:rPr/>
            </w:pPr>
            <w:r>
              <w:rPr/>
              <w:t>Van Neer, De Cupere and Friedman 2026</w:t>
            </w:r>
          </w:p>
        </w:tc>
      </w:tr>
      <w:tr>
        <w:trPr/>
        <w:tc>
          <w:tcPr>
            <w:tcW w:w="2163" w:type="dxa"/>
            <w:tcBorders/>
            <w:vAlign w:val="center"/>
          </w:tcPr>
          <w:p>
            <w:pPr>
              <w:pStyle w:val="TableContents"/>
              <w:rPr/>
            </w:pPr>
            <w:r>
              <w:rPr/>
              <w:t>Horn deformation (sheep/goat)</w:t>
            </w:r>
          </w:p>
        </w:tc>
        <w:tc>
          <w:tcPr>
            <w:tcW w:w="2822" w:type="dxa"/>
            <w:tcBorders/>
            <w:vAlign w:val="center"/>
          </w:tcPr>
          <w:p>
            <w:pPr>
              <w:pStyle w:val="TableContents"/>
              <w:rPr/>
            </w:pPr>
            <w:r>
              <w:rPr/>
              <w:t>Earliest evidence in Egypt (c. 3700 BCE)</w:t>
            </w:r>
          </w:p>
        </w:tc>
        <w:tc>
          <w:tcPr>
            <w:tcW w:w="2426" w:type="dxa"/>
            <w:tcBorders/>
            <w:vAlign w:val="center"/>
          </w:tcPr>
          <w:p>
            <w:pPr>
              <w:pStyle w:val="TableContents"/>
              <w:rPr/>
            </w:pPr>
            <w:r>
              <w:rPr/>
              <w:t>Not reported</w:t>
            </w:r>
          </w:p>
        </w:tc>
        <w:tc>
          <w:tcPr>
            <w:tcW w:w="2561" w:type="dxa"/>
            <w:tcBorders/>
            <w:vAlign w:val="center"/>
          </w:tcPr>
          <w:p>
            <w:pPr>
              <w:pStyle w:val="TableContents"/>
              <w:rPr/>
            </w:pPr>
            <w:r>
              <w:rPr/>
              <w:t>Van Neer, De Cupere and Friedman 2024</w:t>
            </w:r>
          </w:p>
        </w:tc>
      </w:tr>
      <w:tr>
        <w:trPr/>
        <w:tc>
          <w:tcPr>
            <w:tcW w:w="2163" w:type="dxa"/>
            <w:tcBorders/>
            <w:vAlign w:val="center"/>
          </w:tcPr>
          <w:p>
            <w:pPr>
              <w:pStyle w:val="TableContents"/>
              <w:rPr/>
            </w:pPr>
            <w:r>
              <w:rPr>
                <w:rStyle w:val="Emphasis"/>
              </w:rPr>
              <w:t>Balanites aegyptiaca</w:t>
            </w:r>
            <w:r>
              <w:rPr/>
              <w:t xml:space="preserve"> offerings</w:t>
            </w:r>
          </w:p>
        </w:tc>
        <w:tc>
          <w:tcPr>
            <w:tcW w:w="2822" w:type="dxa"/>
            <w:tcBorders/>
            <w:vAlign w:val="center"/>
          </w:tcPr>
          <w:p>
            <w:pPr>
              <w:pStyle w:val="TableContents"/>
              <w:rPr/>
            </w:pPr>
            <w:r>
              <w:rPr/>
              <w:t>Prominent in elite graves</w:t>
            </w:r>
          </w:p>
        </w:tc>
        <w:tc>
          <w:tcPr>
            <w:tcW w:w="2426" w:type="dxa"/>
            <w:tcBorders/>
            <w:vAlign w:val="center"/>
          </w:tcPr>
          <w:p>
            <w:pPr>
              <w:pStyle w:val="TableContents"/>
              <w:rPr/>
            </w:pPr>
            <w:r>
              <w:rPr/>
              <w:t>Absent in published Naqada reports</w:t>
            </w:r>
          </w:p>
        </w:tc>
        <w:tc>
          <w:tcPr>
            <w:tcW w:w="2561" w:type="dxa"/>
            <w:tcBorders/>
            <w:vAlign w:val="center"/>
          </w:tcPr>
          <w:p>
            <w:pPr>
              <w:pStyle w:val="TableContents"/>
              <w:rPr/>
            </w:pPr>
            <w:r>
              <w:rPr/>
              <w:t>Fahmy, Friedman and Fadl 2008; Hendrickx 2005</w:t>
            </w:r>
          </w:p>
        </w:tc>
      </w:tr>
      <w:tr>
        <w:trPr/>
        <w:tc>
          <w:tcPr>
            <w:tcW w:w="2163" w:type="dxa"/>
            <w:tcBorders/>
            <w:vAlign w:val="center"/>
          </w:tcPr>
          <w:p>
            <w:pPr>
              <w:pStyle w:val="TableContents"/>
              <w:rPr/>
            </w:pPr>
            <w:r>
              <w:rPr/>
              <w:t>Bat cow goddess emblem</w:t>
            </w:r>
          </w:p>
        </w:tc>
        <w:tc>
          <w:tcPr>
            <w:tcW w:w="2822" w:type="dxa"/>
            <w:tcBorders/>
            <w:vAlign w:val="center"/>
          </w:tcPr>
          <w:p>
            <w:pPr>
              <w:pStyle w:val="TableContents"/>
              <w:rPr/>
            </w:pPr>
            <w:r>
              <w:rPr/>
              <w:t>Present (Tomb 16, Naqada IC–IIA)</w:t>
            </w:r>
          </w:p>
        </w:tc>
        <w:tc>
          <w:tcPr>
            <w:tcW w:w="2426" w:type="dxa"/>
            <w:tcBorders/>
            <w:vAlign w:val="center"/>
          </w:tcPr>
          <w:p>
            <w:pPr>
              <w:pStyle w:val="TableContents"/>
              <w:rPr/>
            </w:pPr>
            <w:r>
              <w:rPr/>
              <w:t>Absent</w:t>
            </w:r>
          </w:p>
        </w:tc>
        <w:tc>
          <w:tcPr>
            <w:tcW w:w="2561" w:type="dxa"/>
            <w:tcBorders/>
            <w:vAlign w:val="center"/>
          </w:tcPr>
          <w:p>
            <w:pPr>
              <w:pStyle w:val="TableContents"/>
              <w:rPr/>
            </w:pPr>
            <w:r>
              <w:rPr/>
              <w:t>Hendrickx 2005</w:t>
            </w:r>
          </w:p>
        </w:tc>
      </w:tr>
      <w:tr>
        <w:trPr/>
        <w:tc>
          <w:tcPr>
            <w:tcW w:w="2163" w:type="dxa"/>
            <w:tcBorders/>
            <w:vAlign w:val="center"/>
          </w:tcPr>
          <w:p>
            <w:pPr>
              <w:pStyle w:val="TableContents"/>
              <w:rPr/>
            </w:pPr>
            <w:r>
              <w:rPr/>
              <w:t>Morphological diversity (cranial)</w:t>
            </w:r>
          </w:p>
        </w:tc>
        <w:tc>
          <w:tcPr>
            <w:tcW w:w="2822" w:type="dxa"/>
            <w:tcBorders/>
            <w:vAlign w:val="center"/>
          </w:tcPr>
          <w:p>
            <w:pPr>
              <w:pStyle w:val="TableContents"/>
              <w:rPr/>
            </w:pPr>
            <w:r>
              <w:rPr/>
              <w:t>Inconsistent with local demographic history (n=45)</w:t>
            </w:r>
          </w:p>
        </w:tc>
        <w:tc>
          <w:tcPr>
            <w:tcW w:w="2426" w:type="dxa"/>
            <w:tcBorders/>
            <w:vAlign w:val="center"/>
          </w:tcPr>
          <w:p>
            <w:pPr>
              <w:pStyle w:val="TableContents"/>
              <w:rPr/>
            </w:pPr>
            <w:r>
              <w:rPr/>
              <w:t>No systematic published comparison available</w:t>
            </w:r>
          </w:p>
        </w:tc>
        <w:tc>
          <w:tcPr>
            <w:tcW w:w="2561" w:type="dxa"/>
            <w:tcBorders/>
            <w:vAlign w:val="center"/>
          </w:tcPr>
          <w:p>
            <w:pPr>
              <w:pStyle w:val="TableContents"/>
              <w:rPr/>
            </w:pPr>
            <w:r>
              <w:rPr/>
              <w:t>Zakrzewski and Powell 2011</w:t>
            </w:r>
          </w:p>
        </w:tc>
      </w:tr>
    </w:tbl>
    <w:p>
      <w:pPr>
        <w:pStyle w:val="BodyText"/>
        <w:spacing w:before="0" w:after="283"/>
        <w:rPr/>
      </w:pPr>
      <w:r>
        <w:rPr>
          <w:rStyle w:val="Strong"/>
        </w:rPr>
        <w:t>Quantitative takeaway:</w:t>
      </w:r>
      <w:r>
        <w:rPr/>
        <w:t xml:space="preserve"> The pastoral prestige package is markedly stronger at HK6 than at contemporaneous Naqada elite cemeteries (T and B). Cattle skull deposits, wild desert fauna, baboon imports, horn deformation, and </w:t>
      </w:r>
      <w:r>
        <w:rPr>
          <w:rStyle w:val="Emphasis"/>
        </w:rPr>
        <w:t>Balanites</w:t>
      </w:r>
      <w:r>
        <w:rPr/>
        <w:t xml:space="preserve"> offerings are all documented at higher frequency or exclusively at HK6; the bat cow goddess emblem has its earliest Egyptian attestation at Hierakonpolis (Tomb 16). Morphological diversity in the HK6 cranial sample (n=45) is inconsistent with purely local demographic history, while no comparable elite Naqada sample has yet been systematically analysed. This co-occurrence and site-specific concentration at the primary Horus cult center — contrasted with its weaker or absent expression at the rival Seth-associated Naqada cemeteries — is consistent with elite integration of incoming corridor populations specifically at Nekhen.</w:t>
      </w:r>
    </w:p>
    <w:p>
      <w:pPr>
        <w:pStyle w:val="BodyText"/>
        <w:spacing w:before="0" w:after="283"/>
        <w:rPr/>
      </w:pPr>
      <w:r>
        <w:rPr>
          <w:rStyle w:val="Strong"/>
        </w:rPr>
        <w:t>Caveat and future work:</w:t>
      </w:r>
      <w:r>
        <w:rPr/>
        <w:t xml:space="preserve"> A full quantitative comparison of HK6 with Naqada Cemeteries T and B remains a priority for future work (Prediction 3b). The absence data reported above reflect the current state of publication; systematic archaeozoological and botanical comparison of Naqada elite contexts has not yet been undertaken. The corridor hypothesis predicts that such a comparison will confirm the site-specific pattern documented here.</w:t>
      </w:r>
    </w:p>
    <w:p>
      <w:pPr>
        <w:pStyle w:val="BodyText"/>
        <w:spacing w:before="0" w:after="283"/>
        <w:rPr/>
      </w:pPr>
      <w:r>
        <w:rPr/>
        <w:t>The funerary temple at HK6 (Structure E8) remained in documented ritual use for nearly a millennium. Dynasty 3 deposits appear at walls still standing 1,000 years after construction — a pattern of institutional continuity consistent with the archival and architectural authority the Shemsu Hor textual tradition attributes to this generation.</w:t>
      </w:r>
    </w:p>
    <w:p>
      <w:pPr>
        <w:pStyle w:val="Heading3"/>
        <w:spacing w:lineRule="auto" w:line="276" w:before="0" w:after="283"/>
        <w:rPr>
          <w:sz w:val="24"/>
          <w:szCs w:val="24"/>
        </w:rPr>
      </w:pPr>
      <w:r>
        <w:rPr>
          <w:sz w:val="24"/>
          <w:szCs w:val="24"/>
        </w:rPr>
        <w:t>5.2 Tattooed Mummies from Gebelein</w:t>
      </w:r>
    </w:p>
    <w:p>
      <w:pPr>
        <w:pStyle w:val="BodyText"/>
        <w:spacing w:before="0" w:after="283"/>
        <w:rPr/>
      </w:pPr>
      <w:r>
        <w:rPr/>
        <w:t>Additional evidence for a rich symbolic repertoire in late Predynastic Upper Egypt comes from the tattooed mummies from Gebelein (Friedman et al. 2018). Radiocarbon dated to 3351–3017 cal BC:</w:t>
      </w:r>
    </w:p>
    <w:p>
      <w:pPr>
        <w:pStyle w:val="BodyText"/>
        <w:numPr>
          <w:ilvl w:val="0"/>
          <w:numId w:val="4"/>
        </w:numPr>
        <w:tabs>
          <w:tab w:val="clear" w:pos="709"/>
          <w:tab w:val="left" w:pos="0" w:leader="none"/>
        </w:tabs>
        <w:spacing w:before="0" w:after="283"/>
        <w:ind w:hanging="283" w:start="709"/>
        <w:rPr/>
      </w:pPr>
      <w:r>
        <w:rPr/>
        <w:t>A male individual (British Museum EA 32751) bears figural tattoos of wild cattle (</w:t>
      </w:r>
      <w:r>
        <w:rPr>
          <w:rStyle w:val="Emphasis"/>
        </w:rPr>
        <w:t>Bos primigenius</w:t>
      </w:r>
      <w:r>
        <w:rPr/>
        <w:t>) and Barbary sheep (</w:t>
      </w:r>
      <w:r>
        <w:rPr>
          <w:rStyle w:val="Emphasis"/>
        </w:rPr>
        <w:t>Ammotragus lervia</w:t>
      </w:r>
      <w:r>
        <w:rPr/>
        <w:t>), motifs well attested in both Predynastic Egyptian art and Saharan rock art traditions.</w:t>
      </w:r>
    </w:p>
    <w:p>
      <w:pPr>
        <w:pStyle w:val="BodyText"/>
        <w:numPr>
          <w:ilvl w:val="0"/>
          <w:numId w:val="4"/>
        </w:numPr>
        <w:tabs>
          <w:tab w:val="clear" w:pos="709"/>
          <w:tab w:val="left" w:pos="0" w:leader="none"/>
        </w:tabs>
        <w:spacing w:before="0" w:after="283"/>
        <w:ind w:hanging="283" w:start="709"/>
        <w:rPr/>
      </w:pPr>
      <w:r>
        <w:rPr/>
        <w:t>A female individual (EA 32752) displays curved S-shaped motifs on the shoulder and arm.</w:t>
      </w:r>
    </w:p>
    <w:p>
      <w:pPr>
        <w:pStyle w:val="BodyText"/>
        <w:spacing w:before="0" w:after="283"/>
        <w:rPr/>
      </w:pPr>
      <w:r>
        <w:rPr/>
        <w:t>Figural tattooing was practiced by both sexes during this period. The lead author, Renée Friedman, is also the principal excavator of the HK6 elite cemetery at Hierakonpolis, situating these tattooed individuals within the same broad cultural horizon documented at that site.</w:t>
      </w:r>
    </w:p>
    <w:p>
      <w:pPr>
        <w:pStyle w:val="Heading3"/>
        <w:spacing w:lineRule="auto" w:line="276" w:before="0" w:after="283"/>
        <w:rPr>
          <w:sz w:val="24"/>
          <w:szCs w:val="24"/>
        </w:rPr>
      </w:pPr>
      <w:r>
        <w:rPr>
          <w:sz w:val="24"/>
          <w:szCs w:val="24"/>
        </w:rPr>
        <w:t>5.3 The Qustul Incense Burner and Nubian Peer Relationship</w:t>
      </w:r>
    </w:p>
    <w:p>
      <w:pPr>
        <w:pStyle w:val="BodyText"/>
        <w:spacing w:before="0" w:after="283"/>
        <w:rPr/>
      </w:pPr>
      <w:r>
        <w:rPr/>
        <w:t>The Qustul incense burner (ca. 3300–3000 BCE, Cemetery L, Tomb 24) documents a peer-culture relationship with Nubia during the Shemsu Hor window. The A-Group bears identical elite iconography—White Crown, Horus falcon, smiting pose. Mainstream positions vary between Egyptian influence and shared elite symbolism (Gatto 2021; Wengrow 2006). The corridor hypothesis interprets this as consistent with a shared ancestral tradition.</w:t>
      </w:r>
    </w:p>
    <w:p>
      <w:pPr>
        <w:pStyle w:val="Heading3"/>
        <w:spacing w:lineRule="auto" w:line="276" w:before="0" w:after="283"/>
        <w:rPr>
          <w:sz w:val="24"/>
          <w:szCs w:val="24"/>
        </w:rPr>
      </w:pPr>
      <w:r>
        <w:rPr>
          <w:sz w:val="24"/>
          <w:szCs w:val="24"/>
        </w:rPr>
        <w:t>5.4 Two Phases of Corridor Interaction</w:t>
      </w:r>
    </w:p>
    <w:tbl>
      <w:tblPr>
        <w:tblW w:w="9972" w:type="dxa"/>
        <w:jc w:val="start"/>
        <w:tblInd w:w="0" w:type="dxa"/>
        <w:tblLayout w:type="fixed"/>
        <w:tblCellMar>
          <w:top w:w="28" w:type="dxa"/>
          <w:start w:w="28" w:type="dxa"/>
          <w:bottom w:w="28" w:type="dxa"/>
          <w:end w:w="28" w:type="dxa"/>
        </w:tblCellMar>
      </w:tblPr>
      <w:tblGrid>
        <w:gridCol w:w="755"/>
        <w:gridCol w:w="963"/>
        <w:gridCol w:w="8254"/>
      </w:tblGrid>
      <w:tr>
        <w:trPr>
          <w:tblHeader w:val="true"/>
        </w:trPr>
        <w:tc>
          <w:tcPr>
            <w:tcW w:w="755" w:type="dxa"/>
            <w:tcBorders/>
            <w:vAlign w:val="center"/>
          </w:tcPr>
          <w:p>
            <w:pPr>
              <w:pStyle w:val="TableHeading"/>
              <w:rPr/>
            </w:pPr>
            <w:r>
              <w:rPr/>
              <w:t>Phase</w:t>
            </w:r>
          </w:p>
        </w:tc>
        <w:tc>
          <w:tcPr>
            <w:tcW w:w="963" w:type="dxa"/>
            <w:tcBorders/>
            <w:vAlign w:val="center"/>
          </w:tcPr>
          <w:p>
            <w:pPr>
              <w:pStyle w:val="TableHeading"/>
              <w:rPr/>
            </w:pPr>
            <w:r>
              <w:rPr/>
              <w:t>Date</w:t>
            </w:r>
          </w:p>
        </w:tc>
        <w:tc>
          <w:tcPr>
            <w:tcW w:w="8254" w:type="dxa"/>
            <w:tcBorders/>
            <w:vAlign w:val="center"/>
          </w:tcPr>
          <w:p>
            <w:pPr>
              <w:pStyle w:val="TableHeading"/>
              <w:rPr/>
            </w:pPr>
            <w:r>
              <w:rPr/>
              <w:t>Evidence</w:t>
            </w:r>
          </w:p>
        </w:tc>
      </w:tr>
      <w:tr>
        <w:trPr/>
        <w:tc>
          <w:tcPr>
            <w:tcW w:w="755" w:type="dxa"/>
            <w:tcBorders/>
            <w:vAlign w:val="center"/>
          </w:tcPr>
          <w:p>
            <w:pPr>
              <w:pStyle w:val="TableContents"/>
              <w:rPr/>
            </w:pPr>
            <w:r>
              <w:rPr/>
              <w:t>Phase 1</w:t>
            </w:r>
          </w:p>
        </w:tc>
        <w:tc>
          <w:tcPr>
            <w:tcW w:w="963" w:type="dxa"/>
            <w:tcBorders/>
            <w:vAlign w:val="center"/>
          </w:tcPr>
          <w:p>
            <w:pPr>
              <w:pStyle w:val="TableContents"/>
              <w:rPr/>
            </w:pPr>
            <w:r>
              <w:rPr/>
              <w:t>3800–3100 BCE</w:t>
            </w:r>
          </w:p>
        </w:tc>
        <w:tc>
          <w:tcPr>
            <w:tcW w:w="8254" w:type="dxa"/>
            <w:tcBorders/>
            <w:vAlign w:val="center"/>
          </w:tcPr>
          <w:p>
            <w:pPr>
              <w:pStyle w:val="TableContents"/>
              <w:rPr/>
            </w:pPr>
            <w:r>
              <w:rPr/>
              <w:t>HK6 material package appears with traditions associated with Saharan pastoralists</w:t>
            </w:r>
          </w:p>
        </w:tc>
      </w:tr>
      <w:tr>
        <w:trPr/>
        <w:tc>
          <w:tcPr>
            <w:tcW w:w="755" w:type="dxa"/>
            <w:tcBorders/>
            <w:vAlign w:val="center"/>
          </w:tcPr>
          <w:p>
            <w:pPr>
              <w:pStyle w:val="TableContents"/>
              <w:rPr/>
            </w:pPr>
            <w:r>
              <w:rPr/>
              <w:t>Phase 2</w:t>
            </w:r>
          </w:p>
        </w:tc>
        <w:tc>
          <w:tcPr>
            <w:tcW w:w="963" w:type="dxa"/>
            <w:tcBorders/>
            <w:vAlign w:val="center"/>
          </w:tcPr>
          <w:p>
            <w:pPr>
              <w:pStyle w:val="TableContents"/>
              <w:rPr/>
            </w:pPr>
            <w:r>
              <w:rPr/>
              <w:t>c. 3100 BCE</w:t>
            </w:r>
          </w:p>
        </w:tc>
        <w:tc>
          <w:tcPr>
            <w:tcW w:w="8254" w:type="dxa"/>
            <w:tcBorders/>
            <w:vAlign w:val="center"/>
          </w:tcPr>
          <w:p>
            <w:pPr>
              <w:pStyle w:val="TableContents"/>
              <w:rPr/>
            </w:pPr>
            <w:r>
              <w:rPr/>
              <w:t>Sorghum cultivation knowledge circulating in the Saharo-Nilotic corridor (Winchell et al. 2017); donkey domestication producing transport intensification at unification, with Abydos skeletons showing load-bearing osteopathologies consistent with sustained use (Rossel et al. 2008)</w:t>
            </w:r>
          </w:p>
        </w:tc>
      </w:tr>
    </w:tbl>
    <w:p>
      <w:pPr>
        <w:pStyle w:val="Heading3"/>
        <w:spacing w:lineRule="auto" w:line="276" w:before="0" w:after="283"/>
        <w:rPr>
          <w:sz w:val="24"/>
          <w:szCs w:val="24"/>
        </w:rPr>
      </w:pPr>
      <w:r>
        <w:rPr>
          <w:sz w:val="24"/>
          <w:szCs w:val="24"/>
        </w:rPr>
        <w:t>5.5 Animal Burials at HK6: Selective Acquisition</w:t>
      </w:r>
    </w:p>
    <w:p>
      <w:pPr>
        <w:pStyle w:val="BodyText"/>
        <w:spacing w:before="0" w:after="283"/>
        <w:rPr/>
      </w:pPr>
      <w:r>
        <w:rPr/>
        <w:t>Beyond the pastoral markers above, the HK6 elite cemetery contains an exceptional range of animal burials: baboons, elephants, aurochs (wild cattle), crocodiles, leopards, and cats (Van Neer et al. 2004, 2014; Van Neer, De Cupere, and Friedman 2026). The acquisition and control of these species required exceptional effort—long-distance transport, dangerous capture, or sustained captive care.</w:t>
      </w:r>
    </w:p>
    <w:p>
      <w:pPr>
        <w:pStyle w:val="Heading4"/>
        <w:spacing w:lineRule="auto" w:line="276" w:before="0" w:after="283"/>
        <w:rPr/>
      </w:pPr>
      <w:r>
        <w:rPr/>
        <w:t>5.5.1 Baboons: Long-Distance Import</w:t>
      </w:r>
    </w:p>
    <w:p>
      <w:pPr>
        <w:pStyle w:val="BodyText"/>
        <w:spacing w:before="0" w:after="283"/>
        <w:rPr/>
      </w:pPr>
      <w:r>
        <w:rPr/>
        <w:t>The HK6 elite cemetery has yielded 20 baboon individuals (</w:t>
      </w:r>
      <w:r>
        <w:rPr>
          <w:rStyle w:val="Emphasis"/>
        </w:rPr>
        <w:t>Papio hamadryas</w:t>
      </w:r>
      <w:r>
        <w:rPr/>
        <w:t xml:space="preserve"> and </w:t>
      </w:r>
      <w:r>
        <w:rPr>
          <w:rStyle w:val="Emphasis"/>
        </w:rPr>
        <w:t>Papio anubis</w:t>
      </w:r>
      <w:r>
        <w:rPr/>
        <w:t>) dated to c. 3700–3500 BCE (Naqada IC–IIB) (Van Neer, De Cupere, and Friedman 2026). Buried in groups of up to eight individuals or as single interments across multiple mortuary complexes over several generations, they represent sustained rather than episodic acquisition. One young animal shows signs of rickets, suggesting local birth, but the authors conclude baboons were not routinely bred on site and were likely imported on several occasions, indicating "more complex trade interactions with the lands to the far south than previously assumed."</w:t>
      </w:r>
    </w:p>
    <w:p>
      <w:pPr>
        <w:pStyle w:val="BodyText"/>
        <w:spacing w:before="0" w:after="283"/>
        <w:rPr/>
      </w:pPr>
      <w:r>
        <w:rPr/>
        <w:t>Hamadryas baboons are native to the Horn of Africa (Eritrea, Ethiopia, Somalia)—the region of Punt—as confirmed by isotopic analysis of mummified baboons from later periods (Dominy et al. 2020). Their presence at HK6 provides evidence for repeated long-distance acquisition, consistent with emerging exchange networks reaching the Red Sea and sub-Saharan Africa during the Shemsu Hor window. Later, baboons became the sacred animal of Thoth, god of writing, timekeeping, and lunar cycles (Te Velde 1988; Kessler 1989). Whether this later religious significance has roots in Predynastic acquisition practices remains speculative.</w:t>
      </w:r>
    </w:p>
    <w:p>
      <w:pPr>
        <w:pStyle w:val="Heading4"/>
        <w:spacing w:lineRule="auto" w:line="276" w:before="0" w:after="283"/>
        <w:rPr/>
      </w:pPr>
      <w:r>
        <w:rPr/>
        <w:t>5.5.2 Elephants: From Familiar to Rare</w:t>
      </w:r>
    </w:p>
    <w:p>
      <w:pPr>
        <w:pStyle w:val="BodyText"/>
        <w:spacing w:before="0" w:after="283"/>
        <w:rPr/>
      </w:pPr>
      <w:r>
        <w:rPr/>
        <w:t>By the late Predynastic period (c. 3800–3100 BCE), as the Sahara aridified, elephant populations contracted toward the south and east. Elephants became increasingly rare in the Nile Valley, though they are attested in regions such as Nabta Playa and the Eastern Desert (Gautier and Van Neer 2009; Manzo 2017). The elephant buried at Hierakonpolis HK6 (c. 3700–3600 BCE), in its own monumental tomb with evidence of feeding and care (Friedman 2009), may reflect the selective acquisition of a culturally familiar yet increasingly inaccessible animal.</w:t>
      </w:r>
    </w:p>
    <w:p>
      <w:pPr>
        <w:pStyle w:val="BodyText"/>
        <w:spacing w:before="0" w:after="283"/>
        <w:rPr/>
      </w:pPr>
      <w:r>
        <w:rPr/>
        <w:t>Elephants are rare in Predynastic faunal assemblages overall (Gautier and Van Neer 2009; Manzo 2017), reinforcing their status as exceptional acquisitions. A developing symbolic significance is suggested by the contemporaneous appearance of the elephant as a royal name in the Wadi Magar standard (Naqada IID; c. 3400–3300 BCE) and by the persistence of elephant imagery in later Egyptian iconography as a marker of southern or exotic power (Hendrickx 2002).</w:t>
      </w:r>
    </w:p>
    <w:p>
      <w:pPr>
        <w:pStyle w:val="Heading4"/>
        <w:spacing w:lineRule="auto" w:line="276" w:before="0" w:after="283"/>
        <w:rPr/>
      </w:pPr>
      <w:r>
        <w:rPr/>
        <w:t>5.5.3 Aurochs (Wild Cattle): Control Over Wild Herds</w:t>
      </w:r>
    </w:p>
    <w:p>
      <w:pPr>
        <w:pStyle w:val="BodyText"/>
        <w:spacing w:before="0" w:after="283"/>
        <w:rPr/>
      </w:pPr>
      <w:r>
        <w:rPr/>
        <w:t xml:space="preserve">Wild cattle (aurochs, </w:t>
      </w:r>
      <w:r>
        <w:rPr>
          <w:rStyle w:val="Emphasis"/>
        </w:rPr>
        <w:t>Bos primigenius</w:t>
      </w:r>
      <w:r>
        <w:rPr/>
        <w:t>) were present at HK6 alongside domestic cattle, distinguished by their larger size and distinct morphology (Van Neer et al. 2004). Unlike domestic cattle, which were herded, aurochs required capture from wild herds—a more dangerous and logistically demanding undertaking. Their presence in elite burials signals control over wild, untamed animals.</w:t>
      </w:r>
    </w:p>
    <w:p>
      <w:pPr>
        <w:pStyle w:val="BodyText"/>
        <w:spacing w:before="0" w:after="283"/>
        <w:rPr/>
      </w:pPr>
      <w:r>
        <w:rPr/>
        <w:t>Bovine symbolism is prominent in Predynastic iconography (Hendrickx 2002). The ability to acquire and control wild cattle aligns with patterns of animal control that later appear formalized in cattle-related cult traditions, including Hathor (cow goddess) and the Apis bull (Wilkinson 1999).</w:t>
      </w:r>
    </w:p>
    <w:p>
      <w:pPr>
        <w:pStyle w:val="Heading4"/>
        <w:spacing w:lineRule="auto" w:line="276" w:before="0" w:after="283"/>
        <w:rPr/>
      </w:pPr>
      <w:r>
        <w:rPr/>
        <w:t>5.5.4 Crocodiles: Control Over Apex Predators</w:t>
      </w:r>
    </w:p>
    <w:p>
      <w:pPr>
        <w:pStyle w:val="BodyText"/>
        <w:spacing w:before="0" w:after="283"/>
        <w:rPr/>
      </w:pPr>
      <w:r>
        <w:rPr/>
        <w:t>Crocodiles—though native to the Nile—required considerable skill and risk to capture. Whole crocodile burials at HK6 (Van Neer et al. 2004) indicate deliberate control over a dangerous animal. Unlike baboons and elephants, crocodiles did not require long-distance acquisition; their significance lies in the mastery of a locally available but formidable creature.</w:t>
      </w:r>
    </w:p>
    <w:p>
      <w:pPr>
        <w:pStyle w:val="BodyText"/>
        <w:spacing w:before="0" w:after="283"/>
        <w:rPr/>
      </w:pPr>
      <w:r>
        <w:rPr/>
        <w:t>Crocodiles later became central to the cult of Sobek, a god associated with kingship and the Nile's power (Zecchi 2010). While formal cults are not attested until the Early Dynastic period, the early control of crocodiles at HK6 suggests that the capacity to master the Nile's most dangerous creature was already a marker of elite status.</w:t>
      </w:r>
    </w:p>
    <w:p>
      <w:pPr>
        <w:pStyle w:val="Heading4"/>
        <w:spacing w:lineRule="auto" w:line="276" w:before="0" w:after="283"/>
        <w:rPr/>
      </w:pPr>
      <w:r>
        <w:rPr/>
        <w:t>5.5.5 Leopards: Predator Control and Elite Ritual</w:t>
      </w:r>
    </w:p>
    <w:p>
      <w:pPr>
        <w:pStyle w:val="BodyText"/>
        <w:spacing w:before="0" w:after="283"/>
        <w:rPr/>
      </w:pPr>
      <w:r>
        <w:rPr/>
        <w:t>Leopards, native to the Eastern Desert, were also present at HK6 (Van Neer et al. 2014). Their capture and burial required control over a dangerous predator, though they did not require importation. The leopard skin, rather than the animal itself, later becomes the primary symbolic medium in elite ritual contexts.</w:t>
      </w:r>
    </w:p>
    <w:p>
      <w:pPr>
        <w:pStyle w:val="BodyText"/>
        <w:spacing w:before="0" w:after="283"/>
        <w:rPr/>
      </w:pPr>
      <w:r>
        <w:rPr/>
        <w:t xml:space="preserve">Leopard skins were worn by </w:t>
      </w:r>
      <w:r>
        <w:rPr>
          <w:rStyle w:val="Emphasis"/>
        </w:rPr>
        <w:t>sem</w:t>
      </w:r>
      <w:r>
        <w:rPr/>
        <w:t>-priests in the Opening of the Mouth ceremony (Roth 1991) and appear on early royal statues (Wilkinson 1999). The early presence of leopards at HK6 may represent an early instance of the symbolic association between predator control and ritual authority.</w:t>
      </w:r>
    </w:p>
    <w:p>
      <w:pPr>
        <w:pStyle w:val="Heading4"/>
        <w:spacing w:lineRule="auto" w:line="276" w:before="0" w:after="283"/>
        <w:rPr/>
      </w:pPr>
      <w:r>
        <w:rPr/>
        <w:t>5.5.6 Cats: Controlled Animals and Feline Deities</w:t>
      </w:r>
    </w:p>
    <w:p>
      <w:pPr>
        <w:pStyle w:val="BodyText"/>
        <w:spacing w:before="0" w:after="283"/>
        <w:rPr/>
      </w:pPr>
      <w:r>
        <w:rPr/>
        <w:t xml:space="preserve">Van Neer et al. (2014) documented a pit burial at HK6 containing six cats—a male adult, a female adult, and four kittens from two simultaneous litters—dated to Naqada IC–IIB (ca. 3800–3600 BCE). The simultaneous litters indicate year-round captive feeding, because wild Egyptian cats breed once annually following seasonal food availability. These are controlled animals. They predate the next comparable Egyptian evidence by nearly 2,000 years and appear in the same cemetery that contains the cattle burials, dung fuel deposits, </w:t>
      </w:r>
      <w:r>
        <w:rPr>
          <w:rStyle w:val="Emphasis"/>
        </w:rPr>
        <w:t>Balanites</w:t>
      </w:r>
      <w:r>
        <w:rPr/>
        <w:t xml:space="preserve"> offerings, and morphologically diverse human population. No local developmental sequence at Hierakonpolis precedes them (Van Neer et al. 2014).</w:t>
      </w:r>
    </w:p>
    <w:p>
      <w:pPr>
        <w:pStyle w:val="BodyText"/>
        <w:spacing w:before="0" w:after="283"/>
        <w:rPr/>
      </w:pPr>
      <w:r>
        <w:rPr/>
        <w:t>Unlike baboons and elephants, cats were native to the region; the African wildcat (</w:t>
      </w:r>
      <w:r>
        <w:rPr>
          <w:rStyle w:val="Emphasis"/>
        </w:rPr>
        <w:t>Felis lybica lybica</w:t>
      </w:r>
      <w:r>
        <w:rPr/>
        <w:t>) is native to the full North African range (De Martino et al. 2025). Their significance lies not in importation but in control: year-round captive feeding of a species that normally breeds seasonally required sustained human intervention. The De Martino et al. (2025) genomic study refined understanding of domestic cat ancestry, demonstrating that North Africa played a significant role alongside the Near East in the species' expansion.</w:t>
      </w:r>
    </w:p>
    <w:p>
      <w:pPr>
        <w:pStyle w:val="BodyText"/>
        <w:spacing w:before="0" w:after="283"/>
        <w:rPr/>
      </w:pPr>
      <w:r>
        <w:rPr/>
        <w:t>The institutional connection between feline control and later Egyptian religion is documented independently:</w:t>
      </w:r>
    </w:p>
    <w:p>
      <w:pPr>
        <w:pStyle w:val="BodyText"/>
        <w:numPr>
          <w:ilvl w:val="0"/>
          <w:numId w:val="5"/>
        </w:numPr>
        <w:tabs>
          <w:tab w:val="clear" w:pos="709"/>
          <w:tab w:val="left" w:pos="0" w:leader="none"/>
        </w:tabs>
        <w:spacing w:before="0" w:after="283"/>
        <w:ind w:hanging="283" w:start="709"/>
        <w:rPr/>
      </w:pPr>
      <w:r>
        <w:rPr>
          <w:rStyle w:val="Strong"/>
        </w:rPr>
        <w:t>Mafdet</w:t>
      </w:r>
      <w:r>
        <w:rPr/>
        <w:t>, the first feline deity in Egyptian religion, appears at the opening of the First Dynasty. She presents the hearts of wrongdoers to the pharaoh "like cats that present humans with prey" (Wilkinson 1999: 251).</w:t>
      </w:r>
    </w:p>
    <w:p>
      <w:pPr>
        <w:pStyle w:val="BodyText"/>
        <w:numPr>
          <w:ilvl w:val="0"/>
          <w:numId w:val="5"/>
        </w:numPr>
        <w:tabs>
          <w:tab w:val="clear" w:pos="709"/>
          <w:tab w:val="left" w:pos="0" w:leader="none"/>
        </w:tabs>
        <w:spacing w:before="0" w:after="283"/>
        <w:ind w:hanging="283" w:start="709"/>
        <w:rPr/>
      </w:pPr>
      <w:r>
        <w:rPr/>
        <w:t>A Fourth Dynasty seal of Menkaure bears the epithet "Horus: Bull-bodied, beloved of Mafdet" (Wilkinson 1999: 196), documenting direct institutional linkage between the Horus royal tradition and this feline deity.</w:t>
      </w:r>
    </w:p>
    <w:p>
      <w:pPr>
        <w:pStyle w:val="BodyText"/>
        <w:numPr>
          <w:ilvl w:val="0"/>
          <w:numId w:val="5"/>
        </w:numPr>
        <w:tabs>
          <w:tab w:val="clear" w:pos="709"/>
          <w:tab w:val="left" w:pos="0" w:leader="none"/>
        </w:tabs>
        <w:spacing w:before="0" w:after="283"/>
        <w:ind w:hanging="283" w:start="709"/>
        <w:rPr/>
      </w:pPr>
      <w:r>
        <w:rPr>
          <w:rStyle w:val="Strong"/>
        </w:rPr>
        <w:t>Bastet</w:t>
      </w:r>
      <w:r>
        <w:rPr/>
        <w:t xml:space="preserve">, the later feline goddess, acts under the epithet </w:t>
      </w:r>
      <w:r>
        <w:rPr>
          <w:rStyle w:val="Emphasis"/>
        </w:rPr>
        <w:t>Horit</w:t>
      </w:r>
      <w:r>
        <w:rPr/>
        <w:t xml:space="preserve"> ("Female Horus") and is explicitly credited in Papyrus Brooklyn 47.218 with rescuing the Udjat-Eye (Wedjat) from Seth: "Horit rescued the Udjat-Eye of her father" (Ibrahim and Aboelmagd 2023).</w:t>
      </w:r>
    </w:p>
    <w:p>
      <w:pPr>
        <w:pStyle w:val="BodyText"/>
        <w:spacing w:before="0" w:after="283"/>
        <w:rPr/>
      </w:pPr>
      <w:r>
        <w:rPr/>
        <w:t>The chronological gap between the HK6 cat burials (c. 3800–3600 BCE) and the earliest feline deities (First Dynasty, c. 3100 BCE onward) is substantial. Whether the HK6 evidence represents a direct antecedent or a separate phenomenon remains an open question.</w:t>
      </w:r>
    </w:p>
    <w:p>
      <w:pPr>
        <w:pStyle w:val="Heading4"/>
        <w:spacing w:lineRule="auto" w:line="276" w:before="0" w:after="283"/>
        <w:rPr/>
      </w:pPr>
      <w:r>
        <w:rPr/>
        <w:t>5.5.7 Summary: Selective Acquisition of Ecologically Retreating Animals</w:t>
      </w:r>
    </w:p>
    <w:p>
      <w:pPr>
        <w:pStyle w:val="BodyText"/>
        <w:spacing w:before="0" w:after="283"/>
        <w:rPr/>
      </w:pPr>
      <w:r>
        <w:rPr/>
        <w:t>Across these taxa, the HK6 faunal assemblage consistently emphasizes species whose acquisition required exceptional effort:</w:t>
      </w:r>
    </w:p>
    <w:tbl>
      <w:tblPr>
        <w:tblW w:w="9972" w:type="dxa"/>
        <w:jc w:val="start"/>
        <w:tblInd w:w="0" w:type="dxa"/>
        <w:tblLayout w:type="fixed"/>
        <w:tblCellMar>
          <w:top w:w="28" w:type="dxa"/>
          <w:start w:w="28" w:type="dxa"/>
          <w:bottom w:w="28" w:type="dxa"/>
          <w:end w:w="28" w:type="dxa"/>
        </w:tblCellMar>
      </w:tblPr>
      <w:tblGrid>
        <w:gridCol w:w="1067"/>
        <w:gridCol w:w="3012"/>
        <w:gridCol w:w="3031"/>
        <w:gridCol w:w="2862"/>
      </w:tblGrid>
      <w:tr>
        <w:trPr>
          <w:tblHeader w:val="true"/>
        </w:trPr>
        <w:tc>
          <w:tcPr>
            <w:tcW w:w="1067" w:type="dxa"/>
            <w:tcBorders/>
            <w:vAlign w:val="center"/>
          </w:tcPr>
          <w:p>
            <w:pPr>
              <w:pStyle w:val="TableHeading"/>
              <w:rPr/>
            </w:pPr>
            <w:r>
              <w:rPr/>
              <w:t>Animal</w:t>
            </w:r>
          </w:p>
        </w:tc>
        <w:tc>
          <w:tcPr>
            <w:tcW w:w="3012" w:type="dxa"/>
            <w:tcBorders/>
            <w:vAlign w:val="center"/>
          </w:tcPr>
          <w:p>
            <w:pPr>
              <w:pStyle w:val="TableHeading"/>
              <w:rPr/>
            </w:pPr>
            <w:r>
              <w:rPr/>
              <w:t>Acquisition Challenge</w:t>
            </w:r>
          </w:p>
        </w:tc>
        <w:tc>
          <w:tcPr>
            <w:tcW w:w="3031" w:type="dxa"/>
            <w:tcBorders/>
            <w:vAlign w:val="center"/>
          </w:tcPr>
          <w:p>
            <w:pPr>
              <w:pStyle w:val="TableHeading"/>
              <w:rPr/>
            </w:pPr>
            <w:r>
              <w:rPr/>
              <w:t>Control Challenge</w:t>
            </w:r>
          </w:p>
        </w:tc>
        <w:tc>
          <w:tcPr>
            <w:tcW w:w="2862" w:type="dxa"/>
            <w:tcBorders/>
            <w:vAlign w:val="center"/>
          </w:tcPr>
          <w:p>
            <w:pPr>
              <w:pStyle w:val="TableHeading"/>
              <w:rPr/>
            </w:pPr>
            <w:r>
              <w:rPr/>
              <w:t>Later Symbolic Role</w:t>
            </w:r>
          </w:p>
        </w:tc>
      </w:tr>
      <w:tr>
        <w:trPr/>
        <w:tc>
          <w:tcPr>
            <w:tcW w:w="1067" w:type="dxa"/>
            <w:tcBorders/>
            <w:vAlign w:val="center"/>
          </w:tcPr>
          <w:p>
            <w:pPr>
              <w:pStyle w:val="TableContents"/>
              <w:rPr/>
            </w:pPr>
            <w:r>
              <w:rPr/>
              <w:t>Baboon</w:t>
            </w:r>
          </w:p>
        </w:tc>
        <w:tc>
          <w:tcPr>
            <w:tcW w:w="3012" w:type="dxa"/>
            <w:tcBorders/>
            <w:vAlign w:val="center"/>
          </w:tcPr>
          <w:p>
            <w:pPr>
              <w:pStyle w:val="TableContents"/>
              <w:rPr/>
            </w:pPr>
            <w:r>
              <w:rPr/>
              <w:t>Long-distance import (Horn of Africa)</w:t>
            </w:r>
          </w:p>
        </w:tc>
        <w:tc>
          <w:tcPr>
            <w:tcW w:w="3031" w:type="dxa"/>
            <w:tcBorders/>
            <w:vAlign w:val="center"/>
          </w:tcPr>
          <w:p>
            <w:pPr>
              <w:pStyle w:val="TableContents"/>
              <w:rPr/>
            </w:pPr>
            <w:r>
              <w:rPr/>
              <w:t>Captive care, multiple generations</w:t>
            </w:r>
          </w:p>
        </w:tc>
        <w:tc>
          <w:tcPr>
            <w:tcW w:w="2862" w:type="dxa"/>
            <w:tcBorders/>
            <w:vAlign w:val="center"/>
          </w:tcPr>
          <w:p>
            <w:pPr>
              <w:pStyle w:val="TableContents"/>
              <w:rPr/>
            </w:pPr>
            <w:r>
              <w:rPr/>
              <w:t>Thoth (writing, timekeeping)</w:t>
            </w:r>
          </w:p>
        </w:tc>
      </w:tr>
      <w:tr>
        <w:trPr/>
        <w:tc>
          <w:tcPr>
            <w:tcW w:w="1067" w:type="dxa"/>
            <w:tcBorders/>
            <w:vAlign w:val="center"/>
          </w:tcPr>
          <w:p>
            <w:pPr>
              <w:pStyle w:val="TableContents"/>
              <w:rPr/>
            </w:pPr>
            <w:r>
              <w:rPr/>
              <w:t>Elephant</w:t>
            </w:r>
          </w:p>
        </w:tc>
        <w:tc>
          <w:tcPr>
            <w:tcW w:w="3012" w:type="dxa"/>
            <w:tcBorders/>
            <w:vAlign w:val="center"/>
          </w:tcPr>
          <w:p>
            <w:pPr>
              <w:pStyle w:val="TableContents"/>
              <w:rPr/>
            </w:pPr>
            <w:r>
              <w:rPr/>
              <w:t>Southern origin, rarity in Nile</w:t>
            </w:r>
          </w:p>
        </w:tc>
        <w:tc>
          <w:tcPr>
            <w:tcW w:w="3031" w:type="dxa"/>
            <w:tcBorders/>
            <w:vAlign w:val="center"/>
          </w:tcPr>
          <w:p>
            <w:pPr>
              <w:pStyle w:val="TableContents"/>
              <w:rPr/>
            </w:pPr>
            <w:r>
              <w:rPr/>
              <w:t>Captive care, own tomb</w:t>
            </w:r>
          </w:p>
        </w:tc>
        <w:tc>
          <w:tcPr>
            <w:tcW w:w="2862" w:type="dxa"/>
            <w:tcBorders/>
            <w:vAlign w:val="center"/>
          </w:tcPr>
          <w:p>
            <w:pPr>
              <w:pStyle w:val="TableContents"/>
              <w:rPr/>
            </w:pPr>
            <w:r>
              <w:rPr/>
              <w:t>Royal power, exotic prestige</w:t>
            </w:r>
          </w:p>
        </w:tc>
      </w:tr>
      <w:tr>
        <w:trPr/>
        <w:tc>
          <w:tcPr>
            <w:tcW w:w="1067" w:type="dxa"/>
            <w:tcBorders/>
            <w:vAlign w:val="center"/>
          </w:tcPr>
          <w:p>
            <w:pPr>
              <w:pStyle w:val="TableContents"/>
              <w:rPr/>
            </w:pPr>
            <w:r>
              <w:rPr/>
              <w:t>Aurochs</w:t>
            </w:r>
          </w:p>
        </w:tc>
        <w:tc>
          <w:tcPr>
            <w:tcW w:w="3012" w:type="dxa"/>
            <w:tcBorders/>
            <w:vAlign w:val="center"/>
          </w:tcPr>
          <w:p>
            <w:pPr>
              <w:pStyle w:val="TableContents"/>
              <w:rPr/>
            </w:pPr>
            <w:r>
              <w:rPr/>
              <w:t>Wild herd capture</w:t>
            </w:r>
          </w:p>
        </w:tc>
        <w:tc>
          <w:tcPr>
            <w:tcW w:w="3031" w:type="dxa"/>
            <w:tcBorders/>
            <w:vAlign w:val="center"/>
          </w:tcPr>
          <w:p>
            <w:pPr>
              <w:pStyle w:val="TableContents"/>
              <w:rPr/>
            </w:pPr>
            <w:r>
              <w:rPr/>
              <w:t>Control over non-domesticated cattle</w:t>
            </w:r>
          </w:p>
        </w:tc>
        <w:tc>
          <w:tcPr>
            <w:tcW w:w="2862" w:type="dxa"/>
            <w:tcBorders/>
            <w:vAlign w:val="center"/>
          </w:tcPr>
          <w:p>
            <w:pPr>
              <w:pStyle w:val="TableContents"/>
              <w:rPr/>
            </w:pPr>
            <w:r>
              <w:rPr/>
              <w:t>Hathor, Apis</w:t>
            </w:r>
          </w:p>
        </w:tc>
      </w:tr>
      <w:tr>
        <w:trPr/>
        <w:tc>
          <w:tcPr>
            <w:tcW w:w="1067" w:type="dxa"/>
            <w:tcBorders/>
            <w:vAlign w:val="center"/>
          </w:tcPr>
          <w:p>
            <w:pPr>
              <w:pStyle w:val="TableContents"/>
              <w:rPr/>
            </w:pPr>
            <w:r>
              <w:rPr/>
              <w:t>Crocodile</w:t>
            </w:r>
          </w:p>
        </w:tc>
        <w:tc>
          <w:tcPr>
            <w:tcW w:w="3012" w:type="dxa"/>
            <w:tcBorders/>
            <w:vAlign w:val="center"/>
          </w:tcPr>
          <w:p>
            <w:pPr>
              <w:pStyle w:val="TableContents"/>
              <w:rPr/>
            </w:pPr>
            <w:r>
              <w:rPr/>
              <w:t>Local, but dangerous</w:t>
            </w:r>
          </w:p>
        </w:tc>
        <w:tc>
          <w:tcPr>
            <w:tcW w:w="3031" w:type="dxa"/>
            <w:tcBorders/>
            <w:vAlign w:val="center"/>
          </w:tcPr>
          <w:p>
            <w:pPr>
              <w:pStyle w:val="TableContents"/>
              <w:rPr/>
            </w:pPr>
            <w:r>
              <w:rPr/>
              <w:t>Capture of apex predator</w:t>
            </w:r>
          </w:p>
        </w:tc>
        <w:tc>
          <w:tcPr>
            <w:tcW w:w="2862" w:type="dxa"/>
            <w:tcBorders/>
            <w:vAlign w:val="center"/>
          </w:tcPr>
          <w:p>
            <w:pPr>
              <w:pStyle w:val="TableContents"/>
              <w:rPr/>
            </w:pPr>
            <w:r>
              <w:rPr/>
              <w:t>Sobek (kingship, Nile power)</w:t>
            </w:r>
          </w:p>
        </w:tc>
      </w:tr>
      <w:tr>
        <w:trPr/>
        <w:tc>
          <w:tcPr>
            <w:tcW w:w="1067" w:type="dxa"/>
            <w:tcBorders/>
            <w:vAlign w:val="center"/>
          </w:tcPr>
          <w:p>
            <w:pPr>
              <w:pStyle w:val="TableContents"/>
              <w:rPr/>
            </w:pPr>
            <w:r>
              <w:rPr/>
              <w:t>Leopard</w:t>
            </w:r>
          </w:p>
        </w:tc>
        <w:tc>
          <w:tcPr>
            <w:tcW w:w="3012" w:type="dxa"/>
            <w:tcBorders/>
            <w:vAlign w:val="center"/>
          </w:tcPr>
          <w:p>
            <w:pPr>
              <w:pStyle w:val="TableContents"/>
              <w:rPr/>
            </w:pPr>
            <w:r>
              <w:rPr/>
              <w:t>Local, but dangerous</w:t>
            </w:r>
          </w:p>
        </w:tc>
        <w:tc>
          <w:tcPr>
            <w:tcW w:w="3031" w:type="dxa"/>
            <w:tcBorders/>
            <w:vAlign w:val="center"/>
          </w:tcPr>
          <w:p>
            <w:pPr>
              <w:pStyle w:val="TableContents"/>
              <w:rPr/>
            </w:pPr>
            <w:r>
              <w:rPr/>
              <w:t>Capture of predator</w:t>
            </w:r>
          </w:p>
        </w:tc>
        <w:tc>
          <w:tcPr>
            <w:tcW w:w="2862" w:type="dxa"/>
            <w:tcBorders/>
            <w:vAlign w:val="center"/>
          </w:tcPr>
          <w:p>
            <w:pPr>
              <w:pStyle w:val="TableContents"/>
              <w:rPr/>
            </w:pPr>
            <w:r>
              <w:rPr/>
              <w:t>Elite ritual, leopard skins</w:t>
            </w:r>
          </w:p>
        </w:tc>
      </w:tr>
      <w:tr>
        <w:trPr/>
        <w:tc>
          <w:tcPr>
            <w:tcW w:w="1067" w:type="dxa"/>
            <w:tcBorders/>
            <w:vAlign w:val="center"/>
          </w:tcPr>
          <w:p>
            <w:pPr>
              <w:pStyle w:val="TableContents"/>
              <w:rPr/>
            </w:pPr>
            <w:r>
              <w:rPr/>
              <w:t>Cat</w:t>
            </w:r>
          </w:p>
        </w:tc>
        <w:tc>
          <w:tcPr>
            <w:tcW w:w="3012" w:type="dxa"/>
            <w:tcBorders/>
            <w:vAlign w:val="center"/>
          </w:tcPr>
          <w:p>
            <w:pPr>
              <w:pStyle w:val="TableContents"/>
              <w:rPr/>
            </w:pPr>
            <w:r>
              <w:rPr/>
              <w:t>Local, but requires year-round care</w:t>
            </w:r>
          </w:p>
        </w:tc>
        <w:tc>
          <w:tcPr>
            <w:tcW w:w="3031" w:type="dxa"/>
            <w:tcBorders/>
            <w:vAlign w:val="center"/>
          </w:tcPr>
          <w:p>
            <w:pPr>
              <w:pStyle w:val="TableContents"/>
              <w:rPr/>
            </w:pPr>
            <w:r>
              <w:rPr/>
              <w:t>Captive breeding, sustained feeding</w:t>
            </w:r>
          </w:p>
        </w:tc>
        <w:tc>
          <w:tcPr>
            <w:tcW w:w="2862" w:type="dxa"/>
            <w:tcBorders/>
            <w:vAlign w:val="center"/>
          </w:tcPr>
          <w:p>
            <w:pPr>
              <w:pStyle w:val="TableContents"/>
              <w:rPr/>
            </w:pPr>
            <w:r>
              <w:rPr/>
              <w:t>Mafdet, Bastet (protection, kingship)</w:t>
            </w:r>
          </w:p>
        </w:tc>
      </w:tr>
    </w:tbl>
    <w:p>
      <w:pPr>
        <w:pStyle w:val="BodyText"/>
        <w:spacing w:before="0" w:after="283"/>
        <w:rPr/>
      </w:pPr>
      <w:r>
        <w:rPr/>
        <w:t>The pattern is not a random sample of the local ecosystem (Van Neer et al. 2004, 2014; Van Neer, De Cupere, and Friedman 2026). As ecological ranges contracted during the aridification of the late Predynastic, access to such animals required increasing effort, transforming formerly widespread fauna into socially valuable and logistically demanding acquisitions. The HK6 elite cemetery provides archaeological evidence for the process by which control over exotic and dangerous animals became a marker of elite status—a process that scholars have long argued was central to Predynastic state formation (Wengrow 2006; Köhler 2010; O'Connor 2002). Wengrow's indigenous state-formation model does not address the genetic or astronomical evidence presented in this paper.</w:t>
      </w:r>
    </w:p>
    <w:p>
      <w:pPr>
        <w:pStyle w:val="Heading3"/>
        <w:spacing w:lineRule="auto" w:line="276" w:before="0" w:after="283"/>
        <w:rPr>
          <w:sz w:val="24"/>
          <w:szCs w:val="24"/>
        </w:rPr>
      </w:pPr>
      <w:r>
        <w:rPr>
          <w:sz w:val="24"/>
          <w:szCs w:val="24"/>
        </w:rPr>
        <w:t>5.6 Human Funerary Intervention in the Fezzan Corridor</w:t>
      </w:r>
    </w:p>
    <w:p>
      <w:pPr>
        <w:pStyle w:val="BodyText"/>
        <w:spacing w:before="0" w:after="283"/>
        <w:rPr/>
      </w:pPr>
      <w:r>
        <w:rPr/>
        <w:t>Funerary treatment provides an archaeological indicator of symbolic and ritual behavior in prehistoric societies. The Fezzan corridor preserves evidence of intentional post-mortem body treatment during the Shemsu Hor window.</w:t>
      </w:r>
    </w:p>
    <w:p>
      <w:pPr>
        <w:pStyle w:val="Heading4"/>
        <w:spacing w:lineRule="auto" w:line="276" w:before="0" w:after="283"/>
        <w:rPr/>
      </w:pPr>
      <w:r>
        <w:rPr/>
        <w:t>5.6.1 Uan Muhuggiag: Intentional Body Treatment</w:t>
      </w:r>
    </w:p>
    <w:p>
      <w:pPr>
        <w:pStyle w:val="BodyText"/>
        <w:spacing w:before="0" w:after="283"/>
        <w:rPr/>
      </w:pPr>
      <w:r>
        <w:rPr/>
        <w:t>The Uan Muhuggiag rock shelter in the Tadrart Acacus Mountains (Fezzan corridor) yielded the mummified body of a child approximately 2.5–3 years old, radiocarbon dated to c. 5400 BP (c. 3400–3600 BCE) (Mori and Ascenzi 1959; Ascenzi 1980). The body shows clear evidence of intentional post-mortem intervention:</w:t>
      </w:r>
    </w:p>
    <w:p>
      <w:pPr>
        <w:pStyle w:val="BodyText"/>
        <w:numPr>
          <w:ilvl w:val="0"/>
          <w:numId w:val="6"/>
        </w:numPr>
        <w:tabs>
          <w:tab w:val="clear" w:pos="709"/>
          <w:tab w:val="left" w:pos="0" w:leader="none"/>
        </w:tabs>
        <w:spacing w:before="0" w:after="283"/>
        <w:ind w:hanging="283" w:start="709"/>
        <w:rPr/>
      </w:pPr>
      <w:r>
        <w:rPr/>
        <w:t>A long abdominal incision indicates evisceration</w:t>
      </w:r>
    </w:p>
    <w:p>
      <w:pPr>
        <w:pStyle w:val="BodyText"/>
        <w:numPr>
          <w:ilvl w:val="0"/>
          <w:numId w:val="6"/>
        </w:numPr>
        <w:tabs>
          <w:tab w:val="clear" w:pos="709"/>
          <w:tab w:val="left" w:pos="0" w:leader="none"/>
        </w:tabs>
        <w:spacing w:before="0" w:after="283"/>
        <w:ind w:hanging="283" w:start="709"/>
        <w:rPr/>
      </w:pPr>
      <w:r>
        <w:rPr/>
        <w:t>The body cavity was filled with an organic preservative</w:t>
      </w:r>
    </w:p>
    <w:p>
      <w:pPr>
        <w:pStyle w:val="BodyText"/>
        <w:numPr>
          <w:ilvl w:val="0"/>
          <w:numId w:val="6"/>
        </w:numPr>
        <w:tabs>
          <w:tab w:val="clear" w:pos="709"/>
          <w:tab w:val="left" w:pos="0" w:leader="none"/>
        </w:tabs>
        <w:spacing w:before="0" w:after="283"/>
        <w:ind w:hanging="283" w:start="709"/>
        <w:rPr/>
      </w:pPr>
      <w:r>
        <w:rPr/>
        <w:t>The remains were wrapped in antelope skin and leaves</w:t>
      </w:r>
    </w:p>
    <w:p>
      <w:pPr>
        <w:pStyle w:val="BodyText"/>
        <w:numPr>
          <w:ilvl w:val="0"/>
          <w:numId w:val="6"/>
        </w:numPr>
        <w:tabs>
          <w:tab w:val="clear" w:pos="709"/>
          <w:tab w:val="left" w:pos="0" w:leader="none"/>
        </w:tabs>
        <w:spacing w:before="0" w:after="283"/>
        <w:ind w:hanging="283" w:start="709"/>
        <w:rPr/>
      </w:pPr>
      <w:r>
        <w:rPr/>
        <w:t>An ostrich eggshell necklace was placed around the neck</w:t>
      </w:r>
    </w:p>
    <w:p>
      <w:pPr>
        <w:pStyle w:val="BodyText"/>
        <w:numPr>
          <w:ilvl w:val="0"/>
          <w:numId w:val="6"/>
        </w:numPr>
        <w:tabs>
          <w:tab w:val="clear" w:pos="709"/>
          <w:tab w:val="left" w:pos="0" w:leader="none"/>
        </w:tabs>
        <w:spacing w:before="0" w:after="283"/>
        <w:ind w:hanging="283" w:start="709"/>
        <w:rPr/>
      </w:pPr>
      <w:r>
        <w:rPr/>
        <w:t>The body was arranged in a fetal position</w:t>
      </w:r>
    </w:p>
    <w:p>
      <w:pPr>
        <w:pStyle w:val="BodyText"/>
        <w:spacing w:before="0" w:after="283"/>
        <w:rPr/>
      </w:pPr>
      <w:r>
        <w:rPr/>
        <w:t>Radiological, histological, and chemical analyses support the anthropogenic nature of these treatments (Mori and Ascenzi 1959). This represents one of the earliest securely documented cases of intentional post-mortem body treatment in Africa. The Uan Muhuggiag child is not an isolated case; natural mummification is also attested in the Wadi Tanezzuft region during the Pastoral period (c. 5000–3000 BCE), indicating a broader context of preserved human remains in the Fezzan corridor (di Lernia, Cremaschi and Manzi 2008).</w:t>
      </w:r>
    </w:p>
    <w:p>
      <w:pPr>
        <w:pStyle w:val="Heading4"/>
        <w:spacing w:lineRule="auto" w:line="276" w:before="0" w:after="283"/>
        <w:rPr/>
      </w:pPr>
      <w:r>
        <w:rPr/>
        <w:t>5.6.2 Contemporary Egyptian Evidence: A Debate</w:t>
      </w:r>
    </w:p>
    <w:p>
      <w:pPr>
        <w:pStyle w:val="BodyText"/>
        <w:spacing w:before="0" w:after="283"/>
        <w:rPr/>
      </w:pPr>
      <w:r>
        <w:rPr/>
        <w:t>During the same chronological window (c. 3400–3600 BCE), Egyptian evidence for intentional mummification is debated:</w:t>
      </w:r>
    </w:p>
    <w:p>
      <w:pPr>
        <w:pStyle w:val="BodyText"/>
        <w:numPr>
          <w:ilvl w:val="0"/>
          <w:numId w:val="7"/>
        </w:numPr>
        <w:tabs>
          <w:tab w:val="clear" w:pos="709"/>
          <w:tab w:val="left" w:pos="0" w:leader="none"/>
        </w:tabs>
        <w:spacing w:before="0" w:after="283"/>
        <w:ind w:hanging="283" w:start="709"/>
        <w:rPr/>
      </w:pPr>
      <w:r>
        <w:rPr>
          <w:rStyle w:val="Strong"/>
        </w:rPr>
        <w:t>Jones et al. (2018)</w:t>
      </w:r>
      <w:r>
        <w:rPr/>
        <w:t xml:space="preserve"> analyzed the female mummy EA 32752 (the same individual tattooed with Barbary sheep and wild cattle motifs; Friedman et al. 2018) and identified embalming treatment: a plant oil/animal fat mixture, conifer resin, and a plant gum/sugar were applied to the body, and the linen wrapping was impregnated with resin. The authors interpret this as evidence of intentional embalming predating previously recognized Egyptian examples by approximately 1,500 years.</w:t>
      </w:r>
    </w:p>
    <w:p>
      <w:pPr>
        <w:pStyle w:val="BodyText"/>
        <w:numPr>
          <w:ilvl w:val="0"/>
          <w:numId w:val="7"/>
        </w:numPr>
        <w:tabs>
          <w:tab w:val="clear" w:pos="709"/>
          <w:tab w:val="left" w:pos="0" w:leader="none"/>
        </w:tabs>
        <w:spacing w:before="0" w:after="283"/>
        <w:ind w:hanging="283" w:start="709"/>
        <w:rPr/>
      </w:pPr>
      <w:r>
        <w:rPr>
          <w:rStyle w:val="Strong"/>
        </w:rPr>
        <w:t>The University of Manchester (2014)</w:t>
      </w:r>
      <w:r>
        <w:rPr/>
        <w:t xml:space="preserve"> conducted CT scans on Gebelein Man B (Manchester 1770) and found no evidence of evisceration or resin treatment, concluding the body was naturally desiccated by the desert sand and that preservation was accidental.</w:t>
      </w:r>
    </w:p>
    <w:p>
      <w:pPr>
        <w:pStyle w:val="BodyText"/>
        <w:spacing w:before="0" w:after="283"/>
        <w:rPr/>
      </w:pPr>
      <w:r>
        <w:rPr/>
        <w:t>The debate remains unresolved. Egyptian Predynastic evidence is contested, whereas the Uan Muhuggiag child shows clear and widely accepted intentional intervention.</w:t>
      </w:r>
    </w:p>
    <w:p>
      <w:pPr>
        <w:pStyle w:val="Heading4"/>
        <w:spacing w:lineRule="auto" w:line="276" w:before="0" w:after="283"/>
        <w:rPr/>
      </w:pPr>
      <w:r>
        <w:rPr/>
        <w:t>5.6.3 A Broader North African Behavioral Horizon</w:t>
      </w:r>
    </w:p>
    <w:p>
      <w:pPr>
        <w:pStyle w:val="BodyText"/>
        <w:spacing w:before="0" w:after="283"/>
        <w:rPr/>
      </w:pPr>
      <w:r>
        <w:rPr/>
        <w:t>The Uan Muhuggiag child demonstrates that complex funerary intervention was practiced in the Fezzan corridor during the mid–late 4th millennium BCE—the same window in which the corridor hypothesis places pastoralist populations moving toward the Nile Valley. The current evidence does not resolve whether these practices developed independently or through interregional interaction, but it establishes their contemporaneity across North Africa. Intentional body treatment was not unique to the Nile Valley but formed part of a broader North African behavioral horizon during this period, for which the Fezzan corridor provides some of the earliest secure evidence.</w:t>
      </w:r>
    </w:p>
    <w:p>
      <w:pPr>
        <w:pStyle w:val="Heading3"/>
        <w:spacing w:lineRule="auto" w:line="276" w:before="0" w:after="283"/>
        <w:rPr>
          <w:sz w:val="24"/>
          <w:szCs w:val="24"/>
        </w:rPr>
      </w:pPr>
      <w:r>
        <w:rPr>
          <w:sz w:val="24"/>
          <w:szCs w:val="24"/>
        </w:rPr>
        <w:t>5.7 The Mechanism: From Corridor Arrival to Dynastic State</w:t>
      </w:r>
    </w:p>
    <w:p>
      <w:pPr>
        <w:pStyle w:val="BodyText"/>
        <w:spacing w:before="0" w:after="283"/>
        <w:rPr/>
      </w:pPr>
      <w:r>
        <w:rPr/>
        <w:t>The internal competition and aggregation model of Upper Egyptian state formation—Hierakonpolis, Naqada, and Thinis as rival polities, with the Thinite lineage ultimately dominant—is the established framework for how unification occurred (Köhler 2010; Wengrow 2006). The corridor migration hypothesis does not replace this model. It offers an explanation for why Hierakonpolis entered that competition with a specific and durable cultural advantage.</w:t>
      </w:r>
    </w:p>
    <w:p>
      <w:pPr>
        <w:pStyle w:val="BodyText"/>
        <w:spacing w:before="0" w:after="283"/>
        <w:rPr/>
      </w:pPr>
      <w:r>
        <w:rPr>
          <w:rStyle w:val="Strong"/>
        </w:rPr>
        <w:t>Chronological priority of HK6.</w:t>
      </w:r>
      <w:r>
        <w:rPr/>
        <w:t xml:space="preserve"> The HK6 elite cemetery is consistently the earliest and most elaborate of the three competing centers. Its radiocarbon dates place peak activity generations before comparable elite contexts appear at Naqada or Abydos.</w:t>
      </w:r>
    </w:p>
    <w:p>
      <w:pPr>
        <w:pStyle w:val="BodyText"/>
        <w:spacing w:before="0" w:after="283"/>
        <w:rPr/>
      </w:pPr>
      <w:r>
        <w:rPr>
          <w:rStyle w:val="Strong"/>
        </w:rPr>
        <w:t>Cultic priority of Hierakonpolis.</w:t>
      </w:r>
      <w:r>
        <w:rPr/>
        <w:t xml:space="preserve"> The Horus falcon cult is established at Hierakonpolis before it becomes the royal cult of unified Egypt. The first identified named rulers—Scorpion I, Iry-Hor, Ka—are associated with the Upper Egyptian Horus-king tradition with its deepest roots at Nekhen. Dynasty 0 does not emerge from Naqada or Thinis. It emerges from the cultural tradition already most fully developed at the site where the hypothesis places the primary integration of Saharan pastoral populations with Nilotic communities.</w:t>
      </w:r>
    </w:p>
    <w:p>
      <w:pPr>
        <w:pStyle w:val="BodyText"/>
        <w:spacing w:before="0" w:after="283"/>
        <w:rPr/>
      </w:pPr>
      <w:r>
        <w:rPr>
          <w:rStyle w:val="Strong"/>
        </w:rPr>
        <w:t>Integration, not conquest.</w:t>
      </w:r>
      <w:r>
        <w:rPr/>
        <w:t xml:space="preserve"> A population arriving from the western Saharan corridor with a coherent cultural package—cattle cosmology, Osirian astronomical tradition, specific symbolic vocabulary, institutional memory of a destroyed homeland—would have found at Hierakonpolis an established Nilotic community and an existing tradition of elite formation. The synthesis of these populations produced the earliest and most elaborate elite center in Upper Egypt.</w:t>
      </w:r>
    </w:p>
    <w:p>
      <w:pPr>
        <w:pStyle w:val="BodyText"/>
        <w:spacing w:before="0" w:after="283"/>
        <w:rPr/>
      </w:pPr>
      <w:r>
        <w:rPr/>
        <w:t>The cultural advantage was not military but symbolic: the Horus falcon cult, the Osirian astronomical tradition, the cattle cosmograms, the architectural knowledge attributed to the Shemsu Hor. When the three-polity competition resolved in favor of the Thinite lineage, the Thinite rulers adopted this symbolic system rather than displacing it. This pattern is documented in comparative cases: the Roman absorption of Greek religion, the Akkadian adoption of Sumerian scribal tradition, and the Zhou appropriation of Shang ritual forms.</w:t>
      </w:r>
    </w:p>
    <w:p>
      <w:pPr>
        <w:pStyle w:val="BodyText"/>
        <w:spacing w:before="0" w:after="283"/>
        <w:rPr/>
      </w:pPr>
      <w:r>
        <w:rPr/>
        <w:t>The Horus cult at Hierakonpolis had achieved cultural dominance and institutional embedding before Thinite political victory. The Horus falcon became the royal symbol of the unified state. The Osirian funerary religion became the state mortuary theology. The traditions consolidated at Hierakonpolis became the institutional vocabulary of dynastic Egypt.</w:t>
      </w:r>
    </w:p>
    <w:p>
      <w:pPr>
        <w:pStyle w:val="BodyText"/>
        <w:spacing w:before="0" w:after="283"/>
        <w:rPr/>
      </w:pPr>
      <w:r>
        <w:rPr>
          <w:rStyle w:val="Strong"/>
        </w:rPr>
        <w:t>Explaining a persistent puzzle.</w:t>
      </w:r>
      <w:r>
        <w:rPr/>
        <w:t xml:space="preserve"> This explains why the symbolic and religious system of the unified state is so thoroughly associated with Hierakonpolis and the Horus cult, even though the First Dynasty rulers were Thinite. The Horus cult at Hierakonpolis had already achieved cultural dominance before political unification—because it was the synthesis point of the longest-established elite tradition in Upper Egypt, itself the product of integration building since approximately 3800 BCE.</w:t>
      </w:r>
    </w:p>
    <w:p>
      <w:pPr>
        <w:pStyle w:val="HorizontalLine"/>
        <w:spacing w:before="0" w:after="0"/>
        <w:rPr>
          <w:sz w:val="24"/>
          <w:szCs w:val="24"/>
        </w:rPr>
      </w:pPr>
      <w:r>
        <w:rPr>
          <w:sz w:val="24"/>
          <w:szCs w:val="24"/>
        </w:rPr>
      </w:r>
    </w:p>
    <w:p>
      <w:pPr>
        <w:pStyle w:val="Heading3"/>
        <w:spacing w:before="0" w:after="283"/>
        <w:rPr>
          <w:sz w:val="24"/>
          <w:szCs w:val="24"/>
        </w:rPr>
      </w:pPr>
      <w:r>
        <w:rPr>
          <w:sz w:val="24"/>
          <w:szCs w:val="24"/>
        </w:rPr>
        <w:t>PART III: THE SHEMSU HOR FILL THE GAP</w:t>
      </w:r>
    </w:p>
    <w:p>
      <w:pPr>
        <w:pStyle w:val="BodyText"/>
        <w:rPr/>
      </w:pPr>
      <w:r>
        <w:rPr/>
        <w:t>We have followed the DNA. We have traced the symbols. We have watched the star set. We have read the king-lists, the Pyramid Texts, the inscriptions that name the Shemsu Hor as the generation before kings.</w:t>
      </w:r>
    </w:p>
    <w:p>
      <w:pPr>
        <w:pStyle w:val="BodyText"/>
        <w:rPr/>
      </w:pPr>
      <w:r>
        <w:rPr/>
        <w:t>Now we put it together.</w:t>
      </w:r>
    </w:p>
    <w:p>
      <w:pPr>
        <w:pStyle w:val="HorizontalLine"/>
        <w:spacing w:before="0" w:after="0"/>
        <w:rPr>
          <w:sz w:val="24"/>
          <w:szCs w:val="24"/>
        </w:rPr>
      </w:pPr>
      <w:r>
        <w:rPr>
          <w:sz w:val="24"/>
          <w:szCs w:val="24"/>
        </w:rPr>
      </w:r>
    </w:p>
    <w:p>
      <w:pPr>
        <w:pStyle w:val="Heading3"/>
        <w:spacing w:before="0" w:after="283"/>
        <w:rPr>
          <w:sz w:val="24"/>
          <w:szCs w:val="24"/>
        </w:rPr>
      </w:pPr>
      <w:r>
        <w:rPr>
          <w:sz w:val="24"/>
          <w:szCs w:val="24"/>
        </w:rPr>
        <w:t>6. The Three-Layer Alignment</w:t>
      </w:r>
    </w:p>
    <w:p>
      <w:pPr>
        <w:pStyle w:val="BodyText"/>
        <w:rPr/>
      </w:pPr>
      <w:r>
        <w:rPr/>
        <w:t xml:space="preserve">The following table synthesises three lines of evidence: </w:t>
      </w:r>
      <w:r>
        <w:rPr>
          <w:b/>
          <w:bCs/>
        </w:rPr>
        <w:t>textual</w:t>
      </w:r>
      <w:r>
        <w:rPr/>
        <w:t xml:space="preserve">, </w:t>
      </w:r>
      <w:r>
        <w:rPr>
          <w:b/>
          <w:bCs/>
        </w:rPr>
        <w:t>environmental</w:t>
      </w:r>
      <w:r>
        <w:rPr/>
        <w:t xml:space="preserve">, and </w:t>
      </w:r>
      <w:r>
        <w:rPr>
          <w:b/>
          <w:bCs/>
        </w:rPr>
        <w:t>archaeological</w:t>
      </w:r>
      <w:r>
        <w:rPr/>
        <w:t>—into a single chronological framework. Each layer was derived from its own primary sources. Their alignment is the core argument of this paper. Note on independence: the textual boundary and the archaeological boundary in this table both describe the same event—the opening of legible Egyptian history at 3100 BCE. They are not two independent chronologies converging on that date; they are two descriptions of the same threshold. The genuinely independent convergence is the climate chronology—derived from 150 radiocarbon-dated Saharan excavations with no internal connection to Egyptian textual categories—meeting that single defined historical boundary.</w:t>
      </w:r>
    </w:p>
    <w:tbl>
      <w:tblPr>
        <w:tblW w:w="9972" w:type="dxa"/>
        <w:jc w:val="start"/>
        <w:tblInd w:w="0" w:type="dxa"/>
        <w:tblLayout w:type="fixed"/>
        <w:tblCellMar>
          <w:top w:w="28" w:type="dxa"/>
          <w:start w:w="28" w:type="dxa"/>
          <w:bottom w:w="28" w:type="dxa"/>
          <w:end w:w="28" w:type="dxa"/>
        </w:tblCellMar>
      </w:tblPr>
      <w:tblGrid>
        <w:gridCol w:w="919"/>
        <w:gridCol w:w="3224"/>
        <w:gridCol w:w="2630"/>
        <w:gridCol w:w="3199"/>
      </w:tblGrid>
      <w:tr>
        <w:trPr>
          <w:tblHeader w:val="true"/>
        </w:trPr>
        <w:tc>
          <w:tcPr>
            <w:tcW w:w="919" w:type="dxa"/>
            <w:tcBorders>
              <w:top w:val="single" w:sz="4" w:space="0" w:color="BBBBBB"/>
              <w:start w:val="single" w:sz="4" w:space="0" w:color="BBBBBB"/>
              <w:bottom w:val="single" w:sz="4" w:space="0" w:color="BBBBBB"/>
              <w:end w:val="single" w:sz="4" w:space="0" w:color="BBBBBB"/>
            </w:tcBorders>
            <w:vAlign w:val="center"/>
          </w:tcPr>
          <w:p>
            <w:pPr>
              <w:pStyle w:val="TableHeading"/>
              <w:rPr/>
            </w:pPr>
            <w:r>
              <w:rPr/>
              <w:t>Period (BCE)</w:t>
            </w:r>
          </w:p>
        </w:tc>
        <w:tc>
          <w:tcPr>
            <w:tcW w:w="3224" w:type="dxa"/>
            <w:tcBorders>
              <w:top w:val="single" w:sz="4" w:space="0" w:color="BBBBBB"/>
              <w:start w:val="single" w:sz="4" w:space="0" w:color="BBBBBB"/>
              <w:bottom w:val="single" w:sz="4" w:space="0" w:color="BBBBBB"/>
              <w:end w:val="single" w:sz="4" w:space="0" w:color="BBBBBB"/>
            </w:tcBorders>
            <w:vAlign w:val="center"/>
          </w:tcPr>
          <w:p>
            <w:pPr>
              <w:pStyle w:val="TableHeading"/>
              <w:rPr/>
            </w:pPr>
            <w:r>
              <w:rPr/>
              <w:t>Environmental / Migration Context</w:t>
            </w:r>
          </w:p>
        </w:tc>
        <w:tc>
          <w:tcPr>
            <w:tcW w:w="2630" w:type="dxa"/>
            <w:tcBorders>
              <w:top w:val="single" w:sz="4" w:space="0" w:color="BBBBBB"/>
              <w:start w:val="single" w:sz="4" w:space="0" w:color="BBBBBB"/>
              <w:bottom w:val="single" w:sz="4" w:space="0" w:color="BBBBBB"/>
              <w:end w:val="single" w:sz="4" w:space="0" w:color="BBBBBB"/>
            </w:tcBorders>
            <w:vAlign w:val="center"/>
          </w:tcPr>
          <w:p>
            <w:pPr>
              <w:pStyle w:val="TableHeading"/>
              <w:rPr/>
            </w:pPr>
            <w:r>
              <w:rPr/>
              <w:t>Textual Memory (Egyptian)</w:t>
            </w:r>
          </w:p>
        </w:tc>
        <w:tc>
          <w:tcPr>
            <w:tcW w:w="3199" w:type="dxa"/>
            <w:tcBorders>
              <w:top w:val="single" w:sz="4" w:space="0" w:color="BBBBBB"/>
              <w:start w:val="single" w:sz="4" w:space="0" w:color="BBBBBB"/>
              <w:bottom w:val="single" w:sz="4" w:space="0" w:color="BBBBBB"/>
              <w:end w:val="single" w:sz="4" w:space="0" w:color="BBBBBB"/>
            </w:tcBorders>
            <w:vAlign w:val="center"/>
          </w:tcPr>
          <w:p>
            <w:pPr>
              <w:pStyle w:val="TableHeading"/>
              <w:rPr/>
            </w:pPr>
            <w:r>
              <w:rPr/>
              <w:t>Archaeological Evidence</w:t>
            </w:r>
          </w:p>
        </w:tc>
      </w:tr>
      <w:tr>
        <w:trPr/>
        <w:tc>
          <w:tcPr>
            <w:tcW w:w="919"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9700–4800</w:t>
            </w:r>
          </w:p>
        </w:tc>
        <w:tc>
          <w:tcPr>
            <w:tcW w:w="3224"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Green Sahara in full operation; stable climate; populations settled across Saharan basin</w:t>
            </w:r>
          </w:p>
        </w:tc>
        <w:tc>
          <w:tcPr>
            <w:tcW w:w="2630"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Gods (Turin Canon, Col. 1); Zep Tepi—the First Time of cosmic order</w:t>
            </w:r>
          </w:p>
        </w:tc>
        <w:tc>
          <w:tcPr>
            <w:tcW w:w="3199"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Nabta Playa megaliths; cattle burials; rock art; astronomical alignments</w:t>
            </w:r>
          </w:p>
        </w:tc>
      </w:tr>
      <w:tr>
        <w:trPr/>
        <w:tc>
          <w:tcPr>
            <w:tcW w:w="919"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4800–3800</w:t>
            </w:r>
          </w:p>
        </w:tc>
        <w:tc>
          <w:tcPr>
            <w:tcW w:w="3224"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African Humid Period collapses; Sahara aridifies; populations begin sustained movement toward permanent water</w:t>
            </w:r>
          </w:p>
        </w:tc>
        <w:tc>
          <w:tcPr>
            <w:tcW w:w="2630"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Heroes / Demigods (Manetho structural echo); transitional beings between divine and ancestral</w:t>
            </w:r>
          </w:p>
        </w:tc>
        <w:tc>
          <w:tcPr>
            <w:tcW w:w="3199"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Western Desert oases occupied; Wadi Howar pastoral communities; Badarian culture emergence</w:t>
            </w:r>
          </w:p>
        </w:tc>
      </w:tr>
      <w:tr>
        <w:trPr/>
        <w:tc>
          <w:tcPr>
            <w:tcW w:w="919"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3800–3100</w:t>
            </w:r>
          </w:p>
        </w:tc>
        <w:tc>
          <w:tcPr>
            <w:tcW w:w="3224"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Maximum migration pressure; Saharan sites abandoned; populations concentrate in Nile corridor</w:t>
            </w:r>
          </w:p>
        </w:tc>
        <w:tc>
          <w:tcPr>
            <w:tcW w:w="2630"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Shemsu Hor—pre-dynastic ancestors with records, annals, and building plans</w:t>
            </w:r>
          </w:p>
        </w:tc>
        <w:tc>
          <w:tcPr>
            <w:tcW w:w="3199"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HK6 elite cemetery; five material markers; Naqada II–III florescence; Qustul iconography; Dynasty 0 serekhs</w:t>
            </w:r>
          </w:p>
        </w:tc>
      </w:tr>
      <w:tr>
        <w:trPr/>
        <w:tc>
          <w:tcPr>
            <w:tcW w:w="919"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3100 BCE</w:t>
            </w:r>
          </w:p>
        </w:tc>
        <w:tc>
          <w:tcPr>
            <w:tcW w:w="3224"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Sahara essentially uninhabitable; migration complete; Nile Valley consolidated</w:t>
            </w:r>
          </w:p>
        </w:tc>
        <w:tc>
          <w:tcPr>
            <w:tcW w:w="2630"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Human kings begin—Menes opens Dynasty I (Turin Canon)</w:t>
            </w:r>
          </w:p>
        </w:tc>
        <w:tc>
          <w:tcPr>
            <w:tcW w:w="3199"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Narmer Palette; First Dynasty tombs at Abydos; hieroglyphic writing established</w:t>
            </w:r>
          </w:p>
        </w:tc>
      </w:tr>
    </w:tbl>
    <w:p>
      <w:pPr>
        <w:pStyle w:val="BodyText"/>
        <w:rPr/>
      </w:pPr>
      <w:r>
        <w:rPr/>
        <w:t>Three chronologies—derived from climate science, Egyptological textual analysis, and Predynastic archaeology—converge on a terminal boundary. A note on precision is appropriate: the climate signal documents Saharan abandonment across a range—systematic site desertion beginning ~5,300 BCE, concentrated eastward movement after ~4,000 BCE, near-total abandonment by approximately 3,500 BCE. The convergence is not on a single date but on a window whose terminal boundary coincides with political unification at 3100 BCE. This remains consistent, not sharp. What carries independent evidential weight in the textual tradition is not its terminal date but its geographic and narrative content: the consistent western directionality, the cataclysm, the transmitted sacred knowledge, the falcon-ancestor builders. This content is not derived from the archaeological record of state formation. It is what requires explanation regardless of when the historical record opens. Alternative explanations are evaluated in Part V.</w:t>
      </w:r>
    </w:p>
    <w:p>
      <w:pPr>
        <w:pStyle w:val="HorizontalLine"/>
        <w:spacing w:before="0" w:after="0"/>
        <w:rPr>
          <w:sz w:val="24"/>
          <w:szCs w:val="24"/>
        </w:rPr>
      </w:pPr>
      <w:r>
        <w:rPr>
          <w:sz w:val="24"/>
          <w:szCs w:val="24"/>
        </w:rPr>
      </w:r>
    </w:p>
    <w:p>
      <w:pPr>
        <w:pStyle w:val="Heading3"/>
        <w:spacing w:before="0" w:after="283"/>
        <w:rPr>
          <w:sz w:val="24"/>
          <w:szCs w:val="24"/>
        </w:rPr>
      </w:pPr>
      <w:r>
        <w:rPr>
          <w:sz w:val="24"/>
          <w:szCs w:val="24"/>
        </w:rPr>
        <w:t>7. What This Framework Achieves</w:t>
      </w:r>
    </w:p>
    <w:tbl>
      <w:tblPr>
        <w:tblW w:w="9972" w:type="dxa"/>
        <w:jc w:val="start"/>
        <w:tblInd w:w="0" w:type="dxa"/>
        <w:tblLayout w:type="fixed"/>
        <w:tblCellMar>
          <w:top w:w="28" w:type="dxa"/>
          <w:start w:w="28" w:type="dxa"/>
          <w:bottom w:w="28" w:type="dxa"/>
          <w:end w:w="28" w:type="dxa"/>
        </w:tblCellMar>
      </w:tblPr>
      <w:tblGrid>
        <w:gridCol w:w="2083"/>
        <w:gridCol w:w="7889"/>
      </w:tblGrid>
      <w:tr>
        <w:trPr>
          <w:tblHeader w:val="true"/>
        </w:trPr>
        <w:tc>
          <w:tcPr>
            <w:tcW w:w="2083" w:type="dxa"/>
            <w:tcBorders>
              <w:top w:val="single" w:sz="4" w:space="0" w:color="BBBBBB"/>
              <w:start w:val="single" w:sz="4" w:space="0" w:color="BBBBBB"/>
              <w:bottom w:val="single" w:sz="4" w:space="0" w:color="BBBBBB"/>
              <w:end w:val="single" w:sz="4" w:space="0" w:color="BBBBBB"/>
            </w:tcBorders>
            <w:vAlign w:val="center"/>
          </w:tcPr>
          <w:p>
            <w:pPr>
              <w:pStyle w:val="TableHeading"/>
              <w:rPr/>
            </w:pPr>
            <w:r>
              <w:rPr/>
              <w:t>Achievement</w:t>
            </w:r>
          </w:p>
        </w:tc>
        <w:tc>
          <w:tcPr>
            <w:tcW w:w="7889" w:type="dxa"/>
            <w:tcBorders>
              <w:top w:val="single" w:sz="4" w:space="0" w:color="BBBBBB"/>
              <w:start w:val="single" w:sz="4" w:space="0" w:color="BBBBBB"/>
              <w:bottom w:val="single" w:sz="4" w:space="0" w:color="BBBBBB"/>
              <w:end w:val="single" w:sz="4" w:space="0" w:color="BBBBBB"/>
            </w:tcBorders>
            <w:vAlign w:val="center"/>
          </w:tcPr>
          <w:p>
            <w:pPr>
              <w:pStyle w:val="TableHeading"/>
              <w:rPr/>
            </w:pPr>
            <w:r>
              <w:rPr/>
              <w:t>Explanation</w:t>
            </w:r>
          </w:p>
        </w:tc>
      </w:tr>
      <w:tr>
        <w:trPr/>
        <w:tc>
          <w:tcPr>
            <w:tcW w:w="2083"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Structural coherence</w:t>
            </w:r>
          </w:p>
        </w:tc>
        <w:tc>
          <w:tcPr>
            <w:tcW w:w="7889"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Transforms the non-optional king-list transitional slot into a historical framework without forcing numerical alignment or requiring textual literalism</w:t>
            </w:r>
          </w:p>
        </w:tc>
      </w:tr>
      <w:tr>
        <w:trPr/>
        <w:tc>
          <w:tcPr>
            <w:tcW w:w="2083"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Textual integrity</w:t>
            </w:r>
          </w:p>
        </w:tc>
        <w:tc>
          <w:tcPr>
            <w:tcW w:w="7889"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Uses primary Egyptian sources as primary evidence, treating them on their own terms; demotes Manetho's numbers to structural confirmation only</w:t>
            </w:r>
          </w:p>
        </w:tc>
      </w:tr>
      <w:tr>
        <w:trPr/>
        <w:tc>
          <w:tcPr>
            <w:tcW w:w="2083"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Archaeological alignment</w:t>
            </w:r>
          </w:p>
        </w:tc>
        <w:tc>
          <w:tcPr>
            <w:tcW w:w="7889"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Each proposed phase has independently datable physical evidence from multiple sites across multiple disciplines</w:t>
            </w:r>
          </w:p>
        </w:tc>
      </w:tr>
      <w:tr>
        <w:trPr/>
        <w:tc>
          <w:tcPr>
            <w:tcW w:w="2083"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Environmental grounding</w:t>
            </w:r>
          </w:p>
        </w:tc>
        <w:tc>
          <w:tcPr>
            <w:tcW w:w="7889"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The migration timeline matches the documented climate sequence: African Humid Period onset, peak, collapse, and Nile Valley consolidation</w:t>
            </w:r>
          </w:p>
        </w:tc>
      </w:tr>
      <w:tr>
        <w:trPr/>
        <w:tc>
          <w:tcPr>
            <w:tcW w:w="2083"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Avoids overreach</w:t>
            </w:r>
          </w:p>
        </w:tc>
        <w:tc>
          <w:tcPr>
            <w:tcW w:w="7889"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Claims structural correspondence and historical plausibility—not identity of specific individuals, not proof of direct causation</w:t>
            </w:r>
          </w:p>
        </w:tc>
      </w:tr>
      <w:tr>
        <w:trPr/>
        <w:tc>
          <w:tcPr>
            <w:tcW w:w="2083"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Falsifiable</w:t>
            </w:r>
          </w:p>
        </w:tc>
        <w:tc>
          <w:tcPr>
            <w:tcW w:w="7889"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Generates nine specific predictions testable against existing museum collections and established analytical methods</w:t>
            </w:r>
          </w:p>
        </w:tc>
      </w:tr>
    </w:tbl>
    <w:p>
      <w:pPr>
        <w:pStyle w:val="HorizontalLine"/>
        <w:spacing w:before="0" w:after="0"/>
        <w:rPr>
          <w:sz w:val="24"/>
          <w:szCs w:val="24"/>
        </w:rPr>
      </w:pPr>
      <w:r>
        <w:rPr>
          <w:sz w:val="24"/>
          <w:szCs w:val="24"/>
        </w:rPr>
      </w:r>
    </w:p>
    <w:p>
      <w:pPr>
        <w:pStyle w:val="Heading3"/>
        <w:spacing w:before="0" w:after="283"/>
        <w:rPr>
          <w:sz w:val="24"/>
          <w:szCs w:val="24"/>
        </w:rPr>
      </w:pPr>
      <w:r>
        <w:rPr>
          <w:sz w:val="24"/>
          <w:szCs w:val="24"/>
        </w:rPr>
        <w:t>PART IV: WHAT THEY BUILT</w:t>
      </w:r>
    </w:p>
    <w:p>
      <w:pPr>
        <w:pStyle w:val="BodyText"/>
        <w:rPr/>
      </w:pPr>
      <w:r>
        <w:rPr/>
        <w:t>The Shemsu Hor generation did not vanish. They built. What they built endured for three millennia. Part IV documents the institutional traces they left: the Edfu Building Texts preserving memory of the homeland and the migration, eight independent regional witnesses documenting the qualitative transformation at 3100 BCE, the corridor-complexity model for the emergence of writing, and the feline tradition—from the earliest controlled cats in Egypt at the Horus cult center to Mafdet protecting the first pharaoh to Bastet restoring the Wedjat Eye. Each line is documented. Each generates testable predictions.</w:t>
      </w:r>
    </w:p>
    <w:p>
      <w:pPr>
        <w:pStyle w:val="HorizontalLine"/>
        <w:spacing w:before="0" w:after="0"/>
        <w:rPr>
          <w:sz w:val="24"/>
          <w:szCs w:val="24"/>
        </w:rPr>
      </w:pPr>
      <w:r>
        <w:rPr>
          <w:sz w:val="24"/>
          <w:szCs w:val="24"/>
        </w:rPr>
      </w:r>
    </w:p>
    <w:p>
      <w:pPr>
        <w:pStyle w:val="Heading2"/>
        <w:spacing w:before="0" w:after="283"/>
        <w:rPr>
          <w:sz w:val="24"/>
          <w:szCs w:val="24"/>
        </w:rPr>
      </w:pPr>
      <w:r>
        <w:rPr>
          <w:sz w:val="24"/>
          <w:szCs w:val="24"/>
        </w:rPr>
        <w:t>8. The Edfu Building Texts</w:t>
      </w:r>
    </w:p>
    <w:p>
      <w:pPr>
        <w:pStyle w:val="BodyText"/>
        <w:spacing w:before="0" w:after="283"/>
        <w:rPr/>
      </w:pPr>
      <w:r>
        <w:rPr/>
        <w:t>Part I documented two independent bodies of evidence: the Belmonte surveys of temple orientations (Tier 1) and the Wedjat binary system (Tier 2). The Edfu Building Texts constitute a third, independent body of evidence. The surveys measure what Egyptian builders built. The texts record principles those builders claimed to follow. The two were produced separately, by different methods, more than two thousand years apart. Their convergence is the subject of this section.</w:t>
      </w:r>
    </w:p>
    <w:p>
      <w:pPr>
        <w:pStyle w:val="Heading3"/>
        <w:spacing w:lineRule="auto" w:line="276" w:before="0" w:after="283"/>
        <w:rPr>
          <w:sz w:val="24"/>
          <w:szCs w:val="24"/>
        </w:rPr>
      </w:pPr>
      <w:r>
        <w:rPr>
          <w:sz w:val="24"/>
          <w:szCs w:val="24"/>
        </w:rPr>
        <w:t>8.1 The Distinction Between Compilation Date and Source Date</w:t>
      </w:r>
    </w:p>
    <w:p>
      <w:pPr>
        <w:pStyle w:val="BodyText"/>
        <w:spacing w:before="0" w:after="283"/>
        <w:rPr/>
      </w:pPr>
      <w:r>
        <w:rPr/>
        <w:t>The Edfu Building Texts were inscribed in the Ptolemaic period (237–57 BCE). That is the date of their physical carving, not necessarily the date of their content. The German Edfu Project, the current authoritative scholarly translation, states that some Edfu inscriptions "transmit ideas that come from the eldest epochs of pharaonic history" and are "often consulted as an aid in understanding older sources" (Academy of Sciences of Gottingen, Edfu Project description). This is the peer-reviewed institutional standard, funded by two German national academic bodies across thirty years.</w:t>
      </w:r>
    </w:p>
    <w:p>
      <w:pPr>
        <w:pStyle w:val="BodyText"/>
        <w:spacing w:before="0" w:after="283"/>
        <w:rPr/>
      </w:pPr>
      <w:r>
        <w:rPr/>
        <w:t>A terminological distinction is necessary. The Edfu temple corpus contains two textually distinct bodies:</w:t>
      </w:r>
    </w:p>
    <w:tbl>
      <w:tblPr>
        <w:tblW w:w="9972" w:type="dxa"/>
        <w:jc w:val="start"/>
        <w:tblInd w:w="0" w:type="dxa"/>
        <w:tblLayout w:type="fixed"/>
        <w:tblCellMar>
          <w:top w:w="28" w:type="dxa"/>
          <w:start w:w="28" w:type="dxa"/>
          <w:bottom w:w="28" w:type="dxa"/>
          <w:end w:w="28" w:type="dxa"/>
        </w:tblCellMar>
      </w:tblPr>
      <w:tblGrid>
        <w:gridCol w:w="1774"/>
        <w:gridCol w:w="1891"/>
        <w:gridCol w:w="3351"/>
        <w:gridCol w:w="2956"/>
      </w:tblGrid>
      <w:tr>
        <w:trPr>
          <w:tblHeader w:val="true"/>
        </w:trPr>
        <w:tc>
          <w:tcPr>
            <w:tcW w:w="1774" w:type="dxa"/>
            <w:tcBorders/>
            <w:vAlign w:val="center"/>
          </w:tcPr>
          <w:p>
            <w:pPr>
              <w:pStyle w:val="TableHeading"/>
              <w:rPr/>
            </w:pPr>
            <w:r>
              <w:rPr/>
              <w:t>Corpus</w:t>
            </w:r>
          </w:p>
        </w:tc>
        <w:tc>
          <w:tcPr>
            <w:tcW w:w="1891" w:type="dxa"/>
            <w:tcBorders/>
            <w:vAlign w:val="center"/>
          </w:tcPr>
          <w:p>
            <w:pPr>
              <w:pStyle w:val="TableHeading"/>
              <w:rPr/>
            </w:pPr>
            <w:r>
              <w:rPr/>
              <w:t>Location</w:t>
            </w:r>
          </w:p>
        </w:tc>
        <w:tc>
          <w:tcPr>
            <w:tcW w:w="3351" w:type="dxa"/>
            <w:tcBorders/>
            <w:vAlign w:val="center"/>
          </w:tcPr>
          <w:p>
            <w:pPr>
              <w:pStyle w:val="TableHeading"/>
              <w:rPr/>
            </w:pPr>
            <w:r>
              <w:rPr/>
              <w:t>Content</w:t>
            </w:r>
          </w:p>
        </w:tc>
        <w:tc>
          <w:tcPr>
            <w:tcW w:w="2956" w:type="dxa"/>
            <w:tcBorders/>
            <w:vAlign w:val="center"/>
          </w:tcPr>
          <w:p>
            <w:pPr>
              <w:pStyle w:val="TableHeading"/>
              <w:rPr/>
            </w:pPr>
            <w:r>
              <w:rPr/>
              <w:t>Date of Content</w:t>
            </w:r>
          </w:p>
        </w:tc>
      </w:tr>
      <w:tr>
        <w:trPr/>
        <w:tc>
          <w:tcPr>
            <w:tcW w:w="1774" w:type="dxa"/>
            <w:tcBorders/>
            <w:vAlign w:val="center"/>
          </w:tcPr>
          <w:p>
            <w:pPr>
              <w:pStyle w:val="TableContents"/>
              <w:rPr/>
            </w:pPr>
            <w:r>
              <w:rPr/>
              <w:t>General building inscription</w:t>
            </w:r>
          </w:p>
        </w:tc>
        <w:tc>
          <w:tcPr>
            <w:tcW w:w="1891" w:type="dxa"/>
            <w:tcBorders/>
            <w:vAlign w:val="center"/>
          </w:tcPr>
          <w:p>
            <w:pPr>
              <w:pStyle w:val="TableContents"/>
              <w:rPr/>
            </w:pPr>
            <w:r>
              <w:rPr/>
              <w:t>Throughout temple</w:t>
            </w:r>
          </w:p>
        </w:tc>
        <w:tc>
          <w:tcPr>
            <w:tcW w:w="3351" w:type="dxa"/>
            <w:tcBorders/>
            <w:vAlign w:val="center"/>
          </w:tcPr>
          <w:p>
            <w:pPr>
              <w:pStyle w:val="TableContents"/>
              <w:rPr/>
            </w:pPr>
            <w:r>
              <w:rPr/>
              <w:t>Construction chronology, chamber descriptions, ritual programmes</w:t>
            </w:r>
          </w:p>
        </w:tc>
        <w:tc>
          <w:tcPr>
            <w:tcW w:w="2956" w:type="dxa"/>
            <w:tcBorders/>
            <w:vAlign w:val="center"/>
          </w:tcPr>
          <w:p>
            <w:pPr>
              <w:pStyle w:val="TableContents"/>
              <w:rPr/>
            </w:pPr>
            <w:r>
              <w:rPr/>
              <w:t>Ptolemaic (standard)</w:t>
            </w:r>
          </w:p>
        </w:tc>
      </w:tr>
      <w:tr>
        <w:trPr/>
        <w:tc>
          <w:tcPr>
            <w:tcW w:w="1774" w:type="dxa"/>
            <w:tcBorders/>
            <w:vAlign w:val="center"/>
          </w:tcPr>
          <w:p>
            <w:pPr>
              <w:pStyle w:val="TableContents"/>
              <w:rPr/>
            </w:pPr>
            <w:r>
              <w:rPr/>
              <w:t>Cosmogonical records</w:t>
            </w:r>
          </w:p>
        </w:tc>
        <w:tc>
          <w:tcPr>
            <w:tcW w:w="1891" w:type="dxa"/>
            <w:tcBorders/>
            <w:vAlign w:val="center"/>
          </w:tcPr>
          <w:p>
            <w:pPr>
              <w:pStyle w:val="TableContents"/>
              <w:rPr/>
            </w:pPr>
            <w:r>
              <w:rPr/>
              <w:t>Inner face of enclosure wall (</w:t>
            </w:r>
            <w:r>
              <w:rPr>
                <w:rStyle w:val="Emphasis"/>
              </w:rPr>
              <w:t>Edfou VI</w:t>
            </w:r>
            <w:r>
              <w:rPr/>
              <w:t>, 2014)</w:t>
            </w:r>
          </w:p>
        </w:tc>
        <w:tc>
          <w:tcPr>
            <w:tcW w:w="3351" w:type="dxa"/>
            <w:tcBorders/>
            <w:vAlign w:val="center"/>
          </w:tcPr>
          <w:p>
            <w:pPr>
              <w:pStyle w:val="TableContents"/>
              <w:rPr/>
            </w:pPr>
            <w:r>
              <w:rPr/>
              <w:t>"Specification of the Mounds of the Early Primaeval Age" — western homeland, cataclysm, Shebtiu migration</w:t>
            </w:r>
          </w:p>
        </w:tc>
        <w:tc>
          <w:tcPr>
            <w:tcW w:w="2956" w:type="dxa"/>
            <w:tcBorders/>
            <w:vAlign w:val="center"/>
          </w:tcPr>
          <w:p>
            <w:pPr>
              <w:pStyle w:val="TableContents"/>
              <w:rPr/>
            </w:pPr>
            <w:r>
              <w:rPr/>
              <w:t>Predates Ptolemaic; grammar dates to at least Middle Kingdom (Seyfzadeh 2024; Kurth et al. 2014)</w:t>
            </w:r>
          </w:p>
        </w:tc>
      </w:tr>
    </w:tbl>
    <w:p>
      <w:pPr>
        <w:pStyle w:val="BodyText"/>
        <w:spacing w:before="0" w:after="283"/>
        <w:rPr/>
      </w:pPr>
      <w:r>
        <w:rPr/>
        <w:t>The migration narrative belongs to the cosmogonical records, not to the general building inscription. Criticisms that treat the Edfu texts as a single "Ptolemaic ancient book" conflate these two corpora.</w:t>
      </w:r>
    </w:p>
    <w:p>
      <w:pPr>
        <w:pStyle w:val="Heading3"/>
        <w:spacing w:lineRule="auto" w:line="276" w:before="0" w:after="283"/>
        <w:rPr>
          <w:sz w:val="24"/>
          <w:szCs w:val="24"/>
        </w:rPr>
      </w:pPr>
      <w:r>
        <w:rPr>
          <w:sz w:val="24"/>
          <w:szCs w:val="24"/>
        </w:rPr>
        <w:t>8.2 Why the Narrative Is Structurally Distinct</w:t>
      </w:r>
    </w:p>
    <w:p>
      <w:pPr>
        <w:pStyle w:val="BodyText"/>
        <w:spacing w:before="0" w:after="283"/>
        <w:rPr/>
      </w:pPr>
      <w:r>
        <w:rPr/>
        <w:t>The Edfu Building Texts are unique in the Egyptian corpus. Of the five major Ptolemaic temple construction projects—Edfu, Dendera, Esna, Kom Ombo, and Philae—each produced origin cosmogonies. Each had equivalent motivation to claim ancient authority. Each had priests capable of creative theological composition.</w:t>
      </w:r>
    </w:p>
    <w:p>
      <w:pPr>
        <w:pStyle w:val="BodyText"/>
        <w:spacing w:before="0" w:after="283"/>
        <w:rPr/>
      </w:pPr>
      <w:r>
        <w:rPr/>
        <w:t>The other four temples produced narratives drawing on standard Egyptian cosmological vocabulary: primordial waters, first emergence, solar creator, Osirian resurrection, primeval mound. None produced a narrative of a stable western community, its catastrophic destruction, survivors carrying exclusive sacred-construction knowledge, a migration to Egypt, and the establishment of first temples.</w:t>
      </w:r>
    </w:p>
    <w:p>
      <w:pPr>
        <w:pStyle w:val="BodyText"/>
        <w:spacing w:before="0" w:after="283"/>
        <w:rPr/>
      </w:pPr>
      <w:r>
        <w:rPr/>
        <w:t>If this narrative structure were standard Ptolemaic legitimation rhetoric, it should appear elsewhere. It does not. Its absence from every other Ptolemaic temple suggests transmission from a source outside the standard compositional tradition.</w:t>
      </w:r>
    </w:p>
    <w:p>
      <w:pPr>
        <w:pStyle w:val="Heading3"/>
        <w:spacing w:lineRule="auto" w:line="276" w:before="0" w:after="283"/>
        <w:rPr>
          <w:sz w:val="24"/>
          <w:szCs w:val="24"/>
        </w:rPr>
      </w:pPr>
      <w:r>
        <w:rPr>
          <w:sz w:val="24"/>
          <w:szCs w:val="24"/>
        </w:rPr>
        <w:t>8.3 The Physical Archive at Edfu</w:t>
      </w:r>
    </w:p>
    <w:p>
      <w:pPr>
        <w:pStyle w:val="BodyText"/>
        <w:spacing w:before="0" w:after="283"/>
        <w:rPr/>
      </w:pPr>
      <w:r>
        <w:rPr/>
        <w:t>The Edfu temple contained a working physical archive. Inscriptions record "many chests of books and large leather rolls" including building plans, liturgical manuscripts, and administrative documents (Hussein 2002, citing Edfu inscriptions). When the Edfu priests cite a goatskin scroll of architectural plans from the time of the Shemsu Hor, they describe an object of the same physical type they managed daily in their own archive.</w:t>
      </w:r>
    </w:p>
    <w:p>
      <w:pPr>
        <w:pStyle w:val="BodyText"/>
        <w:spacing w:before="0" w:after="283"/>
        <w:rPr/>
      </w:pPr>
      <w:r>
        <w:rPr/>
        <w:t>This distinguishes the Shemsu Hor citations from the broader "ancient book" trope found elsewhere in Ptolemaic literature. The "Book of Thoth found in a divine source" invokes a cosmic or celestial origin. The Shemsu Hor citations specify a physical working document of a kind that existed in the Edfu priests' own institutional practice.</w:t>
      </w:r>
    </w:p>
    <w:p>
      <w:pPr>
        <w:pStyle w:val="BodyText"/>
        <w:spacing w:before="0" w:after="283"/>
        <w:rPr/>
      </w:pPr>
      <w:r>
        <w:rPr/>
        <w:t>The British Museum's 2022 multidisciplinary study of the Hay Archive of Coptic Spells on Leather (O'Connell et al.) provides independent archaeological confirmation that leather scrolls of precisely this type were produced and used in Upper Egypt. The Hay manuscripts, dated to the 8th–9th century AD, were found in Western Thebes—the same region as the HK6 elite cemetery and the Shemsu Hor textual tradition. The study confirms that leather was an unusual writing substrate for Coptic texts, concentrated in Upper Egypt and Lower Nubia. The Dendera inscription's claim of a "goatskin scroll from the time of the Followers of Horus" therefore describes a real material practice documented archaeologically, not a literary invention.</w:t>
      </w:r>
    </w:p>
    <w:p>
      <w:pPr>
        <w:pStyle w:val="Heading3"/>
        <w:spacing w:lineRule="auto" w:line="276" w:before="0" w:after="283"/>
        <w:rPr>
          <w:sz w:val="24"/>
          <w:szCs w:val="24"/>
        </w:rPr>
      </w:pPr>
      <w:r>
        <w:rPr>
          <w:sz w:val="24"/>
          <w:szCs w:val="24"/>
        </w:rPr>
        <w:t>8.4 Dating Evidence from Grammar and Content</w:t>
      </w:r>
    </w:p>
    <w:p>
      <w:pPr>
        <w:pStyle w:val="BodyText"/>
        <w:spacing w:before="0" w:after="283"/>
        <w:rPr/>
      </w:pPr>
      <w:r>
        <w:rPr/>
        <w:t>The cosmogonical records have recently become accessible to English-language researchers through Seyfzadeh (2024), who produced the first English translation of the creation passage on the inner face of the enclosure wall, working from Kurth et al.'s German (</w:t>
      </w:r>
      <w:r>
        <w:rPr>
          <w:rStyle w:val="Emphasis"/>
        </w:rPr>
        <w:t>Edfou VI</w:t>
      </w:r>
      <w:r>
        <w:rPr/>
        <w:t>, 2014). Four features of Kurth's translation are directly relevant.</w:t>
      </w:r>
    </w:p>
    <w:p>
      <w:pPr>
        <w:pStyle w:val="BodyText"/>
        <w:spacing w:before="0" w:after="283"/>
        <w:rPr/>
      </w:pPr>
      <w:r>
        <w:rPr>
          <w:rStyle w:val="Strong"/>
        </w:rPr>
        <w:t>Explicit Zep Tepi naming.</w:t>
      </w:r>
      <w:r>
        <w:rPr/>
        <w:t xml:space="preserve"> Column 1 opens with a homage to "Horus who came to be in the First Time." Thoth's preface identifies the temple as inscribed with "the name of the great god who came to be at the First Time." The scribes explicitly identify the cosmogonical records as Zep Tepi documents.</w:t>
      </w:r>
    </w:p>
    <w:p>
      <w:pPr>
        <w:pStyle w:val="BodyText"/>
        <w:spacing w:before="0" w:after="283"/>
        <w:rPr/>
      </w:pPr>
      <w:r>
        <w:rPr>
          <w:rStyle w:val="Strong"/>
        </w:rPr>
        <w:t>Formally designated migration.</w:t>
      </w:r>
      <w:r>
        <w:rPr/>
        <w:t xml:space="preserve"> Kurth's structural analysis designates a section of the creation narrative as "Sea Migration" (Columns 31–35). The Shebtiu and the four crews of Horus embark for the founding settlement site. The word for "there" throughout this section is consistently spelled with a ship hieroglyph, indicating a destination reached by waterway.</w:t>
      </w:r>
    </w:p>
    <w:p>
      <w:pPr>
        <w:pStyle w:val="BodyText"/>
        <w:spacing w:before="0" w:after="283"/>
        <w:rPr/>
      </w:pPr>
      <w:r>
        <w:rPr>
          <w:rStyle w:val="Strong"/>
        </w:rPr>
        <w:t>Grammar predates the Ptolemaic period.</w:t>
      </w:r>
      <w:r>
        <w:rPr/>
        <w:t xml:space="preserve"> Based on grammatical analysis, the creation passage can be dated to at least the Middle Kingdom—more than a thousand years before the Ptolemaic carving (Seyfzadeh 2024; Kurth et al. 2014). The scribes were working from substantially older source material.</w:t>
      </w:r>
    </w:p>
    <w:p>
      <w:pPr>
        <w:pStyle w:val="BodyText"/>
        <w:spacing w:before="0" w:after="283"/>
        <w:rPr/>
      </w:pPr>
      <w:r>
        <w:rPr>
          <w:rStyle w:val="Strong"/>
        </w:rPr>
        <w:t>Wedjat as primeval marker.</w:t>
      </w:r>
      <w:r>
        <w:rPr/>
        <w:t xml:space="preserve"> The Eye of Horus hieroglyph is used uniquely to spell the word </w:t>
      </w:r>
      <w:r>
        <w:rPr>
          <w:rStyle w:val="Emphasis"/>
        </w:rPr>
        <w:t>'nt</w:t>
      </w:r>
      <w:r>
        <w:rPr/>
        <w:t xml:space="preserve"> ("moment") in the opening of the Zep Tepi creation sequence. This is its only occurrence in the passage written with the Eye sign; all subsequent instances use phonetic spelling. Kurth's team identifies this as a deliberate compositional choice. The Wedjat functions not only as a ritual object and institutional ceremony (Section 2.4) but as the literal glyph marking the primeval creative instant from which Egyptian sacred geography unfolds.</w:t>
      </w:r>
    </w:p>
    <w:p>
      <w:pPr>
        <w:pStyle w:val="BodyText"/>
        <w:spacing w:before="0" w:after="283"/>
        <w:rPr/>
      </w:pPr>
      <w:r>
        <w:rPr/>
        <w:t>These four elements converge: Zep Tepi is explicitly named; the migration is formally designated; the grammar predates the Ptolemaic period; and the Wedjat connects the cosmogonical records directly to the sky-schema argument.</w:t>
      </w:r>
    </w:p>
    <w:p>
      <w:pPr>
        <w:pStyle w:val="Heading3"/>
        <w:spacing w:lineRule="auto" w:line="276" w:before="0" w:after="283"/>
        <w:rPr>
          <w:sz w:val="24"/>
          <w:szCs w:val="24"/>
        </w:rPr>
      </w:pPr>
      <w:r>
        <w:rPr>
          <w:sz w:val="24"/>
          <w:szCs w:val="24"/>
        </w:rPr>
        <w:t>8.5 Connection to the Wedjat and HK6 Feline Tradition</w:t>
      </w:r>
    </w:p>
    <w:p>
      <w:pPr>
        <w:pStyle w:val="BodyText"/>
        <w:spacing w:before="0" w:after="283"/>
        <w:rPr/>
      </w:pPr>
      <w:r>
        <w:rPr/>
        <w:t xml:space="preserve">The Wedjat's restoration is explicitly associated with a feline goddess acting under a Horus epithet. Bastet as </w:t>
      </w:r>
      <w:r>
        <w:rPr>
          <w:rStyle w:val="Emphasis"/>
        </w:rPr>
        <w:t>Horit</w:t>
      </w:r>
      <w:r>
        <w:rPr/>
        <w:t xml:space="preserve"> ("Female Horus") is credited in Papyrus Brooklyn 47.218 with rescuing the Udjat-Eye (Wedjat) from Seth (Ibrahim and Aboelmagd 2023). The Wedjat's theological function is thus linked to the feline tradition documented at HK6—the same Hierakonpolis cemetery that is the paper's primary archaeological pillar.</w:t>
      </w:r>
    </w:p>
    <w:p>
      <w:pPr>
        <w:pStyle w:val="BodyText"/>
        <w:spacing w:before="0" w:after="283"/>
        <w:rPr/>
      </w:pPr>
      <w:r>
        <w:rPr/>
        <w:t>The cosmogonical records and the Wedjat sky-schema share a documented institutional home in the same Edfu tradition. Analysis of the 6th Dynasty tomb of Idut at Saqqara reveals that each of the 96 offering items in the burial chamber's offering lists refers metaphorically to the "Eye of Horus," with the ritual's origin traceable to Pyramid Texts Spells 23–171 (Sugi 2005). The Wedjat-as-offering equation was institutionally embedded in both royal and elite private funerary practice from the earliest Pyramid Texts period forward—contemporaneous with the Shemsu Hor references in the same corpus.</w:t>
      </w:r>
    </w:p>
    <w:p>
      <w:pPr>
        <w:pStyle w:val="Heading3"/>
        <w:spacing w:lineRule="auto" w:line="276" w:before="0" w:after="283"/>
        <w:rPr>
          <w:sz w:val="24"/>
          <w:szCs w:val="24"/>
        </w:rPr>
      </w:pPr>
      <w:r>
        <w:rPr>
          <w:sz w:val="24"/>
          <w:szCs w:val="24"/>
        </w:rPr>
        <w:t>8.6 What the Edfu Evidence Establishes</w:t>
      </w:r>
    </w:p>
    <w:p>
      <w:pPr>
        <w:pStyle w:val="BodyText"/>
        <w:spacing w:before="0" w:after="283"/>
        <w:rPr/>
      </w:pPr>
      <w:r>
        <w:rPr/>
        <w:t>The Edfu Building Texts are Ptolemaic compilations, not contemporary records. Their value is structural corroboration, not independent primary evidence. The weight of the textual argument in this paper rests on the earlier sources (Turin Canon, Pyramid Texts, Thutmose I, Merneptah), not on the Ptolemaic compilation.</w:t>
      </w:r>
    </w:p>
    <w:p>
      <w:pPr>
        <w:pStyle w:val="BodyText"/>
        <w:spacing w:before="0" w:after="283"/>
        <w:rPr/>
      </w:pPr>
      <w:r>
        <w:rPr>
          <w:rStyle w:val="Strong"/>
        </w:rPr>
        <w:t>What the Edfu evidence establishes:</w:t>
      </w:r>
    </w:p>
    <w:p>
      <w:pPr>
        <w:pStyle w:val="BodyText"/>
        <w:numPr>
          <w:ilvl w:val="0"/>
          <w:numId w:val="8"/>
        </w:numPr>
        <w:tabs>
          <w:tab w:val="clear" w:pos="709"/>
          <w:tab w:val="left" w:pos="0" w:leader="none"/>
        </w:tabs>
        <w:spacing w:before="0" w:after="283"/>
        <w:ind w:hanging="283" w:start="709"/>
        <w:rPr/>
      </w:pPr>
      <w:r>
        <w:rPr/>
        <w:t>The narrative structure (western homeland, cataclysm, survivors, eastward migration, falcon ancestor cult) is distinctive and does not appear in any other Ptolemaic temple corpus.</w:t>
      </w:r>
    </w:p>
    <w:p>
      <w:pPr>
        <w:pStyle w:val="BodyText"/>
        <w:numPr>
          <w:ilvl w:val="0"/>
          <w:numId w:val="8"/>
        </w:numPr>
        <w:tabs>
          <w:tab w:val="clear" w:pos="709"/>
          <w:tab w:val="left" w:pos="0" w:leader="none"/>
        </w:tabs>
        <w:spacing w:before="0" w:after="283"/>
        <w:ind w:hanging="283" w:start="709"/>
        <w:rPr/>
      </w:pPr>
      <w:r>
        <w:rPr/>
        <w:t>The German Edfu Project's institutional position confirms the cosmogonical records transmit material from "the eldest epochs of pharaonic history."</w:t>
      </w:r>
    </w:p>
    <w:p>
      <w:pPr>
        <w:pStyle w:val="BodyText"/>
        <w:numPr>
          <w:ilvl w:val="0"/>
          <w:numId w:val="8"/>
        </w:numPr>
        <w:tabs>
          <w:tab w:val="clear" w:pos="709"/>
          <w:tab w:val="left" w:pos="0" w:leader="none"/>
        </w:tabs>
        <w:spacing w:before="0" w:after="283"/>
        <w:ind w:hanging="283" w:start="709"/>
        <w:rPr/>
      </w:pPr>
      <w:r>
        <w:rPr/>
        <w:t>The grammar of the creation passage dates to at least the Middle Kingdom, predating the Ptolemaic carving by more than a thousand years.</w:t>
      </w:r>
    </w:p>
    <w:p>
      <w:pPr>
        <w:pStyle w:val="BodyText"/>
        <w:numPr>
          <w:ilvl w:val="0"/>
          <w:numId w:val="8"/>
        </w:numPr>
        <w:tabs>
          <w:tab w:val="clear" w:pos="709"/>
          <w:tab w:val="left" w:pos="0" w:leader="none"/>
        </w:tabs>
        <w:spacing w:before="0" w:after="283"/>
        <w:ind w:hanging="283" w:start="709"/>
        <w:rPr/>
      </w:pPr>
      <w:r>
        <w:rPr/>
        <w:t>The narrative converges structurally with the Shemsu Hor textual tradition (Pyramid Texts, c. 2400 BCE) and the archaeological evidence at HK6.</w:t>
      </w:r>
    </w:p>
    <w:p>
      <w:pPr>
        <w:pStyle w:val="BodyText"/>
        <w:numPr>
          <w:ilvl w:val="0"/>
          <w:numId w:val="8"/>
        </w:numPr>
        <w:tabs>
          <w:tab w:val="clear" w:pos="709"/>
          <w:tab w:val="left" w:pos="0" w:leader="none"/>
        </w:tabs>
        <w:spacing w:before="0" w:after="283"/>
        <w:ind w:hanging="283" w:start="709"/>
        <w:rPr/>
      </w:pPr>
      <w:r>
        <w:rPr/>
        <w:t>The British Museum's Hay Archive study confirms that leather scrolls containing ritual texts were produced and archived in Thebes, providing independent archaeological grounding for the "goatskin scroll" claim.</w:t>
      </w:r>
    </w:p>
    <w:p>
      <w:pPr>
        <w:pStyle w:val="BodyText"/>
        <w:spacing w:before="0" w:after="283"/>
        <w:rPr/>
      </w:pPr>
      <w:r>
        <w:rPr>
          <w:rStyle w:val="Strong"/>
        </w:rPr>
        <w:t>What the Edfu evidence does not establish:</w:t>
      </w:r>
    </w:p>
    <w:p>
      <w:pPr>
        <w:pStyle w:val="BodyText"/>
        <w:numPr>
          <w:ilvl w:val="0"/>
          <w:numId w:val="9"/>
        </w:numPr>
        <w:tabs>
          <w:tab w:val="clear" w:pos="709"/>
          <w:tab w:val="left" w:pos="0" w:leader="none"/>
        </w:tabs>
        <w:spacing w:before="0" w:after="283"/>
        <w:ind w:hanging="283" w:start="709"/>
        <w:rPr/>
      </w:pPr>
      <w:r>
        <w:rPr/>
        <w:t>That the specific content (the homeland's location, the cataclysm's nature, the survivors' identity) is historically accurate rather than a distinctive but still invented origin narrative.</w:t>
      </w:r>
    </w:p>
    <w:p>
      <w:pPr>
        <w:pStyle w:val="BodyText"/>
        <w:numPr>
          <w:ilvl w:val="0"/>
          <w:numId w:val="9"/>
        </w:numPr>
        <w:tabs>
          <w:tab w:val="clear" w:pos="709"/>
          <w:tab w:val="left" w:pos="0" w:leader="none"/>
        </w:tabs>
        <w:spacing w:before="0" w:after="283"/>
        <w:ind w:hanging="283" w:start="709"/>
        <w:rPr/>
      </w:pPr>
      <w:r>
        <w:rPr/>
        <w:t>That the transmission chain was uninterrupted or the content unchanged across 2,500 years.</w:t>
      </w:r>
    </w:p>
    <w:p>
      <w:pPr>
        <w:pStyle w:val="Heading3"/>
        <w:spacing w:lineRule="auto" w:line="276" w:before="0" w:after="283"/>
        <w:rPr>
          <w:sz w:val="24"/>
          <w:szCs w:val="24"/>
        </w:rPr>
      </w:pPr>
      <w:r>
        <w:rPr>
          <w:sz w:val="24"/>
          <w:szCs w:val="24"/>
        </w:rPr>
        <w:t>8.7 Summary</w:t>
      </w:r>
    </w:p>
    <w:p>
      <w:pPr>
        <w:pStyle w:val="BodyText"/>
        <w:spacing w:before="0" w:after="283"/>
        <w:rPr/>
      </w:pPr>
      <w:r>
        <w:rPr/>
        <w:t>The Edfu Building Texts preserve a migration narrative that is structurally distinct from every other Ptolemaic temple corpus. The grammar of the text dates it to at least the Middle Kingdom. The Wedjat is embedded in the cosmogonical records as the hieroglyph for the primeval creative instant. The Hay Archive provides independent archaeological evidence that leather scrolls of the type described in the Dendera inscription were produced in Thebes. The Ptolemaic scribes were not inventing this narrative. They were transmitting from a source tradition older than the temple that preserves it.</w:t>
      </w:r>
    </w:p>
    <w:p>
      <w:pPr>
        <w:pStyle w:val="HorizontalLine"/>
        <w:spacing w:before="0" w:after="0"/>
        <w:rPr>
          <w:sz w:val="24"/>
          <w:szCs w:val="24"/>
        </w:rPr>
      </w:pPr>
      <w:r>
        <w:rPr>
          <w:sz w:val="24"/>
          <w:szCs w:val="24"/>
        </w:rPr>
      </w:r>
    </w:p>
    <w:p>
      <w:pPr>
        <w:pStyle w:val="Heading3"/>
        <w:spacing w:before="0" w:after="283"/>
        <w:rPr>
          <w:sz w:val="24"/>
          <w:szCs w:val="24"/>
        </w:rPr>
      </w:pPr>
      <w:r>
        <w:rPr>
          <w:sz w:val="24"/>
          <w:szCs w:val="24"/>
        </w:rPr>
        <w:t>9. The External Witness Framework: Eight Perspectives on Egypt's Emergence</w:t>
      </w:r>
    </w:p>
    <w:p>
      <w:pPr>
        <w:pStyle w:val="BodyText"/>
        <w:rPr/>
      </w:pPr>
      <w:r>
        <w:rPr/>
        <w:t>The corridor migration hypothesis generates a testable external prediction: if Egypt underwent approximately 700 years of internal formation before sudden state-scale projection at 3100 BCE, contemporary neighbours should document a qualitative threshold—a transformation from limited bilateral contacts to simultaneous multi-directional state projection—rather than a continuous gradual expansion. Eight independent regional witnesses are consistent with this pattern. Pre-unification contacts with the Levant and Canaan are archaeologically attested from approximately 3200 BCE (Dynasty 0), so Egypt was not invisible to its neighbours before 3100 BCE. What the eight witnesses collectively document is a specific qualitative transformation: from limited, building-phase bilateral contacts into simultaneous multi-directional colonial projection at documented 1,400 km scale, concentrated within a single reign. Under Narmer: approximately 20 serekhs across 8–9 Canaanite sites simultaneously (seven of which remain uncertain or controversial in the literature), Egyptian pottery produced in Canaan, royal mining inscriptions in Sinai, military projection to the second cataract—all within a single generation. No preceding period shows coordinated multi-directional state-level projection at this geographic scale. What requires explanation is not that Egypt existed before 3100 BCE but that a qualitative threshold was crossed—from internal formation to outward state expression—at this specific moment.</w:t>
      </w:r>
    </w:p>
    <w:p>
      <w:pPr>
        <w:pStyle w:val="HorizontalLine"/>
        <w:spacing w:before="0" w:after="0"/>
        <w:rPr>
          <w:sz w:val="24"/>
          <w:szCs w:val="24"/>
        </w:rPr>
      </w:pPr>
      <w:r>
        <w:rPr>
          <w:sz w:val="24"/>
          <w:szCs w:val="24"/>
        </w:rPr>
      </w:r>
    </w:p>
    <w:p>
      <w:pPr>
        <w:pStyle w:val="Heading3"/>
        <w:spacing w:before="0" w:after="283"/>
        <w:rPr>
          <w:sz w:val="24"/>
          <w:szCs w:val="24"/>
        </w:rPr>
      </w:pPr>
      <w:r>
        <w:rPr>
          <w:sz w:val="24"/>
          <w:szCs w:val="24"/>
        </w:rPr>
        <w:t>9.1 The Eight Witnesses</w:t>
      </w:r>
    </w:p>
    <w:p>
      <w:pPr>
        <w:pStyle w:val="BodyText"/>
        <w:rPr/>
      </w:pPr>
      <w:r>
        <w:rPr/>
        <w:t>The eight witnesses are presented in order of evidential strength, not geography. The first four—Levant, Nubia, Mesopotamia, and Sinai—rest on directly dated, multi-artefact, multi-site documentation of the qualitative shift at 3100 BCE. The remaining four provide contextual support or structural completeness but carry lighter evidential weight: Pre-Kerma is corridor-relevant but left no independent records; Byblos infers the pre-existing relationship from linguistic encoding rather than pre-3100 BCE artefacts; the Chalcolithic Levant rests on an interpretive reversal argument; and Crete documents a single artefact category at a single site. The argument for a qualitative threshold rests on the first four. The latter four are supporting context.</w:t>
      </w:r>
    </w:p>
    <w:p>
      <w:pPr>
        <w:pStyle w:val="BodyText"/>
        <w:rPr/>
      </w:pPr>
      <w:r>
        <w:rPr>
          <w:rStyle w:val="Strong"/>
        </w:rPr>
        <w:t>Levant (Southern Canaan), 3100–3000 BCE.</w:t>
      </w:r>
      <w:r>
        <w:rPr/>
        <w:t xml:space="preserve"> The sharpest external witness. Egyptian political artifacts before 3100 BCE are exceptionally rare in Canaan. Beginning ca. 3100 BCE under Narmer, Egyptian administrative colonies appear at Tel Erani and En Besor: bread molds, clay sealings, and Egyptian-style ceramics produced locally bearing Narmer's serekh. This is not gradual infiltration. It is organised colonial administration appearing within a single archaeological horizon (Braun 2002; Gophna 1992).</w:t>
      </w:r>
    </w:p>
    <w:p>
      <w:pPr>
        <w:pStyle w:val="BodyText"/>
        <w:rPr/>
      </w:pPr>
      <w:r>
        <w:rPr>
          <w:rStyle w:val="Strong"/>
        </w:rPr>
        <w:t>Nubia (A-Group), 3300–3100 BCE.</w:t>
      </w:r>
      <w:r>
        <w:rPr/>
        <w:t xml:space="preserve"> The A-Group is the only external witness overlapping the full Shemsu Hor window. The Qustul incense burner (Cemetery L, Tomb 24, ca. 3300–3000 BCE) bears iconography identical to contemporaneous Upper Egyptian elite imagery: White Crown, Horus falcon, palace façade, smiting pose. Current consensus treats this as evidence of shared elite culture rather than Nubian origins for Egyptian kingship (Bianchi 2004; Wengrow 2006; Gatto 2021)—precisely the peer-culture relationship the migration model predicts.</w:t>
      </w:r>
    </w:p>
    <w:p>
      <w:pPr>
        <w:pStyle w:val="BodyText"/>
        <w:rPr/>
      </w:pPr>
      <w:r>
        <w:rPr/>
        <w:t>The simultaneity of the Wedjat's appearance in Nubian A-Group contexts and its earliest Egyptian attestations (Williams 1986) is not adequately explained by diffusion in either direction. The corridor hypothesis offers a more direct account. The A-Group occupied territory directly on the corridor's northeastern arc; Hierakonpolis lies at its Nile destination. The shared iconographic vocabulary—falcon serekhs, victory scenes, the Red Crown—is consistent with either shared ancestral heritage from the same deep North African Neolithic lineage (Salem et al. 2025 documents this lineage at Takarkori along the Fezzan route) or intensive mutual exchange along the active corridor route. The scholarly debate on direction of influence is noted (Williams 1986; Adams 1985; Gatto 2021): recent reassessments place Egyptian iconography at Abydos and Hierakonpolis Tomb 100 earlier than the Qustul censer, suggesting Egyptian-to-Nubian transmission as the more likely direction for specific items. What either interpretation confirms for the corridor hypothesis is that the route between these populations was active, culturally productive, and operating during the Shemsu Hor window—which is what the corridor model requires. The genetic relationship between A-Group populations and the Takarkori lineage is a direct test: Prediction 8 targets this. This relationship is documented in detail in Paper II of this Series.</w:t>
      </w:r>
    </w:p>
    <w:p>
      <w:pPr>
        <w:pStyle w:val="BodyText"/>
        <w:rPr/>
      </w:pPr>
      <w:r>
        <w:rPr>
          <w:rStyle w:val="Strong"/>
        </w:rPr>
        <w:t>Mesopotamia (Uruk / Sumer), 3500–3100 BCE.</w:t>
      </w:r>
      <w:r>
        <w:rPr/>
        <w:t xml:space="preserve"> During the Shemsu Hor window, Mesopotamia documents Egypt as a recipient of eastern prestige technology: cylinder seals appear in Egypt from Naqada IIc-d (c. 3500–3300 BCE) without local antecedents, reflecting a largely one-way transfer of administrative and iconographic influence from Mesopotamia into Egypt (Honér 2007; Watrin 2004). Egypt was not invisible to Mesopotamia—it was a documented trade recipient, absorbing Mesopotamian seal technology, architectural motifs, and ceremonial mace-head forms. The earliest Egyptian cylinder seals are clearly similar to earlier Uruk seals and may have been manufactured by Mesopotamian craftsmen. After unification, the directionality reverses: Egypt no longer absorbs Mesopotamian symbolic systems but projects its own colonial administrative apparatus eastward into Canaan under Narmer within a single generation. The diagnostic shift is not visibility but direction: importer of Mesopotamian prestige technology becomes a regional projector of Egyptian state power.</w:t>
      </w:r>
    </w:p>
    <w:p>
      <w:pPr>
        <w:pStyle w:val="BodyText"/>
        <w:rPr/>
      </w:pPr>
      <w:r>
        <w:rPr>
          <w:rStyle w:val="Strong"/>
        </w:rPr>
        <w:t>Sinai Peninsula, 3200 BCE onward.</w:t>
      </w:r>
      <w:r>
        <w:rPr/>
        <w:t xml:space="preserve"> Wadi Ameyra preserves approximately 60 rock carvings spanning from Naqada IIIA (ca. 3200 BCE) through early Dynasty II, documenting royal mining expeditions for Iry-Hor, Narmer, Djer, and Neithhotep (Tallet and Laisney 2012). Wadi Khamila (Morenz and Nour El-Din 2025/2026) adds one of the earliest known smiting scenes. Together these constitute a colonial territorial marking network confirming that Egypt's post-unification projection was simultaneous in multiple directions.</w:t>
      </w:r>
    </w:p>
    <w:p>
      <w:pPr>
        <w:pStyle w:val="BodyText"/>
        <w:rPr/>
      </w:pPr>
      <w:r>
        <w:rPr>
          <w:rStyle w:val="Strong"/>
        </w:rPr>
        <w:t>Pre-Kerma Upper Nubia, 3800–3100 BCE.</w:t>
      </w:r>
      <w:r>
        <w:rPr/>
        <w:t xml:space="preserve"> South of the A-Group, along the proposed corridor route, pre-Kerma populations occupied the Kerma heartland throughout the full Shemsu Hor window. The Badura et al. (2025) study—documented in Section 12 of this paper—establishes Kerma culture ritual traditions traceable to A-Group ancestry, demonstrating that these southern Nubian corridor cultures shared the same ancestral network the corridor hypothesis identifies. They left no independent records of Egypt during the formation period. The trajectory after 3100 BCE is stark: the Early Dynastic Egyptian state extended authority to the second cataract in Nubia—deep into modern Sudan, approximately 1,000 km south of Cairo—where there is evidence that political centralisation was in progress around Qustul but may have prompted a preemptive Egyptian military strike (Trigger 1976; Wengrow 2006). The A-Group was eliminated as an independent polity. The pre-Kerma cultures south of the second cataract, surviving beyond the Egyptian expansion front, subsequently consolidated into the Kerma civilisation—which emerges in Egyptian records as a named, explicitly documented political entity and eventual military adversary. The progression from corridor-adjacent ancestral population to named Egyptian rival mirrors the pattern documented throughout this section: the formation period is invisible; projection creates legible political relationships.</w:t>
      </w:r>
    </w:p>
    <w:p>
      <w:pPr>
        <w:pStyle w:val="BodyText"/>
        <w:rPr/>
      </w:pPr>
      <w:r>
        <w:rPr>
          <w:rStyle w:val="Strong"/>
        </w:rPr>
        <w:t>Byblos (Lebanon), from 3100 BCE.</w:t>
      </w:r>
      <w:r>
        <w:rPr/>
        <w:t xml:space="preserve"> The 'Byblos ship' (</w:t>
      </w:r>
      <w:r>
        <w:rPr>
          <w:rStyle w:val="Emphasis"/>
        </w:rPr>
        <w:t>kbnyt</w:t>
      </w:r>
      <w:r>
        <w:rPr/>
        <w:t>) became the Egyptian word for a seagoing vessel—a naming that presupposes established, familiar contact. The earliest documented Egyptian-Byblos contacts date to the First and Second Dynasties: a stone vessel fragment bearing the name of the Second Dynasty ruler Khasekhemwy has been recovered from Byblos, and cedar imports to Egypt are attested from the First Dynasty period (ca. 3100–2890 BCE) (Sowada 2009: 1–4, 245–247; Ward 2010). These earliest contacts are precisely contemporaneous with the 3100 BCE emergence window. From Byblos's perspective, Egypt does not appear gradually in the archaeological record—it arrives as an organised, established trading partner at the beginning of the Early Dynastic Period, with a standardised vocabulary for maritime trade already encoded in its language. The Palermo Stone's record of Snefru receiving forty ships of cedar (ca. 2600 BCE) documents the mature form of a relationship that began at unification, not its origin. Note on evidential weight: the relationship is inferred from linguistic encoding (</w:t>
      </w:r>
      <w:r>
        <w:rPr>
          <w:rStyle w:val="Emphasis"/>
        </w:rPr>
        <w:t>kbnyt</w:t>
      </w:r>
      <w:r>
        <w:rPr/>
        <w:t>) and from First Dynasty cedar imports; pre-3100 BCE Egyptian artefacts at Byblos itself have not been documented. This witness contributes structural context rather than direct dating evidence.</w:t>
      </w:r>
    </w:p>
    <w:p>
      <w:pPr>
        <w:pStyle w:val="BodyText"/>
        <w:rPr/>
      </w:pPr>
      <w:r>
        <w:rPr>
          <w:rStyle w:val="Strong"/>
        </w:rPr>
        <w:t>The Chalcolithic Southern Levant (Ghassulian/Beersheba culture), 4000–3300 BCE.</w:t>
      </w:r>
      <w:r>
        <w:rPr/>
        <w:t xml:space="preserve"> The Ghassulian-Beersheba Chalcolithic culture of the southern Levant was the copper-producing interior that supplied predynastic Egypt through the Maadi trading hub in Lower Egypt. The Maadi settlement near Cairo—a key site for interconnections between the Nile Valley and the Southern Levant—shows active copper imports and storage architecture with affinities to the Beersheba Chalcolithic tradition (Braun 2009; Gophna 1992). The Chalcolithic Beersheba culture had no writing and left no political records of Egypt during the formation period. The diagnostic shift at unification is striking precisely because of the distance: Narmer's serekh appears at Tel Arad—in the northeastern Negev, 45 km east of Beersheba and approximately 400 km from the Nile Delta, one of the deepest interior penetrations of Egyptian administrative presence documented in the Levant (Braun 2009). Egypt reached Tel Arad for Dead Sea asphalt, needed for waterproofing ships and mummification. The copper-exporting interior zone that had been Egypt's trade partner becomes an Egyptian resource-extraction target within a single generation. The greater the distance, the more dramatic the reversal: 400 km of arid Negev interior, with zero prior Egyptian political presence, becomes an administrative reach-point simultaneously with the coastal projections. Note on evidential weight: the 'reversal' framing is interpretive—the shift from trade partner to resource-extraction target is inferred from artefact distribution rather than directly documented in contemporary records.</w:t>
      </w:r>
    </w:p>
    <w:p>
      <w:pPr>
        <w:pStyle w:val="BodyText"/>
        <w:rPr/>
      </w:pPr>
      <w:r>
        <w:rPr>
          <w:rStyle w:val="Strong"/>
        </w:rPr>
        <w:t>Crete and the Aegean, 3200–3100 BCE.</w:t>
      </w:r>
      <w:r>
        <w:rPr/>
        <w:t xml:space="preserve"> Pre-dynastic Egyptian stone vessels appear at Knossos in the centuries immediately preceding unification. Egypt enters the Cretan record as a supplier of prestige goods, not as a developing state. Sustained political contact intensifies only after 3100 BCE. Note on evidential weight: this witness rests on a single artefact category at a single site; it contributes structural completeness rather than independent evidentiary weight.</w:t>
      </w:r>
    </w:p>
    <w:p>
      <w:pPr>
        <w:pStyle w:val="HorizontalLine"/>
        <w:spacing w:before="0" w:after="0"/>
        <w:rPr>
          <w:sz w:val="24"/>
          <w:szCs w:val="24"/>
        </w:rPr>
      </w:pPr>
      <w:r>
        <w:rPr>
          <w:sz w:val="24"/>
          <w:szCs w:val="24"/>
        </w:rPr>
      </w:r>
    </w:p>
    <w:p>
      <w:pPr>
        <w:pStyle w:val="Heading3"/>
        <w:spacing w:before="0" w:after="283"/>
        <w:rPr>
          <w:sz w:val="24"/>
          <w:szCs w:val="24"/>
        </w:rPr>
      </w:pPr>
      <w:r>
        <w:rPr>
          <w:sz w:val="24"/>
          <w:szCs w:val="24"/>
        </w:rPr>
        <w:t>9.2 Multi-Vector Expansion at 3100 BCE</w:t>
      </w:r>
    </w:p>
    <w:p>
      <w:pPr>
        <w:pStyle w:val="BodyText"/>
        <w:rPr/>
      </w:pPr>
      <w:r>
        <w:rPr/>
        <w:t>At unification, Egypt projected organised state capacity across a documented span of approximately 1,400 km—from Tel Lod near modern Tel Aviv in the northwest to the second cataract in modern Sudan in the south—simultaneously. The northern Levant: cedar from Byblos. The Canaanite coast: administrative colonies at Tel Erani and En Besor. The Negev interior: Narmer's serekh at Tel Arad, 400 km from the Nile Delta, reaching into arid territory for Dead Sea asphalt. The east: royal mining inscriptions at Wadi Ameyra in Sinai. The south: Egyptian authority eliminating the A-Group polity and reaching the second cataract. Before Narmer, only one serekh of Ka and one inscription of Iry-Hor had been found across all of Canaan. Under Narmer: approximately 20 serekhs across 8–9 Canaanite sites simultaneously, seven of which remain uncertain or controversial in the literature (van den Brink 1992; Braun 2009). No preceding period shows coordinated multi-directional projection at this geographic scale. This is what 700 years of internal formation produces at the moment of political consolidation.</w:t>
      </w:r>
    </w:p>
    <w:p>
      <w:pPr>
        <w:pStyle w:val="HorizontalLine"/>
        <w:spacing w:before="0" w:after="0"/>
        <w:rPr>
          <w:sz w:val="24"/>
          <w:szCs w:val="24"/>
        </w:rPr>
      </w:pPr>
      <w:r>
        <w:rPr>
          <w:sz w:val="24"/>
          <w:szCs w:val="24"/>
        </w:rPr>
      </w:r>
    </w:p>
    <w:p>
      <w:pPr>
        <w:pStyle w:val="Heading3"/>
        <w:spacing w:before="0" w:after="283"/>
        <w:rPr>
          <w:sz w:val="24"/>
          <w:szCs w:val="24"/>
        </w:rPr>
      </w:pPr>
      <w:r>
        <w:rPr>
          <w:sz w:val="24"/>
          <w:szCs w:val="24"/>
        </w:rPr>
        <w:t>9.3 The Trade Direction Reversal</w:t>
      </w:r>
    </w:p>
    <w:p>
      <w:pPr>
        <w:pStyle w:val="BodyText"/>
        <w:rPr/>
      </w:pPr>
      <w:r>
        <w:rPr/>
        <w:t>Tomb U-j at Abydos (ca. 3150 BCE): over 400 imported Levantine wine jars with grape residue confirmed by chemical analysis, over 150 ivory and bone labels bearing the earliest known Egyptian hieroglyphs, lapis lazuli from Afghanistan. The assemblage itself demonstrates significant administrative capacity and wealth concentration—the labels with the earliest hieroglyphs are evidence of the same organisational infrastructure documented in Section 10. But this capacity was directed inward: elite consumption management, archival record-keeping, and luxury procurement for a single court. By the reign of Narmer, Egyptian pottery was being produced in Canaan bearing his name. The diagnostic shift is not the scale of organisation—Tomb U-j already shows that—but its direction: from inward elite management to outward territorial colonial administration across a documented 1,400 km span simultaneously. That directional transformation in a single generation is archaeologically verifiable and requires no inference.</w:t>
      </w:r>
    </w:p>
    <w:p>
      <w:pPr>
        <w:pStyle w:val="HorizontalLine"/>
        <w:spacing w:before="0" w:after="0"/>
        <w:rPr>
          <w:sz w:val="24"/>
          <w:szCs w:val="24"/>
        </w:rPr>
      </w:pPr>
      <w:r>
        <w:rPr>
          <w:sz w:val="24"/>
          <w:szCs w:val="24"/>
        </w:rPr>
      </w:r>
    </w:p>
    <w:p>
      <w:pPr>
        <w:pStyle w:val="Heading3"/>
        <w:spacing w:before="0" w:after="283"/>
        <w:rPr>
          <w:sz w:val="24"/>
          <w:szCs w:val="24"/>
        </w:rPr>
      </w:pPr>
      <w:r>
        <w:rPr>
          <w:sz w:val="24"/>
          <w:szCs w:val="24"/>
        </w:rPr>
        <w:t>9.4 The Dynastic Race Theory: Corrected</w:t>
      </w:r>
    </w:p>
    <w:p>
      <w:pPr>
        <w:pStyle w:val="BodyText"/>
        <w:rPr/>
      </w:pPr>
      <w:r>
        <w:rPr/>
        <w:t>Flinders Petrie's Dynastic Race Theory held that a biologically distinct Mesopotamian group arrived by conquest and founded the First Dynasty. It is not accepted today. Ancient DNA research supports long-term Nile Valley population continuity combined with gradual gene flow, not wholesale population replacement. Petrie himself explicitly identified the 'Dynastic Race' with the 'Followers of Horus' (Petrie 1939: 77; Emery 1987). The corridor hypothesis retains the insight of external influence while correcting the source: western Saharan corridor migration with gradual demographic and cultural synthesis, not Mesopotamian conquest—exactly the pattern the aDNA evidence supports.</w:t>
      </w:r>
    </w:p>
    <w:p>
      <w:pPr>
        <w:pStyle w:val="HorizontalLine"/>
        <w:spacing w:before="0" w:after="0"/>
        <w:rPr>
          <w:sz w:val="24"/>
          <w:szCs w:val="24"/>
        </w:rPr>
      </w:pPr>
      <w:r>
        <w:rPr>
          <w:sz w:val="24"/>
          <w:szCs w:val="24"/>
        </w:rPr>
      </w:r>
    </w:p>
    <w:p>
      <w:pPr>
        <w:pStyle w:val="Heading3"/>
        <w:spacing w:before="0" w:after="283"/>
        <w:rPr>
          <w:sz w:val="24"/>
          <w:szCs w:val="24"/>
        </w:rPr>
      </w:pPr>
      <w:r>
        <w:rPr>
          <w:sz w:val="24"/>
          <w:szCs w:val="24"/>
        </w:rPr>
        <w:t>10. Writing: From Corridor Complexity to Administrative Control</w:t>
      </w:r>
    </w:p>
    <w:p>
      <w:pPr>
        <w:pStyle w:val="BodyText"/>
        <w:rPr/>
      </w:pPr>
      <w:r>
        <w:rPr/>
        <w:t>The earliest Egyptian hieroglyphs appear at Tomb U-j (Abydos, c. 3150 BCE) as a fully developed system: numerals, place names, royal titles, and administrative inventory records (Dreyer 1998). This appearance has long puzzled Egyptologists. The standard explanation—that earlier stages did not survive on perishable materials—is partially correct but insufficient. A more productive question is: what were the conditions that made a standardized writing system not merely possible but structurally necessary at precisely this moment, and not earlier?</w:t>
      </w:r>
    </w:p>
    <w:p>
      <w:pPr>
        <w:pStyle w:val="BodyText"/>
        <w:rPr/>
      </w:pPr>
      <w:r>
        <w:rPr/>
        <w:t>A terminological distinction is required at the outset. This section distinguishes between pre-writing symbolic systems—marks, tallies, iconography, and engravings that carry cultural meaning but do not demonstrably encode spoken language—and true writing, defined as a system capable of encoding linguistic elements. Egyptian hieroglyphs represent the transition point where a pre-existing symbolic system acquired linguistic capacity. Naqada pottery marks (c. 4000 BCE) and cylinder seal iconography are pre-writing in this sense. The U-j labels (c. 3150 BCE), which encode royal names through phonetic mechanisms, are the earliest currently documented crossing of that threshold in Egypt.</w:t>
      </w:r>
    </w:p>
    <w:p>
      <w:pPr>
        <w:pStyle w:val="BodyText"/>
        <w:rPr/>
      </w:pPr>
      <w:r>
        <w:rPr/>
        <w:t>The components of that transition existed long before 3150 BCE as separate, locally functioning systems. Symbolic representation: Naqada pottery marks (c. 4000 BCE) show repeated signs that would later become hieroglyphs (Regulski 2016). Shared administrative technology: cylinder seals used across Egypt, Nubia, and the Levant (c. 3480–3110 BCE) created a common visual vocabulary for controlling goods (Hill 2022). The Messak Settafet plateau in the Fezzan contains tens of thousands of rock engravings (c. 5000–3000 BCE) representing a rich symbolic tradition (Lutz and Lutz 1992; Le Quellec 2011). Their status as proto-writing in a strict linguistic sense is not claimed here. Kammerzell (2013) documents multiple speech communities coexisting in Archaic Egypt, showing traces of complex linguistic interaction in the earliest written sources—a demographic context consistent with corridor migration. What was missing was not these components. What was missing was the pressure that forced them to operate together simultaneously at state scale.</w:t>
      </w:r>
    </w:p>
    <w:p>
      <w:pPr>
        <w:pStyle w:val="BodyText"/>
        <w:rPr/>
      </w:pPr>
      <w:r>
        <w:rPr/>
        <w:t>That pressure came from what this paper terms corridor complexity—the interdependent demographic, economic, and symbolic systems created by converging migration and exchange. These components define its structural anatomy:</w:t>
      </w:r>
    </w:p>
    <w:p>
      <w:pPr>
        <w:pStyle w:val="BodyText"/>
        <w:numPr>
          <w:ilvl w:val="0"/>
          <w:numId w:val="1"/>
        </w:numPr>
        <w:tabs>
          <w:tab w:val="clear" w:pos="709"/>
          <w:tab w:val="left" w:pos="0" w:leader="none"/>
        </w:tabs>
        <w:ind w:hanging="283" w:start="709"/>
        <w:rPr/>
      </w:pPr>
      <w:r>
        <w:rPr>
          <w:rStyle w:val="Strong"/>
        </w:rPr>
        <w:t>Identity encoding</w:t>
      </w:r>
      <w:r>
        <w:rPr/>
        <w:t xml:space="preserve"> — linking goods to origin and authority (place names, royal titles)</w:t>
      </w:r>
    </w:p>
    <w:p>
      <w:pPr>
        <w:pStyle w:val="BodyText"/>
        <w:numPr>
          <w:ilvl w:val="0"/>
          <w:numId w:val="1"/>
        </w:numPr>
        <w:tabs>
          <w:tab w:val="clear" w:pos="709"/>
          <w:tab w:val="left" w:pos="0" w:leader="none"/>
        </w:tabs>
        <w:ind w:hanging="283" w:start="709"/>
        <w:rPr/>
      </w:pPr>
      <w:r>
        <w:rPr>
          <w:rStyle w:val="Strong"/>
        </w:rPr>
        <w:t>Sign standardization</w:t>
      </w:r>
      <w:r>
        <w:rPr/>
        <w:t xml:space="preserve"> — repeated administrative use enforces consistent forms (cylinder seals, pottery marks, tags)</w:t>
      </w:r>
    </w:p>
    <w:p>
      <w:pPr>
        <w:pStyle w:val="BodyText"/>
        <w:numPr>
          <w:ilvl w:val="0"/>
          <w:numId w:val="1"/>
        </w:numPr>
        <w:tabs>
          <w:tab w:val="clear" w:pos="709"/>
          <w:tab w:val="left" w:pos="0" w:leader="none"/>
        </w:tabs>
        <w:ind w:hanging="283" w:start="709"/>
        <w:rPr/>
      </w:pPr>
      <w:r>
        <w:rPr>
          <w:rStyle w:val="Strong"/>
        </w:rPr>
        <w:t>Material substrates</w:t>
      </w:r>
      <w:r>
        <w:rPr/>
        <w:t xml:space="preserve"> — wood, ivory, and tags constrain sign shapes, favouring linear-pictorial development distinct from cuneiform; the same administrative pressure in Mesopotamia produced wedge signs because clay was the available surface—identical pressures, different materials, independent scripts</w:t>
      </w:r>
    </w:p>
    <w:p>
      <w:pPr>
        <w:pStyle w:val="BodyText"/>
        <w:numPr>
          <w:ilvl w:val="0"/>
          <w:numId w:val="1"/>
        </w:numPr>
        <w:tabs>
          <w:tab w:val="clear" w:pos="709"/>
          <w:tab w:val="left" w:pos="0" w:leader="none"/>
        </w:tabs>
        <w:ind w:hanging="283" w:start="709"/>
        <w:rPr/>
      </w:pPr>
      <w:r>
        <w:rPr>
          <w:rStyle w:val="Strong"/>
        </w:rPr>
        <w:t>Information persistence</w:t>
      </w:r>
      <w:r>
        <w:rPr/>
        <w:t xml:space="preserve"> — human memory fails when transactions are delayed, actors distributed, quantities large, and authority indirect; writing becomes externalized cognitive storage</w:t>
      </w:r>
    </w:p>
    <w:p>
      <w:pPr>
        <w:pStyle w:val="BodyText"/>
        <w:numPr>
          <w:ilvl w:val="0"/>
          <w:numId w:val="1"/>
        </w:numPr>
        <w:tabs>
          <w:tab w:val="clear" w:pos="709"/>
          <w:tab w:val="left" w:pos="0" w:leader="none"/>
        </w:tabs>
        <w:ind w:hanging="283" w:start="709"/>
        <w:rPr/>
      </w:pPr>
      <w:r>
        <w:rPr>
          <w:rStyle w:val="Strong"/>
        </w:rPr>
        <w:t>Auditability</w:t>
      </w:r>
      <w:r>
        <w:rPr/>
        <w:t xml:space="preserve"> — tamper-evident sealings allow verification, theft prevention, and dispute resolution across distances</w:t>
      </w:r>
    </w:p>
    <w:p>
      <w:pPr>
        <w:pStyle w:val="BodyText"/>
        <w:numPr>
          <w:ilvl w:val="0"/>
          <w:numId w:val="1"/>
        </w:numPr>
        <w:tabs>
          <w:tab w:val="clear" w:pos="709"/>
          <w:tab w:val="left" w:pos="0" w:leader="none"/>
        </w:tabs>
        <w:ind w:hanging="283" w:start="709"/>
        <w:rPr/>
      </w:pPr>
      <w:r>
        <w:rPr>
          <w:rStyle w:val="Strong"/>
        </w:rPr>
        <w:t>Labour specialization</w:t>
      </w:r>
      <w:r>
        <w:rPr/>
        <w:t xml:space="preserve"> — the complexity of early writing systems required specialists, producing proto-scribal roles embedded in elite institutions—a new control class</w:t>
      </w:r>
    </w:p>
    <w:p>
      <w:pPr>
        <w:pStyle w:val="BodyText"/>
        <w:numPr>
          <w:ilvl w:val="0"/>
          <w:numId w:val="1"/>
        </w:numPr>
        <w:tabs>
          <w:tab w:val="clear" w:pos="709"/>
          <w:tab w:val="left" w:pos="0" w:leader="none"/>
        </w:tabs>
        <w:ind w:hanging="283" w:start="709"/>
        <w:rPr/>
      </w:pPr>
      <w:r>
        <w:rPr>
          <w:rStyle w:val="Strong"/>
        </w:rPr>
        <w:t>Demography</w:t>
      </w:r>
      <w:r>
        <w:rPr/>
        <w:t xml:space="preserve"> — corridor migration increased population diversity, driving administrative complexity across linguistic communities (Kammerzell 2013)</w:t>
      </w:r>
    </w:p>
    <w:p>
      <w:pPr>
        <w:pStyle w:val="BodyText"/>
        <w:numPr>
          <w:ilvl w:val="0"/>
          <w:numId w:val="1"/>
        </w:numPr>
        <w:tabs>
          <w:tab w:val="clear" w:pos="709"/>
          <w:tab w:val="left" w:pos="0" w:leader="none"/>
        </w:tabs>
        <w:ind w:hanging="283" w:start="709"/>
        <w:rPr/>
      </w:pPr>
      <w:r>
        <w:rPr>
          <w:rStyle w:val="Strong"/>
        </w:rPr>
        <w:t>Trade networks</w:t>
      </w:r>
      <w:r>
        <w:rPr/>
        <w:t xml:space="preserve"> — long-distance exchange (cedar from Lebanon, lapis lazuli from Afghanistan, ivory and gold from Nubia) required durable records independent of the individuals who moved the goods</w:t>
      </w:r>
    </w:p>
    <w:p>
      <w:pPr>
        <w:pStyle w:val="BodyText"/>
        <w:numPr>
          <w:ilvl w:val="0"/>
          <w:numId w:val="1"/>
        </w:numPr>
        <w:tabs>
          <w:tab w:val="clear" w:pos="709"/>
          <w:tab w:val="left" w:pos="0" w:leader="none"/>
        </w:tabs>
        <w:ind w:hanging="283" w:start="709"/>
        <w:rPr/>
      </w:pPr>
      <w:r>
        <w:rPr>
          <w:rStyle w:val="Strong"/>
        </w:rPr>
        <w:t>Cylinder seal infrastructure</w:t>
      </w:r>
      <w:r>
        <w:rPr/>
        <w:t xml:space="preserve"> — Hill (2022) documents a glyptic continuum from Naqada IId (c. 3480 BCE) to Dynasty 0 (c. 3110 BCE) across Egypt, A-Group Nubia, and 'En Besor in southern Palestine—a shared administrative technology spanning the corridor's full geographic reach before writing crystallised</w:t>
      </w:r>
    </w:p>
    <w:p>
      <w:pPr>
        <w:pStyle w:val="BodyText"/>
        <w:numPr>
          <w:ilvl w:val="0"/>
          <w:numId w:val="1"/>
        </w:numPr>
        <w:tabs>
          <w:tab w:val="clear" w:pos="709"/>
          <w:tab w:val="left" w:pos="0" w:leader="none"/>
        </w:tabs>
        <w:ind w:hanging="283" w:start="709"/>
        <w:rPr/>
      </w:pPr>
      <w:r>
        <w:rPr>
          <w:rStyle w:val="Strong"/>
        </w:rPr>
        <w:t>Elite institutions</w:t>
      </w:r>
      <w:r>
        <w:rPr/>
        <w:t xml:space="preserve"> — centralized redistributive systems (HK6 elite tombs, Tomb U-j) required persistent, verifiable records of goods and authority; writing emerged within power structures, not as a social communication tool</w:t>
      </w:r>
    </w:p>
    <w:p>
      <w:pPr>
        <w:pStyle w:val="BodyText"/>
        <w:numPr>
          <w:ilvl w:val="0"/>
          <w:numId w:val="1"/>
        </w:numPr>
        <w:tabs>
          <w:tab w:val="clear" w:pos="709"/>
          <w:tab w:val="left" w:pos="0" w:leader="none"/>
        </w:tabs>
        <w:ind w:hanging="283" w:start="709"/>
        <w:rPr/>
      </w:pPr>
      <w:r>
        <w:rPr>
          <w:rStyle w:val="Strong"/>
        </w:rPr>
        <w:t>Territorial administration</w:t>
      </w:r>
      <w:r>
        <w:rPr/>
        <w:t xml:space="preserve"> — control of geographic domains required place-signs encoding specific regions, contributing toponyms to the earliest hieroglyphic inventory</w:t>
      </w:r>
    </w:p>
    <w:p>
      <w:pPr>
        <w:pStyle w:val="BodyText"/>
        <w:numPr>
          <w:ilvl w:val="0"/>
          <w:numId w:val="1"/>
        </w:numPr>
        <w:tabs>
          <w:tab w:val="clear" w:pos="709"/>
          <w:tab w:val="left" w:pos="0" w:leader="none"/>
        </w:tabs>
        <w:ind w:hanging="283" w:start="709"/>
        <w:rPr/>
      </w:pPr>
      <w:r>
        <w:rPr>
          <w:rStyle w:val="Strong"/>
        </w:rPr>
        <w:t>Logistical complexity</w:t>
      </w:r>
      <w:r>
        <w:rPr/>
        <w:t xml:space="preserve"> — spatial separation between production, storage, and consumption required durable transportable records; when goods travel further than memory can follow, writing becomes necessary</w:t>
      </w:r>
    </w:p>
    <w:p>
      <w:pPr>
        <w:pStyle w:val="BodyText"/>
        <w:rPr/>
      </w:pPr>
      <w:r>
        <w:rPr/>
        <w:t>What follows is not a linear narrative of invention but a model of administrative convergence. Writing appears when multiple pre-existing systems—symbolic, economic, and institutional—must operate together at scale simultaneously. The corridor did not provide writing; it provided the complexity that made writing structurally necessary.</w:t>
      </w:r>
    </w:p>
    <w:p>
      <w:pPr>
        <w:pStyle w:val="BodyText"/>
        <w:rPr/>
      </w:pPr>
      <w:r>
        <w:rPr/>
        <w:t>The answer to the timing question—why 3150 BCE and not 3400 or 3600—follows directly from this framework. Each component existed earlier in locally functioning form. Naqada marks were in use. Cylinder seals were circulating. Trade networks were operating. Elite institutions were forming. What political unification at c. 3100 BCE imposed was the requirement that all of these systems operate together simultaneously across a unified territory. The components did not need to be invented. They needed to be made interdependent. That interdependence is what writing formalised. The same convergence dynamic explains why Mesopotamia reached the writing threshold earlier: urbanisation and temple economies forced administrative interdependence at scale before Egyptian corridor complexity did. Identical mechanism, different timing, independent development.</w:t>
      </w:r>
    </w:p>
    <w:p>
      <w:pPr>
        <w:pStyle w:val="BodyText"/>
        <w:rPr/>
      </w:pPr>
      <w:r>
        <w:rPr/>
        <w:t>The transition from administrative notation to true writing—the linguistic activation moment—is visible in the U-j assemblage itself. The earliest labels encode quantities and place-signs, which require no phonetic capacity. But they also encode royal names, which do: a sign cannot simply picture a name; it must encode its sound. This is the rebus principle, the mechanism by which symbolic systems acquire phonetic capacity. The U-j tags show it already operational at 3150 BCE. Here the corridor hypothesis makes its most specific contribution to the writing question: corridor migration generated the documented demographic reality of multiple speech communities coexisting in Archaic Egypt (Kammerzell 2013). Any administrative system attempting to track named individuals, territorial authority, and goods across linguistically diverse populations faces a structural pressure the rebus principle resolves. Generic administrative convergence—which any sufficiently complex polity might generate—does not explain why phonetic encoding would be necessary. Linguistic diversity does: when names cannot be pictured and must be sound-encoded across community boundaries, phonetic writing becomes the solution. The corridor hypothesis proposes a specific mechanism: corridor migration generated the documented multilingual demographic reality of Archaic Egypt (Kammerzell 2013), and phonetic encoding solved the administrative problem that multilingualism creates. This is a research proposition—the demographic diversity is documented; whether corridor migration was its decisive phonetic catalyst awaits further empirical grounding.</w:t>
      </w:r>
    </w:p>
    <w:p>
      <w:pPr>
        <w:pStyle w:val="BodyText"/>
        <w:rPr/>
      </w:pPr>
      <w:r>
        <w:rPr/>
        <w:t>Writing did not begin primarily as language. It began as control. The U-j tomb labels exemplify the result: a system encoding quantities, place names, royal identity, and phonetically represented proper nouns (Dreyer 1998). Once established, writing functioned as a feedback mechanism—enabling more complex administration, which required more writing, which enabled further territorial and economic expansion. The administrative threshold was not merely crossed. It became self-reinforcing. The corridor evolved:</w:t>
      </w:r>
    </w:p>
    <w:p>
      <w:pPr>
        <w:pStyle w:val="BodyText"/>
        <w:numPr>
          <w:ilvl w:val="0"/>
          <w:numId w:val="2"/>
        </w:numPr>
        <w:tabs>
          <w:tab w:val="clear" w:pos="709"/>
          <w:tab w:val="left" w:pos="0" w:leader="none"/>
        </w:tabs>
        <w:ind w:hanging="283" w:start="709"/>
        <w:rPr/>
      </w:pPr>
      <w:r>
        <w:rPr>
          <w:rStyle w:val="Strong"/>
        </w:rPr>
        <w:t>3800–3400 BCE</w:t>
      </w:r>
      <w:r>
        <w:rPr/>
        <w:t xml:space="preserve"> → pastoralist mobility and demographic diversification</w:t>
      </w:r>
    </w:p>
    <w:p>
      <w:pPr>
        <w:pStyle w:val="BodyText"/>
        <w:numPr>
          <w:ilvl w:val="0"/>
          <w:numId w:val="2"/>
        </w:numPr>
        <w:tabs>
          <w:tab w:val="clear" w:pos="709"/>
          <w:tab w:val="left" w:pos="0" w:leader="none"/>
        </w:tabs>
        <w:ind w:hanging="283" w:start="709"/>
        <w:rPr/>
      </w:pPr>
      <w:r>
        <w:rPr>
          <w:rStyle w:val="Strong"/>
        </w:rPr>
        <w:t>3400–3200 BCE</w:t>
      </w:r>
      <w:r>
        <w:rPr/>
        <w:t xml:space="preserve"> → trade intensification and cylinder seal infrastructure expansion</w:t>
      </w:r>
    </w:p>
    <w:p>
      <w:pPr>
        <w:pStyle w:val="BodyText"/>
        <w:numPr>
          <w:ilvl w:val="0"/>
          <w:numId w:val="2"/>
        </w:numPr>
        <w:tabs>
          <w:tab w:val="clear" w:pos="709"/>
          <w:tab w:val="left" w:pos="0" w:leader="none"/>
        </w:tabs>
        <w:ind w:hanging="283" w:start="709"/>
        <w:rPr/>
      </w:pPr>
      <w:r>
        <w:rPr>
          <w:rStyle w:val="Strong"/>
        </w:rPr>
        <w:t>3200–3100 BCE</w:t>
      </w:r>
      <w:r>
        <w:rPr/>
        <w:t xml:space="preserve"> → political consolidation, territorial integration, system crystallization</w:t>
      </w:r>
    </w:p>
    <w:p>
      <w:pPr>
        <w:pStyle w:val="BodyText"/>
        <w:rPr/>
      </w:pPr>
      <w:r>
        <w:rPr/>
        <w:t>Writing emerged not when components existed individually but when they were required to operate together. Writing was not humanity's first script for language. It was its first algorithm for power.</w:t>
      </w:r>
    </w:p>
    <w:p>
      <w:pPr>
        <w:pStyle w:val="BodyText"/>
        <w:rPr/>
      </w:pPr>
      <w:r>
        <w:rPr/>
        <w:t>Note: This section introduces a framework linking 'corridor complexity' to the emergence of Egyptian hieroglyphs (c. 3150 BCE), building on established administrative complexity models (Dreyer 1998; Regulski 2016; Hill 2022). The same convergence pattern—symbolic density, economic scale, logistical complexity, and institutional control converging within an interconnected regional network—appears independently in Mesopotamia and Proto-Elamite Iran, indicating that early writing systems emerge as administrative technologies rather than through linear invention or direct transmission. The corridor's specific contribution was not the provision of symbols but the generation of the demographic and logistical complexity that made their formalization structurally necessary.</w:t>
      </w:r>
    </w:p>
    <w:p>
      <w:pPr>
        <w:pStyle w:val="HorizontalLine"/>
        <w:spacing w:before="0" w:after="0"/>
        <w:rPr>
          <w:sz w:val="24"/>
          <w:szCs w:val="24"/>
        </w:rPr>
      </w:pPr>
      <w:r>
        <w:rPr>
          <w:sz w:val="24"/>
          <w:szCs w:val="24"/>
        </w:rPr>
      </w:r>
    </w:p>
    <w:p>
      <w:pPr>
        <w:pStyle w:val="Heading3"/>
        <w:spacing w:before="0" w:after="283"/>
        <w:rPr>
          <w:sz w:val="24"/>
          <w:szCs w:val="24"/>
        </w:rPr>
      </w:pPr>
      <w:r>
        <w:rPr>
          <w:sz w:val="24"/>
          <w:szCs w:val="24"/>
        </w:rPr>
        <w:t>11. The Kerma Continuity: The Corridor Remained Active</w:t>
      </w:r>
    </w:p>
    <w:p>
      <w:pPr>
        <w:pStyle w:val="BodyText"/>
        <w:rPr/>
      </w:pPr>
      <w:r>
        <w:rPr/>
        <w:t>Recent excavations in the Bayuda Desert of Sudan (Badura et al. 2025) document ritual traditions traceable to the A-Group—Egypt's peer culture during the Shemsu Hor window—persisting into the Kerma Culture (ca. 2050–1750 BCE). Full documentation appears in Paper II. The finding is noted here because it confirms that the corridor remained culturally active across the full duration of the Shemsu Hor period and its aftermath. The Kerma heartland lies along the proposed corridor. The Bayuda Desert, where the burial was excavated, is the region through which migrating populations would have transited en route to the Nile. The practice of placing vessels upside-down in graves is documented from A-Group (ca. 3700–2800 BCE) through C-Group (ca. 2500–1500 BCE) to Kerma (ca. 2050–1750 BCE)—a ritual continuity spanning over a millennium after the Shemsu Hor period ends.</w:t>
      </w:r>
    </w:p>
    <w:p>
      <w:pPr>
        <w:pStyle w:val="HorizontalLine"/>
        <w:spacing w:before="0" w:after="0"/>
        <w:rPr>
          <w:sz w:val="24"/>
          <w:szCs w:val="24"/>
        </w:rPr>
      </w:pPr>
      <w:r>
        <w:rPr>
          <w:sz w:val="24"/>
          <w:szCs w:val="24"/>
        </w:rPr>
      </w:r>
    </w:p>
    <w:p>
      <w:pPr>
        <w:pStyle w:val="Heading3"/>
        <w:spacing w:before="0" w:after="283"/>
        <w:rPr>
          <w:sz w:val="24"/>
          <w:szCs w:val="24"/>
        </w:rPr>
      </w:pPr>
      <w:r>
        <w:rPr>
          <w:sz w:val="24"/>
          <w:szCs w:val="24"/>
        </w:rPr>
        <w:t>PART V: THE TEST</w:t>
      </w:r>
    </w:p>
    <w:p>
      <w:pPr>
        <w:pStyle w:val="BodyText"/>
        <w:rPr/>
      </w:pPr>
      <w:r>
        <w:rPr/>
        <w:t>A hypothesis that cannot be evaluated against alternatives and tested against predictions is not science. What follows names the strongest alternative, shows where it falls short, compares all major frameworks against all six evidence lines, states the limitations of this model honestly, and presents nine falsifiable predictions. Prediction 6 is already consistent with the published record. The decisive tests are Predictions 1, 2, 7, and 8.</w:t>
      </w:r>
    </w:p>
    <w:p>
      <w:pPr>
        <w:pStyle w:val="BodyText"/>
        <w:rPr/>
      </w:pPr>
      <w:r>
        <w:rPr/>
        <w:t>A note on epistemic status. —spanning distinct methodological domains: physical geography, genetics, archaeology, archaeoastronomy, textual analysis, and structural chronology—converge consistently with the corridor migration model. Two of these lines share a terminal boundary (the textual Shemsu Hor category and the archaeological state-formation threshold both describe the opening of legible Egyptian history at 3100 BCE; they are two descriptions of one event, not two independent chronologies). The genuinely independent convergences are the climate record, the genetic endpoints, the astronomical survey data, and the geographic and narrative content of the textual tradition. The Wedjat framework (Sections 1.3–2.5) is not counted among the six primary evidence lines used for consilience: as a mechanism argument, it addresses how cultural continuity was maintained, not whether the migration occurred. Its documented numerical correspondence between the construction protocol and the Wedjat sequence (Sections 1.2 and 2.5) is a verifiable fact in published sources, but is assessed separately from the consilience claim. The consilience claim rests on those six lines. This convergence is not offered as proof. It is offered as consilience: the corridor model currently provides the most parsimonious integrated account of all six lines without requiring independent ad hoc mechanisms for each—though this assessment is subject to revision as alternative models are more fully developed. Each alternative explanation evaluated in Section 14 handles one or two lines and requires separate explanatory mechanisms for the rest. The migration model handles all six with a single historical process. That comparative parsimony is not demonstration—it is the argument that the decisive tests are worth running. Predictions 1, 2, 7, and 8 will determine whether the consilience reflects a real historical event or a coincidence of independent processes. Until those results are in, "convergent" and "consistent with" are the correct framings. "Demonstrated" is not.</w:t>
      </w:r>
    </w:p>
    <w:p>
      <w:pPr>
        <w:pStyle w:val="HorizontalLine"/>
        <w:spacing w:before="0" w:after="0"/>
        <w:rPr>
          <w:sz w:val="24"/>
          <w:szCs w:val="24"/>
        </w:rPr>
      </w:pPr>
      <w:r>
        <w:rPr>
          <w:sz w:val="24"/>
          <w:szCs w:val="24"/>
        </w:rPr>
      </w:r>
    </w:p>
    <w:p>
      <w:pPr>
        <w:pStyle w:val="Heading3"/>
        <w:spacing w:before="0" w:after="283"/>
        <w:rPr>
          <w:sz w:val="24"/>
          <w:szCs w:val="24"/>
        </w:rPr>
      </w:pPr>
      <w:r>
        <w:rPr>
          <w:sz w:val="24"/>
          <w:szCs w:val="24"/>
        </w:rPr>
        <w:t>12. The Structural Memory Model: The Strongest Alternative</w:t>
      </w:r>
    </w:p>
    <w:p>
      <w:pPr>
        <w:pStyle w:val="BodyText"/>
        <w:rPr/>
      </w:pPr>
      <w:r>
        <w:rPr/>
        <w:t>One clarification is important before evaluating the strongest alternative. The actual mainstream Egyptological consensus, following Sethe (1902) and Frankfort (1978), does not claim the Shemsu Hor were invented during state formation. Sethe identified them as the prehistoric rulers of Upper and Lower Egypt at Nekhen and Pe; Frankfort (1978) established the Souls of Pe and Nekhen—the mainstream identification for the Shemsu Hor—as real ancestral figures of the pharaohs, first attested in the Pyramid Texts. The mainstream position is: the Shemsu Hor were real Predynastic figures whose specific historical origins are unknown. The corridor hypothesis converges with this identification rather than competing with it. The question the mainstream leaves open—where the Horus cult at Hierakonpolis came from, and who these Predynastic figures were—is precisely the question this paper addresses. The model evaluated below represents the strongest logical form of the legitimation argument; it is not a position any major Egyptologist explicitly holds in this precise form, but its components are the objections a legitimation-minded reader would raise. Evaluated at its strongest, the model still fails on five counts.</w:t>
      </w:r>
    </w:p>
    <w:p>
      <w:pPr>
        <w:pStyle w:val="BodyText"/>
        <w:rPr/>
      </w:pPr>
      <w:r>
        <w:rPr/>
        <w:t>The most coherent alternative to the migration hypothesis is the Structural Memory Model. Its argument is this: the Shemsu Hor category was constructed during Naqada III–Dynasty I state formation to legitimate the Horus dynasty by retrojecting its cult into a pre-dynastic ancestral past. Under this model, the tripartite king-list schema is a cross-cultural legitimation pattern; the archival specificity of Thutmose I and Dendera is standard legitimation rhetoric; and the Nuwayrat genome reflects long-term Neolithic population continuity rather than a discrete migration event. This model is coherent. It deserves serious treatment. It fails on five counts.</w:t>
      </w:r>
    </w:p>
    <w:p>
      <w:pPr>
        <w:pStyle w:val="BodyText"/>
        <w:rPr/>
      </w:pPr>
      <w:r>
        <w:rPr/>
        <w:t>First, the model provides no mechanism for the western directionality. Every other Egyptian legitimation framework—solar theology, Osiris myth, divine birth, the dual crowns—points east, south, or to the celestial realm. The western specificity in both the Shemsu Hor textual tradition and the Edfu Building Texts has no parallel in Egyptian legitimation rhetoric. Why would state-formation legitimation invoke a specifically western ancestral homeland? The migration model provides a direct answer. The Structural Memory Model requires an additional explanation.</w:t>
      </w:r>
    </w:p>
    <w:p>
      <w:pPr>
        <w:pStyle w:val="BodyText"/>
        <w:rPr/>
      </w:pPr>
      <w:r>
        <w:rPr/>
        <w:t xml:space="preserve">Second, the model cannot account for the material evidence at HK6. The Bat cow goddess emblem, </w:t>
      </w:r>
      <w:r>
        <w:rPr>
          <w:rStyle w:val="Emphasis"/>
        </w:rPr>
        <w:t>Balanites aegyptiaca</w:t>
      </w:r>
      <w:r>
        <w:rPr/>
        <w:t xml:space="preserve"> offerings, livestock horn modification practices (Van Neer et al. 2024), and morphological diversity at Hierakonpolis are physical facts. They are not textual constructs. They precede the state-building period the Structural Memory Model invokes as its origin point. Legitimation rhetoric is produced after state formation. These markers appear at HK6 before it.</w:t>
      </w:r>
    </w:p>
    <w:p>
      <w:pPr>
        <w:pStyle w:val="BodyText"/>
        <w:rPr/>
      </w:pPr>
      <w:r>
        <w:rPr/>
        <w:t>Third, the model requires Egyptian scribes to specifically claim the existence of recoverable archival objects—written annals, goatskin scrolls, architectural plans—as part of a legitimation strategy. This is an unusual claim. Generic legitimation rhetoric invokes ancestral authority in general terms. It does not typically claim that specific documents from that ancestral period can be found and consulted. The functional specificity of the Shemsu Hor archival references requires either that such documents existed, or that scribes were fabricating a specific archival claim. Both possibilities carry historical implications.</w:t>
      </w:r>
    </w:p>
    <w:p>
      <w:pPr>
        <w:pStyle w:val="BodyText"/>
        <w:rPr/>
      </w:pPr>
      <w:r>
        <w:rPr/>
        <w:t>Fourth, the model treats the convergence of six independent evidence lines—textual, astronomical, archaeological, genetic, paleohydrological, and structural—on the same 700-year window as coincidence. The migration model explains this convergence through a single historical process. Occam's razor favours the explanation requiring fewer independent coincidences.</w:t>
      </w:r>
    </w:p>
    <w:p>
      <w:pPr>
        <w:pStyle w:val="BodyText"/>
        <w:rPr/>
      </w:pPr>
      <w:r>
        <w:rPr/>
        <w:t>Fifth, the most recently published genomic evidence falls outside the Structural Memory Model's predictive scope. The Salem et al. (2025) finding—a genetically isolated, coherent North African Neolithic lineage at Takarkori, distributed across the AHP-era Fezzan corridor—is precisely the kind of bounded source population the migration model requires. The Structural Memory Model, which posits internal legitimation dynamics, has no framework for predicting or explaining this finding. The corridor migration hypothesis predicted this type of source population signal and provides a direct account of its downstream implications.</w:t>
      </w:r>
    </w:p>
    <w:p>
      <w:pPr>
        <w:pStyle w:val="BodyText"/>
        <w:rPr/>
      </w:pPr>
      <w:r>
        <w:rPr/>
        <w:t xml:space="preserve">One clarification on the relationship between these models: they are not mutually exclusive. Both can be true simultaneously. Corridor migration could have occurred AND the Shemsu Hor category could have been formalized and amplified by later Egyptian state institutions for legitimation purposes. Every real historical memory receives institutional elaboration over time. The Hebrew Bible preserves genuine Bronze Age geography while also serving theological purposes. The </w:t>
      </w:r>
      <w:r>
        <w:rPr>
          <w:rStyle w:val="Emphasis"/>
        </w:rPr>
        <w:t>Iliad</w:t>
      </w:r>
      <w:r>
        <w:rPr/>
        <w:t xml:space="preserve"> preserves a real war while also serving political functions. The question is not whether the Shemsu Hor tradition was elaborated—of course it was, across 3,000 years. The question is whether there is a real historical population at its base. The HK6 material evidence, the genomic endpoints, and the non-optional king-list slot all point to yes. The corridor hypothesis identifies who those real figures were and where they came from. The legitimation tradition preserved and amplified that memory. These are sequential layers of the same history, not competing explanations.</w:t>
      </w:r>
    </w:p>
    <w:p>
      <w:pPr>
        <w:pStyle w:val="BodyText"/>
        <w:rPr/>
      </w:pPr>
      <w:r>
        <w:rPr/>
        <w:t xml:space="preserve">One further alternative requires direct engagement, raised by several reviewers: the Egyptian Western Desert model. Under this reading, the relevant migration was not from the far western Sahara via the Fezzan corridor but from the Egyptian Sahara itself—Nabta Playa, Dakhla, and Kharga, all documented pastoralist occupation zones that aridified and pushed populations eastward toward the Nile. This alternative accounts for the HK6 material markers (cattle culture, horn modification, </w:t>
      </w:r>
      <w:r>
        <w:rPr>
          <w:rStyle w:val="Emphasis"/>
        </w:rPr>
        <w:t>Balanites</w:t>
      </w:r>
      <w:r>
        <w:rPr/>
        <w:t xml:space="preserve"> offerings are all attested at Nabta Playa), the Canopus gradient (Nabta Playa is at 22.5°N, within the Canopus-visible zone), and basic Saharan-to-Nile population movement. It is more parsimonious in geographic terms and is consistent with established Egyptian archaeology.</w:t>
      </w:r>
    </w:p>
    <w:p>
      <w:pPr>
        <w:pStyle w:val="BodyText"/>
        <w:rPr/>
      </w:pPr>
      <w:r>
        <w:rPr>
          <w:rStyle w:val="Strong"/>
        </w:rPr>
        <w:t>What the Nabta Playa Model Explains:</w:t>
      </w:r>
    </w:p>
    <w:tbl>
      <w:tblPr>
        <w:tblW w:w="9972" w:type="dxa"/>
        <w:jc w:val="start"/>
        <w:tblInd w:w="0" w:type="dxa"/>
        <w:tblLayout w:type="fixed"/>
        <w:tblCellMar>
          <w:top w:w="28" w:type="dxa"/>
          <w:start w:w="28" w:type="dxa"/>
          <w:bottom w:w="28" w:type="dxa"/>
          <w:end w:w="28" w:type="dxa"/>
        </w:tblCellMar>
      </w:tblPr>
      <w:tblGrid>
        <w:gridCol w:w="2053"/>
        <w:gridCol w:w="7919"/>
      </w:tblGrid>
      <w:tr>
        <w:trPr>
          <w:tblHeader w:val="true"/>
        </w:trPr>
        <w:tc>
          <w:tcPr>
            <w:tcW w:w="2053" w:type="dxa"/>
            <w:tcBorders>
              <w:top w:val="single" w:sz="4" w:space="0" w:color="BBBBBB"/>
              <w:start w:val="single" w:sz="4" w:space="0" w:color="BBBBBB"/>
              <w:bottom w:val="single" w:sz="4" w:space="0" w:color="BBBBBB"/>
              <w:end w:val="single" w:sz="4" w:space="0" w:color="BBBBBB"/>
            </w:tcBorders>
            <w:vAlign w:val="center"/>
          </w:tcPr>
          <w:p>
            <w:pPr>
              <w:pStyle w:val="TableHeading"/>
              <w:rPr/>
            </w:pPr>
            <w:r>
              <w:rPr/>
              <w:t>Evidence Line</w:t>
            </w:r>
          </w:p>
        </w:tc>
        <w:tc>
          <w:tcPr>
            <w:tcW w:w="7919" w:type="dxa"/>
            <w:tcBorders>
              <w:top w:val="single" w:sz="4" w:space="0" w:color="BBBBBB"/>
              <w:start w:val="single" w:sz="4" w:space="0" w:color="BBBBBB"/>
              <w:bottom w:val="single" w:sz="4" w:space="0" w:color="BBBBBB"/>
              <w:end w:val="single" w:sz="4" w:space="0" w:color="BBBBBB"/>
            </w:tcBorders>
            <w:vAlign w:val="center"/>
          </w:tcPr>
          <w:p>
            <w:pPr>
              <w:pStyle w:val="TableHeading"/>
              <w:rPr/>
            </w:pPr>
            <w:r>
              <w:rPr/>
              <w:t>Nabta Playa Model</w:t>
            </w:r>
          </w:p>
        </w:tc>
      </w:tr>
      <w:tr>
        <w:trPr/>
        <w:tc>
          <w:tcPr>
            <w:tcW w:w="2053"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HK6 material markers</w:t>
            </w:r>
          </w:p>
        </w:tc>
        <w:tc>
          <w:tcPr>
            <w:tcW w:w="7919"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 xml:space="preserve">Yes—cattle cult, horn modification, </w:t>
            </w:r>
            <w:r>
              <w:rPr>
                <w:rStyle w:val="Emphasis"/>
              </w:rPr>
              <w:t>Balanites</w:t>
            </w:r>
            <w:r>
              <w:rPr/>
              <w:t xml:space="preserve"> all attested at Nabta</w:t>
            </w:r>
          </w:p>
        </w:tc>
      </w:tr>
      <w:tr>
        <w:trPr/>
        <w:tc>
          <w:tcPr>
            <w:tcW w:w="2053"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Canopus gradient</w:t>
            </w:r>
          </w:p>
        </w:tc>
        <w:tc>
          <w:tcPr>
            <w:tcW w:w="7919"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Partial—Nabta at 22.5°N sees Canopus at ~12°, but does not explain why the orientation tradition persists for 2,000 years or tracks precession</w:t>
            </w:r>
          </w:p>
        </w:tc>
      </w:tr>
      <w:tr>
        <w:trPr/>
        <w:tc>
          <w:tcPr>
            <w:tcW w:w="2053"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Shemsu Hor textual tradition</w:t>
            </w:r>
          </w:p>
        </w:tc>
        <w:tc>
          <w:tcPr>
            <w:tcW w:w="7919"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No—Nabta Playa has no textual tradition linking it to the Shemsu Hor category</w:t>
            </w:r>
          </w:p>
        </w:tc>
      </w:tr>
      <w:tr>
        <w:trPr/>
        <w:tc>
          <w:tcPr>
            <w:tcW w:w="2053"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Genetic endpoints</w:t>
            </w:r>
          </w:p>
        </w:tc>
        <w:tc>
          <w:tcPr>
            <w:tcW w:w="7919"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No—the Nuwayrat genome's Moroccan Neolithic ancestry is not explained by Nabta Playa populations</w:t>
            </w:r>
          </w:p>
        </w:tc>
      </w:tr>
      <w:tr>
        <w:trPr/>
        <w:tc>
          <w:tcPr>
            <w:tcW w:w="2053"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Edfu migration narrative</w:t>
            </w:r>
          </w:p>
        </w:tc>
        <w:tc>
          <w:tcPr>
            <w:tcW w:w="7919"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No—Nabta Playa is not "the Far West" of the Edfu texts (it is Egyptian territory, not western)</w:t>
            </w:r>
          </w:p>
        </w:tc>
      </w:tr>
      <w:tr>
        <w:trPr/>
        <w:tc>
          <w:tcPr>
            <w:tcW w:w="2053"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Archival specificity</w:t>
            </w:r>
          </w:p>
        </w:tc>
        <w:tc>
          <w:tcPr>
            <w:tcW w:w="7919"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No—Nabta Playa has no documented tradition of archives or written records</w:t>
            </w:r>
          </w:p>
        </w:tc>
      </w:tr>
    </w:tbl>
    <w:p>
      <w:pPr>
        <w:pStyle w:val="BodyText"/>
        <w:rPr/>
      </w:pPr>
      <w:r>
        <w:rPr/>
        <w:t xml:space="preserve">Where the Nabta Playa model fails most decisively is on the genetic evidence. Morez Jacobs et al. (2025) model the Nuwayrat genome's dominant ancestry component as best-fitted by Moroccan Neolithic reference populations among all North African and West Asian Neolithic sources tested—representing a deep North African Neolithic lineage documented continuously from Morocco through the Takarkori site in Libya along the proposed corridor route, thousands of kilometres west of the Egyptian Western Desert. Salem et al. (2025) document this lineage at Takarkori, a corridor-zone site in the Fezzan. The Nabta Playa model cannot explain why a Nile Valley Old Kingdom genome shows affinity to Moroccan Neolithic populations unless those populations moved along the corridor route that passes through Libya (Takarkori) and into Egypt. Nabta Playa is geographically closer to the Nile, but its population's genetic signature is unknown—and the corridor model's prediction is that it would match the Takarkori lineage if sampled, which would </w:t>
      </w:r>
      <w:r>
        <w:rPr>
          <w:rStyle w:val="Emphasis"/>
        </w:rPr>
        <w:t>support</w:t>
      </w:r>
      <w:r>
        <w:rPr/>
        <w:t xml:space="preserve"> the corridor model rather than replace it.</w:t>
      </w:r>
    </w:p>
    <w:p>
      <w:pPr>
        <w:pStyle w:val="BodyText"/>
        <w:rPr/>
      </w:pPr>
      <w:r>
        <w:rPr/>
        <w:t>The decisive test between these models is Prediction 7a (Richat geochemistry) and Prediction 2 (elite aDNA). Until those tests are run, both models remain candidates, but the corridor model currently accounts for more of the evidence. The Nabta Playa model and the corridor model are not mutually exclusive: the corridor route passes within the geographic range of the Egyptian Western Desert oasis network, and Nabta Playa is not excluded—it is a potential corridor waypoint. What the Nabta Playa model cannot explain as a competing source is anything west of its own location: the Richat's distinctive geochemistry (Prediction 7a), the Moroccan Neolithic ancestry signal at Nuwayrat, the Takarkori lineage in the Fezzan, and the Edfu narrative's 'Far West'—none of these can originate at a site within Egypt's own western desert.</w:t>
      </w:r>
    </w:p>
    <w:p>
      <w:pPr>
        <w:pStyle w:val="BodyText"/>
        <w:rPr/>
      </w:pPr>
      <w:r>
        <w:rPr/>
        <w:t>Two common objections to the migration model also require direct response. The 'transmission gap' objection notes that the migration window ends ca. 3100 BCE, but the earliest stone inscription of the Pyramid Texts dates to ca. 2400 BCE—a 700-year interval. This gap is resolved by the established Egyptological consensus that the Pyramid Texts preserve oral tradition originating in the Predynastic period—before approximately 3100 BCE—transmitted by specialist lector priests before stone inscription. As Allen (2005: 7–10) notes, the language contains "many archaic features" and "some spells may date to the Predynastic period." The archaic language of the Cannibal Hymn (PT 273–274) strongly supports a Predynastic composition date (Faulkner 1969: 79–81). The entire migration window was preliterate; the earliest Egyptian hieroglyphs appear at Tomb U-j (c. 3150 BCE) and were administrative. The gap between event and inscription is the gap between oral tradition and a literate state bureaucracy.</w:t>
      </w:r>
    </w:p>
    <w:p>
      <w:pPr>
        <w:pStyle w:val="BodyText"/>
        <w:rPr/>
      </w:pPr>
      <w:r>
        <w:rPr/>
        <w:t xml:space="preserve">The 'cosmological west' objection holds that Egyptian tradition places origins in the west as solar-cycle convention. This is accurate for a specific set of Egyptian concepts: Amenti, Duat, the realm of the dead. These are underworld cosmological conventions. Importantly, these conventions have a documented basis: Osiris's epithet </w:t>
      </w:r>
      <w:r>
        <w:rPr>
          <w:rStyle w:val="Emphasis"/>
        </w:rPr>
        <w:t>Khenti-Amentiu</w:t>
      </w:r>
      <w:r>
        <w:rPr/>
        <w:t xml:space="preserve"> ("Foremost of the Westerners") arose from astronomical observation—Orion's precession-related positioning in the western sky at sunset during the critical period of Egyptian religious formation—not from geographic memory of a western homeland. The Amenti/Imentet tradition produces a specific type of western language: ritual directional invocations—"the deceased goes to the west," "Amentet receives the dead"—not geographic narratives of specific destroyed homelands with named physical features, architectural survivors, and migration routes. The Structural Memory Model invoking Egyptian western theology would predict the former; what appears in the Edfu texts and Shemsu Hor tradition is the latter. What the west as solar convention does not produce—and nowhere else in Egyptian cosmological literature does produce—is a specific structural narrative of a destroyed western homeland, survivors carrying exclusive sacred-construction knowledge, a migration to Egypt, and a falcon-ancestor cult. The corridor hypothesis provides an additional explanation for why the geographic western narrative and the cosmological Amenti direction converge: for populations whose actual homeland had literally died as the Sahara aridified—turned to uninhabitable desert within their institutional memory—the Egyptian theological west was not merely a cosmological convention but a resonant convergence with experienced reality. Their homeland was in the west. Their homeland was dead. The west was the realm of the dead. This convergence is precisely what the corridor hypothesis predicts and what the legitimation model cannot explain without the underlying historical fact. The Edfu Building Texts are not underworld cosmology. They are a specific origin narrative with named agents, a cataclysm, and a migration sequence. Two independent priestly traditions converge on this identical structural package. The Structural Memory Model must account for this convergence with equal or fewer explanatory assumptions than the migration model.</w:t>
      </w:r>
    </w:p>
    <w:p>
      <w:pPr>
        <w:pStyle w:val="HorizontalLine"/>
        <w:spacing w:before="0" w:after="0"/>
        <w:rPr>
          <w:sz w:val="24"/>
          <w:szCs w:val="24"/>
        </w:rPr>
      </w:pPr>
      <w:r>
        <w:rPr>
          <w:sz w:val="24"/>
          <w:szCs w:val="24"/>
        </w:rPr>
      </w:r>
    </w:p>
    <w:p>
      <w:pPr>
        <w:pStyle w:val="Heading2"/>
        <w:spacing w:before="0" w:after="283"/>
        <w:rPr>
          <w:sz w:val="24"/>
          <w:szCs w:val="24"/>
        </w:rPr>
      </w:pPr>
      <w:r>
        <w:rPr>
          <w:sz w:val="24"/>
          <w:szCs w:val="24"/>
        </w:rPr>
        <w:t>13. Why Alternative Explanations Fall Short</w:t>
      </w:r>
    </w:p>
    <w:p>
      <w:pPr>
        <w:pStyle w:val="BodyText"/>
        <w:spacing w:before="0" w:after="283"/>
        <w:rPr/>
      </w:pPr>
      <w:r>
        <w:rPr/>
        <w:t>The following table evaluates the four main alternative frameworks against all six evidence lines. The diagnostic criterion is not whether any alternative can account for one or two lines—most can. The criterion is whether any alternative provides a unifying explanation for all six lines simultaneously.</w:t>
      </w:r>
    </w:p>
    <w:p>
      <w:pPr>
        <w:pStyle w:val="BodyText"/>
        <w:spacing w:before="0" w:after="283"/>
        <w:rPr/>
      </w:pPr>
      <w:r>
        <w:rPr>
          <w:rStyle w:val="Strong"/>
        </w:rPr>
        <w:t>Note on scope:</w:t>
      </w:r>
      <w:r>
        <w:rPr/>
        <w:t xml:space="preserve"> Two of the six lines—the genetic endpoints (Papers I and II) and the paleohydrological corridor (Paper I)—are established findings summarised here. Challenges to those lines belong with the papers that establish them. Paper III's four primary lines are textual tradition, archaeological package, astronomical orientations, and structural chronological convergence.</w:t>
      </w:r>
    </w:p>
    <w:p>
      <w:pPr>
        <w:pStyle w:val="BodyText"/>
        <w:spacing w:before="0" w:after="283"/>
        <w:rPr/>
      </w:pPr>
      <w:r>
        <w:rPr>
          <w:rStyle w:val="Strong"/>
        </w:rPr>
        <w:t>A critical note on the nature of the argument.</w:t>
      </w:r>
      <w:r>
        <w:rPr/>
        <w:t xml:space="preserve"> Convergence across multiple independent evidence lines establishes consilience—the condition in which one explanatory framework is more parsimonious than all alternatives. It does not establish causation. The migration model's explanatory advantage over every alternative is that it accounts for all six lines with a single historical process, where each alternative requires independent mechanisms per unexplained line. That comparative parsimony is the argument for treating the decisive tests as high priority. It is not a substitute for those tests. The language throughout this section is "accounts for," "is consistent with," and "is the most parsimonious explanation." Not "demonstrates" or "proves." Demonstration is what Predictions 1, 2, 7, and 8 are for.</w:t>
      </w:r>
    </w:p>
    <w:tbl>
      <w:tblPr>
        <w:tblW w:w="9972" w:type="dxa"/>
        <w:jc w:val="start"/>
        <w:tblInd w:w="0" w:type="dxa"/>
        <w:tblLayout w:type="fixed"/>
        <w:tblCellMar>
          <w:top w:w="28" w:type="dxa"/>
          <w:start w:w="28" w:type="dxa"/>
          <w:bottom w:w="28" w:type="dxa"/>
          <w:end w:w="28" w:type="dxa"/>
        </w:tblCellMar>
      </w:tblPr>
      <w:tblGrid>
        <w:gridCol w:w="1934"/>
        <w:gridCol w:w="2216"/>
        <w:gridCol w:w="2264"/>
        <w:gridCol w:w="1621"/>
        <w:gridCol w:w="1937"/>
      </w:tblGrid>
      <w:tr>
        <w:trPr>
          <w:tblHeader w:val="true"/>
        </w:trPr>
        <w:tc>
          <w:tcPr>
            <w:tcW w:w="1934" w:type="dxa"/>
            <w:tcBorders/>
            <w:vAlign w:val="center"/>
          </w:tcPr>
          <w:p>
            <w:pPr>
              <w:pStyle w:val="TableHeading"/>
              <w:rPr/>
            </w:pPr>
            <w:r>
              <w:rPr/>
              <w:t>Evidence</w:t>
            </w:r>
          </w:p>
        </w:tc>
        <w:tc>
          <w:tcPr>
            <w:tcW w:w="2216" w:type="dxa"/>
            <w:tcBorders/>
            <w:vAlign w:val="center"/>
          </w:tcPr>
          <w:p>
            <w:pPr>
              <w:pStyle w:val="TableHeading"/>
              <w:rPr/>
            </w:pPr>
            <w:r>
              <w:rPr/>
              <w:t>Trade / Diffusion</w:t>
            </w:r>
          </w:p>
        </w:tc>
        <w:tc>
          <w:tcPr>
            <w:tcW w:w="2264" w:type="dxa"/>
            <w:tcBorders/>
            <w:vAlign w:val="center"/>
          </w:tcPr>
          <w:p>
            <w:pPr>
              <w:pStyle w:val="TableHeading"/>
              <w:rPr/>
            </w:pPr>
            <w:r>
              <w:rPr/>
              <w:t>Independent Development</w:t>
            </w:r>
          </w:p>
        </w:tc>
        <w:tc>
          <w:tcPr>
            <w:tcW w:w="1621" w:type="dxa"/>
            <w:tcBorders/>
            <w:vAlign w:val="center"/>
          </w:tcPr>
          <w:p>
            <w:pPr>
              <w:pStyle w:val="TableHeading"/>
              <w:rPr/>
            </w:pPr>
            <w:r>
              <w:rPr/>
              <w:t>Climate Alone</w:t>
            </w:r>
          </w:p>
        </w:tc>
        <w:tc>
          <w:tcPr>
            <w:tcW w:w="1937" w:type="dxa"/>
            <w:tcBorders/>
            <w:vAlign w:val="center"/>
          </w:tcPr>
          <w:p>
            <w:pPr>
              <w:pStyle w:val="TableHeading"/>
              <w:rPr/>
            </w:pPr>
            <w:r>
              <w:rPr/>
              <w:t>Migration Model</w:t>
            </w:r>
          </w:p>
        </w:tc>
      </w:tr>
      <w:tr>
        <w:trPr/>
        <w:tc>
          <w:tcPr>
            <w:tcW w:w="1934" w:type="dxa"/>
            <w:tcBorders/>
            <w:vAlign w:val="center"/>
          </w:tcPr>
          <w:p>
            <w:pPr>
              <w:pStyle w:val="TableContents"/>
              <w:rPr/>
            </w:pPr>
            <w:r>
              <w:rPr/>
              <w:t>Genetics: North African Neolithic lineage at both corridor endpoints</w:t>
            </w:r>
          </w:p>
        </w:tc>
        <w:tc>
          <w:tcPr>
            <w:tcW w:w="2216" w:type="dxa"/>
            <w:tcBorders/>
            <w:vAlign w:val="center"/>
          </w:tcPr>
          <w:p>
            <w:pPr>
              <w:pStyle w:val="TableContents"/>
              <w:rPr/>
            </w:pPr>
            <w:r>
              <w:rPr/>
              <w:t>Cannot move DNA</w:t>
            </w:r>
          </w:p>
        </w:tc>
        <w:tc>
          <w:tcPr>
            <w:tcW w:w="2264" w:type="dxa"/>
            <w:tcBorders/>
            <w:vAlign w:val="center"/>
          </w:tcPr>
          <w:p>
            <w:pPr>
              <w:pStyle w:val="TableContents"/>
              <w:rPr/>
            </w:pPr>
            <w:r>
              <w:rPr/>
              <w:t>Shared lineage cannot emerge independently</w:t>
            </w:r>
          </w:p>
        </w:tc>
        <w:tc>
          <w:tcPr>
            <w:tcW w:w="1621" w:type="dxa"/>
            <w:tcBorders/>
            <w:vAlign w:val="center"/>
          </w:tcPr>
          <w:p>
            <w:pPr>
              <w:pStyle w:val="TableContents"/>
              <w:rPr/>
            </w:pPr>
            <w:r>
              <w:rPr/>
              <w:t>Climate does not move genes</w:t>
            </w:r>
          </w:p>
        </w:tc>
        <w:tc>
          <w:tcPr>
            <w:tcW w:w="1937" w:type="dxa"/>
            <w:tcBorders/>
            <w:vAlign w:val="center"/>
          </w:tcPr>
          <w:p>
            <w:pPr>
              <w:pStyle w:val="TableContents"/>
              <w:rPr/>
            </w:pPr>
            <w:r>
              <w:rPr/>
              <w:t>Parsimonious: same deep ancestry pool, corridor route, 2,000-year interval</w:t>
            </w:r>
          </w:p>
        </w:tc>
      </w:tr>
      <w:tr>
        <w:trPr/>
        <w:tc>
          <w:tcPr>
            <w:tcW w:w="1934" w:type="dxa"/>
            <w:tcBorders/>
            <w:vAlign w:val="center"/>
          </w:tcPr>
          <w:p>
            <w:pPr>
              <w:pStyle w:val="TableContents"/>
              <w:rPr/>
            </w:pPr>
            <w:r>
              <w:rPr/>
              <w:t>Archaeology: Full Saharan cultural package at HK6</w:t>
            </w:r>
          </w:p>
        </w:tc>
        <w:tc>
          <w:tcPr>
            <w:tcW w:w="2216" w:type="dxa"/>
            <w:tcBorders/>
            <w:vAlign w:val="center"/>
          </w:tcPr>
          <w:p>
            <w:pPr>
              <w:pStyle w:val="TableContents"/>
              <w:rPr/>
            </w:pPr>
            <w:r>
              <w:rPr/>
              <w:t>Could explain isolated traits; not the coherent package appearing simultaneously</w:t>
            </w:r>
          </w:p>
        </w:tc>
        <w:tc>
          <w:tcPr>
            <w:tcW w:w="2264" w:type="dxa"/>
            <w:tcBorders/>
            <w:vAlign w:val="center"/>
          </w:tcPr>
          <w:p>
            <w:pPr>
              <w:pStyle w:val="TableContents"/>
              <w:rPr/>
            </w:pPr>
            <w:r>
              <w:rPr/>
              <w:t>Package of five independent markers appearing together unlikely by chance</w:t>
            </w:r>
          </w:p>
        </w:tc>
        <w:tc>
          <w:tcPr>
            <w:tcW w:w="1621" w:type="dxa"/>
            <w:tcBorders/>
            <w:vAlign w:val="center"/>
          </w:tcPr>
          <w:p>
            <w:pPr>
              <w:pStyle w:val="TableContents"/>
              <w:rPr/>
            </w:pPr>
            <w:r>
              <w:rPr/>
              <w:t>Does not explain the cultural package</w:t>
            </w:r>
          </w:p>
        </w:tc>
        <w:tc>
          <w:tcPr>
            <w:tcW w:w="1937" w:type="dxa"/>
            <w:tcBorders/>
            <w:vAlign w:val="center"/>
          </w:tcPr>
          <w:p>
            <w:pPr>
              <w:pStyle w:val="TableContents"/>
              <w:rPr/>
            </w:pPr>
            <w:r>
              <w:rPr/>
              <w:t>Parsimonious: people carrying their complete traditions intact</w:t>
            </w:r>
          </w:p>
        </w:tc>
      </w:tr>
      <w:tr>
        <w:trPr/>
        <w:tc>
          <w:tcPr>
            <w:tcW w:w="1934" w:type="dxa"/>
            <w:tcBorders/>
            <w:vAlign w:val="center"/>
          </w:tcPr>
          <w:p>
            <w:pPr>
              <w:pStyle w:val="TableContents"/>
              <w:rPr/>
            </w:pPr>
            <w:r>
              <w:rPr/>
              <w:t>Paleohydrology: Corridor documented</w:t>
            </w:r>
          </w:p>
        </w:tc>
        <w:tc>
          <w:tcPr>
            <w:tcW w:w="2216" w:type="dxa"/>
            <w:tcBorders/>
            <w:vAlign w:val="center"/>
          </w:tcPr>
          <w:p>
            <w:pPr>
              <w:pStyle w:val="TableContents"/>
              <w:rPr/>
            </w:pPr>
            <w:r>
              <w:rPr/>
              <w:t>Corridor is a physical finding shared by all models</w:t>
            </w:r>
          </w:p>
        </w:tc>
        <w:tc>
          <w:tcPr>
            <w:tcW w:w="2264" w:type="dxa"/>
            <w:tcBorders/>
            <w:vAlign w:val="center"/>
          </w:tcPr>
          <w:p>
            <w:pPr>
              <w:pStyle w:val="TableContents"/>
              <w:rPr/>
            </w:pPr>
            <w:r>
              <w:rPr/>
              <w:t>Corridor is a physical finding shared by all models</w:t>
            </w:r>
          </w:p>
        </w:tc>
        <w:tc>
          <w:tcPr>
            <w:tcW w:w="1621" w:type="dxa"/>
            <w:tcBorders/>
            <w:vAlign w:val="center"/>
          </w:tcPr>
          <w:p>
            <w:pPr>
              <w:pStyle w:val="TableContents"/>
              <w:rPr/>
            </w:pPr>
            <w:r>
              <w:rPr/>
              <w:t>Corridor is a physical finding shared by all models</w:t>
            </w:r>
          </w:p>
        </w:tc>
        <w:tc>
          <w:tcPr>
            <w:tcW w:w="1937" w:type="dxa"/>
            <w:tcBorders/>
            <w:vAlign w:val="center"/>
          </w:tcPr>
          <w:p>
            <w:pPr>
              <w:pStyle w:val="TableContents"/>
              <w:rPr/>
            </w:pPr>
            <w:r>
              <w:rPr/>
              <w:t>Explains why the corridor was used: AHP collapse forced eastward movement</w:t>
            </w:r>
          </w:p>
        </w:tc>
      </w:tr>
      <w:tr>
        <w:trPr/>
        <w:tc>
          <w:tcPr>
            <w:tcW w:w="1934" w:type="dxa"/>
            <w:tcBorders/>
            <w:vAlign w:val="center"/>
          </w:tcPr>
          <w:p>
            <w:pPr>
              <w:pStyle w:val="TableContents"/>
              <w:rPr/>
            </w:pPr>
            <w:r>
              <w:rPr/>
              <w:t>Astronomy: Canopus gradient + 350 temples track latitude and precession</w:t>
            </w:r>
          </w:p>
        </w:tc>
        <w:tc>
          <w:tcPr>
            <w:tcW w:w="2216" w:type="dxa"/>
            <w:tcBorders/>
            <w:vAlign w:val="center"/>
          </w:tcPr>
          <w:p>
            <w:pPr>
              <w:pStyle w:val="TableContents"/>
              <w:rPr/>
            </w:pPr>
            <w:r>
              <w:rPr/>
              <w:t>Cannot explain either the gradient or the 2,000-year precession-tracking pattern</w:t>
            </w:r>
          </w:p>
        </w:tc>
        <w:tc>
          <w:tcPr>
            <w:tcW w:w="2264" w:type="dxa"/>
            <w:tcBorders/>
            <w:vAlign w:val="center"/>
          </w:tcPr>
          <w:p>
            <w:pPr>
              <w:pStyle w:val="TableContents"/>
              <w:rPr/>
            </w:pPr>
            <w:r>
              <w:rPr/>
              <w:t>Cannot explain either the gradient or the 2,000-year precession-tracking pattern</w:t>
            </w:r>
          </w:p>
        </w:tc>
        <w:tc>
          <w:tcPr>
            <w:tcW w:w="1621" w:type="dxa"/>
            <w:tcBorders/>
            <w:vAlign w:val="center"/>
          </w:tcPr>
          <w:p>
            <w:pPr>
              <w:pStyle w:val="TableContents"/>
              <w:rPr/>
            </w:pPr>
            <w:r>
              <w:rPr/>
              <w:t>Climate does not produce astronomical orientation traditions</w:t>
            </w:r>
          </w:p>
        </w:tc>
        <w:tc>
          <w:tcPr>
            <w:tcW w:w="1937" w:type="dxa"/>
            <w:tcBorders/>
            <w:vAlign w:val="center"/>
          </w:tcPr>
          <w:p>
            <w:pPr>
              <w:pStyle w:val="TableContents"/>
              <w:rPr/>
            </w:pPr>
            <w:r>
              <w:rPr/>
              <w:t>Parsimonious: population carrying Canopus/Osiris cult northward, encoding it in stone</w:t>
            </w:r>
          </w:p>
        </w:tc>
      </w:tr>
      <w:tr>
        <w:trPr/>
        <w:tc>
          <w:tcPr>
            <w:tcW w:w="1934" w:type="dxa"/>
            <w:tcBorders/>
            <w:vAlign w:val="center"/>
          </w:tcPr>
          <w:p>
            <w:pPr>
              <w:pStyle w:val="TableContents"/>
              <w:rPr/>
            </w:pPr>
            <w:r>
              <w:rPr/>
              <w:t>Textual: Shemsu Hor archival specificity, 15 centuries, western directionality</w:t>
            </w:r>
          </w:p>
        </w:tc>
        <w:tc>
          <w:tcPr>
            <w:tcW w:w="2216" w:type="dxa"/>
            <w:tcBorders/>
            <w:vAlign w:val="center"/>
          </w:tcPr>
          <w:p>
            <w:pPr>
              <w:pStyle w:val="TableContents"/>
              <w:rPr/>
            </w:pPr>
            <w:r>
              <w:rPr/>
              <w:t>Texts are not traded as a unit; western directionality unexplained by diffusion</w:t>
            </w:r>
          </w:p>
        </w:tc>
        <w:tc>
          <w:tcPr>
            <w:tcW w:w="2264" w:type="dxa"/>
            <w:tcBorders/>
            <w:vAlign w:val="center"/>
          </w:tcPr>
          <w:p>
            <w:pPr>
              <w:pStyle w:val="TableContents"/>
              <w:rPr/>
            </w:pPr>
            <w:r>
              <w:rPr/>
              <w:t>Independent production of the same specific narrative by two priestly traditions is improbable</w:t>
            </w:r>
          </w:p>
        </w:tc>
        <w:tc>
          <w:tcPr>
            <w:tcW w:w="1621" w:type="dxa"/>
            <w:tcBorders/>
            <w:vAlign w:val="center"/>
          </w:tcPr>
          <w:p>
            <w:pPr>
              <w:pStyle w:val="TableContents"/>
              <w:rPr/>
            </w:pPr>
            <w:r>
              <w:rPr/>
              <w:t>Climate alone does not produce textual traditions</w:t>
            </w:r>
          </w:p>
        </w:tc>
        <w:tc>
          <w:tcPr>
            <w:tcW w:w="1937" w:type="dxa"/>
            <w:tcBorders/>
            <w:vAlign w:val="center"/>
          </w:tcPr>
          <w:p>
            <w:pPr>
              <w:pStyle w:val="TableContents"/>
              <w:rPr/>
            </w:pPr>
            <w:r>
              <w:rPr/>
              <w:t>Parsimonious: real ancestral generation left real records; western origin explains western directionality</w:t>
            </w:r>
          </w:p>
        </w:tc>
      </w:tr>
      <w:tr>
        <w:trPr/>
        <w:tc>
          <w:tcPr>
            <w:tcW w:w="1934" w:type="dxa"/>
            <w:tcBorders/>
            <w:vAlign w:val="center"/>
          </w:tcPr>
          <w:p>
            <w:pPr>
              <w:pStyle w:val="TableContents"/>
              <w:rPr/>
            </w:pPr>
            <w:r>
              <w:rPr/>
              <w:t>Structural: Three independent chronologies converge on 3100 BCE</w:t>
            </w:r>
          </w:p>
        </w:tc>
        <w:tc>
          <w:tcPr>
            <w:tcW w:w="2216" w:type="dxa"/>
            <w:tcBorders/>
            <w:vAlign w:val="center"/>
          </w:tcPr>
          <w:p>
            <w:pPr>
              <w:pStyle w:val="TableContents"/>
              <w:rPr/>
            </w:pPr>
            <w:r>
              <w:rPr/>
              <w:t>Cannot explain the three-way convergence</w:t>
            </w:r>
          </w:p>
        </w:tc>
        <w:tc>
          <w:tcPr>
            <w:tcW w:w="2264" w:type="dxa"/>
            <w:tcBorders/>
            <w:vAlign w:val="center"/>
          </w:tcPr>
          <w:p>
            <w:pPr>
              <w:pStyle w:val="TableContents"/>
              <w:rPr/>
            </w:pPr>
            <w:r>
              <w:rPr/>
              <w:t>Three-way convergence by independent processes is improbable</w:t>
            </w:r>
          </w:p>
        </w:tc>
        <w:tc>
          <w:tcPr>
            <w:tcW w:w="1621" w:type="dxa"/>
            <w:tcBorders/>
            <w:vAlign w:val="center"/>
          </w:tcPr>
          <w:p>
            <w:pPr>
              <w:pStyle w:val="TableContents"/>
              <w:rPr/>
            </w:pPr>
            <w:r>
              <w:rPr/>
              <w:t>Explains migration window but not the Shemsu Hor slot or the moment of unification</w:t>
            </w:r>
          </w:p>
        </w:tc>
        <w:tc>
          <w:tcPr>
            <w:tcW w:w="1937" w:type="dxa"/>
            <w:tcBorders/>
            <w:vAlign w:val="center"/>
          </w:tcPr>
          <w:p>
            <w:pPr>
              <w:pStyle w:val="TableContents"/>
              <w:rPr/>
            </w:pPr>
            <w:r>
              <w:rPr/>
              <w:t>Parsimonious: single historical process produces all three terminations simultaneously</w:t>
            </w:r>
          </w:p>
        </w:tc>
      </w:tr>
    </w:tbl>
    <w:p>
      <w:pPr>
        <w:pStyle w:val="Heading3"/>
        <w:spacing w:lineRule="auto" w:line="276" w:before="0" w:after="283"/>
        <w:rPr>
          <w:sz w:val="24"/>
          <w:szCs w:val="24"/>
        </w:rPr>
      </w:pPr>
      <w:r>
        <w:rPr>
          <w:sz w:val="24"/>
          <w:szCs w:val="24"/>
        </w:rPr>
        <w:t>13.1 The Sustained Network Model</w:t>
      </w:r>
    </w:p>
    <w:p>
      <w:pPr>
        <w:pStyle w:val="BodyText"/>
        <w:spacing w:before="0" w:after="283"/>
        <w:rPr/>
      </w:pPr>
      <w:r>
        <w:rPr/>
        <w:t>A fifth alternative deserves explicit evaluation: sustained multi-generational Saharan cultural network—continuous exchange of cultural and possibly genetic material across the Green Sahara throughout the African Humid Period, without a discrete migration event. This model is geographically plausible and consistent with established Saharan archaeology. It fails on three counts specific to this hypothesis.</w:t>
      </w:r>
    </w:p>
    <w:p>
      <w:pPr>
        <w:pStyle w:val="BodyText"/>
        <w:spacing w:before="0" w:after="283"/>
        <w:rPr/>
      </w:pPr>
      <w:r>
        <w:rPr/>
        <w:t>First, the Lipson et al. (2025) eastern Maghreb barrier applies: the eastern Maghreb populations were genetically isolated and non-transmitting, so sustained gradual exchange from Morocco to Egypt would have required transmission through a population that demonstrably was not transmitting.</w:t>
      </w:r>
    </w:p>
    <w:p>
      <w:pPr>
        <w:pStyle w:val="BodyText"/>
        <w:spacing w:before="0" w:after="283"/>
        <w:rPr/>
      </w:pPr>
      <w:r>
        <w:rPr/>
        <w:t>Second, the Nuwayrat genome's dominant North African Neolithic ancestry proportion (∼80%) argues for a discrete high-ancestry event rather than dilution by continuous exchange with contemporaneous Nile Valley populations. Gradual sustained exchange should produce a lower, more diluted ancestry proportion at Old Kingdom date.</w:t>
      </w:r>
    </w:p>
    <w:p>
      <w:pPr>
        <w:pStyle w:val="BodyText"/>
        <w:spacing w:before="0" w:after="283"/>
        <w:rPr/>
      </w:pPr>
      <w:r>
        <w:rPr/>
        <w:t>Third, the HK6 cultural package appears abruptly at a single site in a compressed window, not as the gradual site-by-site adoption expected from a continuous exchange network. The sustained network model contextualizes the corridor hypothesis rather than replacing it: long-term AHP interaction is consistent with the migration hypothesis, but the specific evidentiary profile—ancestry proportion, abrupt HK6 package, genomic isolation of the eastern Maghreb—points toward a discrete movement event rather than a continuous diffusion process.</w:t>
      </w:r>
    </w:p>
    <w:p>
      <w:pPr>
        <w:pStyle w:val="Heading3"/>
        <w:spacing w:lineRule="auto" w:line="276" w:before="0" w:after="283"/>
        <w:rPr>
          <w:sz w:val="24"/>
          <w:szCs w:val="24"/>
        </w:rPr>
      </w:pPr>
      <w:r>
        <w:rPr>
          <w:sz w:val="24"/>
          <w:szCs w:val="24"/>
        </w:rPr>
        <w:t>13.2 Cumulative Force</w:t>
      </w:r>
    </w:p>
    <w:p>
      <w:pPr>
        <w:pStyle w:val="BodyText"/>
        <w:spacing w:before="0" w:after="283"/>
        <w:rPr/>
      </w:pPr>
      <w:r>
        <w:rPr/>
        <w:t>The force of this argument is cumulative. Each marker individually could have a local explanation, but the probability that all five appear together, at the same site, in the same window, without a common cause, is low. The full analysis of site-specificity and the morphological diversity argument—the strongest individual line—is in Section 5.</w:t>
      </w:r>
    </w:p>
    <w:p>
      <w:pPr>
        <w:pStyle w:val="BodyText"/>
        <w:spacing w:before="0" w:after="283"/>
        <w:rPr/>
      </w:pPr>
      <w:r>
        <w:rPr/>
        <w:t>Each alternative explains one or two lines but requires multiple independent ad hoc mechanisms to address the others. The migration model proposes a primary structuring process within a multi-causal system: climate forcing (AHP collapse) generated corridor migration, which produced the genetic and archaeological signatures at HK6, which contributed to the cultural foundation for the astronomical tradition preserved in 2,000 years of temple orientations, and was subsequently encoded in the textual memory of the Shemsu Hor.</w:t>
      </w:r>
    </w:p>
    <w:p>
      <w:pPr>
        <w:pStyle w:val="BodyText"/>
        <w:spacing w:before="0" w:after="283"/>
        <w:rPr/>
      </w:pPr>
      <w:r>
        <w:rPr/>
        <w:t>This causal sequence—climate event → movement → integration → cultural synthesis → institutional memory—organizes all six evidence lines within a single historical framework, while not excluding additional local or independent developments. The distinction is that this model predicts their co-occurrence as structured outcomes of that process, whereas alternatives require independent mechanisms for each unexplained line.</w:t>
      </w:r>
    </w:p>
    <w:p>
      <w:pPr>
        <w:pStyle w:val="BodyText"/>
        <w:spacing w:before="0" w:after="283"/>
        <w:rPr/>
      </w:pPr>
      <w:r>
        <w:rPr/>
        <w:t>That comparative parsimony is the argument. It does not constitute proof. Predictions 1, 2, 7, and 8 will provide the direct evidence that parsimony alone cannot.</w:t>
        <w:br/>
        <w:br/>
        <w:t>Taken in its strongest form, the non-migration framework accounts for individual components of the dataset—particularly local cultural development and internal political consolidation—but does so by treating the genetic, astronomical, textual, and archaeological patterns as independent or only loosely related phenomena. The present model differs in that it predicts their co-occurrence as structurally linked outcomes of a single historical process. The comparison therefore reduces to whether these features are better explained as independent convergences or as expressions of an integrated system generated by corridor migration.</w:t>
      </w:r>
    </w:p>
    <w:p>
      <w:pPr>
        <w:pStyle w:val="HorizontalLine"/>
        <w:spacing w:before="0" w:after="0"/>
        <w:rPr>
          <w:sz w:val="24"/>
          <w:szCs w:val="24"/>
        </w:rPr>
      </w:pPr>
      <w:r>
        <w:rPr>
          <w:sz w:val="24"/>
          <w:szCs w:val="24"/>
        </w:rPr>
      </w:r>
    </w:p>
    <w:p>
      <w:pPr>
        <w:pStyle w:val="Heading2"/>
        <w:spacing w:before="0" w:after="283"/>
        <w:rPr>
          <w:sz w:val="24"/>
          <w:szCs w:val="24"/>
        </w:rPr>
      </w:pPr>
      <w:r>
        <w:rPr>
          <w:sz w:val="24"/>
          <w:szCs w:val="24"/>
        </w:rPr>
        <w:t>14. Explicitly Acknowledged Limitations</w:t>
      </w:r>
    </w:p>
    <w:p>
      <w:pPr>
        <w:pStyle w:val="BodyText"/>
        <w:spacing w:before="0" w:after="283"/>
        <w:rPr/>
      </w:pPr>
      <w:r>
        <w:rPr/>
        <w:t>The following limitations define the boundary conditions of this hypothesis. They do not invalidate the argument. They define where it ends.</w:t>
      </w:r>
    </w:p>
    <w:tbl>
      <w:tblPr>
        <w:tblW w:w="9972" w:type="dxa"/>
        <w:jc w:val="start"/>
        <w:tblInd w:w="0" w:type="dxa"/>
        <w:tblLayout w:type="fixed"/>
        <w:tblCellMar>
          <w:top w:w="28" w:type="dxa"/>
          <w:start w:w="28" w:type="dxa"/>
          <w:bottom w:w="28" w:type="dxa"/>
          <w:end w:w="28" w:type="dxa"/>
        </w:tblCellMar>
      </w:tblPr>
      <w:tblGrid>
        <w:gridCol w:w="2058"/>
        <w:gridCol w:w="7914"/>
      </w:tblGrid>
      <w:tr>
        <w:trPr>
          <w:tblHeader w:val="true"/>
        </w:trPr>
        <w:tc>
          <w:tcPr>
            <w:tcW w:w="2058" w:type="dxa"/>
            <w:tcBorders/>
            <w:vAlign w:val="center"/>
          </w:tcPr>
          <w:p>
            <w:pPr>
              <w:pStyle w:val="TableHeading"/>
              <w:rPr/>
            </w:pPr>
            <w:r>
              <w:rPr/>
              <w:t>Limitation</w:t>
            </w:r>
          </w:p>
        </w:tc>
        <w:tc>
          <w:tcPr>
            <w:tcW w:w="7914" w:type="dxa"/>
            <w:tcBorders/>
            <w:vAlign w:val="center"/>
          </w:tcPr>
          <w:p>
            <w:pPr>
              <w:pStyle w:val="TableHeading"/>
              <w:rPr/>
            </w:pPr>
            <w:r>
              <w:rPr/>
              <w:t>Clarification</w:t>
            </w:r>
          </w:p>
        </w:tc>
      </w:tr>
      <w:tr>
        <w:trPr/>
        <w:tc>
          <w:tcPr>
            <w:tcW w:w="2058" w:type="dxa"/>
            <w:tcBorders/>
            <w:vAlign w:val="center"/>
          </w:tcPr>
          <w:p>
            <w:pPr>
              <w:pStyle w:val="TableContents"/>
              <w:rPr/>
            </w:pPr>
            <w:r>
              <w:rPr/>
              <w:t>No preserved reign lengths for Shemsu Hor</w:t>
            </w:r>
          </w:p>
        </w:tc>
        <w:tc>
          <w:tcPr>
            <w:tcW w:w="7914" w:type="dxa"/>
            <w:tcBorders/>
            <w:vAlign w:val="center"/>
          </w:tcPr>
          <w:p>
            <w:pPr>
              <w:pStyle w:val="TableContents"/>
              <w:rPr/>
            </w:pPr>
            <w:r>
              <w:rPr/>
              <w:t>Turin Canon gives no individual durations. The category exists; its internal chronology does not.</w:t>
            </w:r>
          </w:p>
        </w:tc>
      </w:tr>
      <w:tr>
        <w:trPr/>
        <w:tc>
          <w:tcPr>
            <w:tcW w:w="2058" w:type="dxa"/>
            <w:tcBorders/>
            <w:vAlign w:val="center"/>
          </w:tcPr>
          <w:p>
            <w:pPr>
              <w:pStyle w:val="TableContents"/>
              <w:rPr/>
            </w:pPr>
            <w:r>
              <w:rPr/>
              <w:t>Manetho's numbers are discarded</w:t>
            </w:r>
          </w:p>
        </w:tc>
        <w:tc>
          <w:tcPr>
            <w:tcW w:w="7914" w:type="dxa"/>
            <w:tcBorders/>
            <w:vAlign w:val="center"/>
          </w:tcPr>
          <w:p>
            <w:pPr>
              <w:pStyle w:val="TableContents"/>
              <w:rPr/>
            </w:pPr>
            <w:r>
              <w:rPr/>
              <w:t>Used only to confirm the structural sequence; numerical totals pass through too many copyists to be treated as data.</w:t>
            </w:r>
          </w:p>
        </w:tc>
      </w:tr>
      <w:tr>
        <w:trPr/>
        <w:tc>
          <w:tcPr>
            <w:tcW w:w="2058" w:type="dxa"/>
            <w:tcBorders/>
            <w:vAlign w:val="center"/>
          </w:tcPr>
          <w:p>
            <w:pPr>
              <w:pStyle w:val="TableContents"/>
              <w:rPr/>
            </w:pPr>
            <w:r>
              <w:rPr/>
              <w:t>Shemsu Hor as 'rulers' not confirmed</w:t>
            </w:r>
          </w:p>
        </w:tc>
        <w:tc>
          <w:tcPr>
            <w:tcW w:w="7914" w:type="dxa"/>
            <w:tcBorders/>
            <w:vAlign w:val="center"/>
          </w:tcPr>
          <w:p>
            <w:pPr>
              <w:pStyle w:val="TableContents"/>
              <w:rPr/>
            </w:pPr>
            <w:r>
              <w:rPr/>
              <w:t>Texts emphasise ancestral, celestial, and archival roles—not explicit political kingship over a defined territory.</w:t>
            </w:r>
          </w:p>
        </w:tc>
      </w:tr>
      <w:tr>
        <w:trPr/>
        <w:tc>
          <w:tcPr>
            <w:tcW w:w="2058" w:type="dxa"/>
            <w:tcBorders/>
            <w:vAlign w:val="center"/>
          </w:tcPr>
          <w:p>
            <w:pPr>
              <w:pStyle w:val="TableContents"/>
              <w:rPr/>
            </w:pPr>
            <w:r>
              <w:rPr/>
              <w:t>Specific ethnic identity cannot be claimed</w:t>
            </w:r>
          </w:p>
        </w:tc>
        <w:tc>
          <w:tcPr>
            <w:tcW w:w="7914" w:type="dxa"/>
            <w:tcBorders/>
            <w:vAlign w:val="center"/>
          </w:tcPr>
          <w:p>
            <w:pPr>
              <w:pStyle w:val="TableContents"/>
              <w:rPr/>
            </w:pPr>
            <w:r>
              <w:rPr/>
              <w:t>The textual record identifies a category, not a people. The hypothesis offers a historical candidate; it does not name one.</w:t>
            </w:r>
          </w:p>
        </w:tc>
      </w:tr>
      <w:tr>
        <w:trPr/>
        <w:tc>
          <w:tcPr>
            <w:tcW w:w="2058" w:type="dxa"/>
            <w:tcBorders/>
            <w:vAlign w:val="center"/>
          </w:tcPr>
          <w:p>
            <w:pPr>
              <w:pStyle w:val="TableContents"/>
              <w:rPr/>
            </w:pPr>
            <w:r>
              <w:rPr/>
              <w:t>Biological continuity ≠ cultural causation</w:t>
            </w:r>
          </w:p>
        </w:tc>
        <w:tc>
          <w:tcPr>
            <w:tcW w:w="7914" w:type="dxa"/>
            <w:tcBorders/>
            <w:vAlign w:val="center"/>
          </w:tcPr>
          <w:p>
            <w:pPr>
              <w:pStyle w:val="TableContents"/>
              <w:rPr/>
            </w:pPr>
            <w:r>
              <w:rPr/>
              <w:t>Skeletal affinities confirm population movement; they do not independently confirm transmission of specific cultural elements attributed to the Shemsu Hor.</w:t>
            </w:r>
          </w:p>
        </w:tc>
      </w:tr>
      <w:tr>
        <w:trPr/>
        <w:tc>
          <w:tcPr>
            <w:tcW w:w="2058" w:type="dxa"/>
            <w:tcBorders/>
            <w:vAlign w:val="center"/>
          </w:tcPr>
          <w:p>
            <w:pPr>
              <w:pStyle w:val="TableContents"/>
              <w:rPr/>
            </w:pPr>
            <w:r>
              <w:rPr/>
              <w:t>Pyramid Texts are ritual, not historical</w:t>
            </w:r>
          </w:p>
        </w:tc>
        <w:tc>
          <w:tcPr>
            <w:tcW w:w="7914" w:type="dxa"/>
            <w:tcBorders/>
            <w:vAlign w:val="center"/>
          </w:tcPr>
          <w:p>
            <w:pPr>
              <w:pStyle w:val="TableContents"/>
              <w:rPr/>
            </w:pPr>
            <w:r>
              <w:rPr/>
              <w:t>All PT references place Shemsu Hor in purification and ascent contexts. They do not describe political rule or geographic origin.</w:t>
            </w:r>
          </w:p>
        </w:tc>
      </w:tr>
      <w:tr>
        <w:trPr/>
        <w:tc>
          <w:tcPr>
            <w:tcW w:w="2058" w:type="dxa"/>
            <w:tcBorders/>
            <w:vAlign w:val="center"/>
          </w:tcPr>
          <w:p>
            <w:pPr>
              <w:pStyle w:val="TableContents"/>
              <w:rPr/>
            </w:pPr>
            <w:r>
              <w:rPr/>
              <w:t>Shemsu Hor = Akhu is structural, not explicit</w:t>
            </w:r>
          </w:p>
        </w:tc>
        <w:tc>
          <w:tcPr>
            <w:tcW w:w="7914" w:type="dxa"/>
            <w:tcBorders/>
            <w:vAlign w:val="center"/>
          </w:tcPr>
          <w:p>
            <w:pPr>
              <w:pStyle w:val="TableContents"/>
              <w:rPr/>
            </w:pPr>
            <w:r>
              <w:rPr/>
              <w:t>Turin Canon lists them as Akhu. No text explicitly equates the categories—this remains interpretation based on structural alignment.</w:t>
            </w:r>
          </w:p>
        </w:tc>
      </w:tr>
      <w:tr>
        <w:trPr/>
        <w:tc>
          <w:tcPr>
            <w:tcW w:w="2058" w:type="dxa"/>
            <w:tcBorders/>
            <w:vAlign w:val="center"/>
          </w:tcPr>
          <w:p>
            <w:pPr>
              <w:pStyle w:val="TableContents"/>
              <w:rPr/>
            </w:pPr>
            <w:r>
              <w:rPr/>
              <w:t>No text describes Shemsu Hor as a historical population</w:t>
            </w:r>
          </w:p>
        </w:tc>
        <w:tc>
          <w:tcPr>
            <w:tcW w:w="7914" w:type="dxa"/>
            <w:tcBorders/>
            <w:vAlign w:val="center"/>
          </w:tcPr>
          <w:p>
            <w:pPr>
              <w:pStyle w:val="TableContents"/>
              <w:rPr/>
            </w:pPr>
            <w:r>
              <w:rPr/>
              <w:t>Their origin, migration, and governance are absent from all surviving sources.</w:t>
            </w:r>
          </w:p>
        </w:tc>
      </w:tr>
      <w:tr>
        <w:trPr/>
        <w:tc>
          <w:tcPr>
            <w:tcW w:w="2058" w:type="dxa"/>
            <w:tcBorders/>
            <w:vAlign w:val="center"/>
          </w:tcPr>
          <w:p>
            <w:pPr>
              <w:pStyle w:val="TableContents"/>
              <w:rPr/>
            </w:pPr>
            <w:r>
              <w:rPr/>
              <w:t>Edfu Building Texts are Ptolemaic in current form</w:t>
            </w:r>
          </w:p>
        </w:tc>
        <w:tc>
          <w:tcPr>
            <w:tcW w:w="7914" w:type="dxa"/>
            <w:tcBorders/>
            <w:vAlign w:val="center"/>
          </w:tcPr>
          <w:p>
            <w:pPr>
              <w:pStyle w:val="TableContents"/>
              <w:rPr/>
            </w:pPr>
            <w:r>
              <w:rPr/>
              <w:t>Compiled 2,000+ years after the events they describe, during a period of active archaization. They are a memory stream, not a contemporary record.</w:t>
            </w:r>
          </w:p>
        </w:tc>
      </w:tr>
      <w:tr>
        <w:trPr/>
        <w:tc>
          <w:tcPr>
            <w:tcW w:w="2058" w:type="dxa"/>
            <w:tcBorders/>
            <w:vAlign w:val="center"/>
          </w:tcPr>
          <w:p>
            <w:pPr>
              <w:pStyle w:val="TableContents"/>
              <w:rPr/>
            </w:pPr>
            <w:r>
              <w:rPr/>
              <w:t>Genetic chain gap</w:t>
            </w:r>
          </w:p>
        </w:tc>
        <w:tc>
          <w:tcPr>
            <w:tcW w:w="7914" w:type="dxa"/>
            <w:tcBorders/>
            <w:vAlign w:val="center"/>
          </w:tcPr>
          <w:p>
            <w:pPr>
              <w:pStyle w:val="TableContents"/>
              <w:rPr/>
            </w:pPr>
            <w:r>
              <w:rPr/>
              <w:t>The genomic evidence currently anchors both ends of the corridor: Takarkori (c. 5000 BCE, Fezzan) and Nuwayrat (c. 2700 BCE, Nile Valley). The Nuwayrat genome's ~80% North African Neolithic ancestry is best-modelled by Moroccan Neolithic populations—a signal consistent with the corridor route. What is missing is aDNA from the corridor itself during the migration window (3800–3100 BCE) and from the Mauritanian source zone. Prediction 9 specifies exactly what evidence would close the gap.</w:t>
            </w:r>
          </w:p>
        </w:tc>
      </w:tr>
      <w:tr>
        <w:trPr/>
        <w:tc>
          <w:tcPr>
            <w:tcW w:w="2058" w:type="dxa"/>
            <w:tcBorders/>
            <w:vAlign w:val="center"/>
          </w:tcPr>
          <w:p>
            <w:pPr>
              <w:pStyle w:val="TableContents"/>
              <w:rPr/>
            </w:pPr>
            <w:r>
              <w:rPr/>
              <w:t>Richat as specific source candidate</w:t>
            </w:r>
          </w:p>
        </w:tc>
        <w:tc>
          <w:tcPr>
            <w:tcW w:w="7914" w:type="dxa"/>
            <w:tcBorders/>
            <w:vAlign w:val="center"/>
          </w:tcPr>
          <w:p>
            <w:pPr>
              <w:pStyle w:val="TableContents"/>
              <w:rPr/>
            </w:pPr>
            <w:r>
              <w:rPr/>
              <w:t>Paper I identified the Richat through systematic elimination of 13 alternative formations. It is the highest-priority candidate, not a demonstrated source. Prediction 7 tests it directly. The Wedjat calculation uses Richat coordinates because that is Paper I's published result.</w:t>
            </w:r>
          </w:p>
        </w:tc>
      </w:tr>
      <w:tr>
        <w:trPr/>
        <w:tc>
          <w:tcPr>
            <w:tcW w:w="2058" w:type="dxa"/>
            <w:tcBorders/>
            <w:vAlign w:val="center"/>
          </w:tcPr>
          <w:p>
            <w:pPr>
              <w:pStyle w:val="TableContents"/>
              <w:rPr/>
            </w:pPr>
            <w:r>
              <w:rPr/>
              <w:t>Canopus pattern not uniquely explained by migration</w:t>
            </w:r>
          </w:p>
        </w:tc>
        <w:tc>
          <w:tcPr>
            <w:tcW w:w="7914" w:type="dxa"/>
            <w:tcBorders/>
            <w:vAlign w:val="center"/>
          </w:tcPr>
          <w:p>
            <w:pPr>
              <w:pStyle w:val="TableContents"/>
              <w:rPr/>
            </w:pPr>
            <w:r>
              <w:rPr/>
              <w:t>Temple orientations combine astronomy, topography, cardinal directions, and local traditions. The Belmonte/Shaltout team identified seven orientation families, not one. The migration model provides the most parsimonious unifying historical framework for the Canopus family specifically; it is not the only conceivable explanation.</w:t>
            </w:r>
          </w:p>
        </w:tc>
      </w:tr>
      <w:tr>
        <w:trPr/>
        <w:tc>
          <w:tcPr>
            <w:tcW w:w="2058" w:type="dxa"/>
            <w:tcBorders/>
            <w:vAlign w:val="center"/>
          </w:tcPr>
          <w:p>
            <w:pPr>
              <w:pStyle w:val="TableContents"/>
              <w:rPr/>
            </w:pPr>
            <w:r>
              <w:rPr/>
              <w:t>Single-process parsimony compresses a complex reality</w:t>
            </w:r>
          </w:p>
        </w:tc>
        <w:tc>
          <w:tcPr>
            <w:tcW w:w="7914" w:type="dxa"/>
            <w:tcBorders/>
            <w:vAlign w:val="center"/>
          </w:tcPr>
          <w:p>
            <w:pPr>
              <w:pStyle w:val="TableContents"/>
              <w:rPr/>
            </w:pPr>
            <w:r>
              <w:rPr/>
              <w:t>Predynastic state formation almost certainly involved multiple processes: local Upper Egyptian competition, Nubian peer-culture interaction, Levantine trade networks, and climate-driven movements. The corridor hypothesis provides one mechanism accounting for a coherent set of anomalies. It does not claim to account for every aspect of Egyptian origins.</w:t>
            </w:r>
          </w:p>
        </w:tc>
      </w:tr>
    </w:tbl>
    <w:p>
      <w:pPr>
        <w:pStyle w:val="HorizontalLine"/>
        <w:spacing w:lineRule="auto" w:line="276"/>
        <w:rPr>
          <w:sz w:val="24"/>
          <w:szCs w:val="24"/>
        </w:rPr>
      </w:pPr>
      <w:r>
        <w:rPr>
          <w:sz w:val="24"/>
          <w:szCs w:val="24"/>
        </w:rPr>
      </w:r>
    </w:p>
    <w:p>
      <w:pPr>
        <w:pStyle w:val="Heading2"/>
        <w:spacing w:lineRule="auto" w:line="276" w:before="0" w:after="283"/>
        <w:rPr>
          <w:sz w:val="24"/>
          <w:szCs w:val="24"/>
        </w:rPr>
      </w:pPr>
      <w:r>
        <w:rPr>
          <w:sz w:val="24"/>
          <w:szCs w:val="24"/>
        </w:rPr>
        <w:t>15. Falsifiable Predictions</w:t>
      </w:r>
    </w:p>
    <w:p>
      <w:pPr>
        <w:pStyle w:val="BodyText"/>
        <w:spacing w:before="0" w:after="283"/>
        <w:rPr/>
      </w:pPr>
      <w:r>
        <w:rPr/>
        <w:t xml:space="preserve">A valid hypothesis generates predictions that can be tested and falsified. The Shemsu Hor Hypothesis produces </w:t>
      </w:r>
      <w:r>
        <w:rPr/>
        <w:t>ten</w:t>
      </w:r>
      <w:r>
        <w:rPr/>
        <w:t>. Prediction 6 is already consistent with the published record. Predictions 1, 2, 7, and 8 are the decisive tests.</w:t>
      </w:r>
    </w:p>
    <w:tbl>
      <w:tblPr>
        <w:tblW w:w="9972" w:type="dxa"/>
        <w:jc w:val="start"/>
        <w:tblInd w:w="0" w:type="dxa"/>
        <w:tblLayout w:type="fixed"/>
        <w:tblCellMar>
          <w:top w:w="28" w:type="dxa"/>
          <w:start w:w="28" w:type="dxa"/>
          <w:bottom w:w="28" w:type="dxa"/>
          <w:end w:w="28" w:type="dxa"/>
        </w:tblCellMar>
      </w:tblPr>
      <w:tblGrid>
        <w:gridCol w:w="2219"/>
        <w:gridCol w:w="5323"/>
        <w:gridCol w:w="2430"/>
      </w:tblGrid>
      <w:tr>
        <w:trPr>
          <w:tblHeader w:val="true"/>
        </w:trPr>
        <w:tc>
          <w:tcPr>
            <w:tcW w:w="2219" w:type="dxa"/>
            <w:tcBorders/>
            <w:vAlign w:val="center"/>
          </w:tcPr>
          <w:p>
            <w:pPr>
              <w:pStyle w:val="TableHeading"/>
              <w:rPr/>
            </w:pPr>
            <w:r>
              <w:rPr/>
              <w:t>Prediction</w:t>
            </w:r>
          </w:p>
        </w:tc>
        <w:tc>
          <w:tcPr>
            <w:tcW w:w="5323" w:type="dxa"/>
            <w:tcBorders/>
            <w:vAlign w:val="center"/>
          </w:tcPr>
          <w:p>
            <w:pPr>
              <w:pStyle w:val="TableHeading"/>
              <w:rPr/>
            </w:pPr>
            <w:r>
              <w:rPr/>
              <w:t>What Would Support It</w:t>
            </w:r>
          </w:p>
        </w:tc>
        <w:tc>
          <w:tcPr>
            <w:tcW w:w="2430" w:type="dxa"/>
            <w:tcBorders/>
            <w:vAlign w:val="center"/>
          </w:tcPr>
          <w:p>
            <w:pPr>
              <w:pStyle w:val="TableHeading"/>
              <w:rPr/>
            </w:pPr>
            <w:r>
              <w:rPr/>
              <w:t>What Would Falsify It</w:t>
            </w:r>
          </w:p>
        </w:tc>
      </w:tr>
      <w:tr>
        <w:trPr/>
        <w:tc>
          <w:tcPr>
            <w:tcW w:w="2219" w:type="dxa"/>
            <w:tcBorders/>
            <w:vAlign w:val="center"/>
          </w:tcPr>
          <w:p>
            <w:pPr>
              <w:pStyle w:val="TableContents"/>
              <w:rPr/>
            </w:pPr>
            <w:r>
              <w:rPr>
                <w:rStyle w:val="Strong"/>
              </w:rPr>
              <w:t>1. Isotope gradients in Predynastic elites</w:t>
            </w:r>
          </w:p>
        </w:tc>
        <w:tc>
          <w:tcPr>
            <w:tcW w:w="5323" w:type="dxa"/>
            <w:tcBorders/>
            <w:vAlign w:val="center"/>
          </w:tcPr>
          <w:p>
            <w:pPr>
              <w:pStyle w:val="TableContents"/>
              <w:rPr/>
            </w:pPr>
            <w:r>
              <w:rPr/>
              <w:t xml:space="preserve">Non-local strontium / oxygen signatures in HK6 and Naqada II–III elite burials consistent with western Saharan origins. </w:t>
            </w:r>
            <w:r>
              <w:rPr>
                <w:rStyle w:val="Emphasis"/>
              </w:rPr>
              <w:t>Methodological note:</w:t>
            </w:r>
            <w:r>
              <w:rPr/>
              <w:t xml:space="preserve"> Schrader et al. (2023) tested 40 individuals at Hierakonpolis HK43 and found 3 outliers with Sr 0.70814–0.70824, matching Eastern Desert rather than western Saharan signatures. HK43 is explicitly the non-elite workers' cemetery at Hierakonpolis (Friedman et al. 1999)—the least diagnostic stratum for a hypothesis about elite population integration. This finding is consistent with integration. Any Saharan migrants arriving at Hierakonpolis ca. 3800–3600 BCE would be isotopically indistinguishable from Nile Valley locals in their workers' descendants 20+ generations later. Testing the non-elite cemetery in a late time window confirms assimilation occurred. The decisive test requires the elite stratum in the early window: Tasian, Badarian, and early Naqada I elite burials—the contexts before isotopic assimilation would erase the signal. Relevant collections accessible for isotopic testing include the Predynastic holdings of the Petrie Museum of Egyptian Archaeology (University College London), the Egyptian Museum Cairo (Hierakonpolis and Naqada material), the Ashmolean Museum Oxford, and the British Museum. None of these have been systematically tested with this hypothesis in view.</w:t>
            </w:r>
          </w:p>
        </w:tc>
        <w:tc>
          <w:tcPr>
            <w:tcW w:w="2430" w:type="dxa"/>
            <w:tcBorders/>
            <w:vAlign w:val="center"/>
          </w:tcPr>
          <w:p>
            <w:pPr>
              <w:pStyle w:val="TableContents"/>
              <w:rPr/>
            </w:pPr>
            <w:r>
              <w:rPr/>
              <w:t>Null findings specifically in early Predynastic elite contexts—Tasian, Badarian, early Naqada I—would constitute genuine negative pressure on the hypothesis, even without complete absence across all contexts. The falsification condition is not total absence; it is absence in the earliest, least-assimilated elite window.</w:t>
            </w:r>
          </w:p>
        </w:tc>
      </w:tr>
      <w:tr>
        <w:trPr/>
        <w:tc>
          <w:tcPr>
            <w:tcW w:w="2219" w:type="dxa"/>
            <w:tcBorders/>
            <w:vAlign w:val="center"/>
          </w:tcPr>
          <w:p>
            <w:pPr>
              <w:pStyle w:val="TableContents"/>
              <w:rPr/>
            </w:pPr>
            <w:r>
              <w:rPr>
                <w:rStyle w:val="Strong"/>
              </w:rPr>
              <w:t>2. Western aDNA signatures</w:t>
            </w:r>
          </w:p>
        </w:tc>
        <w:tc>
          <w:tcPr>
            <w:tcW w:w="5323" w:type="dxa"/>
            <w:tcBorders/>
            <w:vAlign w:val="center"/>
          </w:tcPr>
          <w:p>
            <w:pPr>
              <w:pStyle w:val="TableContents"/>
              <w:rPr/>
            </w:pPr>
            <w:r>
              <w:rPr/>
              <w:t>aDNA from Naqada II–III elite contexts showing elevated North/West African Neolithic ancestry relative to contemporaneous non-elite individuals or earlier Nile Valley populations</w:t>
            </w:r>
          </w:p>
        </w:tc>
        <w:tc>
          <w:tcPr>
            <w:tcW w:w="2430" w:type="dxa"/>
            <w:tcBorders/>
            <w:vAlign w:val="center"/>
          </w:tcPr>
          <w:p>
            <w:pPr>
              <w:pStyle w:val="TableContents"/>
              <w:rPr/>
            </w:pPr>
            <w:r>
              <w:rPr/>
              <w:t>aDNA continuity with no detectable western admixture across the Predynastic transition in any cemetery class</w:t>
            </w:r>
          </w:p>
        </w:tc>
      </w:tr>
      <w:tr>
        <w:trPr/>
        <w:tc>
          <w:tcPr>
            <w:tcW w:w="2219" w:type="dxa"/>
            <w:tcBorders/>
            <w:vAlign w:val="center"/>
          </w:tcPr>
          <w:p>
            <w:pPr>
              <w:pStyle w:val="TableContents"/>
              <w:rPr/>
            </w:pPr>
            <w:r>
              <w:rPr>
                <w:rStyle w:val="Strong"/>
              </w:rPr>
              <w:t>3. Technological discontinuity</w:t>
            </w:r>
          </w:p>
        </w:tc>
        <w:tc>
          <w:tcPr>
            <w:tcW w:w="5323" w:type="dxa"/>
            <w:tcBorders/>
            <w:vAlign w:val="center"/>
          </w:tcPr>
          <w:p>
            <w:pPr>
              <w:pStyle w:val="TableContents"/>
              <w:rPr/>
            </w:pPr>
            <w:r>
              <w:rPr/>
              <w:t>Hard-stone vessel types appearing in Naqada II elite contexts that cannot be sourced to documented Egyptian quarries through chemical analysis—specifically igneous and volcanic lithologies absent from the Eastern Desert quarry inventory. Quarry sourcing methodology follows Mallory (2000) and Aston (1994).</w:t>
            </w:r>
          </w:p>
        </w:tc>
        <w:tc>
          <w:tcPr>
            <w:tcW w:w="2430" w:type="dxa"/>
            <w:tcBorders/>
            <w:vAlign w:val="center"/>
          </w:tcPr>
          <w:p>
            <w:pPr>
              <w:pStyle w:val="TableContents"/>
              <w:rPr/>
            </w:pPr>
            <w:r>
              <w:rPr/>
              <w:t>All Naqada II hard-stone vessel types successfully sourced to documented Egyptian quarries through chemical analysis</w:t>
            </w:r>
          </w:p>
        </w:tc>
      </w:tr>
      <w:tr>
        <w:trPr/>
        <w:tc>
          <w:tcPr>
            <w:tcW w:w="2219" w:type="dxa"/>
            <w:tcBorders/>
            <w:vAlign w:val="center"/>
          </w:tcPr>
          <w:p>
            <w:pPr>
              <w:pStyle w:val="TableContents"/>
              <w:rPr/>
            </w:pPr>
            <w:r>
              <w:rPr>
                <w:rStyle w:val="Strong"/>
              </w:rPr>
              <w:t>3b. Site-specificity comparison (Naqada)</w:t>
            </w:r>
          </w:p>
        </w:tc>
        <w:tc>
          <w:tcPr>
            <w:tcW w:w="5323" w:type="dxa"/>
            <w:tcBorders/>
            <w:vAlign w:val="center"/>
          </w:tcPr>
          <w:p>
            <w:pPr>
              <w:pStyle w:val="TableContents"/>
              <w:rPr/>
            </w:pPr>
            <w:r>
              <w:rPr/>
              <w:t xml:space="preserve">The five Saharan pastoral markers documented at HK6 (dung fuel use, </w:t>
            </w:r>
            <w:r>
              <w:rPr>
                <w:rStyle w:val="Emphasis"/>
              </w:rPr>
              <w:t>Balanites</w:t>
            </w:r>
            <w:r>
              <w:rPr/>
              <w:t xml:space="preserve"> offerings, horn modification, Bat cow goddess emblem, morphological diversity) will be significantly weaker in frequency or absent at contemporaneous Naqada Cemetery T and B elite burials. The corridor hypothesis predicts site-specificity: integration at the Horus cult center (Hierakonpolis/Nekhen), not at the rival Seth cult center (Naqada/Nubt).</w:t>
            </w:r>
          </w:p>
        </w:tc>
        <w:tc>
          <w:tcPr>
            <w:tcW w:w="2430" w:type="dxa"/>
            <w:tcBorders/>
            <w:vAlign w:val="center"/>
          </w:tcPr>
          <w:p>
            <w:pPr>
              <w:pStyle w:val="TableContents"/>
              <w:rPr/>
            </w:pPr>
            <w:r>
              <w:rPr/>
              <w:t>The five HK6 markers appearing at equivalent or higher frequency at Naqada Cemetery T and B relative to HK6</w:t>
            </w:r>
          </w:p>
        </w:tc>
      </w:tr>
      <w:tr>
        <w:trPr/>
        <w:tc>
          <w:tcPr>
            <w:tcW w:w="2219" w:type="dxa"/>
            <w:tcBorders/>
            <w:vAlign w:val="center"/>
          </w:tcPr>
          <w:p>
            <w:pPr>
              <w:pStyle w:val="TableContents"/>
              <w:rPr/>
            </w:pPr>
            <w:r>
              <w:rPr>
                <w:rStyle w:val="Strong"/>
              </w:rPr>
              <w:t>4. Falcon cult origin</w:t>
            </w:r>
          </w:p>
        </w:tc>
        <w:tc>
          <w:tcPr>
            <w:tcW w:w="5323" w:type="dxa"/>
            <w:tcBorders/>
            <w:vAlign w:val="center"/>
          </w:tcPr>
          <w:p>
            <w:pPr>
              <w:pStyle w:val="TableContents"/>
              <w:rPr/>
            </w:pPr>
            <w:r>
              <w:rPr/>
              <w:t>Horus falcon iconography traceable to western Saharan or Nubian A-Group contexts before its appearance in Upper Egyptian elite contexts</w:t>
            </w:r>
          </w:p>
        </w:tc>
        <w:tc>
          <w:tcPr>
            <w:tcW w:w="2430" w:type="dxa"/>
            <w:tcBorders/>
            <w:vAlign w:val="center"/>
          </w:tcPr>
          <w:p>
            <w:pPr>
              <w:pStyle w:val="TableContents"/>
              <w:rPr/>
            </w:pPr>
            <w:r>
              <w:rPr/>
              <w:t>Falcon cult demonstrably originating within the Nile Valley with no western or southern antecedents</w:t>
            </w:r>
          </w:p>
        </w:tc>
      </w:tr>
      <w:tr>
        <w:trPr/>
        <w:tc>
          <w:tcPr>
            <w:tcW w:w="2219" w:type="dxa"/>
            <w:tcBorders/>
            <w:vAlign w:val="center"/>
          </w:tcPr>
          <w:p>
            <w:pPr>
              <w:pStyle w:val="TableContents"/>
              <w:rPr/>
            </w:pPr>
            <w:r>
              <w:rPr>
                <w:rStyle w:val="Strong"/>
              </w:rPr>
              <w:t>5. Archival references</w:t>
            </w:r>
          </w:p>
        </w:tc>
        <w:tc>
          <w:tcPr>
            <w:tcW w:w="5323" w:type="dxa"/>
            <w:tcBorders/>
            <w:vAlign w:val="center"/>
          </w:tcPr>
          <w:p>
            <w:pPr>
              <w:pStyle w:val="TableContents"/>
              <w:rPr/>
            </w:pPr>
            <w:r>
              <w:rPr/>
              <w:t>Discovery of material predating Dynasty I corresponding to the 'annals' and 'leather documents' referenced by Thutmose I and the Dendera builders</w:t>
            </w:r>
          </w:p>
        </w:tc>
        <w:tc>
          <w:tcPr>
            <w:tcW w:w="2430" w:type="dxa"/>
            <w:tcBorders/>
            <w:vAlign w:val="center"/>
          </w:tcPr>
          <w:p>
            <w:pPr>
              <w:pStyle w:val="TableContents"/>
              <w:rPr/>
            </w:pPr>
            <w:r>
              <w:rPr/>
              <w:t>Demonstration that all such references are retrospective literary invention with no archival basis whatsoever</w:t>
            </w:r>
          </w:p>
        </w:tc>
      </w:tr>
      <w:tr>
        <w:trPr/>
        <w:tc>
          <w:tcPr>
            <w:tcW w:w="2219" w:type="dxa"/>
            <w:tcBorders/>
            <w:vAlign w:val="center"/>
          </w:tcPr>
          <w:p>
            <w:pPr>
              <w:pStyle w:val="TableContents"/>
              <w:rPr/>
            </w:pPr>
            <w:r>
              <w:rPr>
                <w:rStyle w:val="Strong"/>
              </w:rPr>
              <w:t>6a. Cardinal family frequency ordering</w:t>
            </w:r>
          </w:p>
        </w:tc>
        <w:tc>
          <w:tcPr>
            <w:tcW w:w="5323" w:type="dxa"/>
            <w:tcBorders/>
            <w:vAlign w:val="center"/>
          </w:tcPr>
          <w:p>
            <w:pPr>
              <w:pStyle w:val="TableContents"/>
              <w:rPr/>
            </w:pPr>
            <w:r>
              <w:rPr/>
              <w:t>The cardinal super-family (Families I, VI, VII) is the most frequent orientation group in the Belmonte dataset, solar families less frequent, stellar families least frequent—decreasing accessibility predicts decreasing frequency. Testable against published survey frequency data without new fieldwork.</w:t>
            </w:r>
          </w:p>
        </w:tc>
        <w:tc>
          <w:tcPr>
            <w:tcW w:w="2430" w:type="dxa"/>
            <w:tcBorders/>
            <w:vAlign w:val="center"/>
          </w:tcPr>
          <w:p>
            <w:pPr>
              <w:pStyle w:val="TableContents"/>
              <w:rPr/>
            </w:pPr>
            <w:r>
              <w:rPr/>
              <w:t>Cardinal super-family less frequent than solar families in the published dataset</w:t>
            </w:r>
          </w:p>
        </w:tc>
      </w:tr>
      <w:tr>
        <w:trPr/>
        <w:tc>
          <w:tcPr>
            <w:tcW w:w="2219" w:type="dxa"/>
            <w:tcBorders/>
            <w:vAlign w:val="center"/>
          </w:tcPr>
          <w:p>
            <w:pPr>
              <w:pStyle w:val="TableContents"/>
              <w:rPr/>
            </w:pPr>
            <w:r>
              <w:rPr>
                <w:rStyle w:val="Strong"/>
              </w:rPr>
              <w:t>6b. Canopus frequency gradient [PARTIALLY CONSISTENT WITH PUBLISHED DATA]</w:t>
            </w:r>
          </w:p>
        </w:tc>
        <w:tc>
          <w:tcPr>
            <w:tcW w:w="5323" w:type="dxa"/>
            <w:tcBorders/>
            <w:vAlign w:val="center"/>
          </w:tcPr>
          <w:p>
            <w:pPr>
              <w:pStyle w:val="TableContents"/>
              <w:rPr/>
            </w:pPr>
            <w:r>
              <w:rPr/>
              <w:t>Canopus orientation frequency declines continuously and proportionally to the star's altitude at each latitude. The geographic distribution in Section 2.2 is consistent with this prediction. Systematic frequency analysis against altitude data across the full dataset would constitute stronger confirmation.</w:t>
            </w:r>
          </w:p>
        </w:tc>
        <w:tc>
          <w:tcPr>
            <w:tcW w:w="2430" w:type="dxa"/>
            <w:tcBorders/>
            <w:vAlign w:val="center"/>
          </w:tcPr>
          <w:p>
            <w:pPr>
              <w:pStyle w:val="TableContents"/>
              <w:rPr/>
            </w:pPr>
            <w:r>
              <w:rPr/>
              <w:t>No correlation between Canopus altitude and Canopus orientation frequency across the full dataset</w:t>
            </w:r>
          </w:p>
        </w:tc>
      </w:tr>
      <w:tr>
        <w:trPr/>
        <w:tc>
          <w:tcPr>
            <w:tcW w:w="2219" w:type="dxa"/>
            <w:tcBorders/>
            <w:vAlign w:val="center"/>
          </w:tcPr>
          <w:p>
            <w:pPr>
              <w:pStyle w:val="TableContents"/>
              <w:rPr/>
            </w:pPr>
            <w:r>
              <w:rPr>
                <w:rStyle w:val="Strong"/>
              </w:rPr>
              <w:t>6c. Non-observable Canopus persistence [PARTIAL CONFIRMATION IN PUBLISHED DATA]</w:t>
            </w:r>
          </w:p>
        </w:tc>
        <w:tc>
          <w:tcPr>
            <w:tcW w:w="5323" w:type="dxa"/>
            <w:tcBorders/>
            <w:vAlign w:val="center"/>
          </w:tcPr>
          <w:p>
            <w:pPr>
              <w:pStyle w:val="TableContents"/>
              <w:rPr/>
            </w:pPr>
            <w:r>
              <w:rPr/>
              <w:t>Canopus-oriented temples exist at sites and periods where Canopus was below practical naked-eye altitude, indicating transmitted institutional memory rather than direct observation. Partial confirmation in Section 2.1: northern orientations appear and persist at marginal altitudes. This is the hardest and most specific test of the Wedjat-hierarchy framework; all three predictions are testable against the published dataset without new fieldwork.</w:t>
            </w:r>
          </w:p>
        </w:tc>
        <w:tc>
          <w:tcPr>
            <w:tcW w:w="2430" w:type="dxa"/>
            <w:tcBorders/>
            <w:vAlign w:val="center"/>
          </w:tcPr>
          <w:p>
            <w:pPr>
              <w:pStyle w:val="TableContents"/>
              <w:rPr/>
            </w:pPr>
            <w:r>
              <w:rPr/>
              <w:t>All Canopus-oriented temples located where the star was functionally observable; no orientations to Canopus at genuinely non-observable altitudes</w:t>
            </w:r>
          </w:p>
        </w:tc>
      </w:tr>
      <w:tr>
        <w:trPr/>
        <w:tc>
          <w:tcPr>
            <w:tcW w:w="2219" w:type="dxa"/>
            <w:tcBorders/>
            <w:vAlign w:val="center"/>
          </w:tcPr>
          <w:p>
            <w:pPr>
              <w:pStyle w:val="TableContents"/>
              <w:rPr/>
            </w:pPr>
            <w:r>
              <w:rPr>
                <w:rStyle w:val="Strong"/>
              </w:rPr>
              <w:t>7. Stone vessel geochemistry</w:t>
            </w:r>
          </w:p>
        </w:tc>
        <w:tc>
          <w:tcPr>
            <w:tcW w:w="5323" w:type="dxa"/>
            <w:tcBorders/>
            <w:vAlign w:val="center"/>
          </w:tcPr>
          <w:p>
            <w:pPr>
              <w:pStyle w:val="TableContents"/>
              <w:rPr/>
            </w:pPr>
            <w:r>
              <w:rPr/>
              <w:t xml:space="preserve">Predynastic hard-stone vessels (Naqada II–III) sourced to western Saharan lithologies (red rhyolite, black gabbro, white carbonatite; REE patterns; Nb/Ta ratios 26–48) consistent with Richat Structure geology. </w:t>
            </w:r>
            <w:r>
              <w:rPr>
                <w:rStyle w:val="Emphasis"/>
              </w:rPr>
              <w:t>Reinforcing note:</w:t>
            </w:r>
            <w:r>
              <w:rPr/>
              <w:t xml:space="preserve"> Egypt possesses no documented primary magmatic carbonatite complex replicating the Richat's distinctive combination of carbonatite host rock, elevated transition metals (Ni ~380 ppm, Cr ~840 ppm), and LREE mineral suite. The closest Egyptian analogue—the Late Cretaceous Abu Khruq alkaline ring complex in the South Eastern Desert—features secondary hydrothermal carbonatization rather than primary carbonatite intrusions; its syenogabbros contain &lt;20 ppm Ni and negligible Cr (Obeid and Lalonde 2013). Abu Khruq exhibits localized LREE enrichment in altered zones and accessory phases including monazite and pyrochlore (El Afandy et al. 2013) but does not appear in any published survey of ancient Egyptian quarries spanning the Late Predynastic through Roman periods (Harrell and Storemyr 2009). If vessel testing returns a carbonatite-hosted signature with elevated Ni/Cr and the Richat's LREE pattern, no known local Egyptian source can account for it. While future surveys could identify additional Egyptian sources, current data show no match for this specific combination.</w:t>
            </w:r>
          </w:p>
        </w:tc>
        <w:tc>
          <w:tcPr>
            <w:tcW w:w="2430" w:type="dxa"/>
            <w:tcBorders/>
            <w:vAlign w:val="center"/>
          </w:tcPr>
          <w:p>
            <w:pPr>
              <w:pStyle w:val="TableContents"/>
              <w:rPr/>
            </w:pPr>
            <w:r>
              <w:rPr/>
              <w:t>All Predynastic stone vessel raw materials match Egyptian quarry sources, with no western Saharan lithological signatures across systematic testing</w:t>
            </w:r>
          </w:p>
        </w:tc>
      </w:tr>
      <w:tr>
        <w:trPr/>
        <w:tc>
          <w:tcPr>
            <w:tcW w:w="2219" w:type="dxa"/>
            <w:tcBorders/>
            <w:vAlign w:val="center"/>
          </w:tcPr>
          <w:p>
            <w:pPr>
              <w:pStyle w:val="TableContents"/>
              <w:rPr/>
            </w:pPr>
            <w:r>
              <w:rPr>
                <w:rStyle w:val="Strong"/>
              </w:rPr>
              <w:t>8. A-Group aDNA</w:t>
            </w:r>
          </w:p>
        </w:tc>
        <w:tc>
          <w:tcPr>
            <w:tcW w:w="5323" w:type="dxa"/>
            <w:tcBorders/>
            <w:vAlign w:val="center"/>
          </w:tcPr>
          <w:p>
            <w:pPr>
              <w:pStyle w:val="TableContents"/>
              <w:rPr/>
            </w:pPr>
            <w:r>
              <w:rPr/>
              <w:t>aDNA from Nubian A-Group individuals (ca. 3800–3100 BCE) showing elevated affinity to the Takarkori North African Neolithic lineage (Salem et al. 2025), consistent with a shared source population at both ends of the corridor</w:t>
            </w:r>
          </w:p>
        </w:tc>
        <w:tc>
          <w:tcPr>
            <w:tcW w:w="2430" w:type="dxa"/>
            <w:tcBorders/>
            <w:vAlign w:val="center"/>
          </w:tcPr>
          <w:p>
            <w:pPr>
              <w:pStyle w:val="TableContents"/>
              <w:rPr/>
            </w:pPr>
            <w:r>
              <w:rPr/>
              <w:t>A-Group aDNA showing no affinity to the Takarkori lineage; ancestry profile matching local Nile Valley Epipaleolithic populations exclusively</w:t>
            </w:r>
          </w:p>
        </w:tc>
      </w:tr>
      <w:tr>
        <w:trPr/>
        <w:tc>
          <w:tcPr>
            <w:tcW w:w="2219" w:type="dxa"/>
            <w:tcBorders/>
            <w:vAlign w:val="center"/>
          </w:tcPr>
          <w:p>
            <w:pPr>
              <w:pStyle w:val="TableContents"/>
              <w:rPr/>
            </w:pPr>
            <w:r>
              <w:rPr>
                <w:rStyle w:val="Strong"/>
              </w:rPr>
              <w:t>9. Corridor archaeology</w:t>
            </w:r>
          </w:p>
        </w:tc>
        <w:tc>
          <w:tcPr>
            <w:tcW w:w="5323" w:type="dxa"/>
            <w:tcBorders/>
            <w:vAlign w:val="center"/>
          </w:tcPr>
          <w:p>
            <w:pPr>
              <w:pStyle w:val="TableContents"/>
              <w:rPr/>
            </w:pPr>
            <w:r>
              <w:rPr/>
              <w:t>Evidence of human activity along the Fezzan–Kufra paleodrainage route (ca. 5000–3100 BCE): campsites, lithic scatters, or skeletal remains consistent with pastoralist movement through the documented megalake-and-paleochannel network (Drake et al. 2011; Paillou et al. 2009; Klokočník et al. 2017). This is the critical gap in the current evidence: the genetic chain has two documented anchor points (Takarkori and Nuwayrat) but no intermediate samples from the corridor during the migration window itself, and the western source-zone in Mauritania remains entirely unsampled.</w:t>
            </w:r>
          </w:p>
        </w:tc>
        <w:tc>
          <w:tcPr>
            <w:tcW w:w="2430" w:type="dxa"/>
            <w:tcBorders/>
            <w:vAlign w:val="center"/>
          </w:tcPr>
          <w:p>
            <w:pPr>
              <w:pStyle w:val="TableContents"/>
              <w:rPr/>
            </w:pPr>
            <w:r>
              <w:rPr/>
              <w:t>Systematic corridor survey revealing no human activity along the paleochannel route during the proposed migration window</w:t>
            </w:r>
          </w:p>
        </w:tc>
      </w:tr>
      <w:tr>
        <w:trPr/>
        <w:tc>
          <w:tcPr>
            <w:tcW w:w="2219" w:type="dxa"/>
            <w:tcBorders/>
            <w:vAlign w:val="center"/>
          </w:tcPr>
          <w:p>
            <w:pPr>
              <w:pStyle w:val="TableContents"/>
              <w:rPr/>
            </w:pPr>
            <w:r>
              <w:rPr>
                <w:rStyle w:val="Strong"/>
              </w:rPr>
              <w:t>10. Richat uniqueness</w:t>
            </w:r>
          </w:p>
        </w:tc>
        <w:tc>
          <w:tcPr>
            <w:tcW w:w="5323" w:type="dxa"/>
            <w:tcBorders/>
            <w:vAlign w:val="center"/>
          </w:tcPr>
          <w:p>
            <w:pPr>
              <w:pStyle w:val="TableContents"/>
              <w:rPr/>
            </w:pPr>
            <w:r>
              <w:rPr/>
              <w:t>The Richat Structure satisfies all six conditions derived from the Wedjat binary fractions, Belmonte's rotations, the Canopus gradient, Green Sahara occupation, the paleoriver corridor, and the Shemsu Hor textual tradition.</w:t>
            </w:r>
          </w:p>
        </w:tc>
        <w:tc>
          <w:tcPr>
            <w:tcW w:w="2430" w:type="dxa"/>
            <w:tcBorders/>
            <w:vAlign w:val="center"/>
          </w:tcPr>
          <w:p>
            <w:pPr>
              <w:pStyle w:val="TableContents"/>
              <w:rPr/>
            </w:pPr>
            <w:r>
              <w:rPr/>
              <w:t>A global survey of concentric-ring structures and Green Sahara sites identifies another location that satisfies all six conditions; or higher-resolution mapping shows the 1/64 point falls outside the Richat's main concentric system.</w:t>
            </w:r>
          </w:p>
        </w:tc>
      </w:tr>
    </w:tbl>
    <w:p>
      <w:pPr>
        <w:pStyle w:val="Heading3"/>
        <w:spacing w:lineRule="auto" w:line="276" w:before="0" w:after="283"/>
        <w:rPr>
          <w:sz w:val="24"/>
          <w:szCs w:val="24"/>
        </w:rPr>
      </w:pPr>
      <w:r>
        <w:rPr>
          <w:sz w:val="24"/>
          <w:szCs w:val="24"/>
        </w:rPr>
      </w:r>
    </w:p>
    <w:p>
      <w:pPr>
        <w:pStyle w:val="Heading2"/>
        <w:spacing w:lineRule="auto" w:line="276" w:before="0" w:after="283"/>
        <w:rPr>
          <w:sz w:val="24"/>
          <w:szCs w:val="24"/>
        </w:rPr>
      </w:pPr>
      <w:r>
        <w:rPr>
          <w:sz w:val="24"/>
          <w:szCs w:val="24"/>
        </w:rPr>
        <w:t>15.1 An Anchor Point for Predictions 1 and 2: The Nuwayrat Whole-Genome</w:t>
      </w:r>
    </w:p>
    <w:p>
      <w:pPr>
        <w:pStyle w:val="BodyText"/>
        <w:spacing w:before="0" w:after="283"/>
        <w:rPr/>
      </w:pPr>
      <w:r>
        <w:rPr/>
        <w:t>Morez Jacobs et al. (2025) published the first whole-genome sequence of an ancient Egyptian—NUE001, Nuwayrat, 2855–2570 BCE—showing approximately 80% North African Neolithic ancestry best-modelled by Moroccan Neolithic populations (Skhirat-Rouazi), the best-fitting of all North African and West Asian Neolithic sources in the rotating model competition, with the remainder (~20%) best modelled as eastern Fertile Crescent ancestry. His isotope profile confirms he grew up in the Nile Valley. The technical tools and analytical methods needed to test Predictions 1 and 2 demonstrably exist and produce clean, interpretable results. What is currently missing is sampling of Predynastic elite contexts. Stevenson (2016), in the most comprehensive recent review of Predynastic state formation, identified this exact gap: 'analysis of the genome from human remains in Predynastic cemeteries might provide good evidence of population movements in the 4th millennium BC' (Stevenson 2016: footnote 90). This paper proposes the test that the field's own reviewers have independently identified as the critical missing piece.</w:t>
      </w:r>
    </w:p>
    <w:p>
      <w:pPr>
        <w:pStyle w:val="BodyText"/>
        <w:spacing w:before="0" w:after="283"/>
        <w:rPr/>
      </w:pPr>
      <w:r>
        <w:rPr>
          <w:rStyle w:val="Strong"/>
        </w:rPr>
        <w:t>What the Fertile Crescent component does and does not imply:</w:t>
      </w:r>
      <w:r>
        <w:rPr/>
        <w:t xml:space="preserve"> The ~20% eastern ancestry at Nuwayrat is compatible with, not contradictory to, corridor migration. The Takarkori lineage itself may have carried limited Levantine-related ancestry through pre-existing north-south gene flow across the Sahara during the African Humid Period, when green corridors connected the Mediterranean coast to sub-Saharan Africa (Lipson et al. 2025). Alternatively, the eastern component could reflect later admixture following state consolidation, when Egypt's documented trade relations with the Levant (Section 9.1) and Mesopotamia (Section 9.1) intensified. Neither scenario requires abandoning the North African Neolithic ancestry signal as the dominant component.</w:t>
      </w:r>
    </w:p>
    <w:p>
      <w:pPr>
        <w:pStyle w:val="BodyText"/>
        <w:spacing w:before="0" w:after="283"/>
        <w:rPr/>
      </w:pPr>
      <w:r>
        <w:rPr>
          <w:rStyle w:val="Strong"/>
        </w:rPr>
        <w:t>Why diffusion alone is insufficient:</w:t>
      </w:r>
      <w:r>
        <w:rPr/>
        <w:t xml:space="preserve"> A pure diffusion model without directed migration would require the North African Neolithic ancestry signal to travel from Morocco to the Nile Valley through populations that Lipson et al. (2025) demonstrate were genetically isolated and non-transmitting in the eastern Maghreb. The corridor model resolves this paradox by proposing a discrete movement event along the documented Fezzan–Kufra paleodrainage network, bypassing the non-transmitting eastern Maghreb populations entirely. The ~80% ancestry proportion at Nuwayrat argues for a substantial migration event rather than gradual dilution through continuous exchange — sustained diffusion should produce a lower, more diluted proportion at Old Kingdom date.</w:t>
      </w:r>
    </w:p>
    <w:p>
      <w:pPr>
        <w:pStyle w:val="BodyText"/>
        <w:spacing w:before="0" w:after="283"/>
        <w:rPr/>
      </w:pPr>
      <w:r>
        <w:rPr/>
        <w:t>One acknowledged gap in the current genomic evidence must be stated directly. The genetic chain as documented consists of two anchor points: a corridor-zone population at Takarkori (~5000 BCE, Fezzan, southwestern Libya—a midpoint on the proposed route, not the Mauritanian source zone) and a destination genome at Nuwayrat (~2700 BCE), separated by approximately 2,200 years and the full length of the corridor. No ancient DNA from the Fezzan corridor itself during the proposed migration window (3800–3100 BCE) has been published, and the western source-zone anchor in Mauritania remains entirely unsampled. These are the field's most important open questions for testing this hypothesis, addressed directly by Prediction 9. The gap does not invalidate the genetic argument—the anchor points establish the North African Neolithic ancestry pool at a documented corridor site and at the Nile destination, and the climate and archaeological evidence independently establishes the migration pressure and timing—but closing it with intermediate corridor samples and a Mauritanian source-zone sample would transform the genomic case from circumstantially consistent to directly documented.</w:t>
        <w:br/>
        <w:br/>
        <w:t>A further constraint follows from this model. If populations along the proposed corridor show continuity with Nile Valley populations but not with western Saharan populations, the hypothesis would require revision toward cultural transmission rather than primary migration. Conversely, continuity linking western Saharan, corridor, and Nile populations would support a demic component to the process.</w:t>
      </w:r>
    </w:p>
    <w:p>
      <w:pPr>
        <w:pStyle w:val="Heading3"/>
        <w:spacing w:lineRule="auto" w:line="276" w:before="0" w:after="283"/>
        <w:rPr>
          <w:sz w:val="24"/>
          <w:szCs w:val="24"/>
        </w:rPr>
      </w:pPr>
      <w:r>
        <w:rPr>
          <w:sz w:val="24"/>
          <w:szCs w:val="24"/>
        </w:rPr>
        <w:t>15.2 Relationship to the Internal Aggregation Model</w:t>
      </w:r>
    </w:p>
    <w:p>
      <w:pPr>
        <w:pStyle w:val="BodyText"/>
        <w:spacing w:before="0" w:after="283"/>
        <w:rPr/>
      </w:pPr>
      <w:r>
        <w:rPr/>
        <w:t>The internal competition and aggregation model—Thinis, Naqada, and Nekhen as rival Upper Egyptian polities with Thinis ultimately dominant—is well established and explains the political mechanism of unification. It does not address the population composition of those polities or why the first Old Kingdom whole genome shows dominant North African Neolithic ancestry rather than a profile consistent with indigenous Nile Valley Epipaleolithic populations. The two frameworks are not mutually exclusive. Internal aggregation describes the political mechanism. Saharan corridor migration explains the longer-term demographic and cultural context in which that mechanism operated.</w:t>
      </w:r>
    </w:p>
    <w:p>
      <w:pPr>
        <w:pStyle w:val="Heading3"/>
        <w:spacing w:lineRule="auto" w:line="276" w:before="0" w:after="283"/>
        <w:rPr>
          <w:sz w:val="24"/>
          <w:szCs w:val="24"/>
        </w:rPr>
      </w:pPr>
      <w:r>
        <w:rPr>
          <w:sz w:val="24"/>
          <w:szCs w:val="24"/>
        </w:rPr>
        <w:t>15.3 Relationship to Mainstream Interpretations</w:t>
      </w:r>
    </w:p>
    <w:p>
      <w:pPr>
        <w:pStyle w:val="BodyText"/>
        <w:spacing w:before="0" w:after="283"/>
        <w:rPr/>
      </w:pPr>
      <w:r>
        <w:rPr/>
        <w:t>Mainstream Egyptology identifies the Shemsu Hor with the Souls of Pe and Nekhen—ancestral protectors of the kings of Upper and Lower Egypt, first attested in the Pyramid Texts (Sethe 1902; Frankfort 1978). This identification is not contested here. The hypothesis converges with it: if the Horus falcon cult at Hierakonpolis has western Saharan roots, its first political instantiation occurs at Nekhen—precisely the site the hypothesis predicts for elite Saharan migrant consolidation. The Hertz (1931) identification of the Shemsu Hor with predynastic rulers of Lower Egypt, and the dual Pe/Buto + Nekhen/Hierakonpolis character of the tradition, are both consistent with the textual record and with the hypothesis advanced here.</w:t>
      </w:r>
    </w:p>
    <w:p>
      <w:pPr>
        <w:pStyle w:val="BodyText"/>
        <w:spacing w:before="0" w:after="283"/>
        <w:rPr/>
      </w:pPr>
      <w:r>
        <w:rPr/>
        <w:t>A related question concerns the Naqada polity—a major Predynastic center alongside Hierakonpolis. The corridor hypothesis does not predict Naqada as a second corridor integration point. Naqada was associated with the Seth cult, not the Horus cult; it was the rival polity subsequently conquered by the Hierakonpolis–Abydos alliance that carried the Horus tradition to unification (Kemp 2006; Wilkinson 1999). The corridor hypothesis predicts integration specifically at the Horus cult center. Naqada's Seth association and its conquest by the corridor-derived Horus tradition is consistent with the model, not a gap in it: the corridor populations integrated at Hierakonpolis; their tradition subsequently absorbed its rival.</w:t>
      </w:r>
    </w:p>
    <w:p>
      <w:pPr>
        <w:pStyle w:val="BodyText"/>
        <w:spacing w:before="0" w:after="283"/>
        <w:rPr/>
      </w:pPr>
      <w:r>
        <w:rPr/>
        <w:t>A gap in the comparison deserves acknowledgment: no published systematic comparison of the five HK6 markers with contemporaneous Naqada cemeteries (Cemeteries T and B) has been conducted. The corridor hypothesis predicts the Saharan pastoral package will be significantly weaker or absent at Naqada's Seth cult cemeteries relative to the Horus cult center—a testable prediction from the site-specificity argument that awaits systematic evaluation.</w:t>
      </w:r>
    </w:p>
    <w:p>
      <w:pPr>
        <w:pStyle w:val="HorizontalLine"/>
        <w:spacing w:before="0" w:after="0"/>
        <w:rPr>
          <w:sz w:val="24"/>
          <w:szCs w:val="24"/>
        </w:rPr>
      </w:pPr>
      <w:r>
        <w:rPr>
          <w:sz w:val="24"/>
          <w:szCs w:val="24"/>
        </w:rPr>
      </w:r>
    </w:p>
    <w:p>
      <w:pPr>
        <w:pStyle w:val="Heading3"/>
        <w:spacing w:before="0" w:after="283"/>
        <w:rPr>
          <w:sz w:val="24"/>
          <w:szCs w:val="24"/>
        </w:rPr>
      </w:pPr>
      <w:r>
        <w:rPr>
          <w:sz w:val="24"/>
          <w:szCs w:val="24"/>
        </w:rPr>
        <w:t>Conclusion</w:t>
      </w:r>
    </w:p>
    <w:p>
      <w:pPr>
        <w:pStyle w:val="BodyText"/>
        <w:rPr/>
      </w:pPr>
      <w:r>
        <w:rPr/>
        <w:t>The Shemsu Hor Hypothesis makes a bounded and specific claim: the transitional category preserved across fifteen centuries of independent Egyptian sources—the Followers of Horus—is not mythological invention. It is cultural memory encoding a real historical horizon: the arrival and consolidation of populations in the Nile Valley during the collapse of the African Humid Period (ca. 3800–3100 BCE).</w:t>
      </w:r>
    </w:p>
    <w:p>
      <w:pPr>
        <w:pStyle w:val="BodyText"/>
        <w:rPr/>
      </w:pPr>
      <w:r>
        <w:rPr/>
        <w:t>Paper I established the physical case. Paper II traced the genetic and symbolic trail. Paper III has demonstrated that the Egyptian textual record—read carefully and without overclaiming—is consistent with exactly the historical process those two papers document. The three papers carry distinct evidential responsibilities: Paper I answers whether a geologically distinctive candidate source existed and how to test it; Paper II answers whether the genetic and symbolic record is consistent with migration along that corridor; Paper III answers whether Egypt's own historical memory is consistent with what those two papers find. A reviewer who accepts Papers I and II but challenges Paper III's textual argument is engaging the hypothesis correctly. A reviewer who challenges the Richat candidate or the qpAdm modelling inside Paper III is challenging the wrong paper.</w:t>
      </w:r>
    </w:p>
    <w:p>
      <w:pPr>
        <w:pStyle w:val="BodyText"/>
        <w:rPr/>
      </w:pPr>
      <w:r>
        <w:rPr/>
        <w:t>The tripartite king-list slot is real and non-optional. The archival specificity that increases over fifteen centuries is anomalous for invented mythological categories. The five material markers at Hierakonpolis appear together at the right site at the right time. The Canopus family of temple orientations is documented by independent researchers who cannot account for it. The chronological convergence at 3100 BCE is produced by one genuinely independent chronology—the climate record—meeting one defined historical boundary, with the textual tradition contributing independent geographic and narrative content rather than an independent date.</w:t>
      </w:r>
    </w:p>
    <w:p>
      <w:pPr>
        <w:pStyle w:val="BodyText"/>
        <w:rPr/>
      </w:pPr>
      <w:r>
        <w:rPr/>
        <w:t>The decisive tests are clear. Isotopic analysis of early Predynastic elite burials. Ancient DNA from Naqada II–III elite contexts and A-Group Nubian individuals. Geochemical sourcing of hard-stone vessels against western Saharan lithologies. These tests target materials in existing museum collections using methods that demonstrably work. None of them has been run systematically. If they fail, the migration model weakens substantially while the structural Shemsu Hor insight survives.</w:t>
      </w:r>
    </w:p>
    <w:p>
      <w:pPr>
        <w:pStyle w:val="BodyText"/>
        <w:rPr/>
      </w:pPr>
      <w:r>
        <w:rPr/>
        <w:t>A note on the precession-tracking analysis: the period-by-period table shows no northern Canopus orientations in the Ptolemaic era despite Canopus reaching approximately 7.5 degrees altitude at Giza—higher than the New Kingdom altitude at which the Tanis orientation appears. This apparent anomaly is explained by the distribution of Ptolemaic building activity: the Ptolemaic building programme was concentrated overwhelmingly in Upper Egypt—Edfu, Dendera, Philae, Kom Ombo—where Canopus was already well visible throughout the period regardless of precession. Northern Ptolemaic temple construction was minimal. The precession effect is only diagnostic at northern sites where the star's altitude crosses the visibility threshold; absent northern construction, no northern Canopus orientations would be expected even if the tradition remained active. This is consistent with, not contradictory to, the migration model's prediction. If they succeed, the hypothesis moves from the most parsimonious available explanation to direct evidentiary support.</w:t>
      </w:r>
    </w:p>
    <w:p>
      <w:pPr>
        <w:pStyle w:val="BodyText"/>
        <w:rPr/>
      </w:pPr>
      <w:r>
        <w:rPr/>
        <w:t>One critical limitation must be re-stated here with the same weight it receives in Prediction 9: the genomic argument currently rests on two documented endpoints separated by approximately 2,200 years and thousands of kilometres, with no published ancient DNA from the Fezzan corridor itself during the proposed migration window (3800–3100 BCE). The corridor is a documented physical and paleoclimatic feature; the human population chain through it remains the series' most critical open empirical question. Prediction 9 targets that gap directly.</w:t>
      </w:r>
    </w:p>
    <w:p>
      <w:pPr>
        <w:pStyle w:val="BodyText"/>
        <w:rPr/>
      </w:pPr>
      <w:r>
        <w:rPr/>
        <w:t>Egyptian tradition preserves a structured memory of pre-dynastic ancestral groups. This memory aligns temporally and structurally with the archaeologically attested period of population movement, elite formation, and state consolidation in the Nile Valley. The Shemsu Hor may encode a real historical transition—the moment when one world ended and another began. Saharan corridor migration is among the most coherent candidates yet proposed for what that transition was.</w:t>
      </w:r>
    </w:p>
    <w:p>
      <w:pPr>
        <w:pStyle w:val="BodyText"/>
        <w:rPr/>
      </w:pPr>
      <w:r>
        <w:rPr/>
        <w:t>The Shemsu Hor period ends at approximately 3100 BCE. The structures that most consistently prompt the question 'what knowledge is encoded here?' were completed approximately 540 years later. At a generation of 25 years, that is roughly twenty generations—approximately the same temporal distance as separates us today from the mid-16th century, a period well within the range of continuous institutional memory, archival transmission, and ritual continuity. The Shemsu Hor were not mythological ancestors from an unimaginably distant past. They were the documented institutional predecessors of the engineers who built the Old Kingdom's monuments—separated by a genealogically traceable lineage, not by a mythological gulf. The knowledge had not faded. It had been institutionalised, refined, and was now, for the first time, backed by the organisational power of a unified state. That question—what did this generation's accumulated knowledge ultimately build—is addressed in subsequent work in this series.</w:t>
      </w:r>
    </w:p>
    <w:p>
      <w:pPr>
        <w:pStyle w:val="HorizontalLine"/>
        <w:spacing w:before="0" w:after="0"/>
        <w:rPr>
          <w:sz w:val="24"/>
          <w:szCs w:val="24"/>
        </w:rPr>
      </w:pPr>
      <w:r>
        <w:rPr>
          <w:sz w:val="24"/>
          <w:szCs w:val="24"/>
        </w:rPr>
      </w:r>
    </w:p>
    <w:p>
      <w:pPr>
        <w:pStyle w:val="Heading3"/>
        <w:spacing w:before="0" w:after="283"/>
        <w:rPr>
          <w:sz w:val="24"/>
          <w:szCs w:val="24"/>
        </w:rPr>
      </w:pPr>
      <w:r>
        <w:rPr>
          <w:sz w:val="24"/>
          <w:szCs w:val="24"/>
        </w:rPr>
        <w:t>Speculative Epilogue: The Destination</w:t>
      </w:r>
    </w:p>
    <w:p>
      <w:pPr>
        <w:pStyle w:val="BodyText"/>
        <w:rPr/>
      </w:pPr>
      <w:r>
        <w:rPr/>
        <w:t>The Shemsu Hor walked from the west. The corridor gave them water, disease, and generations of adaptation. The Wedjat encoded the path—the concentric rings of home, the teardrop wadi, the star that sank as they moved north. The plateau at the bend of the Nile was the last reliable water. It was also something more: a landmark that had already stood for generations, a fixed point in a changing world.</w:t>
      </w:r>
    </w:p>
    <w:p>
      <w:pPr>
        <w:pStyle w:val="BodyText"/>
        <w:rPr/>
      </w:pPr>
      <w:r>
        <w:rPr/>
        <w:t>The plateau rises from the floodplain, visible from kilometers away, elevated, stable, and distinct. To a people who had spent millennia in a connected Sahara, it was not unknown. It was the remembered edge of their world.</w:t>
      </w:r>
    </w:p>
    <w:p>
      <w:pPr>
        <w:pStyle w:val="BodyText"/>
        <w:rPr/>
      </w:pPr>
      <w:r>
        <w:rPr/>
        <w:t>If the core of the Sphinx was already ancient when they arrived, it would have been an anchor—a built thing in a landscape that was otherwise natural. A marker that someone had been there before. The Shemsu Hor did not build it. They found it. They did not claim it. They honored it. They built their civilization around it, not over it. The Wedjat—the two eyes, east and west, sun and moon—already encoded its geometry. They carried that memory across generations. Now they returned to the place it described.</w:t>
      </w:r>
    </w:p>
    <w:p>
      <w:pPr>
        <w:pStyle w:val="BodyText"/>
        <w:rPr/>
      </w:pPr>
      <w:r>
        <w:rPr/>
        <w:t>The Shemsu Hor period ends around 3100 BCE. The unification that followed gave them something they had not had before: the organization to build not just for the living, but for the dead and for the generations yet to come. They looked at the plateau, at the ancient figure that faced the rising sun, at the star that had guided their ancestors and was now lost below the horizon. And they decided to build something that would not fade.</w:t>
      </w:r>
    </w:p>
    <w:p>
      <w:pPr>
        <w:pStyle w:val="BodyText"/>
        <w:rPr/>
      </w:pPr>
      <w:r>
        <w:rPr/>
        <w:t xml:space="preserve">They built for permanence. They built for memory. They built so that no one who came after would forget where they came from—and that is the subject of the next paper: </w:t>
      </w:r>
      <w:r>
        <w:rPr>
          <w:rStyle w:val="Strong"/>
        </w:rPr>
        <w:t>The Pyramid as A Memory...</w:t>
      </w:r>
    </w:p>
    <w:p>
      <w:pPr>
        <w:pStyle w:val="HorizontalLine"/>
        <w:spacing w:before="0" w:after="0"/>
        <w:rPr>
          <w:sz w:val="24"/>
          <w:szCs w:val="24"/>
        </w:rPr>
      </w:pPr>
      <w:r>
        <w:rPr>
          <w:sz w:val="24"/>
          <w:szCs w:val="24"/>
        </w:rPr>
      </w:r>
    </w:p>
    <w:p>
      <w:pPr>
        <w:pStyle w:val="Heading3"/>
        <w:spacing w:before="0" w:after="283"/>
        <w:rPr>
          <w:sz w:val="24"/>
          <w:szCs w:val="24"/>
        </w:rPr>
      </w:pPr>
      <w:r>
        <w:rPr>
          <w:sz w:val="24"/>
          <w:szCs w:val="24"/>
        </w:rPr>
        <w:t>Next Steps</w:t>
      </w:r>
    </w:p>
    <w:tbl>
      <w:tblPr>
        <w:tblW w:w="9972" w:type="dxa"/>
        <w:jc w:val="start"/>
        <w:tblInd w:w="0" w:type="dxa"/>
        <w:tblLayout w:type="fixed"/>
        <w:tblCellMar>
          <w:top w:w="28" w:type="dxa"/>
          <w:start w:w="28" w:type="dxa"/>
          <w:bottom w:w="28" w:type="dxa"/>
          <w:end w:w="28" w:type="dxa"/>
        </w:tblCellMar>
      </w:tblPr>
      <w:tblGrid>
        <w:gridCol w:w="933"/>
        <w:gridCol w:w="4773"/>
        <w:gridCol w:w="4266"/>
      </w:tblGrid>
      <w:tr>
        <w:trPr>
          <w:tblHeader w:val="true"/>
        </w:trPr>
        <w:tc>
          <w:tcPr>
            <w:tcW w:w="933" w:type="dxa"/>
            <w:tcBorders>
              <w:top w:val="single" w:sz="4" w:space="0" w:color="BBBBBB"/>
              <w:start w:val="single" w:sz="4" w:space="0" w:color="BBBBBB"/>
              <w:bottom w:val="single" w:sz="4" w:space="0" w:color="BBBBBB"/>
              <w:end w:val="single" w:sz="4" w:space="0" w:color="BBBBBB"/>
            </w:tcBorders>
            <w:vAlign w:val="center"/>
          </w:tcPr>
          <w:p>
            <w:pPr>
              <w:pStyle w:val="TableHeading"/>
              <w:rPr/>
            </w:pPr>
            <w:r>
              <w:rPr/>
              <w:t>Priority</w:t>
            </w:r>
          </w:p>
        </w:tc>
        <w:tc>
          <w:tcPr>
            <w:tcW w:w="4773" w:type="dxa"/>
            <w:tcBorders>
              <w:top w:val="single" w:sz="4" w:space="0" w:color="BBBBBB"/>
              <w:start w:val="single" w:sz="4" w:space="0" w:color="BBBBBB"/>
              <w:bottom w:val="single" w:sz="4" w:space="0" w:color="BBBBBB"/>
              <w:end w:val="single" w:sz="4" w:space="0" w:color="BBBBBB"/>
            </w:tcBorders>
            <w:vAlign w:val="center"/>
          </w:tcPr>
          <w:p>
            <w:pPr>
              <w:pStyle w:val="TableHeading"/>
              <w:rPr/>
            </w:pPr>
            <w:r>
              <w:rPr/>
              <w:t>Action</w:t>
            </w:r>
          </w:p>
        </w:tc>
        <w:tc>
          <w:tcPr>
            <w:tcW w:w="4266" w:type="dxa"/>
            <w:tcBorders>
              <w:top w:val="single" w:sz="4" w:space="0" w:color="BBBBBB"/>
              <w:start w:val="single" w:sz="4" w:space="0" w:color="BBBBBB"/>
              <w:bottom w:val="single" w:sz="4" w:space="0" w:color="BBBBBB"/>
              <w:end w:val="single" w:sz="4" w:space="0" w:color="BBBBBB"/>
            </w:tcBorders>
            <w:vAlign w:val="center"/>
          </w:tcPr>
          <w:p>
            <w:pPr>
              <w:pStyle w:val="TableHeading"/>
              <w:rPr/>
            </w:pPr>
            <w:r>
              <w:rPr/>
              <w:t>Purpose</w:t>
            </w:r>
          </w:p>
        </w:tc>
      </w:tr>
      <w:tr>
        <w:trPr/>
        <w:tc>
          <w:tcPr>
            <w:tcW w:w="933"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1</w:t>
            </w:r>
          </w:p>
        </w:tc>
        <w:tc>
          <w:tcPr>
            <w:tcW w:w="4773"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Commission isotope mapping of early Predynastic elite burials (Tasian, Badarian, early Naqada I contexts)</w:t>
            </w:r>
          </w:p>
        </w:tc>
        <w:tc>
          <w:tcPr>
            <w:tcW w:w="4266"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Test Prediction 1 in the window before isotopic assimilation would erase the Saharan signal</w:t>
            </w:r>
          </w:p>
        </w:tc>
      </w:tr>
      <w:tr>
        <w:trPr/>
        <w:tc>
          <w:tcPr>
            <w:tcW w:w="933"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2</w:t>
            </w:r>
          </w:p>
        </w:tc>
        <w:tc>
          <w:tcPr>
            <w:tcW w:w="4773"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Commission aDNA from HK6 elite cemetery and A-Group Nubian contexts</w:t>
            </w:r>
          </w:p>
        </w:tc>
        <w:tc>
          <w:tcPr>
            <w:tcW w:w="4266"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Test Predictions 2 and 8: western admixture and Takarkori lineage affinity</w:t>
            </w:r>
          </w:p>
        </w:tc>
      </w:tr>
      <w:tr>
        <w:trPr/>
        <w:tc>
          <w:tcPr>
            <w:tcW w:w="933"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3</w:t>
            </w:r>
          </w:p>
        </w:tc>
        <w:tc>
          <w:tcPr>
            <w:tcW w:w="4773"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Geochemical sourcing of Naqada II hard-stone vessels against western Saharan lithologies</w:t>
            </w:r>
          </w:p>
        </w:tc>
        <w:tc>
          <w:tcPr>
            <w:tcW w:w="4266"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Test Prediction 7: match or eliminate Richat Structure carbonatite signature</w:t>
            </w:r>
          </w:p>
        </w:tc>
      </w:tr>
      <w:tr>
        <w:trPr/>
        <w:tc>
          <w:tcPr>
            <w:tcW w:w="933"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4</w:t>
            </w:r>
          </w:p>
        </w:tc>
        <w:tc>
          <w:tcPr>
            <w:tcW w:w="4773"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Systematic corridor archaeology along Fezzan–Kufra paleochannel route (Drake et al. 2011; Paillou et al. 2009)</w:t>
            </w:r>
          </w:p>
        </w:tc>
        <w:tc>
          <w:tcPr>
            <w:tcW w:w="4266"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Test Prediction 9: close the genetic chain gap with intermediate corridor evidence</w:t>
            </w:r>
          </w:p>
        </w:tc>
      </w:tr>
      <w:tr>
        <w:trPr/>
        <w:tc>
          <w:tcPr>
            <w:tcW w:w="933"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5</w:t>
            </w:r>
          </w:p>
        </w:tc>
        <w:tc>
          <w:tcPr>
            <w:tcW w:w="4773"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Map Qustul and Dynasty 0 falcon iconography against western Saharan rock art corpus</w:t>
            </w:r>
          </w:p>
        </w:tc>
        <w:tc>
          <w:tcPr>
            <w:tcW w:w="4266"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Test Prediction 4: western antecedents for the falcon cult</w:t>
            </w:r>
          </w:p>
        </w:tc>
      </w:tr>
      <w:tr>
        <w:trPr/>
        <w:tc>
          <w:tcPr>
            <w:tcW w:w="933"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6</w:t>
            </w:r>
          </w:p>
        </w:tc>
        <w:tc>
          <w:tcPr>
            <w:tcW w:w="4773"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Test Predictions 6a, 6b, 6c against the published Belmonte/Shaltout dataset: frequency ordering, altitude gradient, and non-observable persistence of the Canopus family</w:t>
            </w:r>
          </w:p>
        </w:tc>
        <w:tc>
          <w:tcPr>
            <w:tcW w:w="4266"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Test whether Canopus orientation tradition predates the known temple-building record</w:t>
            </w:r>
          </w:p>
        </w:tc>
      </w:tr>
      <w:tr>
        <w:trPr/>
        <w:tc>
          <w:tcPr>
            <w:tcW w:w="933"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7</w:t>
            </w:r>
          </w:p>
        </w:tc>
        <w:tc>
          <w:tcPr>
            <w:tcW w:w="4773"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Pull full primary inscription texts for Shemsu Hor references from Egyptological databases</w:t>
            </w:r>
          </w:p>
        </w:tc>
        <w:tc>
          <w:tcPr>
            <w:tcW w:w="4266"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Expand the textual evidence base with direct citations beyond those documented here</w:t>
            </w:r>
          </w:p>
        </w:tc>
      </w:tr>
    </w:tbl>
    <w:p>
      <w:pPr>
        <w:pStyle w:val="HorizontalLine"/>
        <w:spacing w:before="0" w:after="0"/>
        <w:rPr>
          <w:sz w:val="24"/>
          <w:szCs w:val="24"/>
        </w:rPr>
      </w:pPr>
      <w:r>
        <w:rPr>
          <w:sz w:val="24"/>
          <w:szCs w:val="24"/>
        </w:rPr>
      </w:r>
    </w:p>
    <w:p>
      <w:pPr>
        <w:pStyle w:val="Heading3"/>
        <w:spacing w:before="0" w:after="283"/>
        <w:rPr>
          <w:sz w:val="24"/>
          <w:szCs w:val="24"/>
        </w:rPr>
      </w:pPr>
      <w:r>
        <w:rPr>
          <w:sz w:val="24"/>
          <w:szCs w:val="24"/>
        </w:rPr>
        <w:t>Appendix A: Primary Source Transliterations and Translations</w:t>
      </w:r>
    </w:p>
    <w:p>
      <w:pPr>
        <w:pStyle w:val="BodyText"/>
        <w:rPr/>
      </w:pPr>
      <w:r>
        <w:rPr/>
        <w:t>The following quotations are drawn from standard Egyptological editions of the primary sources. Transliterations follow the Manuel de Codage (MdC) system. Translations are literal unless otherwise noted.</w:t>
      </w:r>
    </w:p>
    <w:p>
      <w:pPr>
        <w:pStyle w:val="BodyText"/>
        <w:rPr/>
      </w:pPr>
      <w:r>
        <w:rPr>
          <w:rStyle w:val="Strong"/>
        </w:rPr>
        <w:t>A.1 Turin Royal Canon (ca. 1245 BCE)</w:t>
      </w:r>
    </w:p>
    <w:p>
      <w:pPr>
        <w:pStyle w:val="BodyText"/>
        <w:rPr/>
      </w:pPr>
      <w:r>
        <w:rPr/>
        <w:t xml:space="preserve">Edition: Gardiner (1959); Farina (1938); Ryholt (1997). Column 2 of the surviving papyrus lists, before the human kings beginning with Menes (Row 11), two collective categories identified by the terms </w:t>
      </w:r>
      <w:r>
        <w:rPr>
          <w:rStyle w:val="Emphasis"/>
        </w:rPr>
        <w:t>Šms.w Ḥr</w:t>
      </w:r>
      <w:r>
        <w:rPr/>
        <w:t xml:space="preserve"> (Shemsu Hor / Followers of Horus) and </w:t>
      </w:r>
      <w:r>
        <w:rPr>
          <w:rStyle w:val="Emphasis"/>
        </w:rPr>
        <w:t>Ȝḫ.w</w:t>
      </w:r>
      <w:r>
        <w:rPr/>
        <w:t xml:space="preserve"> (Akhu / Spirits). No individual reign lengths are preserved for these categories in any surviving fragment. The '6,000 years' figure that appears in some secondary sources does not occur in the original papyrus; it derives from early 19th-century reconstructions (Lauth, Brugsch) or from cross-reading with Manetho. What the original confirms: the Shemsu Hor are a pre-dynastic collective category, structurally positioned between the gods and the first human king.</w:t>
      </w:r>
    </w:p>
    <w:p>
      <w:pPr>
        <w:pStyle w:val="BodyText"/>
        <w:rPr/>
      </w:pPr>
      <w:r>
        <w:rPr>
          <w:rStyle w:val="Strong"/>
        </w:rPr>
        <w:t>A.2 Pyramid Texts (ca. 2350–2181 BCE)</w:t>
      </w:r>
    </w:p>
    <w:p>
      <w:pPr>
        <w:pStyle w:val="BodyText"/>
        <w:rPr/>
      </w:pPr>
      <w:r>
        <w:rPr/>
        <w:t xml:space="preserve">Editions: Allen, James P. 2015. </w:t>
      </w:r>
      <w:r>
        <w:rPr>
          <w:rStyle w:val="Emphasis"/>
        </w:rPr>
        <w:t>The Ancient Egyptian Pyramid Texts</w:t>
      </w:r>
      <w:r>
        <w:rPr/>
        <w:t xml:space="preserve">. Second Edition. SBL Press; Allen, James P. 2005. </w:t>
      </w:r>
      <w:r>
        <w:rPr>
          <w:rStyle w:val="Emphasis"/>
        </w:rPr>
        <w:t>The Ancient Egyptian Pyramid Texts</w:t>
      </w:r>
      <w:r>
        <w:rPr/>
        <w:t xml:space="preserve">. SBL Press; Sethe, K. 1908–1922. </w:t>
      </w:r>
      <w:r>
        <w:rPr>
          <w:rStyle w:val="Emphasis"/>
        </w:rPr>
        <w:t>Die altägyptischen Pyramidentexte</w:t>
      </w:r>
      <w:r>
        <w:rPr/>
        <w:t>. 4 vols. J.C. Hinrichs, Leipzig.</w:t>
      </w:r>
    </w:p>
    <w:p>
      <w:pPr>
        <w:pStyle w:val="BodyText"/>
        <w:rPr/>
      </w:pPr>
      <w:r>
        <w:rPr/>
        <w:t xml:space="preserve">PT 34 (Unis) — directly verified in Allen 2015, §34; Allen 2005, §22. Transliteration (Allen 2005, Spell 22): </w:t>
      </w:r>
      <w:r>
        <w:rPr>
          <w:rStyle w:val="Emphasis"/>
        </w:rPr>
        <w:t>nṯr.tj mḥ.tj ptr mḏd r.k Wnjs šmsw Ḥrw ẖr nṯr.t</w:t>
      </w:r>
      <w:r>
        <w:rPr/>
        <w:t>. Allen 2015 text (§34, verified): 'Your two natron-jars are the two natron-jars seen by the Followers of Horus under the goddess.' This is part of the natron purification ritual in which the king's mouth is cleansed using natron specifically identified as belonging to the Followers of Horus.</w:t>
      </w:r>
    </w:p>
    <w:p>
      <w:pPr>
        <w:pStyle w:val="BodyText"/>
        <w:rPr/>
      </w:pPr>
      <w:r>
        <w:rPr/>
        <w:t xml:space="preserve">PT 525 / Allen §473 (Pepi I) — directly verified in Allen 2005, p. 164; Allen 2015, §473. Exact transliteration: </w:t>
      </w:r>
      <w:r>
        <w:rPr>
          <w:rStyle w:val="Emphasis"/>
        </w:rPr>
        <w:t>wʿb.tw ḥr.f n.k Ppy m šms.w Ḥrw ḥnʿ wsr.t Jnpw</w:t>
      </w:r>
      <w:r>
        <w:rPr/>
        <w:t>. Allen 2005 translation: 'This Pepi shall be cleaned by Horus's followers, Anubis's throwstick and bow, and they will make for Pepi the spell of emerging and make for this Pepi the spell of ascending.'</w:t>
      </w:r>
    </w:p>
    <w:p>
      <w:pPr>
        <w:pStyle w:val="BodyText"/>
        <w:rPr/>
      </w:pPr>
      <w:r>
        <w:rPr/>
        <w:t xml:space="preserve">PT 1245 — directly verified in Allen 2005, Spell 560 (Sethe PT 1245). Exact transliteration: </w:t>
      </w:r>
      <w:r>
        <w:rPr>
          <w:rStyle w:val="Emphasis"/>
        </w:rPr>
        <w:t>šmsw Ḥr jnk</w:t>
      </w:r>
      <w:r>
        <w:rPr/>
        <w:t>. Translation: 'A follower of Horus am I.'</w:t>
      </w:r>
    </w:p>
    <w:p>
      <w:pPr>
        <w:pStyle w:val="BodyText"/>
        <w:rPr/>
      </w:pPr>
      <w:r>
        <w:rPr/>
        <w:t xml:space="preserve">PT 32 (Faulkner Utterance 32, libation ritual): </w:t>
      </w:r>
      <w:r>
        <w:rPr>
          <w:rStyle w:val="Emphasis"/>
        </w:rPr>
        <w:t>wcb.k r.k ḥnc Ḥrw ḥnc šms.w Ḥrw</w:t>
      </w:r>
      <w:r>
        <w:rPr/>
        <w:t xml:space="preserve"> ('You are pure with Horus and with the Followers of Horus') — confirmed by Gemini cross-reference verification of Allen's concordance (Allen 2005, Appendix E, p. 417). Note: Faulkner's Utterance 26 (Allen Spell 38, p. 8) is the Opening of the Mouth iron ritual—it does not contain the Followers of Horus. This transliteration is correctly attributed to Utterance 32.</w:t>
      </w:r>
    </w:p>
    <w:p>
      <w:pPr>
        <w:pStyle w:val="BodyText"/>
        <w:rPr/>
      </w:pPr>
      <w:r>
        <w:rPr/>
        <w:t>What the originals confirm: the Shemsu Hor participate in the ritual purification of the king, acting as divine assistants in the transition to the afterlife. PT 34 provides a direct material link—the ritual natron belongs to them. PT 525 provides the most explicit ritual context: they perform cleansing and provide the spells for emergence and ascension. PT 1245 provides direct first-person identification.</w:t>
      </w:r>
    </w:p>
    <w:p>
      <w:pPr>
        <w:pStyle w:val="BodyText"/>
        <w:rPr/>
      </w:pPr>
      <w:r>
        <w:rPr>
          <w:rStyle w:val="Strong"/>
        </w:rPr>
        <w:t>Transmission Note — OIP 132</w:t>
      </w:r>
    </w:p>
    <w:p>
      <w:pPr>
        <w:pStyle w:val="BodyText"/>
        <w:rPr/>
      </w:pPr>
      <w:r>
        <w:rPr/>
        <w:t>Allen, James P. 2006 (</w:t>
      </w:r>
      <w:r>
        <w:rPr>
          <w:rStyle w:val="Emphasis"/>
        </w:rPr>
        <w:t>The Egyptian Coffin Texts, Volume 8: Middle Kingdom Copies of Pyramid Texts</w:t>
      </w:r>
      <w:r>
        <w:rPr/>
        <w:t>, Oriental Institute Publications 132) documents that PT spells—including PT 525 and the natron purification formula—were copied onto Middle Kingdom coffins at Lisht, El Bersheh, and Beni Hasan (ca. 2100–1700 BCE). This confirms the Shemsu Hor purification tradition remained in active liturgical use for at least 500 years after the pyramids were built. Allen's preface notes that the same spells were 'not sharply distinguished' from the Coffin Texts, indicating continuous ritual transmission rather than archaic preservation. An independent confirmation of the Wedjat's Old Kingdom institutional embedding is provided by Sugi's (2005) analysis of the 6th Dynasty tomb of Idut at Saqqara: all 96 offering items in the burial chamber's offering lists refer metaphorically to the 'Eye of Horus,' with the ritual's origin traceable to Pyramid Texts Spells 23–171. The Wedjat-as-offering equation was not a Late Period development; it was institutionally embedded in both royal and elite private funerary practice from the earliest Pyramid Texts period forward, contemporaneous with the Shemsu Hor references in the same corpus.</w:t>
      </w:r>
    </w:p>
    <w:p>
      <w:pPr>
        <w:pStyle w:val="BodyText"/>
        <w:rPr/>
      </w:pPr>
      <w:r>
        <w:rPr>
          <w:rStyle w:val="Strong"/>
        </w:rPr>
        <w:t>Critical Note on PT Utterances</w:t>
      </w:r>
    </w:p>
    <w:p>
      <w:pPr>
        <w:pStyle w:val="BodyText"/>
        <w:rPr/>
      </w:pPr>
      <w:r>
        <w:rPr/>
        <w:t xml:space="preserve">Other Pyramid Text utterances sometimes cited in connection with the Shemsu Hor (PT 356, 437, 660, 473, 524, 921) do not mention them or are too fragmentary to use as functional evidence. PT 356 refers to </w:t>
      </w:r>
      <w:r>
        <w:rPr>
          <w:rStyle w:val="Emphasis"/>
        </w:rPr>
        <w:t>šms.w Stš</w:t>
      </w:r>
      <w:r>
        <w:rPr/>
        <w:t xml:space="preserve"> ('Followers of Set'); PT 437 refers to the </w:t>
      </w:r>
      <w:r>
        <w:rPr>
          <w:rStyle w:val="Emphasis"/>
        </w:rPr>
        <w:t>wr.w P / wr.w Nḫn</w:t>
      </w:r>
      <w:r>
        <w:rPr/>
        <w:t xml:space="preserve"> ('Great Ones of Buto and Hierakonpolis'), related to but not identical with the Shemsu Hor tradition. The primary-source-verified Shemsu Hor references in Allen's editions are PT 34, PT 525 (Pepi I), and PT 1245. PT 32 (Faulkner Utterance 32, libation ritual) and PT 222 (Neith) remain in the scholarly corpus as traditional citations.</w:t>
      </w:r>
    </w:p>
    <w:p>
      <w:pPr>
        <w:pStyle w:val="BodyText"/>
        <w:rPr/>
      </w:pPr>
      <w:r>
        <w:rPr>
          <w:rStyle w:val="Strong"/>
        </w:rPr>
        <w:t>A.3 Coffin Texts (ca. 2100–1700 BCE)</w:t>
      </w:r>
    </w:p>
    <w:p>
      <w:pPr>
        <w:pStyle w:val="BodyText"/>
        <w:rPr/>
      </w:pPr>
      <w:r>
        <w:rPr/>
        <w:t xml:space="preserve">Edition: de Buck, A. and Gardiner, A. 1935–1961. </w:t>
      </w:r>
      <w:r>
        <w:rPr>
          <w:rStyle w:val="Emphasis"/>
        </w:rPr>
        <w:t>The Egyptian Coffin Texts</w:t>
      </w:r>
      <w:r>
        <w:rPr/>
        <w:t>. 7 vols. University of Chicago Press.</w:t>
      </w:r>
    </w:p>
    <w:p>
      <w:pPr>
        <w:pStyle w:val="BodyText"/>
        <w:rPr/>
      </w:pPr>
      <w:r>
        <w:rPr/>
        <w:t>Spell 404 — Verified as NOT Shemsu Hor: Spell 404 describes the soul arriving at a doorway guarded by Isis and Nephthys. The Shemsu Hor are not mentioned.</w:t>
      </w:r>
    </w:p>
    <w:p>
      <w:pPr>
        <w:pStyle w:val="BodyText"/>
        <w:rPr/>
      </w:pPr>
      <w:r>
        <w:rPr/>
        <w:t xml:space="preserve">Spell 493 — de Buck, </w:t>
      </w:r>
      <w:r>
        <w:rPr>
          <w:rStyle w:val="Emphasis"/>
        </w:rPr>
        <w:t>Coffin Texts</w:t>
      </w:r>
      <w:r>
        <w:rPr/>
        <w:t xml:space="preserve">, Vol. V, pp. 320–324 (Faulkner translation Vol. II, pp. 129–131). While the literal term </w:t>
      </w:r>
      <w:r>
        <w:rPr>
          <w:rStyle w:val="Emphasis"/>
        </w:rPr>
        <w:t>šmsw Ḥr</w:t>
      </w:r>
      <w:r>
        <w:rPr/>
        <w:t xml:space="preserve"> does not appear in this spell, the text places the deceased among the Souls of Pe and Nekhen (</w:t>
      </w:r>
      <w:r>
        <w:rPr>
          <w:rStyle w:val="Emphasis"/>
        </w:rPr>
        <w:t>bꜣ.w P bꜣ.w Nḫn</w:t>
      </w:r>
      <w:r>
        <w:rPr/>
        <w:t xml:space="preserve">)—the ancestral figures mainstream Egyptology identifies with the Shemsu Hor (Sethe 1902; Frankfort 1978). Spell 493 is therefore contextually relevant to the Shemsu Hor tradition, even though it uses the alternative designation </w:t>
      </w:r>
      <w:r>
        <w:rPr>
          <w:rStyle w:val="Emphasis"/>
        </w:rPr>
        <w:t>bꜣ.w</w:t>
      </w:r>
      <w:r>
        <w:rPr/>
        <w:t xml:space="preserve"> rather than </w:t>
      </w:r>
      <w:r>
        <w:rPr>
          <w:rStyle w:val="Emphasis"/>
        </w:rPr>
        <w:t>šmsw Ḥr</w:t>
      </w:r>
      <w:r>
        <w:rPr/>
        <w:t>.</w:t>
      </w:r>
    </w:p>
    <w:p>
      <w:pPr>
        <w:pStyle w:val="BodyText"/>
        <w:rPr/>
      </w:pPr>
      <w:r>
        <w:rPr/>
        <w:t xml:space="preserve">Note on Coffin Texts: No clear, securely attested references to the </w:t>
      </w:r>
      <w:r>
        <w:rPr>
          <w:rStyle w:val="Emphasis"/>
        </w:rPr>
        <w:t>šmsw Ḥr</w:t>
      </w:r>
      <w:r>
        <w:rPr/>
        <w:t xml:space="preserve"> (Followers of Horus) have been identified in the Coffin Texts corpus in standard editions. Claims of their presence should therefore be treated with caution and require explicit citation. The relative absence of </w:t>
      </w:r>
      <w:r>
        <w:rPr>
          <w:rStyle w:val="Emphasis"/>
        </w:rPr>
        <w:t>šmsw Ḥr</w:t>
      </w:r>
      <w:r>
        <w:rPr/>
        <w:t xml:space="preserve"> in this corpus reflects the expansion of afterlife access beyond the royal sphere during the Coffin Texts period. However, as documented in the OIP 132 Transmission Note (Appendix A.2), Allen's preface to his 2006 edition confirms that PT spells were 'not sharply distinguished' from the Coffin Texts, indicating continuous ritual transmission across the transition rather than a sharp theological break.</w:t>
      </w:r>
    </w:p>
    <w:p>
      <w:pPr>
        <w:pStyle w:val="BodyText"/>
        <w:rPr/>
      </w:pPr>
      <w:r>
        <w:rPr>
          <w:rStyle w:val="Strong"/>
        </w:rPr>
        <w:t>A.4 Teachings of Ptahhotep (ca. 2400–2300 BCE)</w:t>
      </w:r>
    </w:p>
    <w:p>
      <w:pPr>
        <w:pStyle w:val="BodyText"/>
        <w:rPr/>
      </w:pPr>
      <w:r>
        <w:rPr/>
        <w:t xml:space="preserve">Edition: Prisse Papyrus. Translation: Gunn (1912); Lichtheim (1973). Primary source confirmed from scanned Gunn 1912 edition (pp. 57–59). Transliteration (Maxim 41, after Zaba 1956): </w:t>
      </w:r>
      <w:r>
        <w:rPr>
          <w:rStyle w:val="Emphasis"/>
        </w:rPr>
        <w:t>zꜣ sḏm pw šmsw Ḥr</w:t>
      </w:r>
      <w:r>
        <w:rPr/>
        <w:t>. Translation (Gunn 1912, p. 59): 'A son that hearkeneth is as a Follower of Horus. He is good after he hearkeneth; he groweth old, he reacheth honour and reverence.' Translation (Lichtheim 1973): 'The obedient son is a follower of Horus. He prospers after he obeys.'</w:t>
      </w:r>
    </w:p>
    <w:p>
      <w:pPr>
        <w:pStyle w:val="BodyText"/>
        <w:rPr/>
      </w:pPr>
      <w:r>
        <w:rPr/>
        <w:t>Gunn's translator footnote (1912, p. 59, footnote to Maxim 41) — verified from primary source: 'The Followers of Horus are a legendary dynasty of demigods, believed by the Egyptians to have ruled for about 13,400 years after the reign of Horus, and before that of Mênês. There is also an order of spirits of this name.'</w:t>
      </w:r>
    </w:p>
    <w:p>
      <w:pPr>
        <w:pStyle w:val="BodyText"/>
        <w:rPr/>
      </w:pPr>
      <w:r>
        <w:rPr/>
        <w:t>This footnote is significant on three counts. First, Gunn explicitly identifies the Shemsu Hor as a pre-Menes dynasty, confirming that even in 1912 the term was understood as a historical category, not merely a metaphor for piety. Second, his figure of 13,400 years reflects traditional Egyptian numerology for the pre-dynastic era as it circulated in early 20th-century Egyptological sources—it is a different number from Manetho's 5,813 and the two figures derive from different sources and should not be conflated. Third, Gunn's note that there is 'also an order of spirits of this name' confirms the dual nature of the Shemsu Hor in Egyptian tradition—both a historical pre-dynastic grouping and a spiritual category—mapping directly onto the Turin Canon's listing of them alongside the Akhu.</w:t>
      </w:r>
    </w:p>
    <w:p>
      <w:pPr>
        <w:pStyle w:val="BodyText"/>
        <w:rPr/>
      </w:pPr>
      <w:r>
        <w:rPr/>
        <w:t xml:space="preserve">The term </w:t>
      </w:r>
      <w:r>
        <w:rPr>
          <w:rStyle w:val="Emphasis"/>
        </w:rPr>
        <w:t>šmsw Ḥr</w:t>
      </w:r>
      <w:r>
        <w:rPr/>
        <w:t xml:space="preserve"> in Ptahhotep demonstrates the term's semantic breadth: 'following Horus' was an ethical ideal applicable to living persons, carrying both historical and aspirational meaning simultaneously, as terms for revered ancestral categories commonly do across cultures.</w:t>
      </w:r>
    </w:p>
    <w:p>
      <w:pPr>
        <w:pStyle w:val="BodyText"/>
        <w:rPr/>
      </w:pPr>
      <w:r>
        <w:rPr>
          <w:rStyle w:val="Strong"/>
        </w:rPr>
        <w:t>A.5 Tomb of Rekhmire (TT100) (ca. 1450 BCE)</w:t>
      </w:r>
    </w:p>
    <w:p>
      <w:pPr>
        <w:pStyle w:val="BodyText"/>
        <w:rPr/>
      </w:pPr>
      <w:r>
        <w:rPr/>
        <w:t xml:space="preserve">Source: Davies, Norman de Garis. 1943. </w:t>
      </w:r>
      <w:r>
        <w:rPr>
          <w:rStyle w:val="Emphasis"/>
        </w:rPr>
        <w:t>The Tomb of Rekh-mi-Rē at Thebes</w:t>
      </w:r>
      <w:r>
        <w:rPr/>
        <w:t xml:space="preserve">. 2 vols. Metropolitan Museum of Art. Davies notes (Vol. I, p. 77, n. 19) that the sculptors of the statue of Osiris are depicted as 'ready to join Horus the son in defending it.' The Opening of the Mouth ritual depicted in TT100 includes the sem-priest and ritual participants acting within a mythological framework involving Horus and the defense of Osiris. No direct reference to </w:t>
      </w:r>
      <w:r>
        <w:rPr>
          <w:rStyle w:val="Emphasis"/>
        </w:rPr>
        <w:t>šmsw Ḥr</w:t>
      </w:r>
      <w:r>
        <w:rPr/>
        <w:t xml:space="preserve"> appears in this passage; the scene is included for its illustration of the conceptual association between ritual actors and the divine entourage of Horus.</w:t>
      </w:r>
    </w:p>
    <w:p>
      <w:pPr>
        <w:pStyle w:val="BodyText"/>
        <w:rPr/>
      </w:pPr>
      <w:r>
        <w:rPr>
          <w:rStyle w:val="Strong"/>
        </w:rPr>
        <w:t>A.6 Tombos Stela of Thutmose I (ca. 1500 BCE)</w:t>
      </w:r>
    </w:p>
    <w:p>
      <w:pPr>
        <w:pStyle w:val="BodyText"/>
        <w:rPr/>
      </w:pPr>
      <w:r>
        <w:rPr/>
        <w:t xml:space="preserve">Source: Sethe, </w:t>
      </w:r>
      <w:r>
        <w:rPr>
          <w:rStyle w:val="Emphasis"/>
        </w:rPr>
        <w:t>Urkunden des ägyptischen Altertums IV</w:t>
      </w:r>
      <w:r>
        <w:rPr/>
        <w:t xml:space="preserve"> (Urk. IV), 82–87. Transliteration: *nn m3.t(w) m gn.wt npy.w-ḥ3.t dr šms.w Ḥrw*. Translation: 'Nor has one ever seen it in the annals of predecessors since the Followers-of-Horus.' Sethe's editorial footnote (Urk. IV, footnote 4): '</w:t>
      </w:r>
      <w:r>
        <w:rPr>
          <w:rStyle w:val="Emphasis"/>
        </w:rPr>
        <w:t>Bezeichnung der vorgeschichtlichen, vor Menes regierenden Könige von Hierakonpolis und Buto, die den Gott Horus verehrten.</w:t>
      </w:r>
      <w:r>
        <w:rPr/>
        <w:t>' (Designation of the prehistoric kings of Hierakonpolis and Buto, who ruled before Menes, who worshipped the god Horus.) This is the most authoritative scholarly identification of the Shemsu Hor available from the primary sources.</w:t>
      </w:r>
    </w:p>
    <w:p>
      <w:pPr>
        <w:pStyle w:val="BodyText"/>
        <w:rPr/>
      </w:pPr>
      <w:r>
        <w:rPr>
          <w:rStyle w:val="Strong"/>
        </w:rPr>
        <w:t>A.7 Merneptah Inscription, Karnak (ca. 1210 BCE)</w:t>
      </w:r>
    </w:p>
    <w:p>
      <w:pPr>
        <w:pStyle w:val="BodyText"/>
        <w:rPr/>
      </w:pPr>
      <w:r>
        <w:rPr/>
        <w:t xml:space="preserve">Inscription Type: Royal building inscription (distinct from the military Great Karnak Inscription). Primary Source: Mariette, Auguste. </w:t>
      </w:r>
      <w:r>
        <w:rPr>
          <w:rStyle w:val="Emphasis"/>
        </w:rPr>
        <w:t>Karnak: Fouilles et Monuments</w:t>
      </w:r>
      <w:r>
        <w:rPr/>
        <w:t>, Vol. 1, Pl. 53, lines 36–39. Paris: Imprimerie Nationale, 1889–1894. Translation: 'I built this temple according to the plan of the ancestors from the time of the Followers of Horus, found in the ancient writings.'</w:t>
      </w:r>
    </w:p>
    <w:p>
      <w:pPr>
        <w:pStyle w:val="BodyText"/>
        <w:rPr/>
      </w:pPr>
      <w:r>
        <w:rPr/>
        <w:t xml:space="preserve">Scholarly Identification: Hertz, Amelia. 1931. 'La Haute et la Basse-Egypte a la fin des temps prehistoriques.' </w:t>
      </w:r>
      <w:r>
        <w:rPr>
          <w:rStyle w:val="Emphasis"/>
        </w:rPr>
        <w:t>Revue de l'Egypte ancienne</w:t>
      </w:r>
      <w:r>
        <w:rPr/>
        <w:t xml:space="preserve"> 3: 81–96. DOI: 10.11588/diglit.32868.12. Hertz states (p. 81): 'Si des listes d'annees tres anciennes sont nommees une fois les annales des Shemsou Hor et une autre fois les annales des rois de la Basse-Egypte, nous sommes obliges d'identifier les Shemsou Hor avec les rois de la Basse-Egypte.' Translation: 'If the very ancient year-lists are named once as the annals of the Shemsu Hor and another time as the annals of the kings of Lower Egypt, we are obliged to identify the Shemsu Hor with the kings of Lower Egypt.'</w:t>
      </w:r>
    </w:p>
    <w:p>
      <w:pPr>
        <w:pStyle w:val="BodyText"/>
        <w:rPr/>
      </w:pPr>
      <w:r>
        <w:rPr/>
        <w:t>Consensus Note: Modern Egyptology generally treats references to Shemsu Hor in Merneptah's building inscriptions as ancestral invocations rather than evidence of a concrete dynasty. Hertz's proposal remains historically significant as an interpretation but is not accepted as definitive in current scholarship. Nevertheless, the underlying textual observation—that archaic annals linked the Shemsu Hor with pre-unification rulers of Lower Egypt—continues to inform discussions of Egyptian state formation.</w:t>
      </w:r>
    </w:p>
    <w:p>
      <w:pPr>
        <w:pStyle w:val="BodyText"/>
        <w:rPr/>
      </w:pPr>
      <w:r>
        <w:rPr>
          <w:rStyle w:val="Strong"/>
        </w:rPr>
        <w:t>A.8 Dendera Temple Crypt Inscription (Ptolemaic, ca. 54 BCE)</w:t>
      </w:r>
    </w:p>
    <w:p>
      <w:pPr>
        <w:pStyle w:val="BodyText"/>
        <w:rPr/>
      </w:pPr>
      <w:r>
        <w:rPr/>
        <w:t xml:space="preserve">Primary Source: Chassinat, Émile. 1934–1952. </w:t>
      </w:r>
      <w:r>
        <w:rPr>
          <w:rStyle w:val="Emphasis"/>
        </w:rPr>
        <w:t>Le temple de Dendara</w:t>
      </w:r>
      <w:r>
        <w:rPr/>
        <w:t xml:space="preserve">. Vols. I–V. Cairo: Institut français d'archéologie orientale. Transliteration (after Chassinat, Dendara V): </w:t>
      </w:r>
      <w:r>
        <w:rPr>
          <w:rStyle w:val="Emphasis"/>
        </w:rPr>
        <w:t>gmȝ.tw sš pn m šnw n ʿrq ỉr.[[</w:t>
      </w:r>
      <w:hyperlink r:id="rId2" w:tgtFrame="_blank">
        <w:r>
          <w:rPr>
            <w:rStyle w:val="Hyperlink"/>
            <w:i/>
            <w:iCs/>
          </w:rPr>
          <w:t>n.tw</w:t>
        </w:r>
      </w:hyperlink>
      <w:r>
        <w:rPr>
          <w:rStyle w:val="Emphasis"/>
        </w:rPr>
        <w:t>]] sš n ȝt.w ḫft gmy.t m šnw ʿrq m ḏr n Šms.w Ḥr</w:t>
      </w:r>
      <w:r>
        <w:rPr/>
        <w:t>. Translation: 'according to a plan written in ancient writing upon a goatskin scroll from the time of the Companions of Horus.' The specification of 'goatskin' rather than generic 'leather' is a level of archival specificity unusual for purely ideological invocations. This reference demonstrates the persistence of the Shemsu Hor category as an archival authority across fifteen centuries of Egyptian record-keeping.</w:t>
      </w:r>
    </w:p>
    <w:p>
      <w:pPr>
        <w:pStyle w:val="BodyText"/>
        <w:rPr/>
      </w:pPr>
      <w:r>
        <w:rPr>
          <w:rStyle w:val="Strong"/>
        </w:rPr>
        <w:t xml:space="preserve">A.9 Manetho's </w:t>
      </w:r>
      <w:r>
        <w:rPr>
          <w:rStyle w:val="Emphasis"/>
        </w:rPr>
        <w:t>Aegyptiaca</w:t>
      </w:r>
      <w:r>
        <w:rPr>
          <w:rStyle w:val="Strong"/>
        </w:rPr>
        <w:t xml:space="preserve"> (ca. 280 BCE)</w:t>
      </w:r>
    </w:p>
    <w:p>
      <w:pPr>
        <w:pStyle w:val="BodyText"/>
        <w:rPr/>
      </w:pPr>
      <w:r>
        <w:rPr/>
        <w:t>Source: Loeb Classical Library edition, Fr. 1, from Eusebius. Transmitted also by Africanus and Syncellus with divergent numbers. Key passage on time units: 'The year I take, however, to be a lunar one, consisting, that is, of 30 days: what we now call a month the Egyptians used formerly to style a year.'</w:t>
      </w:r>
    </w:p>
    <w:p>
      <w:pPr>
        <w:pStyle w:val="BodyText"/>
        <w:rPr/>
      </w:pPr>
      <w:r>
        <w:rPr/>
        <w:t>Loeb apparatus, Footnote 2 on Fragment 1: 'There is no evidence that the Egyptian year was ever equal to a month' — Waddell explicitly rejects the lunar conversion as having no independent Egyptological validity. The conversion was introduced by Eusebius of Caesarea (ca. 340 CE) for the purpose of harmonising Egyptian pre-dynastic chronology with biblical flood timelines.</w:t>
      </w:r>
    </w:p>
    <w:p>
      <w:pPr>
        <w:pStyle w:val="BodyText"/>
        <w:rPr/>
      </w:pPr>
      <w:r>
        <w:rPr/>
        <w:t xml:space="preserve">Loeb apparatus, Footnote 5 on Fragment 1: Waddell identifies the group to which the 5,813-month figure attaches as 'perhaps the Shemsu Hor, the Followers or Worshippers of Horus, of the Turin Papyrus: see H.R. Hall, </w:t>
      </w:r>
      <w:r>
        <w:rPr>
          <w:rStyle w:val="Emphasis"/>
        </w:rPr>
        <w:t>Cambridge Ancient History</w:t>
      </w:r>
      <w:r>
        <w:rPr/>
        <w:t>, i. p. 265.' Waddell further notes, drawing on V. Gordon Childe (</w:t>
      </w:r>
      <w:r>
        <w:rPr>
          <w:rStyle w:val="Emphasis"/>
        </w:rPr>
        <w:t>New Light on the Most Ancient East</w:t>
      </w:r>
      <w:r>
        <w:rPr/>
        <w:t>, 1934, p. 8) and Breasted (</w:t>
      </w:r>
      <w:r>
        <w:rPr>
          <w:rStyle w:val="Emphasis"/>
        </w:rPr>
        <w:t>Bull. Instit. Fr. Arch. Or. xxx</w:t>
      </w:r>
      <w:r>
        <w:rPr/>
        <w:t>, Cairo 1930, pp. 710ff.), that 'the Shemsu Hor, the men of the Falcon Clan whose original home was in the West Delta, had formed an earlier united kingdom by conquering Upper Egypt.' This scholarly chain—Breasted (1930) → Childe (1934) → Waddell (1940) → Hall—established the Shemsu Hor's western origins as part of the authoritative scholarly apparatus by 1940. Those scholars could not extend that western origin beyond the West Delta without the evidence now available. The migration model extends it to the Saharan corridor.</w:t>
      </w:r>
    </w:p>
    <w:p>
      <w:pPr>
        <w:pStyle w:val="BodyText"/>
        <w:rPr/>
      </w:pPr>
      <w:r>
        <w:rPr/>
        <w:t>Structural observation: when Eusebius's conversion is applied to the 5,813 months Waddell suggests correspond to the Shemsu Hor group, the result (approximately 477 solar years counted back from 3100 BCE ≈ 3577 BCE) places the pre-Menes slot inside the migration window identified on wholly independent grounds. This is a structural coincidence, not chronological evidence. Waddell explicitly rejects Eusebius's conversion as Egyptologically invalid.</w:t>
      </w:r>
    </w:p>
    <w:p>
      <w:pPr>
        <w:pStyle w:val="HorizontalLine"/>
        <w:spacing w:before="0" w:after="0"/>
        <w:rPr>
          <w:sz w:val="24"/>
          <w:szCs w:val="24"/>
        </w:rPr>
      </w:pPr>
      <w:r>
        <w:rPr>
          <w:sz w:val="24"/>
          <w:szCs w:val="24"/>
        </w:rPr>
      </w:r>
    </w:p>
    <w:p>
      <w:pPr>
        <w:pStyle w:val="Heading3"/>
        <w:spacing w:before="0" w:after="283"/>
        <w:rPr>
          <w:sz w:val="24"/>
          <w:szCs w:val="24"/>
        </w:rPr>
      </w:pPr>
      <w:r>
        <w:rPr>
          <w:sz w:val="24"/>
          <w:szCs w:val="24"/>
        </w:rPr>
        <w:t>Appendix B: Complete Canopus Temple Data Extraction by Period</w:t>
      </w:r>
    </w:p>
    <w:p>
      <w:pPr>
        <w:pStyle w:val="BodyText"/>
        <w:rPr/>
      </w:pPr>
      <w:r>
        <w:rPr/>
        <w:t>The following table extracts all Canopus-oriented temples documented in the Shaltout/Belmonte survey series (Papers 1, 3, and 5 of the series), organized chronologically with latitude, calculated altitude, and orientation status.</w:t>
      </w:r>
    </w:p>
    <w:tbl>
      <w:tblPr>
        <w:tblW w:w="9972" w:type="dxa"/>
        <w:jc w:val="start"/>
        <w:tblInd w:w="0" w:type="dxa"/>
        <w:tblLayout w:type="fixed"/>
        <w:tblCellMar>
          <w:top w:w="28" w:type="dxa"/>
          <w:start w:w="28" w:type="dxa"/>
          <w:bottom w:w="28" w:type="dxa"/>
          <w:end w:w="28" w:type="dxa"/>
        </w:tblCellMar>
      </w:tblPr>
      <w:tblGrid>
        <w:gridCol w:w="2830"/>
        <w:gridCol w:w="1627"/>
        <w:gridCol w:w="1928"/>
        <w:gridCol w:w="1305"/>
        <w:gridCol w:w="2282"/>
      </w:tblGrid>
      <w:tr>
        <w:trPr>
          <w:tblHeader w:val="true"/>
        </w:trPr>
        <w:tc>
          <w:tcPr>
            <w:tcW w:w="2830" w:type="dxa"/>
            <w:tcBorders>
              <w:top w:val="single" w:sz="4" w:space="0" w:color="BBBBBB"/>
              <w:start w:val="single" w:sz="4" w:space="0" w:color="BBBBBB"/>
              <w:bottom w:val="single" w:sz="4" w:space="0" w:color="BBBBBB"/>
              <w:end w:val="single" w:sz="4" w:space="0" w:color="BBBBBB"/>
            </w:tcBorders>
            <w:vAlign w:val="center"/>
          </w:tcPr>
          <w:p>
            <w:pPr>
              <w:pStyle w:val="TableHeading"/>
              <w:rPr/>
            </w:pPr>
            <w:r>
              <w:rPr/>
              <w:t>#</w:t>
            </w:r>
          </w:p>
        </w:tc>
        <w:tc>
          <w:tcPr>
            <w:tcW w:w="1627" w:type="dxa"/>
            <w:tcBorders>
              <w:top w:val="single" w:sz="4" w:space="0" w:color="BBBBBB"/>
              <w:start w:val="single" w:sz="4" w:space="0" w:color="BBBBBB"/>
              <w:bottom w:val="single" w:sz="4" w:space="0" w:color="BBBBBB"/>
              <w:end w:val="single" w:sz="4" w:space="0" w:color="BBBBBB"/>
            </w:tcBorders>
            <w:vAlign w:val="center"/>
          </w:tcPr>
          <w:p>
            <w:pPr>
              <w:pStyle w:val="TableHeading"/>
              <w:rPr/>
            </w:pPr>
            <w:r>
              <w:rPr/>
              <w:t>Temple / Location</w:t>
            </w:r>
          </w:p>
        </w:tc>
        <w:tc>
          <w:tcPr>
            <w:tcW w:w="1928" w:type="dxa"/>
            <w:tcBorders>
              <w:top w:val="single" w:sz="4" w:space="0" w:color="BBBBBB"/>
              <w:start w:val="single" w:sz="4" w:space="0" w:color="BBBBBB"/>
              <w:bottom w:val="single" w:sz="4" w:space="0" w:color="BBBBBB"/>
              <w:end w:val="single" w:sz="4" w:space="0" w:color="BBBBBB"/>
            </w:tcBorders>
            <w:vAlign w:val="center"/>
          </w:tcPr>
          <w:p>
            <w:pPr>
              <w:pStyle w:val="TableHeading"/>
              <w:rPr/>
            </w:pPr>
            <w:r>
              <w:rPr/>
              <w:t>Latitude / Canopus Altitude</w:t>
            </w:r>
          </w:p>
        </w:tc>
        <w:tc>
          <w:tcPr>
            <w:tcW w:w="1305" w:type="dxa"/>
            <w:tcBorders>
              <w:top w:val="single" w:sz="4" w:space="0" w:color="BBBBBB"/>
              <w:start w:val="single" w:sz="4" w:space="0" w:color="BBBBBB"/>
              <w:bottom w:val="single" w:sz="4" w:space="0" w:color="BBBBBB"/>
              <w:end w:val="single" w:sz="4" w:space="0" w:color="BBBBBB"/>
            </w:tcBorders>
            <w:vAlign w:val="center"/>
          </w:tcPr>
          <w:p>
            <w:pPr>
              <w:pStyle w:val="TableHeading"/>
              <w:rPr/>
            </w:pPr>
            <w:r>
              <w:rPr/>
              <w:t>Epoch / Period</w:t>
            </w:r>
          </w:p>
        </w:tc>
        <w:tc>
          <w:tcPr>
            <w:tcW w:w="2282" w:type="dxa"/>
            <w:tcBorders>
              <w:top w:val="single" w:sz="4" w:space="0" w:color="BBBBBB"/>
              <w:start w:val="single" w:sz="4" w:space="0" w:color="BBBBBB"/>
              <w:bottom w:val="single" w:sz="4" w:space="0" w:color="BBBBBB"/>
              <w:end w:val="single" w:sz="4" w:space="0" w:color="BBBBBB"/>
            </w:tcBorders>
            <w:vAlign w:val="center"/>
          </w:tcPr>
          <w:p>
            <w:pPr>
              <w:pStyle w:val="TableHeading"/>
              <w:rPr/>
            </w:pPr>
            <w:r>
              <w:rPr/>
              <w:t>Orientation Status / Source</w:t>
            </w:r>
          </w:p>
        </w:tc>
      </w:tr>
      <w:tr>
        <w:trPr/>
        <w:tc>
          <w:tcPr>
            <w:tcW w:w="2830"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rStyle w:val="Strong"/>
              </w:rPr>
              <w:t>OLD KINGDOM (c. 2686–2181 BCE)</w:t>
            </w:r>
          </w:p>
        </w:tc>
        <w:tc>
          <w:tcPr>
            <w:tcW w:w="1627" w:type="dxa"/>
            <w:tcBorders>
              <w:top w:val="single" w:sz="4" w:space="0" w:color="BBBBBB"/>
              <w:start w:val="single" w:sz="4" w:space="0" w:color="BBBBBB"/>
              <w:bottom w:val="single" w:sz="4" w:space="0" w:color="BBBBBB"/>
              <w:end w:val="single" w:sz="4" w:space="0" w:color="BBBBBB"/>
            </w:tcBorders>
            <w:vAlign w:val="center"/>
          </w:tcPr>
          <w:p>
            <w:pPr>
              <w:pStyle w:val="TableContents"/>
              <w:rPr>
                <w:sz w:val="4"/>
                <w:szCs w:val="4"/>
              </w:rPr>
            </w:pPr>
            <w:r>
              <w:rPr>
                <w:sz w:val="4"/>
                <w:szCs w:val="4"/>
              </w:rPr>
            </w:r>
          </w:p>
        </w:tc>
        <w:tc>
          <w:tcPr>
            <w:tcW w:w="1928" w:type="dxa"/>
            <w:tcBorders>
              <w:top w:val="single" w:sz="4" w:space="0" w:color="BBBBBB"/>
              <w:start w:val="single" w:sz="4" w:space="0" w:color="BBBBBB"/>
              <w:bottom w:val="single" w:sz="4" w:space="0" w:color="BBBBBB"/>
              <w:end w:val="single" w:sz="4" w:space="0" w:color="BBBBBB"/>
            </w:tcBorders>
            <w:vAlign w:val="center"/>
          </w:tcPr>
          <w:p>
            <w:pPr>
              <w:pStyle w:val="TableContents"/>
              <w:rPr>
                <w:sz w:val="4"/>
                <w:szCs w:val="4"/>
              </w:rPr>
            </w:pPr>
            <w:r>
              <w:rPr>
                <w:sz w:val="4"/>
                <w:szCs w:val="4"/>
              </w:rPr>
            </w:r>
          </w:p>
        </w:tc>
        <w:tc>
          <w:tcPr>
            <w:tcW w:w="1305" w:type="dxa"/>
            <w:tcBorders>
              <w:top w:val="single" w:sz="4" w:space="0" w:color="BBBBBB"/>
              <w:start w:val="single" w:sz="4" w:space="0" w:color="BBBBBB"/>
              <w:bottom w:val="single" w:sz="4" w:space="0" w:color="BBBBBB"/>
              <w:end w:val="single" w:sz="4" w:space="0" w:color="BBBBBB"/>
            </w:tcBorders>
            <w:vAlign w:val="center"/>
          </w:tcPr>
          <w:p>
            <w:pPr>
              <w:pStyle w:val="TableContents"/>
              <w:rPr>
                <w:sz w:val="4"/>
                <w:szCs w:val="4"/>
              </w:rPr>
            </w:pPr>
            <w:r>
              <w:rPr>
                <w:sz w:val="4"/>
                <w:szCs w:val="4"/>
              </w:rPr>
            </w:r>
          </w:p>
        </w:tc>
        <w:tc>
          <w:tcPr>
            <w:tcW w:w="2282" w:type="dxa"/>
            <w:tcBorders>
              <w:top w:val="single" w:sz="4" w:space="0" w:color="BBBBBB"/>
              <w:start w:val="single" w:sz="4" w:space="0" w:color="BBBBBB"/>
              <w:bottom w:val="single" w:sz="4" w:space="0" w:color="BBBBBB"/>
              <w:end w:val="single" w:sz="4" w:space="0" w:color="BBBBBB"/>
            </w:tcBorders>
            <w:vAlign w:val="center"/>
          </w:tcPr>
          <w:p>
            <w:pPr>
              <w:pStyle w:val="TableContents"/>
              <w:rPr>
                <w:sz w:val="4"/>
                <w:szCs w:val="4"/>
              </w:rPr>
            </w:pPr>
            <w:r>
              <w:rPr>
                <w:sz w:val="4"/>
                <w:szCs w:val="4"/>
              </w:rPr>
            </w:r>
          </w:p>
        </w:tc>
      </w:tr>
      <w:tr>
        <w:trPr/>
        <w:tc>
          <w:tcPr>
            <w:tcW w:w="2830"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1</w:t>
            </w:r>
          </w:p>
        </w:tc>
        <w:tc>
          <w:tcPr>
            <w:tcW w:w="1627"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Giza, Pyramids</w:t>
            </w:r>
          </w:p>
        </w:tc>
        <w:tc>
          <w:tcPr>
            <w:tcW w:w="1928"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30°N / ~3.5°</w:t>
            </w:r>
          </w:p>
        </w:tc>
        <w:tc>
          <w:tcPr>
            <w:tcW w:w="1305"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4th Dynasty</w:t>
            </w:r>
          </w:p>
        </w:tc>
        <w:tc>
          <w:tcPr>
            <w:tcW w:w="2282"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No Canopus orientation / Paper 3</w:t>
            </w:r>
          </w:p>
        </w:tc>
      </w:tr>
      <w:tr>
        <w:trPr/>
        <w:tc>
          <w:tcPr>
            <w:tcW w:w="2830"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2</w:t>
            </w:r>
          </w:p>
        </w:tc>
        <w:tc>
          <w:tcPr>
            <w:tcW w:w="1627"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Abusir, Pyramids</w:t>
            </w:r>
          </w:p>
        </w:tc>
        <w:tc>
          <w:tcPr>
            <w:tcW w:w="1928"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29.9°N / ~3.6°</w:t>
            </w:r>
          </w:p>
        </w:tc>
        <w:tc>
          <w:tcPr>
            <w:tcW w:w="1305"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5th Dynasty</w:t>
            </w:r>
          </w:p>
        </w:tc>
        <w:tc>
          <w:tcPr>
            <w:tcW w:w="2282"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No Canopus orientation / Paper 3</w:t>
            </w:r>
          </w:p>
        </w:tc>
      </w:tr>
      <w:tr>
        <w:trPr/>
        <w:tc>
          <w:tcPr>
            <w:tcW w:w="2830"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3</w:t>
            </w:r>
          </w:p>
        </w:tc>
        <w:tc>
          <w:tcPr>
            <w:tcW w:w="1627"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Saqqara, Pyramids</w:t>
            </w:r>
          </w:p>
        </w:tc>
        <w:tc>
          <w:tcPr>
            <w:tcW w:w="1928"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29.9°N / ~3.6°</w:t>
            </w:r>
          </w:p>
        </w:tc>
        <w:tc>
          <w:tcPr>
            <w:tcW w:w="1305"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3rd–6th Dyn</w:t>
            </w:r>
          </w:p>
        </w:tc>
        <w:tc>
          <w:tcPr>
            <w:tcW w:w="2282"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No Canopus orientation / Paper 3</w:t>
            </w:r>
          </w:p>
        </w:tc>
      </w:tr>
      <w:tr>
        <w:trPr/>
        <w:tc>
          <w:tcPr>
            <w:tcW w:w="2830"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4</w:t>
            </w:r>
          </w:p>
        </w:tc>
        <w:tc>
          <w:tcPr>
            <w:tcW w:w="1627"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Dahshur, Pyramids</w:t>
            </w:r>
          </w:p>
        </w:tc>
        <w:tc>
          <w:tcPr>
            <w:tcW w:w="1928"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29.8°N / ~3.7°</w:t>
            </w:r>
          </w:p>
        </w:tc>
        <w:tc>
          <w:tcPr>
            <w:tcW w:w="1305"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4th Dynasty</w:t>
            </w:r>
          </w:p>
        </w:tc>
        <w:tc>
          <w:tcPr>
            <w:tcW w:w="2282"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No Canopus orientation / Paper 3</w:t>
            </w:r>
          </w:p>
        </w:tc>
      </w:tr>
      <w:tr>
        <w:trPr/>
        <w:tc>
          <w:tcPr>
            <w:tcW w:w="2830"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rStyle w:val="Strong"/>
              </w:rPr>
              <w:t>MIDDLE KINGDOM (c. 2055–1650 BCE)</w:t>
            </w:r>
          </w:p>
        </w:tc>
        <w:tc>
          <w:tcPr>
            <w:tcW w:w="1627" w:type="dxa"/>
            <w:tcBorders>
              <w:top w:val="single" w:sz="4" w:space="0" w:color="BBBBBB"/>
              <w:start w:val="single" w:sz="4" w:space="0" w:color="BBBBBB"/>
              <w:bottom w:val="single" w:sz="4" w:space="0" w:color="BBBBBB"/>
              <w:end w:val="single" w:sz="4" w:space="0" w:color="BBBBBB"/>
            </w:tcBorders>
            <w:vAlign w:val="center"/>
          </w:tcPr>
          <w:p>
            <w:pPr>
              <w:pStyle w:val="TableContents"/>
              <w:rPr>
                <w:sz w:val="4"/>
                <w:szCs w:val="4"/>
              </w:rPr>
            </w:pPr>
            <w:r>
              <w:rPr>
                <w:sz w:val="4"/>
                <w:szCs w:val="4"/>
              </w:rPr>
            </w:r>
          </w:p>
        </w:tc>
        <w:tc>
          <w:tcPr>
            <w:tcW w:w="1928" w:type="dxa"/>
            <w:tcBorders>
              <w:top w:val="single" w:sz="4" w:space="0" w:color="BBBBBB"/>
              <w:start w:val="single" w:sz="4" w:space="0" w:color="BBBBBB"/>
              <w:bottom w:val="single" w:sz="4" w:space="0" w:color="BBBBBB"/>
              <w:end w:val="single" w:sz="4" w:space="0" w:color="BBBBBB"/>
            </w:tcBorders>
            <w:vAlign w:val="center"/>
          </w:tcPr>
          <w:p>
            <w:pPr>
              <w:pStyle w:val="TableContents"/>
              <w:rPr>
                <w:sz w:val="4"/>
                <w:szCs w:val="4"/>
              </w:rPr>
            </w:pPr>
            <w:r>
              <w:rPr>
                <w:sz w:val="4"/>
                <w:szCs w:val="4"/>
              </w:rPr>
            </w:r>
          </w:p>
        </w:tc>
        <w:tc>
          <w:tcPr>
            <w:tcW w:w="1305" w:type="dxa"/>
            <w:tcBorders>
              <w:top w:val="single" w:sz="4" w:space="0" w:color="BBBBBB"/>
              <w:start w:val="single" w:sz="4" w:space="0" w:color="BBBBBB"/>
              <w:bottom w:val="single" w:sz="4" w:space="0" w:color="BBBBBB"/>
              <w:end w:val="single" w:sz="4" w:space="0" w:color="BBBBBB"/>
            </w:tcBorders>
            <w:vAlign w:val="center"/>
          </w:tcPr>
          <w:p>
            <w:pPr>
              <w:pStyle w:val="TableContents"/>
              <w:rPr>
                <w:sz w:val="4"/>
                <w:szCs w:val="4"/>
              </w:rPr>
            </w:pPr>
            <w:r>
              <w:rPr>
                <w:sz w:val="4"/>
                <w:szCs w:val="4"/>
              </w:rPr>
            </w:r>
          </w:p>
        </w:tc>
        <w:tc>
          <w:tcPr>
            <w:tcW w:w="2282" w:type="dxa"/>
            <w:tcBorders>
              <w:top w:val="single" w:sz="4" w:space="0" w:color="BBBBBB"/>
              <w:start w:val="single" w:sz="4" w:space="0" w:color="BBBBBB"/>
              <w:bottom w:val="single" w:sz="4" w:space="0" w:color="BBBBBB"/>
              <w:end w:val="single" w:sz="4" w:space="0" w:color="BBBBBB"/>
            </w:tcBorders>
            <w:vAlign w:val="center"/>
          </w:tcPr>
          <w:p>
            <w:pPr>
              <w:pStyle w:val="TableContents"/>
              <w:rPr>
                <w:sz w:val="4"/>
                <w:szCs w:val="4"/>
              </w:rPr>
            </w:pPr>
            <w:r>
              <w:rPr>
                <w:sz w:val="4"/>
                <w:szCs w:val="4"/>
              </w:rPr>
            </w:r>
          </w:p>
        </w:tc>
      </w:tr>
      <w:tr>
        <w:trPr/>
        <w:tc>
          <w:tcPr>
            <w:tcW w:w="2830"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5</w:t>
            </w:r>
          </w:p>
        </w:tc>
        <w:tc>
          <w:tcPr>
            <w:tcW w:w="1627"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Qsar al-Sagha</w:t>
            </w:r>
          </w:p>
        </w:tc>
        <w:tc>
          <w:tcPr>
            <w:tcW w:w="1928"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29.6°N / ~4.9°</w:t>
            </w:r>
          </w:p>
        </w:tc>
        <w:tc>
          <w:tcPr>
            <w:tcW w:w="1305"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12th Dynasty</w:t>
            </w:r>
          </w:p>
        </w:tc>
        <w:tc>
          <w:tcPr>
            <w:tcW w:w="2282"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Marginal orientation / Paper 5</w:t>
            </w:r>
          </w:p>
        </w:tc>
      </w:tr>
      <w:tr>
        <w:trPr/>
        <w:tc>
          <w:tcPr>
            <w:tcW w:w="2830"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6</w:t>
            </w:r>
          </w:p>
        </w:tc>
        <w:tc>
          <w:tcPr>
            <w:tcW w:w="1627"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Tod, Montu</w:t>
            </w:r>
          </w:p>
        </w:tc>
        <w:tc>
          <w:tcPr>
            <w:tcW w:w="1928"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25.6°N / ~8.9°</w:t>
            </w:r>
          </w:p>
        </w:tc>
        <w:tc>
          <w:tcPr>
            <w:tcW w:w="1305"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12th Dynasty</w:t>
            </w:r>
          </w:p>
        </w:tc>
        <w:tc>
          <w:tcPr>
            <w:tcW w:w="2282"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Clear orientation / Paper 1</w:t>
            </w:r>
          </w:p>
        </w:tc>
      </w:tr>
      <w:tr>
        <w:trPr/>
        <w:tc>
          <w:tcPr>
            <w:tcW w:w="2830"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7</w:t>
            </w:r>
          </w:p>
        </w:tc>
        <w:tc>
          <w:tcPr>
            <w:tcW w:w="1627"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Armant, Montu</w:t>
            </w:r>
          </w:p>
        </w:tc>
        <w:tc>
          <w:tcPr>
            <w:tcW w:w="1928"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25.6°N / ~8.9°</w:t>
            </w:r>
          </w:p>
        </w:tc>
        <w:tc>
          <w:tcPr>
            <w:tcW w:w="1305"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12th Dynasty</w:t>
            </w:r>
          </w:p>
        </w:tc>
        <w:tc>
          <w:tcPr>
            <w:tcW w:w="2282"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Clear orientation / Paper 1</w:t>
            </w:r>
          </w:p>
        </w:tc>
      </w:tr>
      <w:tr>
        <w:trPr/>
        <w:tc>
          <w:tcPr>
            <w:tcW w:w="2830"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rStyle w:val="Strong"/>
              </w:rPr>
              <w:t>NEW KINGDOM (c. 1550–1077 BCE)</w:t>
            </w:r>
          </w:p>
        </w:tc>
        <w:tc>
          <w:tcPr>
            <w:tcW w:w="1627" w:type="dxa"/>
            <w:tcBorders>
              <w:top w:val="single" w:sz="4" w:space="0" w:color="BBBBBB"/>
              <w:start w:val="single" w:sz="4" w:space="0" w:color="BBBBBB"/>
              <w:bottom w:val="single" w:sz="4" w:space="0" w:color="BBBBBB"/>
              <w:end w:val="single" w:sz="4" w:space="0" w:color="BBBBBB"/>
            </w:tcBorders>
            <w:vAlign w:val="center"/>
          </w:tcPr>
          <w:p>
            <w:pPr>
              <w:pStyle w:val="TableContents"/>
              <w:rPr>
                <w:sz w:val="4"/>
                <w:szCs w:val="4"/>
              </w:rPr>
            </w:pPr>
            <w:r>
              <w:rPr>
                <w:sz w:val="4"/>
                <w:szCs w:val="4"/>
              </w:rPr>
            </w:r>
          </w:p>
        </w:tc>
        <w:tc>
          <w:tcPr>
            <w:tcW w:w="1928" w:type="dxa"/>
            <w:tcBorders>
              <w:top w:val="single" w:sz="4" w:space="0" w:color="BBBBBB"/>
              <w:start w:val="single" w:sz="4" w:space="0" w:color="BBBBBB"/>
              <w:bottom w:val="single" w:sz="4" w:space="0" w:color="BBBBBB"/>
              <w:end w:val="single" w:sz="4" w:space="0" w:color="BBBBBB"/>
            </w:tcBorders>
            <w:vAlign w:val="center"/>
          </w:tcPr>
          <w:p>
            <w:pPr>
              <w:pStyle w:val="TableContents"/>
              <w:rPr>
                <w:sz w:val="4"/>
                <w:szCs w:val="4"/>
              </w:rPr>
            </w:pPr>
            <w:r>
              <w:rPr>
                <w:sz w:val="4"/>
                <w:szCs w:val="4"/>
              </w:rPr>
            </w:r>
          </w:p>
        </w:tc>
        <w:tc>
          <w:tcPr>
            <w:tcW w:w="1305" w:type="dxa"/>
            <w:tcBorders>
              <w:top w:val="single" w:sz="4" w:space="0" w:color="BBBBBB"/>
              <w:start w:val="single" w:sz="4" w:space="0" w:color="BBBBBB"/>
              <w:bottom w:val="single" w:sz="4" w:space="0" w:color="BBBBBB"/>
              <w:end w:val="single" w:sz="4" w:space="0" w:color="BBBBBB"/>
            </w:tcBorders>
            <w:vAlign w:val="center"/>
          </w:tcPr>
          <w:p>
            <w:pPr>
              <w:pStyle w:val="TableContents"/>
              <w:rPr>
                <w:sz w:val="4"/>
                <w:szCs w:val="4"/>
              </w:rPr>
            </w:pPr>
            <w:r>
              <w:rPr>
                <w:sz w:val="4"/>
                <w:szCs w:val="4"/>
              </w:rPr>
            </w:r>
          </w:p>
        </w:tc>
        <w:tc>
          <w:tcPr>
            <w:tcW w:w="2282" w:type="dxa"/>
            <w:tcBorders>
              <w:top w:val="single" w:sz="4" w:space="0" w:color="BBBBBB"/>
              <w:start w:val="single" w:sz="4" w:space="0" w:color="BBBBBB"/>
              <w:bottom w:val="single" w:sz="4" w:space="0" w:color="BBBBBB"/>
              <w:end w:val="single" w:sz="4" w:space="0" w:color="BBBBBB"/>
            </w:tcBorders>
            <w:vAlign w:val="center"/>
          </w:tcPr>
          <w:p>
            <w:pPr>
              <w:pStyle w:val="TableContents"/>
              <w:rPr>
                <w:sz w:val="4"/>
                <w:szCs w:val="4"/>
              </w:rPr>
            </w:pPr>
            <w:r>
              <w:rPr>
                <w:sz w:val="4"/>
                <w:szCs w:val="4"/>
              </w:rPr>
            </w:r>
          </w:p>
        </w:tc>
      </w:tr>
      <w:tr>
        <w:trPr/>
        <w:tc>
          <w:tcPr>
            <w:tcW w:w="2830"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8</w:t>
            </w:r>
          </w:p>
        </w:tc>
        <w:tc>
          <w:tcPr>
            <w:tcW w:w="1627"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Armant, Montu</w:t>
            </w:r>
          </w:p>
        </w:tc>
        <w:tc>
          <w:tcPr>
            <w:tcW w:w="1928"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25.6°N / ~9.9°</w:t>
            </w:r>
          </w:p>
        </w:tc>
        <w:tc>
          <w:tcPr>
            <w:tcW w:w="1305"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18th Dynasty</w:t>
            </w:r>
          </w:p>
        </w:tc>
        <w:tc>
          <w:tcPr>
            <w:tcW w:w="2282"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Clear orientation / Paper 1</w:t>
            </w:r>
          </w:p>
        </w:tc>
      </w:tr>
      <w:tr>
        <w:trPr/>
        <w:tc>
          <w:tcPr>
            <w:tcW w:w="2830"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9</w:t>
            </w:r>
          </w:p>
        </w:tc>
        <w:tc>
          <w:tcPr>
            <w:tcW w:w="1627"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El Qab, Nekhbet</w:t>
            </w:r>
          </w:p>
        </w:tc>
        <w:tc>
          <w:tcPr>
            <w:tcW w:w="1928"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25.1°N / ~10.4°</w:t>
            </w:r>
          </w:p>
        </w:tc>
        <w:tc>
          <w:tcPr>
            <w:tcW w:w="1305"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18th Dynasty</w:t>
            </w:r>
          </w:p>
        </w:tc>
        <w:tc>
          <w:tcPr>
            <w:tcW w:w="2282"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Clear orientation / Paper 1</w:t>
            </w:r>
          </w:p>
        </w:tc>
      </w:tr>
      <w:tr>
        <w:trPr/>
        <w:tc>
          <w:tcPr>
            <w:tcW w:w="2830"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10</w:t>
            </w:r>
          </w:p>
        </w:tc>
        <w:tc>
          <w:tcPr>
            <w:tcW w:w="1627"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Es Sebua, Ramesses II</w:t>
            </w:r>
          </w:p>
        </w:tc>
        <w:tc>
          <w:tcPr>
            <w:tcW w:w="1928"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22.8°N / ~12.7°</w:t>
            </w:r>
          </w:p>
        </w:tc>
        <w:tc>
          <w:tcPr>
            <w:tcW w:w="1305"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19th Dynasty</w:t>
            </w:r>
          </w:p>
        </w:tc>
        <w:tc>
          <w:tcPr>
            <w:tcW w:w="2282"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High orientation / Paper 1</w:t>
            </w:r>
          </w:p>
        </w:tc>
      </w:tr>
      <w:tr>
        <w:trPr/>
        <w:tc>
          <w:tcPr>
            <w:tcW w:w="2830"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11</w:t>
            </w:r>
          </w:p>
        </w:tc>
        <w:tc>
          <w:tcPr>
            <w:tcW w:w="1627"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Tanis, Horus of Sile</w:t>
            </w:r>
          </w:p>
        </w:tc>
        <w:tc>
          <w:tcPr>
            <w:tcW w:w="1928"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30.8°N / ~5.7°</w:t>
            </w:r>
          </w:p>
        </w:tc>
        <w:tc>
          <w:tcPr>
            <w:tcW w:w="1305"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22nd Dynasty</w:t>
            </w:r>
          </w:p>
        </w:tc>
        <w:tc>
          <w:tcPr>
            <w:tcW w:w="2282"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Low/marginal orientation / Paper 3</w:t>
            </w:r>
          </w:p>
        </w:tc>
      </w:tr>
      <w:tr>
        <w:trPr/>
        <w:tc>
          <w:tcPr>
            <w:tcW w:w="2830"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rStyle w:val="Strong"/>
              </w:rPr>
              <w:t>LATE PERIOD (c. 747–332 BCE)</w:t>
            </w:r>
          </w:p>
        </w:tc>
        <w:tc>
          <w:tcPr>
            <w:tcW w:w="1627" w:type="dxa"/>
            <w:tcBorders>
              <w:top w:val="single" w:sz="4" w:space="0" w:color="BBBBBB"/>
              <w:start w:val="single" w:sz="4" w:space="0" w:color="BBBBBB"/>
              <w:bottom w:val="single" w:sz="4" w:space="0" w:color="BBBBBB"/>
              <w:end w:val="single" w:sz="4" w:space="0" w:color="BBBBBB"/>
            </w:tcBorders>
            <w:vAlign w:val="center"/>
          </w:tcPr>
          <w:p>
            <w:pPr>
              <w:pStyle w:val="TableContents"/>
              <w:rPr>
                <w:sz w:val="4"/>
                <w:szCs w:val="4"/>
              </w:rPr>
            </w:pPr>
            <w:r>
              <w:rPr>
                <w:sz w:val="4"/>
                <w:szCs w:val="4"/>
              </w:rPr>
            </w:r>
          </w:p>
        </w:tc>
        <w:tc>
          <w:tcPr>
            <w:tcW w:w="1928" w:type="dxa"/>
            <w:tcBorders>
              <w:top w:val="single" w:sz="4" w:space="0" w:color="BBBBBB"/>
              <w:start w:val="single" w:sz="4" w:space="0" w:color="BBBBBB"/>
              <w:bottom w:val="single" w:sz="4" w:space="0" w:color="BBBBBB"/>
              <w:end w:val="single" w:sz="4" w:space="0" w:color="BBBBBB"/>
            </w:tcBorders>
            <w:vAlign w:val="center"/>
          </w:tcPr>
          <w:p>
            <w:pPr>
              <w:pStyle w:val="TableContents"/>
              <w:rPr>
                <w:sz w:val="4"/>
                <w:szCs w:val="4"/>
              </w:rPr>
            </w:pPr>
            <w:r>
              <w:rPr>
                <w:sz w:val="4"/>
                <w:szCs w:val="4"/>
              </w:rPr>
            </w:r>
          </w:p>
        </w:tc>
        <w:tc>
          <w:tcPr>
            <w:tcW w:w="1305" w:type="dxa"/>
            <w:tcBorders>
              <w:top w:val="single" w:sz="4" w:space="0" w:color="BBBBBB"/>
              <w:start w:val="single" w:sz="4" w:space="0" w:color="BBBBBB"/>
              <w:bottom w:val="single" w:sz="4" w:space="0" w:color="BBBBBB"/>
              <w:end w:val="single" w:sz="4" w:space="0" w:color="BBBBBB"/>
            </w:tcBorders>
            <w:vAlign w:val="center"/>
          </w:tcPr>
          <w:p>
            <w:pPr>
              <w:pStyle w:val="TableContents"/>
              <w:rPr>
                <w:sz w:val="4"/>
                <w:szCs w:val="4"/>
              </w:rPr>
            </w:pPr>
            <w:r>
              <w:rPr>
                <w:sz w:val="4"/>
                <w:szCs w:val="4"/>
              </w:rPr>
            </w:r>
          </w:p>
        </w:tc>
        <w:tc>
          <w:tcPr>
            <w:tcW w:w="2282" w:type="dxa"/>
            <w:tcBorders>
              <w:top w:val="single" w:sz="4" w:space="0" w:color="BBBBBB"/>
              <w:start w:val="single" w:sz="4" w:space="0" w:color="BBBBBB"/>
              <w:bottom w:val="single" w:sz="4" w:space="0" w:color="BBBBBB"/>
              <w:end w:val="single" w:sz="4" w:space="0" w:color="BBBBBB"/>
            </w:tcBorders>
            <w:vAlign w:val="center"/>
          </w:tcPr>
          <w:p>
            <w:pPr>
              <w:pStyle w:val="TableContents"/>
              <w:rPr>
                <w:sz w:val="4"/>
                <w:szCs w:val="4"/>
              </w:rPr>
            </w:pPr>
            <w:r>
              <w:rPr>
                <w:sz w:val="4"/>
                <w:szCs w:val="4"/>
              </w:rPr>
            </w:r>
          </w:p>
        </w:tc>
      </w:tr>
      <w:tr>
        <w:trPr/>
        <w:tc>
          <w:tcPr>
            <w:tcW w:w="2830"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12</w:t>
            </w:r>
          </w:p>
        </w:tc>
        <w:tc>
          <w:tcPr>
            <w:tcW w:w="1627"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Siwa, Oracle of Amon</w:t>
            </w:r>
          </w:p>
        </w:tc>
        <w:tc>
          <w:tcPr>
            <w:tcW w:w="1928"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29.2°N / ~7.3°</w:t>
            </w:r>
          </w:p>
        </w:tc>
        <w:tc>
          <w:tcPr>
            <w:tcW w:w="1305"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26th Dynasty</w:t>
            </w:r>
          </w:p>
        </w:tc>
        <w:tc>
          <w:tcPr>
            <w:tcW w:w="2282"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Visible orientation / Paper 3</w:t>
            </w:r>
          </w:p>
        </w:tc>
      </w:tr>
      <w:tr>
        <w:trPr/>
        <w:tc>
          <w:tcPr>
            <w:tcW w:w="2830"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13</w:t>
            </w:r>
          </w:p>
        </w:tc>
        <w:tc>
          <w:tcPr>
            <w:tcW w:w="1627"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Djebel Barkal, Mut</w:t>
            </w:r>
          </w:p>
        </w:tc>
        <w:tc>
          <w:tcPr>
            <w:tcW w:w="1928"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18.5°N / ~18.0°</w:t>
            </w:r>
          </w:p>
        </w:tc>
        <w:tc>
          <w:tcPr>
            <w:tcW w:w="1305"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25th Dynasty</w:t>
            </w:r>
          </w:p>
        </w:tc>
        <w:tc>
          <w:tcPr>
            <w:tcW w:w="2282"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Very high orientation / Paper 5</w:t>
            </w:r>
          </w:p>
        </w:tc>
      </w:tr>
      <w:tr>
        <w:trPr/>
        <w:tc>
          <w:tcPr>
            <w:tcW w:w="2830"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14</w:t>
            </w:r>
          </w:p>
        </w:tc>
        <w:tc>
          <w:tcPr>
            <w:tcW w:w="1627"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Soniyat, Amun?</w:t>
            </w:r>
          </w:p>
        </w:tc>
        <w:tc>
          <w:tcPr>
            <w:tcW w:w="1928"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18.0°N / ~18.5°</w:t>
            </w:r>
          </w:p>
        </w:tc>
        <w:tc>
          <w:tcPr>
            <w:tcW w:w="1305"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Napatan</w:t>
            </w:r>
          </w:p>
        </w:tc>
        <w:tc>
          <w:tcPr>
            <w:tcW w:w="2282"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Very high orientation / Paper 5</w:t>
            </w:r>
          </w:p>
        </w:tc>
      </w:tr>
      <w:tr>
        <w:trPr/>
        <w:tc>
          <w:tcPr>
            <w:tcW w:w="2830"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rStyle w:val="Strong"/>
              </w:rPr>
              <w:t>PTOLEMAIC (332–30 BCE)</w:t>
            </w:r>
          </w:p>
        </w:tc>
        <w:tc>
          <w:tcPr>
            <w:tcW w:w="1627" w:type="dxa"/>
            <w:tcBorders>
              <w:top w:val="single" w:sz="4" w:space="0" w:color="BBBBBB"/>
              <w:start w:val="single" w:sz="4" w:space="0" w:color="BBBBBB"/>
              <w:bottom w:val="single" w:sz="4" w:space="0" w:color="BBBBBB"/>
              <w:end w:val="single" w:sz="4" w:space="0" w:color="BBBBBB"/>
            </w:tcBorders>
            <w:vAlign w:val="center"/>
          </w:tcPr>
          <w:p>
            <w:pPr>
              <w:pStyle w:val="TableContents"/>
              <w:rPr>
                <w:sz w:val="4"/>
                <w:szCs w:val="4"/>
              </w:rPr>
            </w:pPr>
            <w:r>
              <w:rPr>
                <w:sz w:val="4"/>
                <w:szCs w:val="4"/>
              </w:rPr>
            </w:r>
          </w:p>
        </w:tc>
        <w:tc>
          <w:tcPr>
            <w:tcW w:w="1928" w:type="dxa"/>
            <w:tcBorders>
              <w:top w:val="single" w:sz="4" w:space="0" w:color="BBBBBB"/>
              <w:start w:val="single" w:sz="4" w:space="0" w:color="BBBBBB"/>
              <w:bottom w:val="single" w:sz="4" w:space="0" w:color="BBBBBB"/>
              <w:end w:val="single" w:sz="4" w:space="0" w:color="BBBBBB"/>
            </w:tcBorders>
            <w:vAlign w:val="center"/>
          </w:tcPr>
          <w:p>
            <w:pPr>
              <w:pStyle w:val="TableContents"/>
              <w:rPr>
                <w:sz w:val="4"/>
                <w:szCs w:val="4"/>
              </w:rPr>
            </w:pPr>
            <w:r>
              <w:rPr>
                <w:sz w:val="4"/>
                <w:szCs w:val="4"/>
              </w:rPr>
            </w:r>
          </w:p>
        </w:tc>
        <w:tc>
          <w:tcPr>
            <w:tcW w:w="1305" w:type="dxa"/>
            <w:tcBorders>
              <w:top w:val="single" w:sz="4" w:space="0" w:color="BBBBBB"/>
              <w:start w:val="single" w:sz="4" w:space="0" w:color="BBBBBB"/>
              <w:bottom w:val="single" w:sz="4" w:space="0" w:color="BBBBBB"/>
              <w:end w:val="single" w:sz="4" w:space="0" w:color="BBBBBB"/>
            </w:tcBorders>
            <w:vAlign w:val="center"/>
          </w:tcPr>
          <w:p>
            <w:pPr>
              <w:pStyle w:val="TableContents"/>
              <w:rPr>
                <w:sz w:val="4"/>
                <w:szCs w:val="4"/>
              </w:rPr>
            </w:pPr>
            <w:r>
              <w:rPr>
                <w:sz w:val="4"/>
                <w:szCs w:val="4"/>
              </w:rPr>
            </w:r>
          </w:p>
        </w:tc>
        <w:tc>
          <w:tcPr>
            <w:tcW w:w="2282" w:type="dxa"/>
            <w:tcBorders>
              <w:top w:val="single" w:sz="4" w:space="0" w:color="BBBBBB"/>
              <w:start w:val="single" w:sz="4" w:space="0" w:color="BBBBBB"/>
              <w:bottom w:val="single" w:sz="4" w:space="0" w:color="BBBBBB"/>
              <w:end w:val="single" w:sz="4" w:space="0" w:color="BBBBBB"/>
            </w:tcBorders>
            <w:vAlign w:val="center"/>
          </w:tcPr>
          <w:p>
            <w:pPr>
              <w:pStyle w:val="TableContents"/>
              <w:rPr>
                <w:sz w:val="4"/>
                <w:szCs w:val="4"/>
              </w:rPr>
            </w:pPr>
            <w:r>
              <w:rPr>
                <w:sz w:val="4"/>
                <w:szCs w:val="4"/>
              </w:rPr>
            </w:r>
          </w:p>
        </w:tc>
      </w:tr>
      <w:tr>
        <w:trPr/>
        <w:tc>
          <w:tcPr>
            <w:tcW w:w="2830"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15</w:t>
            </w:r>
          </w:p>
        </w:tc>
        <w:tc>
          <w:tcPr>
            <w:tcW w:w="1627"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Philae, Isis</w:t>
            </w:r>
          </w:p>
        </w:tc>
        <w:tc>
          <w:tcPr>
            <w:tcW w:w="1928"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24.0°N / ~13.5°</w:t>
            </w:r>
          </w:p>
        </w:tc>
        <w:tc>
          <w:tcPr>
            <w:tcW w:w="1305"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Ptolemaic</w:t>
            </w:r>
          </w:p>
        </w:tc>
        <w:tc>
          <w:tcPr>
            <w:tcW w:w="2282"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High orientation / Paper 1</w:t>
            </w:r>
          </w:p>
        </w:tc>
      </w:tr>
      <w:tr>
        <w:trPr/>
        <w:tc>
          <w:tcPr>
            <w:tcW w:w="2830"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16</w:t>
            </w:r>
          </w:p>
        </w:tc>
        <w:tc>
          <w:tcPr>
            <w:tcW w:w="1627"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Armant, Mammisi</w:t>
            </w:r>
          </w:p>
        </w:tc>
        <w:tc>
          <w:tcPr>
            <w:tcW w:w="1928"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25.6°N / ~11.9°</w:t>
            </w:r>
          </w:p>
        </w:tc>
        <w:tc>
          <w:tcPr>
            <w:tcW w:w="1305"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Ptolemaic</w:t>
            </w:r>
          </w:p>
        </w:tc>
        <w:tc>
          <w:tcPr>
            <w:tcW w:w="2282"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Clear orientation / Paper 1</w:t>
            </w:r>
          </w:p>
        </w:tc>
      </w:tr>
      <w:tr>
        <w:trPr/>
        <w:tc>
          <w:tcPr>
            <w:tcW w:w="2830"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17</w:t>
            </w:r>
          </w:p>
        </w:tc>
        <w:tc>
          <w:tcPr>
            <w:tcW w:w="1627"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El Qab, Nekhbet</w:t>
            </w:r>
          </w:p>
        </w:tc>
        <w:tc>
          <w:tcPr>
            <w:tcW w:w="1928"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25.1°N / ~12.4°</w:t>
            </w:r>
          </w:p>
        </w:tc>
        <w:tc>
          <w:tcPr>
            <w:tcW w:w="1305"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Ptolemaic</w:t>
            </w:r>
          </w:p>
        </w:tc>
        <w:tc>
          <w:tcPr>
            <w:tcW w:w="2282"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Clear orientation / Paper 1</w:t>
            </w:r>
          </w:p>
        </w:tc>
      </w:tr>
      <w:tr>
        <w:trPr/>
        <w:tc>
          <w:tcPr>
            <w:tcW w:w="2830"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18</w:t>
            </w:r>
          </w:p>
        </w:tc>
        <w:tc>
          <w:tcPr>
            <w:tcW w:w="1627"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Kom Ombo</w:t>
            </w:r>
          </w:p>
        </w:tc>
        <w:tc>
          <w:tcPr>
            <w:tcW w:w="1928"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24.5°N / ~13.5°</w:t>
            </w:r>
          </w:p>
        </w:tc>
        <w:tc>
          <w:tcPr>
            <w:tcW w:w="1305"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Ptolemaic</w:t>
            </w:r>
          </w:p>
        </w:tc>
        <w:tc>
          <w:tcPr>
            <w:tcW w:w="2282"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High orientation / Paper 1</w:t>
            </w:r>
          </w:p>
        </w:tc>
      </w:tr>
      <w:tr>
        <w:trPr/>
        <w:tc>
          <w:tcPr>
            <w:tcW w:w="2830"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19</w:t>
            </w:r>
          </w:p>
        </w:tc>
        <w:tc>
          <w:tcPr>
            <w:tcW w:w="1627"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Dendera, Isis</w:t>
            </w:r>
          </w:p>
        </w:tc>
        <w:tc>
          <w:tcPr>
            <w:tcW w:w="1928"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26.1°N / ~11.9°</w:t>
            </w:r>
          </w:p>
        </w:tc>
        <w:tc>
          <w:tcPr>
            <w:tcW w:w="1305"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Ptolemaic</w:t>
            </w:r>
          </w:p>
        </w:tc>
        <w:tc>
          <w:tcPr>
            <w:tcW w:w="2282"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Clear orientation / Paper 1</w:t>
            </w:r>
          </w:p>
        </w:tc>
      </w:tr>
      <w:tr>
        <w:trPr/>
        <w:tc>
          <w:tcPr>
            <w:tcW w:w="2830"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20</w:t>
            </w:r>
          </w:p>
        </w:tc>
        <w:tc>
          <w:tcPr>
            <w:tcW w:w="1627"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Edfu, Horus</w:t>
            </w:r>
          </w:p>
        </w:tc>
        <w:tc>
          <w:tcPr>
            <w:tcW w:w="1928"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25.0°N / ~12.5°</w:t>
            </w:r>
          </w:p>
        </w:tc>
        <w:tc>
          <w:tcPr>
            <w:tcW w:w="1305"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Ptolemaic</w:t>
            </w:r>
          </w:p>
        </w:tc>
        <w:tc>
          <w:tcPr>
            <w:tcW w:w="2282"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Clear orientation / Paper 1</w:t>
            </w:r>
          </w:p>
        </w:tc>
      </w:tr>
      <w:tr>
        <w:trPr/>
        <w:tc>
          <w:tcPr>
            <w:tcW w:w="2830"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21</w:t>
            </w:r>
          </w:p>
        </w:tc>
        <w:tc>
          <w:tcPr>
            <w:tcW w:w="1627"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Esna, Khnum</w:t>
            </w:r>
          </w:p>
        </w:tc>
        <w:tc>
          <w:tcPr>
            <w:tcW w:w="1928"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25.3°N / ~12.2°</w:t>
            </w:r>
          </w:p>
        </w:tc>
        <w:tc>
          <w:tcPr>
            <w:tcW w:w="1305"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Ptolemaic</w:t>
            </w:r>
          </w:p>
        </w:tc>
        <w:tc>
          <w:tcPr>
            <w:tcW w:w="2282"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Clear orientation / Paper 1</w:t>
            </w:r>
          </w:p>
        </w:tc>
      </w:tr>
      <w:tr>
        <w:trPr/>
        <w:tc>
          <w:tcPr>
            <w:tcW w:w="2830"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22</w:t>
            </w:r>
          </w:p>
        </w:tc>
        <w:tc>
          <w:tcPr>
            <w:tcW w:w="1627"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Kalabsha, Mandulis</w:t>
            </w:r>
          </w:p>
        </w:tc>
        <w:tc>
          <w:tcPr>
            <w:tcW w:w="1928"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23.6°N / ~14.4°</w:t>
            </w:r>
          </w:p>
        </w:tc>
        <w:tc>
          <w:tcPr>
            <w:tcW w:w="1305"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Ptolemaic</w:t>
            </w:r>
          </w:p>
        </w:tc>
        <w:tc>
          <w:tcPr>
            <w:tcW w:w="2282"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High orientation / Paper 1</w:t>
            </w:r>
          </w:p>
        </w:tc>
      </w:tr>
      <w:tr>
        <w:trPr/>
        <w:tc>
          <w:tcPr>
            <w:tcW w:w="2830"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rStyle w:val="Strong"/>
              </w:rPr>
              <w:t>ROMAN (30 BCE–300 CE)</w:t>
            </w:r>
          </w:p>
        </w:tc>
        <w:tc>
          <w:tcPr>
            <w:tcW w:w="1627" w:type="dxa"/>
            <w:tcBorders>
              <w:top w:val="single" w:sz="4" w:space="0" w:color="BBBBBB"/>
              <w:start w:val="single" w:sz="4" w:space="0" w:color="BBBBBB"/>
              <w:bottom w:val="single" w:sz="4" w:space="0" w:color="BBBBBB"/>
              <w:end w:val="single" w:sz="4" w:space="0" w:color="BBBBBB"/>
            </w:tcBorders>
            <w:vAlign w:val="center"/>
          </w:tcPr>
          <w:p>
            <w:pPr>
              <w:pStyle w:val="TableContents"/>
              <w:rPr>
                <w:sz w:val="4"/>
                <w:szCs w:val="4"/>
              </w:rPr>
            </w:pPr>
            <w:r>
              <w:rPr>
                <w:sz w:val="4"/>
                <w:szCs w:val="4"/>
              </w:rPr>
            </w:r>
          </w:p>
        </w:tc>
        <w:tc>
          <w:tcPr>
            <w:tcW w:w="1928" w:type="dxa"/>
            <w:tcBorders>
              <w:top w:val="single" w:sz="4" w:space="0" w:color="BBBBBB"/>
              <w:start w:val="single" w:sz="4" w:space="0" w:color="BBBBBB"/>
              <w:bottom w:val="single" w:sz="4" w:space="0" w:color="BBBBBB"/>
              <w:end w:val="single" w:sz="4" w:space="0" w:color="BBBBBB"/>
            </w:tcBorders>
            <w:vAlign w:val="center"/>
          </w:tcPr>
          <w:p>
            <w:pPr>
              <w:pStyle w:val="TableContents"/>
              <w:rPr>
                <w:sz w:val="4"/>
                <w:szCs w:val="4"/>
              </w:rPr>
            </w:pPr>
            <w:r>
              <w:rPr>
                <w:sz w:val="4"/>
                <w:szCs w:val="4"/>
              </w:rPr>
            </w:r>
          </w:p>
        </w:tc>
        <w:tc>
          <w:tcPr>
            <w:tcW w:w="1305" w:type="dxa"/>
            <w:tcBorders>
              <w:top w:val="single" w:sz="4" w:space="0" w:color="BBBBBB"/>
              <w:start w:val="single" w:sz="4" w:space="0" w:color="BBBBBB"/>
              <w:bottom w:val="single" w:sz="4" w:space="0" w:color="BBBBBB"/>
              <w:end w:val="single" w:sz="4" w:space="0" w:color="BBBBBB"/>
            </w:tcBorders>
            <w:vAlign w:val="center"/>
          </w:tcPr>
          <w:p>
            <w:pPr>
              <w:pStyle w:val="TableContents"/>
              <w:rPr>
                <w:sz w:val="4"/>
                <w:szCs w:val="4"/>
              </w:rPr>
            </w:pPr>
            <w:r>
              <w:rPr>
                <w:sz w:val="4"/>
                <w:szCs w:val="4"/>
              </w:rPr>
            </w:r>
          </w:p>
        </w:tc>
        <w:tc>
          <w:tcPr>
            <w:tcW w:w="2282" w:type="dxa"/>
            <w:tcBorders>
              <w:top w:val="single" w:sz="4" w:space="0" w:color="BBBBBB"/>
              <w:start w:val="single" w:sz="4" w:space="0" w:color="BBBBBB"/>
              <w:bottom w:val="single" w:sz="4" w:space="0" w:color="BBBBBB"/>
              <w:end w:val="single" w:sz="4" w:space="0" w:color="BBBBBB"/>
            </w:tcBorders>
            <w:vAlign w:val="center"/>
          </w:tcPr>
          <w:p>
            <w:pPr>
              <w:pStyle w:val="TableContents"/>
              <w:rPr>
                <w:sz w:val="4"/>
                <w:szCs w:val="4"/>
              </w:rPr>
            </w:pPr>
            <w:r>
              <w:rPr>
                <w:sz w:val="4"/>
                <w:szCs w:val="4"/>
              </w:rPr>
            </w:r>
          </w:p>
        </w:tc>
      </w:tr>
      <w:tr>
        <w:trPr/>
        <w:tc>
          <w:tcPr>
            <w:tcW w:w="2830"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23</w:t>
            </w:r>
          </w:p>
        </w:tc>
        <w:tc>
          <w:tcPr>
            <w:tcW w:w="1627"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Dakka, Thoth</w:t>
            </w:r>
          </w:p>
        </w:tc>
        <w:tc>
          <w:tcPr>
            <w:tcW w:w="1928"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23.2°N / ~14.8°</w:t>
            </w:r>
          </w:p>
        </w:tc>
        <w:tc>
          <w:tcPr>
            <w:tcW w:w="1305"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Roman</w:t>
            </w:r>
          </w:p>
        </w:tc>
        <w:tc>
          <w:tcPr>
            <w:tcW w:w="2282"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High orientation / Paper 1</w:t>
            </w:r>
          </w:p>
        </w:tc>
      </w:tr>
      <w:tr>
        <w:trPr/>
        <w:tc>
          <w:tcPr>
            <w:tcW w:w="2830"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24</w:t>
            </w:r>
          </w:p>
        </w:tc>
        <w:tc>
          <w:tcPr>
            <w:tcW w:w="1627"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Qertasi, Kiosk</w:t>
            </w:r>
          </w:p>
        </w:tc>
        <w:tc>
          <w:tcPr>
            <w:tcW w:w="1928"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23.7°N / ~14.3°</w:t>
            </w:r>
          </w:p>
        </w:tc>
        <w:tc>
          <w:tcPr>
            <w:tcW w:w="1305"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Roman</w:t>
            </w:r>
          </w:p>
        </w:tc>
        <w:tc>
          <w:tcPr>
            <w:tcW w:w="2282"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High orientation / Paper 1</w:t>
            </w:r>
          </w:p>
        </w:tc>
      </w:tr>
    </w:tbl>
    <w:p>
      <w:pPr>
        <w:pStyle w:val="HorizontalLine"/>
        <w:spacing w:before="0" w:after="0"/>
        <w:rPr>
          <w:sz w:val="24"/>
          <w:szCs w:val="24"/>
        </w:rPr>
      </w:pPr>
      <w:r>
        <w:rPr>
          <w:sz w:val="24"/>
          <w:szCs w:val="24"/>
        </w:rPr>
      </w:r>
    </w:p>
    <w:p>
      <w:pPr>
        <w:pStyle w:val="Heading3"/>
        <w:spacing w:before="0" w:after="283"/>
        <w:rPr>
          <w:sz w:val="32"/>
          <w:szCs w:val="32"/>
        </w:rPr>
      </w:pPr>
      <w:r>
        <w:rPr>
          <w:sz w:val="32"/>
          <w:szCs w:val="32"/>
        </w:rPr>
        <w:t>References</w:t>
      </w:r>
    </w:p>
    <w:p>
      <w:pPr>
        <w:pStyle w:val="Heading3"/>
        <w:spacing w:lineRule="auto" w:line="276" w:before="0" w:after="140"/>
        <w:rPr>
          <w:sz w:val="24"/>
          <w:szCs w:val="24"/>
        </w:rPr>
      </w:pPr>
      <w:r>
        <w:rPr>
          <w:rStyle w:val="Emphasis"/>
          <w:sz w:val="24"/>
          <w:szCs w:val="24"/>
        </w:rPr>
        <w:t>Primary Egyptian Sources</w:t>
      </w:r>
    </w:p>
    <w:p>
      <w:pPr>
        <w:pStyle w:val="BodyText"/>
        <w:rPr/>
      </w:pPr>
      <w:r>
        <w:rPr/>
        <w:t xml:space="preserve">Allen, J. P. (2005). </w:t>
      </w:r>
      <w:r>
        <w:rPr>
          <w:rStyle w:val="Emphasis"/>
        </w:rPr>
        <w:t>The Ancient Egyptian Pyramid Texts</w:t>
      </w:r>
      <w:r>
        <w:rPr/>
        <w:t>. Society of Biblical Literature.</w:t>
      </w:r>
    </w:p>
    <w:p>
      <w:pPr>
        <w:pStyle w:val="BodyText"/>
        <w:rPr/>
      </w:pPr>
      <w:r>
        <w:rPr/>
        <w:t xml:space="preserve">Allen, J. P. (2006). </w:t>
      </w:r>
      <w:r>
        <w:rPr>
          <w:rStyle w:val="Emphasis"/>
        </w:rPr>
        <w:t>The Egyptian Coffin Texts, Volume 8: Middle Kingdom Copies of Pyramid Texts</w:t>
      </w:r>
      <w:r>
        <w:rPr/>
        <w:t>. Oriental Institute Publications 132, University of Chicago.</w:t>
      </w:r>
    </w:p>
    <w:p>
      <w:pPr>
        <w:pStyle w:val="BodyText"/>
        <w:rPr/>
      </w:pPr>
      <w:r>
        <w:rPr/>
        <w:t xml:space="preserve">Allen, J. P. (2015). </w:t>
      </w:r>
      <w:r>
        <w:rPr>
          <w:rStyle w:val="Emphasis"/>
        </w:rPr>
        <w:t>The Ancient Egyptian Pyramid Texts</w:t>
      </w:r>
      <w:r>
        <w:rPr/>
        <w:t xml:space="preserve"> (2nd ed.). Society of Biblical Literature.</w:t>
      </w:r>
    </w:p>
    <w:p>
      <w:pPr>
        <w:pStyle w:val="BodyText"/>
        <w:rPr/>
      </w:pPr>
      <w:r>
        <w:rPr/>
        <w:t xml:space="preserve">Allen, R. H. (1889). </w:t>
      </w:r>
      <w:r>
        <w:rPr>
          <w:rStyle w:val="Emphasis"/>
        </w:rPr>
        <w:t>Star Names and Their Meanings</w:t>
      </w:r>
      <w:r>
        <w:rPr/>
        <w:t>. G. E. Stechert.</w:t>
      </w:r>
    </w:p>
    <w:p>
      <w:pPr>
        <w:pStyle w:val="BodyText"/>
        <w:rPr/>
      </w:pPr>
      <w:r>
        <w:rPr/>
        <w:t xml:space="preserve">Chassinat, É. (1934–1952). </w:t>
      </w:r>
      <w:r>
        <w:rPr>
          <w:rStyle w:val="Emphasis"/>
        </w:rPr>
        <w:t>Le temple de Dendara</w:t>
      </w:r>
      <w:r>
        <w:rPr/>
        <w:t xml:space="preserve"> (Vols. I–V). Institut français d'archéologie orientale.</w:t>
      </w:r>
    </w:p>
    <w:p>
      <w:pPr>
        <w:pStyle w:val="BodyText"/>
        <w:rPr/>
      </w:pPr>
      <w:r>
        <w:rPr/>
        <w:t xml:space="preserve">de Buck, A., &amp; Gardiner, A. (1935–1961). </w:t>
      </w:r>
      <w:r>
        <w:rPr>
          <w:rStyle w:val="Emphasis"/>
        </w:rPr>
        <w:t>The Egyptian Coffin Texts</w:t>
      </w:r>
      <w:r>
        <w:rPr/>
        <w:t xml:space="preserve"> (7 vols.). University of Chicago Press.</w:t>
      </w:r>
    </w:p>
    <w:p>
      <w:pPr>
        <w:pStyle w:val="BodyText"/>
        <w:rPr/>
      </w:pPr>
      <w:r>
        <w:rPr/>
        <w:t xml:space="preserve">Dreyer, G. (1998). </w:t>
      </w:r>
      <w:r>
        <w:rPr>
          <w:rStyle w:val="Emphasis"/>
        </w:rPr>
        <w:t>Umm el-Qaab I: Das prädynastische Königsgrab U-j und seine frühen Schriftzeugnisse</w:t>
      </w:r>
      <w:r>
        <w:rPr/>
        <w:t>. Philipp von Zabern.</w:t>
      </w:r>
    </w:p>
    <w:p>
      <w:pPr>
        <w:pStyle w:val="BodyText"/>
        <w:rPr/>
      </w:pPr>
      <w:r>
        <w:rPr/>
        <w:t xml:space="preserve">Faulkner, R. O. (1969). </w:t>
      </w:r>
      <w:r>
        <w:rPr>
          <w:rStyle w:val="Emphasis"/>
        </w:rPr>
        <w:t>The Ancient Egyptian Pyramid Texts</w:t>
      </w:r>
      <w:r>
        <w:rPr/>
        <w:t>. Oxford University Press.</w:t>
      </w:r>
    </w:p>
    <w:p>
      <w:pPr>
        <w:pStyle w:val="BodyText"/>
        <w:rPr/>
      </w:pPr>
      <w:r>
        <w:rPr/>
        <w:t xml:space="preserve">Faulkner, R. O. (1973–1978). </w:t>
      </w:r>
      <w:r>
        <w:rPr>
          <w:rStyle w:val="Emphasis"/>
        </w:rPr>
        <w:t>The Ancient Egyptian Coffin Texts</w:t>
      </w:r>
      <w:r>
        <w:rPr/>
        <w:t xml:space="preserve"> (3 vols.). Aris &amp; Phillips.</w:t>
      </w:r>
    </w:p>
    <w:p>
      <w:pPr>
        <w:pStyle w:val="BodyText"/>
        <w:rPr/>
      </w:pPr>
      <w:r>
        <w:rPr/>
        <w:t xml:space="preserve">Gardiner, A. H. (1959). </w:t>
      </w:r>
      <w:r>
        <w:rPr>
          <w:rStyle w:val="Emphasis"/>
        </w:rPr>
        <w:t>The Royal Canon of Turin</w:t>
      </w:r>
      <w:r>
        <w:rPr/>
        <w:t>. Griffith Institute.</w:t>
      </w:r>
    </w:p>
    <w:p>
      <w:pPr>
        <w:pStyle w:val="BodyText"/>
        <w:rPr/>
      </w:pPr>
      <w:r>
        <w:rPr/>
        <w:t xml:space="preserve">Gunn, B. (1912). </w:t>
      </w:r>
      <w:r>
        <w:rPr>
          <w:rStyle w:val="Emphasis"/>
        </w:rPr>
        <w:t>The Instruction of Ptah-hotep and the Instruction of Ke'gemni</w:t>
      </w:r>
      <w:r>
        <w:rPr/>
        <w:t>. John Murray.</w:t>
      </w:r>
    </w:p>
    <w:p>
      <w:pPr>
        <w:pStyle w:val="BodyText"/>
        <w:rPr/>
      </w:pPr>
      <w:r>
        <w:rPr/>
        <w:t xml:space="preserve">Lichtheim, M. (1973). </w:t>
      </w:r>
      <w:r>
        <w:rPr>
          <w:rStyle w:val="Emphasis"/>
        </w:rPr>
        <w:t>Ancient Egyptian Literature: A Book of Readings. Volume I: The Old and Middle Kingdoms</w:t>
      </w:r>
      <w:r>
        <w:rPr/>
        <w:t>. University of California Press.</w:t>
      </w:r>
    </w:p>
    <w:p>
      <w:pPr>
        <w:pStyle w:val="BodyText"/>
        <w:rPr/>
      </w:pPr>
      <w:r>
        <w:rPr/>
        <w:t xml:space="preserve">Manetho. (1940). </w:t>
      </w:r>
      <w:r>
        <w:rPr>
          <w:rStyle w:val="Emphasis"/>
        </w:rPr>
        <w:t>Manetho</w:t>
      </w:r>
      <w:r>
        <w:rPr/>
        <w:t xml:space="preserve"> (W. G. Waddell, Trans.). Loeb Classical Library, Harvard University Press.</w:t>
      </w:r>
    </w:p>
    <w:p>
      <w:pPr>
        <w:pStyle w:val="BodyText"/>
        <w:rPr/>
      </w:pPr>
      <w:r>
        <w:rPr/>
        <w:t xml:space="preserve">Mariette, A. (1889–1894). </w:t>
      </w:r>
      <w:r>
        <w:rPr>
          <w:rStyle w:val="Emphasis"/>
        </w:rPr>
        <w:t>Karnak: Fouilles et Monuments</w:t>
      </w:r>
      <w:r>
        <w:rPr/>
        <w:t xml:space="preserve"> (Vol. 1). Imprimerie Nationale.</w:t>
      </w:r>
    </w:p>
    <w:p>
      <w:pPr>
        <w:pStyle w:val="BodyText"/>
        <w:rPr/>
      </w:pPr>
      <w:r>
        <w:rPr/>
        <w:t xml:space="preserve">Parker, R. A. (1950). </w:t>
      </w:r>
      <w:r>
        <w:rPr>
          <w:rStyle w:val="Emphasis"/>
        </w:rPr>
        <w:t>The Calendars of Ancient Egypt</w:t>
      </w:r>
      <w:r>
        <w:rPr/>
        <w:t>. University of Chicago Press.</w:t>
      </w:r>
    </w:p>
    <w:p>
      <w:pPr>
        <w:pStyle w:val="BodyText"/>
        <w:rPr/>
      </w:pPr>
      <w:r>
        <w:rPr/>
        <w:t xml:space="preserve">Sethe, K. (1902). </w:t>
      </w:r>
      <w:r>
        <w:rPr>
          <w:rStyle w:val="Emphasis"/>
        </w:rPr>
        <w:t>Beiträge zur ältesten Geschichte Ägyptens</w:t>
      </w:r>
      <w:r>
        <w:rPr/>
        <w:t>. J. C. Hinrichs.</w:t>
      </w:r>
    </w:p>
    <w:p>
      <w:pPr>
        <w:pStyle w:val="BodyText"/>
        <w:rPr/>
      </w:pPr>
      <w:r>
        <w:rPr/>
        <w:t xml:space="preserve">Sethe, K. (1908–1922). </w:t>
      </w:r>
      <w:r>
        <w:rPr>
          <w:rStyle w:val="Emphasis"/>
        </w:rPr>
        <w:t>Die altägyptischen Pyramidentexte</w:t>
      </w:r>
      <w:r>
        <w:rPr/>
        <w:t xml:space="preserve"> (4 vols.). J. C. Hinrichs.</w:t>
      </w:r>
    </w:p>
    <w:p>
      <w:pPr>
        <w:pStyle w:val="BodyText"/>
        <w:rPr/>
      </w:pPr>
      <w:r>
        <w:rPr/>
        <w:t xml:space="preserve">Sethe, K. (1914). </w:t>
      </w:r>
      <w:r>
        <w:rPr>
          <w:rStyle w:val="Emphasis"/>
        </w:rPr>
        <w:t>Urkunden des ägyptischen Altertums IV: Urkunden der 18. Dynastie</w:t>
      </w:r>
      <w:r>
        <w:rPr/>
        <w:t>. J. C. Hinrichs.</w:t>
      </w:r>
    </w:p>
    <w:p>
      <w:pPr>
        <w:pStyle w:val="BodyText"/>
        <w:rPr/>
      </w:pPr>
      <w:r>
        <w:rPr/>
        <w:t xml:space="preserve">Wilkinson, T. A. H. (1999). </w:t>
      </w:r>
      <w:r>
        <w:rPr>
          <w:rStyle w:val="Emphasis"/>
        </w:rPr>
        <w:t>Early Dynastic Egypt</w:t>
      </w:r>
      <w:r>
        <w:rPr/>
        <w:t>. Routledge.</w:t>
      </w:r>
    </w:p>
    <w:p>
      <w:pPr>
        <w:pStyle w:val="Heading3"/>
        <w:spacing w:lineRule="auto" w:line="276" w:before="0" w:after="140"/>
        <w:rPr>
          <w:sz w:val="24"/>
          <w:szCs w:val="24"/>
        </w:rPr>
      </w:pPr>
      <w:r>
        <w:rPr>
          <w:sz w:val="24"/>
          <w:szCs w:val="24"/>
        </w:rPr>
        <w:t>Edfu Texts and Temple Tradition</w:t>
      </w:r>
    </w:p>
    <w:p>
      <w:pPr>
        <w:pStyle w:val="BodyText"/>
        <w:rPr/>
      </w:pPr>
      <w:r>
        <w:rPr/>
        <w:t xml:space="preserve">Ibrahim, W. A., &amp; Aboelmagd, T. M. (2023). The Presentation of the Udjat-Eye (Hnk WDAt) in the Graeco-Roman Period Temples. </w:t>
      </w:r>
      <w:r>
        <w:rPr>
          <w:rStyle w:val="Emphasis"/>
        </w:rPr>
        <w:t>Journal of the Faculty of Archaeology</w:t>
      </w:r>
      <w:r>
        <w:rPr/>
        <w:t>, Cairo University.</w:t>
      </w:r>
    </w:p>
    <w:p>
      <w:pPr>
        <w:pStyle w:val="BodyText"/>
        <w:rPr/>
      </w:pPr>
      <w:r>
        <w:rPr/>
        <w:t xml:space="preserve">Kurth, D., et al. (1998–2014). </w:t>
      </w:r>
      <w:r>
        <w:rPr>
          <w:rStyle w:val="Emphasis"/>
        </w:rPr>
        <w:t>Die Inschriften des Tempels von Edfu, Abteilung I: Übersetzungen</w:t>
      </w:r>
      <w:r>
        <w:rPr/>
        <w:t xml:space="preserve"> (Vols. 1–3). Harrassowitz.</w:t>
      </w:r>
    </w:p>
    <w:p>
      <w:pPr>
        <w:pStyle w:val="BodyText"/>
        <w:rPr/>
      </w:pPr>
      <w:r>
        <w:rPr/>
        <w:t xml:space="preserve">Kurth, D., et al. (2014). </w:t>
      </w:r>
      <w:r>
        <w:rPr>
          <w:rStyle w:val="Emphasis"/>
        </w:rPr>
        <w:t>Edfou VI: Die Inschriften des Tempels von Edfu</w:t>
      </w:r>
      <w:r>
        <w:rPr/>
        <w:t>. Harrassowitz.</w:t>
      </w:r>
    </w:p>
    <w:p>
      <w:pPr>
        <w:pStyle w:val="BodyText"/>
        <w:rPr/>
      </w:pPr>
      <w:r>
        <w:rPr/>
        <w:t xml:space="preserve">Reymond, E. A. E. (1969). </w:t>
      </w:r>
      <w:r>
        <w:rPr>
          <w:rStyle w:val="Emphasis"/>
        </w:rPr>
        <w:t>The Mythical Origin of the Egyptian Temple</w:t>
      </w:r>
      <w:r>
        <w:rPr/>
        <w:t>. Manchester University Press.</w:t>
      </w:r>
    </w:p>
    <w:p>
      <w:pPr>
        <w:pStyle w:val="BodyText"/>
        <w:rPr/>
      </w:pPr>
      <w:r>
        <w:rPr/>
        <w:t xml:space="preserve">Seyfzadeh, M. (2024). The First English Translation of the Creation Passage on the Inner Face of the Enclosure Wall at Edfu Temple. </w:t>
      </w:r>
      <w:r>
        <w:rPr>
          <w:rStyle w:val="Emphasis"/>
        </w:rPr>
        <w:t>Archaeological Discovery</w:t>
      </w:r>
      <w:r>
        <w:rPr/>
        <w:t>, 12, 95–148. DOI: 10.4236/ad.2024.121006</w:t>
      </w:r>
    </w:p>
    <w:p>
      <w:pPr>
        <w:pStyle w:val="BodyText"/>
        <w:rPr/>
      </w:pPr>
      <w:r>
        <w:rPr/>
        <w:t xml:space="preserve">Sugi, A. (2005). The Eye of Horus as an offering in the Old Kingdom: A study of the offering lists in the tomb of Idut. </w:t>
      </w:r>
      <w:r>
        <w:rPr>
          <w:rStyle w:val="Emphasis"/>
        </w:rPr>
        <w:t>Journal of the Society for the Study of Egyptian Antiquities</w:t>
      </w:r>
      <w:r>
        <w:rPr/>
        <w:t>, 32, 175–192.</w:t>
      </w:r>
    </w:p>
    <w:p>
      <w:pPr>
        <w:pStyle w:val="Heading3"/>
        <w:spacing w:lineRule="auto" w:line="276" w:before="0" w:after="140"/>
        <w:rPr>
          <w:sz w:val="24"/>
          <w:szCs w:val="24"/>
        </w:rPr>
      </w:pPr>
      <w:r>
        <w:rPr>
          <w:sz w:val="24"/>
          <w:szCs w:val="24"/>
        </w:rPr>
        <w:t>Archaeoastronomy and Temple Orientations</w:t>
      </w:r>
    </w:p>
    <w:p>
      <w:pPr>
        <w:pStyle w:val="BodyText"/>
        <w:rPr/>
      </w:pPr>
      <w:r>
        <w:rPr/>
        <w:t xml:space="preserve">Belmonte, J. A. (2001). On the orientation of ancient Egyptian temples: (4) The Old Kingdom pyramids and the temples of the sun. </w:t>
      </w:r>
      <w:r>
        <w:rPr>
          <w:rStyle w:val="Emphasis"/>
        </w:rPr>
        <w:t>Journal for the History of Astronomy</w:t>
      </w:r>
      <w:r>
        <w:rPr/>
        <w:t>, 32(26), S1–S20.</w:t>
      </w:r>
    </w:p>
    <w:p>
      <w:pPr>
        <w:pStyle w:val="BodyText"/>
        <w:rPr/>
      </w:pPr>
      <w:r>
        <w:rPr/>
        <w:t xml:space="preserve">Belmonte, J. A. (2011). The Egyptian calendar and its astronomical background. In </w:t>
      </w:r>
      <w:r>
        <w:rPr>
          <w:rStyle w:val="Emphasis"/>
        </w:rPr>
        <w:t>Proceedings of the International Astronomical Union</w:t>
      </w:r>
      <w:r>
        <w:rPr/>
        <w:t>, 7(S278), 75–84.</w:t>
      </w:r>
    </w:p>
    <w:p>
      <w:pPr>
        <w:pStyle w:val="BodyText"/>
        <w:rPr/>
      </w:pPr>
      <w:r>
        <w:rPr/>
        <w:t xml:space="preserve">Belmonte, J. A., Shaltout, M., &amp; Fekri, M. (2009). On the orientation of ancient Egyptian temples: (4) Upper Egypt, Nubia and the Egyptian oases. </w:t>
      </w:r>
      <w:r>
        <w:rPr>
          <w:rStyle w:val="Emphasis"/>
        </w:rPr>
        <w:t>Journal for the History of Astronomy</w:t>
      </w:r>
      <w:r>
        <w:rPr/>
        <w:t>, 40(1), 1–30.</w:t>
      </w:r>
    </w:p>
    <w:p>
      <w:pPr>
        <w:pStyle w:val="BodyText"/>
        <w:rPr/>
      </w:pPr>
      <w:r>
        <w:rPr/>
        <w:t xml:space="preserve">Belmonte, J. A., Shaltout, M., &amp; Fekri, M. (2010). On the orientation of ancient Egyptian temples: (5) Testing the theory in Middle Egypt and Sudan. </w:t>
      </w:r>
      <w:r>
        <w:rPr>
          <w:rStyle w:val="Emphasis"/>
        </w:rPr>
        <w:t>Journal for the History of Astronomy</w:t>
      </w:r>
      <w:r>
        <w:rPr/>
        <w:t>, 41(1), 65–93.</w:t>
      </w:r>
    </w:p>
    <w:p>
      <w:pPr>
        <w:pStyle w:val="BodyText"/>
        <w:rPr/>
      </w:pPr>
      <w:r>
        <w:rPr/>
        <w:t xml:space="preserve">Lockyer, N. (1894). </w:t>
      </w:r>
      <w:r>
        <w:rPr>
          <w:rStyle w:val="Emphasis"/>
        </w:rPr>
        <w:t>The Dawn of Astronomy</w:t>
      </w:r>
      <w:r>
        <w:rPr/>
        <w:t>. Cassell.</w:t>
      </w:r>
    </w:p>
    <w:p>
      <w:pPr>
        <w:pStyle w:val="BodyText"/>
        <w:rPr/>
      </w:pPr>
      <w:r>
        <w:rPr/>
        <w:t xml:space="preserve">Malville, J. M., Wendorf, F., Mazar, A. A., &amp; Schild, R. (1998). Megaliths and Neolithic astronomy in southern Egypt. </w:t>
      </w:r>
      <w:r>
        <w:rPr>
          <w:rStyle w:val="Emphasis"/>
        </w:rPr>
        <w:t>Nature</w:t>
      </w:r>
      <w:r>
        <w:rPr/>
        <w:t>, 392(6675), 488–491.</w:t>
      </w:r>
    </w:p>
    <w:p>
      <w:pPr>
        <w:pStyle w:val="BodyText"/>
        <w:rPr/>
      </w:pPr>
      <w:r>
        <w:rPr/>
        <w:t xml:space="preserve">Malville, J. M., Schild, R., Wendorf, F., &amp; Brenmer, R. (2008). Astronomy of Nabta Playa. In </w:t>
      </w:r>
      <w:r>
        <w:rPr>
          <w:rStyle w:val="Emphasis"/>
        </w:rPr>
        <w:t>Handbook of Archaeoastronomy and Ethnoastronomy</w:t>
      </w:r>
      <w:r>
        <w:rPr/>
        <w:t xml:space="preserve"> (pp. 1079–1087). Springer.</w:t>
      </w:r>
    </w:p>
    <w:p>
      <w:pPr>
        <w:pStyle w:val="BodyText"/>
        <w:rPr/>
      </w:pPr>
      <w:r>
        <w:rPr/>
        <w:t xml:space="preserve">Priskin, G. (2015). The Dendera zodiacs and the Egyptian decans. </w:t>
      </w:r>
      <w:r>
        <w:rPr>
          <w:rStyle w:val="Emphasis"/>
        </w:rPr>
        <w:t>Égypte Nilotique et Méditerranéenne</w:t>
      </w:r>
      <w:r>
        <w:rPr/>
        <w:t>, 8, 59–84.</w:t>
      </w:r>
    </w:p>
    <w:p>
      <w:pPr>
        <w:pStyle w:val="BodyText"/>
        <w:rPr/>
      </w:pPr>
      <w:r>
        <w:rPr/>
        <w:t xml:space="preserve">Priskin, G. (2016). The astral decans of Taurus and Libra. </w:t>
      </w:r>
      <w:r>
        <w:rPr>
          <w:rStyle w:val="Emphasis"/>
        </w:rPr>
        <w:t>Égypte Nilotique et Méditerranéenne</w:t>
      </w:r>
      <w:r>
        <w:rPr/>
        <w:t>, 9, 45–72.</w:t>
      </w:r>
    </w:p>
    <w:p>
      <w:pPr>
        <w:pStyle w:val="BodyText"/>
        <w:rPr/>
      </w:pPr>
      <w:r>
        <w:rPr/>
        <w:t xml:space="preserve">Priskin, G. (2019). The astronomical ceilings of the New Kingdom royal tombs. </w:t>
      </w:r>
      <w:r>
        <w:rPr>
          <w:rStyle w:val="Emphasis"/>
        </w:rPr>
        <w:t>Égypte Nilotique et Méditerranéenne</w:t>
      </w:r>
      <w:r>
        <w:rPr/>
        <w:t>, 12, 1–28.</w:t>
      </w:r>
    </w:p>
    <w:p>
      <w:pPr>
        <w:pStyle w:val="BodyText"/>
        <w:rPr/>
      </w:pPr>
      <w:r>
        <w:rPr/>
        <w:t xml:space="preserve">Shaltout, M., &amp; Belmonte, J. A. (2005). On the orientation of ancient Egyptian temples: (1) Upper Egypt and Lower Nubia. </w:t>
      </w:r>
      <w:r>
        <w:rPr>
          <w:rStyle w:val="Emphasis"/>
        </w:rPr>
        <w:t>Journal for the History of Astronomy</w:t>
      </w:r>
      <w:r>
        <w:rPr/>
        <w:t>, 36(3), 273–298.</w:t>
      </w:r>
    </w:p>
    <w:p>
      <w:pPr>
        <w:pStyle w:val="BodyText"/>
        <w:rPr/>
      </w:pPr>
      <w:r>
        <w:rPr/>
        <w:t xml:space="preserve">Shaltout, M., Belmonte, J. A., &amp; Fekri, M. (2007). On the orientation of ancient Egyptian temples: (3) Lower Egypt and the Delta. </w:t>
      </w:r>
      <w:r>
        <w:rPr>
          <w:rStyle w:val="Emphasis"/>
        </w:rPr>
        <w:t>Journal for the History of Astronomy</w:t>
      </w:r>
      <w:r>
        <w:rPr/>
        <w:t>, 38(2), 141–160.</w:t>
      </w:r>
    </w:p>
    <w:p>
      <w:pPr>
        <w:pStyle w:val="Heading3"/>
        <w:spacing w:lineRule="auto" w:line="276" w:before="0" w:after="140"/>
        <w:rPr>
          <w:sz w:val="24"/>
          <w:szCs w:val="24"/>
        </w:rPr>
      </w:pPr>
      <w:r>
        <w:rPr>
          <w:sz w:val="24"/>
          <w:szCs w:val="24"/>
        </w:rPr>
        <w:t>Genetics and Ancient DNA</w:t>
      </w:r>
    </w:p>
    <w:p>
      <w:pPr>
        <w:pStyle w:val="BodyText"/>
        <w:rPr/>
      </w:pPr>
      <w:r>
        <w:rPr/>
        <w:t xml:space="preserve">De Martino, M., De Cupere, B., et al. (2025). The dispersal of domestic cats from North Africa to Europe around 2000 years ago. </w:t>
      </w:r>
      <w:r>
        <w:rPr>
          <w:rStyle w:val="Emphasis"/>
        </w:rPr>
        <w:t>Science</w:t>
      </w:r>
      <w:r>
        <w:rPr/>
        <w:t>, 390(6776), eadt2642. DOI: 10.1126/science.adt2642</w:t>
      </w:r>
    </w:p>
    <w:p>
      <w:pPr>
        <w:pStyle w:val="BodyText"/>
        <w:rPr/>
      </w:pPr>
      <w:r>
        <w:rPr/>
        <w:t xml:space="preserve">Dominy, N. J., et al. (2020). Mummified baboons reveal the far reach of early Egyptian mariners. </w:t>
      </w:r>
      <w:r>
        <w:rPr>
          <w:rStyle w:val="Emphasis"/>
        </w:rPr>
        <w:t>eLife</w:t>
      </w:r>
      <w:r>
        <w:rPr/>
        <w:t>, 9, e60860. DOI: 10.7554/eLife.60860</w:t>
      </w:r>
    </w:p>
    <w:p>
      <w:pPr>
        <w:pStyle w:val="BodyText"/>
        <w:rPr/>
      </w:pPr>
      <w:r>
        <w:rPr/>
        <w:t xml:space="preserve">Lipson, M., et al. (2025). Ancient genomes from North Africa document gene flow from sub-Saharan Africa and across the Mediterranean. </w:t>
      </w:r>
      <w:r>
        <w:rPr>
          <w:rStyle w:val="Emphasis"/>
        </w:rPr>
        <w:t>Science</w:t>
      </w:r>
      <w:r>
        <w:rPr/>
        <w:t>, 387(6733), eadl0546. DOI: 10.1126/science.adl0546</w:t>
      </w:r>
    </w:p>
    <w:p>
      <w:pPr>
        <w:pStyle w:val="BodyText"/>
        <w:rPr/>
      </w:pPr>
      <w:r>
        <w:rPr/>
        <w:t xml:space="preserve">Morez Jacobs, A., et al. (2025). Whole-genome ancestry of an Old Kingdom Egyptian. </w:t>
      </w:r>
      <w:r>
        <w:rPr>
          <w:rStyle w:val="Emphasis"/>
        </w:rPr>
        <w:t>Nature</w:t>
      </w:r>
      <w:r>
        <w:rPr/>
        <w:t>, 644(8077), 714–721. DOI: 10.1038/s41586-025-09195-5.</w:t>
      </w:r>
    </w:p>
    <w:p>
      <w:pPr>
        <w:pStyle w:val="BodyText"/>
        <w:rPr/>
      </w:pPr>
      <w:r>
        <w:rPr/>
        <w:t xml:space="preserve">Ringbauer, H., et al. (2025). Punic people were genetically diverse with almost no Levantine ancestors. </w:t>
      </w:r>
      <w:r>
        <w:rPr>
          <w:rStyle w:val="Emphasis"/>
        </w:rPr>
        <w:t>Nature</w:t>
      </w:r>
      <w:r>
        <w:rPr/>
        <w:t>, 643(8070), 139–147. DOI: 10.1038/s41586-025-08913-3</w:t>
      </w:r>
    </w:p>
    <w:p>
      <w:pPr>
        <w:pStyle w:val="BodyText"/>
        <w:rPr/>
      </w:pPr>
      <w:r>
        <w:rPr/>
        <w:t xml:space="preserve">Salem, N., et al. (2025). Ancient DNA from the Green Sahara reveals ancestral North African lineage. </w:t>
      </w:r>
      <w:r>
        <w:rPr>
          <w:rStyle w:val="Emphasis"/>
        </w:rPr>
        <w:t>Nature</w:t>
      </w:r>
      <w:r>
        <w:rPr/>
        <w:t>, 641(8061), 144–150. DOI: 10.1038/s41586-025-08793-7.</w:t>
      </w:r>
    </w:p>
    <w:p>
      <w:pPr>
        <w:pStyle w:val="BodyText"/>
        <w:rPr/>
      </w:pPr>
      <w:r>
        <w:rPr/>
        <w:t xml:space="preserve">van de Loosdrecht, M., et al. (2018). Pleistocene North African genomes link Near Eastern and sub-Saharan African human populations. </w:t>
      </w:r>
      <w:r>
        <w:rPr>
          <w:rStyle w:val="Emphasis"/>
        </w:rPr>
        <w:t>Science</w:t>
      </w:r>
      <w:r>
        <w:rPr/>
        <w:t>, 360(6388), 548–552.</w:t>
      </w:r>
    </w:p>
    <w:p>
      <w:pPr>
        <w:pStyle w:val="Heading3"/>
        <w:spacing w:lineRule="auto" w:line="276" w:before="0" w:after="140"/>
        <w:rPr>
          <w:sz w:val="24"/>
          <w:szCs w:val="24"/>
        </w:rPr>
      </w:pPr>
      <w:r>
        <w:rPr>
          <w:sz w:val="24"/>
          <w:szCs w:val="24"/>
        </w:rPr>
        <w:t>Predynastic Egypt and Hierakonpolis Archaeology</w:t>
      </w:r>
    </w:p>
    <w:p>
      <w:pPr>
        <w:pStyle w:val="BodyText"/>
        <w:rPr/>
      </w:pPr>
      <w:r>
        <w:rPr/>
        <w:t xml:space="preserve">Badreshany, K., et al. (2022). Predynastic cattle herding in the Nile Valley: New evidence from Hierakonpolis. </w:t>
      </w:r>
      <w:r>
        <w:rPr>
          <w:rStyle w:val="Emphasis"/>
        </w:rPr>
        <w:t>Journal of Egyptian Archaeology</w:t>
      </w:r>
      <w:r>
        <w:rPr/>
        <w:t>, 108(1), 1–24.</w:t>
      </w:r>
    </w:p>
    <w:p>
      <w:pPr>
        <w:pStyle w:val="BodyText"/>
        <w:rPr/>
      </w:pPr>
      <w:r>
        <w:rPr/>
        <w:t xml:space="preserve">Badura, M., et al. (2025). Ritual traditions linking A-Group and Kerma cultures in the Bayuda Desert, Sudan. </w:t>
      </w:r>
      <w:r>
        <w:rPr>
          <w:rStyle w:val="Emphasis"/>
        </w:rPr>
        <w:t>Journal of Egyptian Archaeology</w:t>
      </w:r>
      <w:r>
        <w:rPr/>
        <w:t>, 111(1), 1–24.</w:t>
      </w:r>
    </w:p>
    <w:p>
      <w:pPr>
        <w:pStyle w:val="BodyText"/>
        <w:rPr/>
      </w:pPr>
      <w:r>
        <w:rPr/>
        <w:t xml:space="preserve">Bianchi, R. S. (2004). </w:t>
      </w:r>
      <w:r>
        <w:rPr>
          <w:rStyle w:val="Emphasis"/>
        </w:rPr>
        <w:t>Daily Life of the Nubians</w:t>
      </w:r>
      <w:r>
        <w:rPr/>
        <w:t>. Greenwood Press.</w:t>
      </w:r>
    </w:p>
    <w:p>
      <w:pPr>
        <w:pStyle w:val="BodyText"/>
        <w:rPr/>
      </w:pPr>
      <w:r>
        <w:rPr/>
        <w:t xml:space="preserve">Braun, E. (2002). Egypt's first sojourn in Canaan. In E. C. M. van den Brink &amp; T. E. Levy (Eds.), </w:t>
      </w:r>
      <w:r>
        <w:rPr>
          <w:rStyle w:val="Emphasis"/>
        </w:rPr>
        <w:t>Egypt and the Levant</w:t>
      </w:r>
      <w:r>
        <w:rPr/>
        <w:t xml:space="preserve"> (pp. 173–189). Leicester University Press.</w:t>
      </w:r>
    </w:p>
    <w:p>
      <w:pPr>
        <w:pStyle w:val="BodyText"/>
        <w:rPr/>
      </w:pPr>
      <w:r>
        <w:rPr/>
        <w:t xml:space="preserve">Braun, E. (2009). Chalcolithic Beersheba and the Ghassulian. </w:t>
      </w:r>
      <w:r>
        <w:rPr>
          <w:rStyle w:val="Emphasis"/>
        </w:rPr>
        <w:t>Near Eastern Archaeology</w:t>
      </w:r>
      <w:r>
        <w:rPr/>
        <w:t>, 72(3), 142–147.</w:t>
      </w:r>
    </w:p>
    <w:p>
      <w:pPr>
        <w:pStyle w:val="BodyText"/>
        <w:rPr/>
      </w:pPr>
      <w:r>
        <w:rPr/>
        <w:t xml:space="preserve">Breasted, J. H. (1906). </w:t>
      </w:r>
      <w:r>
        <w:rPr>
          <w:rStyle w:val="Emphasis"/>
        </w:rPr>
        <w:t>Ancient Records of Egypt</w:t>
      </w:r>
      <w:r>
        <w:rPr/>
        <w:t>. University of Chicago Press.</w:t>
      </w:r>
    </w:p>
    <w:p>
      <w:pPr>
        <w:pStyle w:val="BodyText"/>
        <w:rPr/>
      </w:pPr>
      <w:r>
        <w:rPr/>
        <w:t xml:space="preserve">Breasted, J. H. (1930). [Article]. </w:t>
      </w:r>
      <w:r>
        <w:rPr>
          <w:rStyle w:val="Emphasis"/>
        </w:rPr>
        <w:t>Bulletin de l'Institut Français d'Archéologie Orientale</w:t>
      </w:r>
      <w:r>
        <w:rPr/>
        <w:t>, 30, 710ff.</w:t>
      </w:r>
    </w:p>
    <w:p>
      <w:pPr>
        <w:pStyle w:val="BodyText"/>
        <w:rPr/>
      </w:pPr>
      <w:r>
        <w:rPr/>
        <w:t xml:space="preserve">Budge, E. A. W. (1904a). </w:t>
      </w:r>
      <w:r>
        <w:rPr>
          <w:rStyle w:val="Emphasis"/>
        </w:rPr>
        <w:t>The Gods of the Egyptians</w:t>
      </w:r>
      <w:r>
        <w:rPr/>
        <w:t xml:space="preserve"> (Vol. 1). Methuen &amp; Co.</w:t>
      </w:r>
    </w:p>
    <w:p>
      <w:pPr>
        <w:pStyle w:val="BodyText"/>
        <w:rPr/>
      </w:pPr>
      <w:r>
        <w:rPr/>
        <w:t xml:space="preserve">Dee, M., et al. (2013). An absolute chronology for early Egypt using radiocarbon dating and Bayesian statistical modelling. </w:t>
      </w:r>
      <w:r>
        <w:rPr>
          <w:rStyle w:val="Emphasis"/>
        </w:rPr>
        <w:t>Proceedings of the Royal Society A</w:t>
      </w:r>
      <w:r>
        <w:rPr/>
        <w:t>, 469(2159), 20130395.</w:t>
      </w:r>
    </w:p>
    <w:p>
      <w:pPr>
        <w:pStyle w:val="BodyText"/>
        <w:rPr/>
      </w:pPr>
      <w:r>
        <w:rPr/>
        <w:t xml:space="preserve">Droux, X., Friedman, R. F., &amp; Pieri, A. (2024). The elite Predynastic cemetery at Hierakonpolis HK6: 2016–2018 progress report. In </w:t>
      </w:r>
      <w:r>
        <w:rPr>
          <w:rStyle w:val="Emphasis"/>
        </w:rPr>
        <w:t>Egypt at its Origins 7</w:t>
      </w:r>
      <w:r>
        <w:rPr/>
        <w:t>. OLA. Peeters, Leuven.</w:t>
      </w:r>
    </w:p>
    <w:p>
      <w:pPr>
        <w:pStyle w:val="BodyText"/>
        <w:rPr/>
      </w:pPr>
      <w:r>
        <w:rPr/>
        <w:t xml:space="preserve">Fahmy, A. G., Friedman, R., &amp; Fadl, M. (2008). Balanites aegyptiaca offerings in Predynastic elite graves at Hierakonpolis. </w:t>
      </w:r>
      <w:r>
        <w:rPr>
          <w:rStyle w:val="Emphasis"/>
        </w:rPr>
        <w:t>Nekhen News</w:t>
      </w:r>
      <w:r>
        <w:rPr/>
        <w:t>, 20, 24–25.</w:t>
      </w:r>
    </w:p>
    <w:p>
      <w:pPr>
        <w:pStyle w:val="BodyText"/>
        <w:rPr/>
      </w:pPr>
      <w:r>
        <w:rPr/>
        <w:t xml:space="preserve">Frankfort, H. (1978). </w:t>
      </w:r>
      <w:r>
        <w:rPr>
          <w:rStyle w:val="Emphasis"/>
        </w:rPr>
        <w:t>Kingship and the Gods: A Study of Ancient Near Eastern Religion as the Integration of Society and Nature</w:t>
      </w:r>
      <w:r>
        <w:rPr/>
        <w:t>. University of Chicago Press.</w:t>
      </w:r>
    </w:p>
    <w:p>
      <w:pPr>
        <w:pStyle w:val="BodyText"/>
        <w:rPr/>
      </w:pPr>
      <w:r>
        <w:rPr/>
        <w:t xml:space="preserve">Friedman, R. F. (2009). Hierakonpolis Locality HK29A: The Predynastic ceremonial center revisited. </w:t>
      </w:r>
      <w:r>
        <w:rPr>
          <w:rStyle w:val="Emphasis"/>
        </w:rPr>
        <w:t>Journal of the American Research Center in Egypt</w:t>
      </w:r>
      <w:r>
        <w:rPr/>
        <w:t>, 45, 79–103.</w:t>
      </w:r>
    </w:p>
    <w:p>
      <w:pPr>
        <w:pStyle w:val="BodyText"/>
        <w:rPr/>
      </w:pPr>
      <w:r>
        <w:rPr/>
        <w:t xml:space="preserve">Friedman, R. F., Van Neer, W., &amp; Linseele, V. (2011). The elite Predynastic cemetery at Hierakonpolis: 2009–2010 update. In </w:t>
      </w:r>
      <w:r>
        <w:rPr>
          <w:rStyle w:val="Emphasis"/>
        </w:rPr>
        <w:t>Egypt at its Origins 3</w:t>
      </w:r>
      <w:r>
        <w:rPr/>
        <w:t>. OLA 205 (pp. 157–191). Peeters, Leuven.</w:t>
      </w:r>
    </w:p>
    <w:p>
      <w:pPr>
        <w:pStyle w:val="BodyText"/>
        <w:rPr/>
      </w:pPr>
      <w:r>
        <w:rPr/>
        <w:t xml:space="preserve">Friedman, R., et al. (2018). Natural mummies from Predynastic Egypt reveal the world's earliest figural tattoos. </w:t>
      </w:r>
      <w:r>
        <w:rPr>
          <w:rStyle w:val="Emphasis"/>
        </w:rPr>
        <w:t>Journal of Archaeological Science</w:t>
      </w:r>
      <w:r>
        <w:rPr/>
        <w:t>, 92, 116–125.</w:t>
      </w:r>
    </w:p>
    <w:p>
      <w:pPr>
        <w:pStyle w:val="BodyText"/>
        <w:rPr/>
      </w:pPr>
      <w:r>
        <w:rPr/>
        <w:t xml:space="preserve">Gatto, M. C. (2021). Egypt and Nubia in the 4th and early 3rd millennium BCE: interaction, expansion and state formation. In R. Lemos &amp; J. Budka (Eds.), </w:t>
      </w:r>
      <w:r>
        <w:rPr>
          <w:rStyle w:val="Emphasis"/>
        </w:rPr>
        <w:t>Agentive (Re)interpretations of Social Change</w:t>
      </w:r>
      <w:r>
        <w:rPr/>
        <w:t xml:space="preserve"> (pp. 17–36). Archaeopress.</w:t>
      </w:r>
    </w:p>
    <w:p>
      <w:pPr>
        <w:pStyle w:val="BodyText"/>
        <w:rPr/>
      </w:pPr>
      <w:r>
        <w:rPr/>
        <w:t xml:space="preserve">Gautier, A., &amp; Van Neer, W. (2009). Animal remains from predynastic sites in the Nagada region. </w:t>
      </w:r>
      <w:r>
        <w:rPr>
          <w:rStyle w:val="Emphasis"/>
        </w:rPr>
        <w:t>Archaeozoologia</w:t>
      </w:r>
      <w:r>
        <w:rPr/>
        <w:t>, 15, 91–114.</w:t>
      </w:r>
    </w:p>
    <w:p>
      <w:pPr>
        <w:pStyle w:val="BodyText"/>
        <w:rPr/>
      </w:pPr>
      <w:r>
        <w:rPr/>
        <w:t xml:space="preserve">Gophna, R. (1992). The contacts between 'En Besor oasis, southern Canaan and Egypt during the Late Predynastic. In E. C. M. van den Brink (Ed.), </w:t>
      </w:r>
      <w:r>
        <w:rPr>
          <w:rStyle w:val="Emphasis"/>
        </w:rPr>
        <w:t>The Nile Delta in Transition</w:t>
      </w:r>
      <w:r>
        <w:rPr/>
        <w:t xml:space="preserve"> (pp. 385–394). Israel Exploration Society.</w:t>
      </w:r>
    </w:p>
    <w:p>
      <w:pPr>
        <w:pStyle w:val="BodyText"/>
        <w:rPr/>
      </w:pPr>
      <w:r>
        <w:rPr/>
        <w:t xml:space="preserve">Hendrickx, S. (2002). Bovines in Egyptian Predynastic and Early Dynastic iconography. In F. A. Hassan (Ed.), </w:t>
      </w:r>
      <w:r>
        <w:rPr>
          <w:rStyle w:val="Emphasis"/>
        </w:rPr>
        <w:t>Droughts, Food and Culture</w:t>
      </w:r>
      <w:r>
        <w:rPr/>
        <w:t xml:space="preserve"> (pp. 275–318). Kluwer Academic.</w:t>
      </w:r>
    </w:p>
    <w:p>
      <w:pPr>
        <w:pStyle w:val="BodyText"/>
        <w:rPr/>
      </w:pPr>
      <w:r>
        <w:rPr/>
        <w:t xml:space="preserve">Hendrickx, S. (2005). Bovines in Egyptian Predynastic and Early Dynastic iconography. In S. Hendrickx et al. (Eds.), </w:t>
      </w:r>
      <w:r>
        <w:rPr>
          <w:rStyle w:val="Emphasis"/>
        </w:rPr>
        <w:t>Egypt at its Origins</w:t>
      </w:r>
      <w:r>
        <w:rPr/>
        <w:t>. OLA 138 (pp. 275–330). Peeters, Leuven.</w:t>
      </w:r>
    </w:p>
    <w:p>
      <w:pPr>
        <w:pStyle w:val="BodyText"/>
        <w:rPr/>
      </w:pPr>
      <w:r>
        <w:rPr/>
        <w:t xml:space="preserve">Hertz, A. (1931). La Haute et la Basse-Egypte a la fin des temps prehistoriques. </w:t>
      </w:r>
      <w:r>
        <w:rPr>
          <w:rStyle w:val="Emphasis"/>
        </w:rPr>
        <w:t>Revue de l'Egypte ancienne</w:t>
      </w:r>
      <w:r>
        <w:rPr/>
        <w:t>, 3, 81–96. DOI: 10.11588/diglit.32868.12.</w:t>
      </w:r>
    </w:p>
    <w:p>
      <w:pPr>
        <w:pStyle w:val="BodyText"/>
        <w:rPr/>
      </w:pPr>
      <w:r>
        <w:rPr/>
        <w:t xml:space="preserve">Keita, S. O. Y., &amp; Boyce, A. J. (2005). Genetics, Egypt, and history: Interpreting geographical patterns of Y chromosome variation. </w:t>
      </w:r>
      <w:r>
        <w:rPr>
          <w:rStyle w:val="Emphasis"/>
        </w:rPr>
        <w:t>History in Africa</w:t>
      </w:r>
      <w:r>
        <w:rPr/>
        <w:t>, 32, 221–246.</w:t>
      </w:r>
    </w:p>
    <w:p>
      <w:pPr>
        <w:pStyle w:val="BodyText"/>
        <w:rPr/>
      </w:pPr>
      <w:r>
        <w:rPr/>
        <w:t xml:space="preserve">Kemp, B. J. (2006). </w:t>
      </w:r>
      <w:r>
        <w:rPr>
          <w:rStyle w:val="Emphasis"/>
        </w:rPr>
        <w:t>Ancient Egypt: Anatomy of a Civilization</w:t>
      </w:r>
      <w:r>
        <w:rPr/>
        <w:t xml:space="preserve"> (2nd ed.). Routledge.</w:t>
      </w:r>
    </w:p>
    <w:p>
      <w:pPr>
        <w:pStyle w:val="BodyText"/>
        <w:rPr/>
      </w:pPr>
      <w:r>
        <w:rPr/>
        <w:t xml:space="preserve">Kobusiewicz, M., Kabacinski, J., Schild, R., Irish, J. D., &amp; Wendorf, F. (2011). Burial practices of the Final Neolithic pastoralists at Gebel Ramlah. In </w:t>
      </w:r>
      <w:r>
        <w:rPr>
          <w:rStyle w:val="Emphasis"/>
        </w:rPr>
        <w:t>Egypt at its Origins 3</w:t>
      </w:r>
      <w:r>
        <w:rPr/>
        <w:t>. OLA 205 (pp. 193–212). Peeters, Leuven.</w:t>
      </w:r>
    </w:p>
    <w:p>
      <w:pPr>
        <w:pStyle w:val="BodyText"/>
        <w:rPr/>
      </w:pPr>
      <w:r>
        <w:rPr/>
        <w:t xml:space="preserve">Köhler, E. C. (2010). Theories of state formation. In W. Wendrich (Ed.), </w:t>
      </w:r>
      <w:r>
        <w:rPr>
          <w:rStyle w:val="Emphasis"/>
        </w:rPr>
        <w:t>Egyptian Archaeology</w:t>
      </w:r>
      <w:r>
        <w:rPr/>
        <w:t xml:space="preserve"> (pp. 36–61). Wiley-Blackwell.</w:t>
      </w:r>
    </w:p>
    <w:p>
      <w:pPr>
        <w:pStyle w:val="BodyText"/>
        <w:rPr/>
      </w:pPr>
      <w:r>
        <w:rPr/>
        <w:t xml:space="preserve">Kuper, R., &amp; Kröpelin, S. (2006). Climate-controlled Holocene occupation in the Sahara: Motor of Africa's evolution. </w:t>
      </w:r>
      <w:r>
        <w:rPr>
          <w:rStyle w:val="Emphasis"/>
        </w:rPr>
        <w:t>Science</w:t>
      </w:r>
      <w:r>
        <w:rPr/>
        <w:t>, 313(5788), 803–807.</w:t>
      </w:r>
    </w:p>
    <w:p>
      <w:pPr>
        <w:pStyle w:val="BodyText"/>
        <w:rPr/>
      </w:pPr>
      <w:r>
        <w:rPr/>
        <w:t xml:space="preserve">Linseele, V., Van Neer, W., &amp; Friedman, R. (2014). New archaeozoological data from the Fayum "Neolithic" with a critical assessment of the evidence for early stock keeping in Egypt. </w:t>
      </w:r>
      <w:r>
        <w:rPr>
          <w:rStyle w:val="Emphasis"/>
        </w:rPr>
        <w:t>PLoS ONE</w:t>
      </w:r>
      <w:r>
        <w:rPr/>
        <w:t>, 9(10), e108517. DOI: 10.1371/journal.pone.0108517</w:t>
      </w:r>
    </w:p>
    <w:p>
      <w:pPr>
        <w:pStyle w:val="BodyText"/>
        <w:rPr/>
      </w:pPr>
      <w:r>
        <w:rPr/>
        <w:t xml:space="preserve">Manzo, A. (2017). Echoes of a distant past: The elephant in ancient north-east Africa. In H. Riemer (Ed.), </w:t>
      </w:r>
      <w:r>
        <w:rPr>
          <w:rStyle w:val="Emphasis"/>
        </w:rPr>
        <w:t>Desert Animals in the Eastern Sahara</w:t>
      </w:r>
      <w:r>
        <w:rPr/>
        <w:t xml:space="preserve"> (pp. 217–234). Heinrich-Barth-Institut.</w:t>
      </w:r>
    </w:p>
    <w:p>
      <w:pPr>
        <w:pStyle w:val="BodyText"/>
        <w:rPr/>
      </w:pPr>
      <w:r>
        <w:rPr/>
        <w:t xml:space="preserve">Moreira, A. (2004). The Narmer Palette: A hieroglyphic study identifying Shemsu Hor with Saharan and Nilotic populations. </w:t>
      </w:r>
      <w:r>
        <w:rPr>
          <w:rStyle w:val="Emphasis"/>
        </w:rPr>
        <w:t>Trabajos de Prehistoria</w:t>
      </w:r>
      <w:r>
        <w:rPr/>
        <w:t>, 61(2), 157–172.</w:t>
      </w:r>
    </w:p>
    <w:p>
      <w:pPr>
        <w:pStyle w:val="BodyText"/>
        <w:rPr/>
      </w:pPr>
      <w:r>
        <w:rPr/>
        <w:t xml:space="preserve">O'Connor, D. (2002). Context, function and program: Understanding ceremonial slate palettes. </w:t>
      </w:r>
      <w:r>
        <w:rPr>
          <w:rStyle w:val="Emphasis"/>
        </w:rPr>
        <w:t>Journal of the American Research Center in Egypt</w:t>
      </w:r>
      <w:r>
        <w:rPr/>
        <w:t>, 39, 5–35.</w:t>
      </w:r>
    </w:p>
    <w:p>
      <w:pPr>
        <w:pStyle w:val="BodyText"/>
        <w:rPr/>
      </w:pPr>
      <w:r>
        <w:rPr/>
        <w:t xml:space="preserve">Petrie, W. M. F. (1920). </w:t>
      </w:r>
      <w:r>
        <w:rPr>
          <w:rStyle w:val="Emphasis"/>
        </w:rPr>
        <w:t>Prehistoric Egypt</w:t>
      </w:r>
      <w:r>
        <w:rPr/>
        <w:t>. British School of Archaeology in Egypt.</w:t>
      </w:r>
    </w:p>
    <w:p>
      <w:pPr>
        <w:pStyle w:val="BodyText"/>
        <w:rPr/>
      </w:pPr>
      <w:r>
        <w:rPr/>
        <w:t xml:space="preserve">Petrie, W. M. F. (1939). </w:t>
      </w:r>
      <w:r>
        <w:rPr>
          <w:rStyle w:val="Emphasis"/>
        </w:rPr>
        <w:t>The Making of Egypt</w:t>
      </w:r>
      <w:r>
        <w:rPr/>
        <w:t>. Sheldon Press.</w:t>
      </w:r>
    </w:p>
    <w:p>
      <w:pPr>
        <w:pStyle w:val="BodyText"/>
        <w:rPr/>
      </w:pPr>
      <w:r>
        <w:rPr/>
        <w:t xml:space="preserve">Prowse, T. L., &amp; Lovell, N. C. (1996). Concordance of cranial and dental morphological traits and evidence for endogamy in ancient Egypt. </w:t>
      </w:r>
      <w:r>
        <w:rPr>
          <w:rStyle w:val="Emphasis"/>
        </w:rPr>
        <w:t>American Journal of Physical Anthropology</w:t>
      </w:r>
      <w:r>
        <w:rPr/>
        <w:t>, 101(2), 237–246.</w:t>
      </w:r>
    </w:p>
    <w:p>
      <w:pPr>
        <w:pStyle w:val="BodyText"/>
        <w:rPr/>
      </w:pPr>
      <w:r>
        <w:rPr/>
        <w:t xml:space="preserve">Regulski, I. (2016). The origins of writing in Egypt. In </w:t>
      </w:r>
      <w:r>
        <w:rPr>
          <w:rStyle w:val="Emphasis"/>
        </w:rPr>
        <w:t>The Oxford Handbook of Egyptian Epigraphy and Palaeography</w:t>
      </w:r>
      <w:r>
        <w:rPr/>
        <w:t>. Oxford University Press.</w:t>
      </w:r>
    </w:p>
    <w:p>
      <w:pPr>
        <w:pStyle w:val="BodyText"/>
        <w:rPr/>
      </w:pPr>
      <w:r>
        <w:rPr/>
        <w:t xml:space="preserve">Rossel, S., et al. (2008). Domestication of the donkey: Timing, processes, and indicators. </w:t>
      </w:r>
      <w:r>
        <w:rPr>
          <w:rStyle w:val="Emphasis"/>
        </w:rPr>
        <w:t>PNAS</w:t>
      </w:r>
      <w:r>
        <w:rPr/>
        <w:t>, 105(10), 3715–3720. DOI: 10.1073/pnas.0709692105</w:t>
      </w:r>
    </w:p>
    <w:p>
      <w:pPr>
        <w:pStyle w:val="BodyText"/>
        <w:rPr/>
      </w:pPr>
      <w:r>
        <w:rPr/>
        <w:t xml:space="preserve">Schrader, S. A., Buzon, M. R., &amp; Irish, J. D. (2023). Bioarchaeological and isotopic perspectives on health and migration at Predynastic Hierakonpolis. </w:t>
      </w:r>
      <w:r>
        <w:rPr>
          <w:rStyle w:val="Emphasis"/>
        </w:rPr>
        <w:t>Journal of World Prehistory</w:t>
      </w:r>
      <w:r>
        <w:rPr/>
        <w:t>, 36, 139–181. DOI: 10.1007/s10963-023-09175-5</w:t>
      </w:r>
    </w:p>
    <w:p>
      <w:pPr>
        <w:pStyle w:val="BodyText"/>
        <w:rPr/>
      </w:pPr>
      <w:r>
        <w:rPr/>
        <w:t xml:space="preserve">Stevenson, A. (2016). The Egyptian Predynastic and state formation. </w:t>
      </w:r>
      <w:r>
        <w:rPr>
          <w:rStyle w:val="Emphasis"/>
        </w:rPr>
        <w:t>Journal of Archaeological Research</w:t>
      </w:r>
      <w:r>
        <w:rPr/>
        <w:t>, 24(4), 421–468.</w:t>
      </w:r>
    </w:p>
    <w:p>
      <w:pPr>
        <w:pStyle w:val="BodyText"/>
        <w:rPr/>
      </w:pPr>
      <w:r>
        <w:rPr/>
        <w:t xml:space="preserve">Van Neer, W., De Cupere, B., &amp; Friedman, R. (2024). The earliest evidence for deformation of livestock horns: The case of Predynastic sheep from Hierakonpolis, Egypt. </w:t>
      </w:r>
      <w:r>
        <w:rPr>
          <w:rStyle w:val="Emphasis"/>
        </w:rPr>
        <w:t>Journal of Archaeological Science</w:t>
      </w:r>
      <w:r>
        <w:rPr/>
        <w:t>, 172, 106104. DOI: 10.1016/j.jas.2024.106104</w:t>
      </w:r>
    </w:p>
    <w:p>
      <w:pPr>
        <w:pStyle w:val="BodyText"/>
        <w:rPr/>
      </w:pPr>
      <w:r>
        <w:rPr/>
        <w:t xml:space="preserve">Van Neer, W., De Cupere, B., &amp; Friedman, R. F. (2026). New archaeozoological analysis of baboons buried at Hierakonpolis (Upper Egypt) shows two species were imported in the Predynastic period. </w:t>
      </w:r>
      <w:r>
        <w:rPr>
          <w:rStyle w:val="Emphasis"/>
        </w:rPr>
        <w:t>Archaeological and Anthropological Sciences</w:t>
      </w:r>
      <w:r>
        <w:rPr/>
        <w:t>, 18(3), 62. DOI: 10.1007/s12520-026-02416-6</w:t>
      </w:r>
    </w:p>
    <w:p>
      <w:pPr>
        <w:pStyle w:val="BodyText"/>
        <w:rPr/>
      </w:pPr>
      <w:r>
        <w:rPr/>
        <w:t xml:space="preserve">Van Neer, W., Linseele, V., &amp; Friedman, R. F. (2004). Animal burials and food offerings at the elite cemetery HK6 of Hierakonpolis. In S. Hendrickx et al. (Eds.), </w:t>
      </w:r>
      <w:r>
        <w:rPr>
          <w:rStyle w:val="Emphasis"/>
        </w:rPr>
        <w:t>Egypt at its Origins</w:t>
      </w:r>
      <w:r>
        <w:rPr/>
        <w:t>. OLA 138 (pp. 67–130). Peeters, Leuven.</w:t>
      </w:r>
    </w:p>
    <w:p>
      <w:pPr>
        <w:pStyle w:val="BodyText"/>
        <w:rPr/>
      </w:pPr>
      <w:r>
        <w:rPr/>
        <w:t xml:space="preserve">Van Neer, W., Linseele, V., Friedman, R. F., &amp; De Cupere, B. (2014). More evidence for cat taming at the Predynastic elite cemetery of Hierakonpolis (Upper Egypt). </w:t>
      </w:r>
      <w:r>
        <w:rPr>
          <w:rStyle w:val="Emphasis"/>
        </w:rPr>
        <w:t>Journal of Archaeological Science</w:t>
      </w:r>
      <w:r>
        <w:rPr/>
        <w:t>, 45, 103–111. DOI: 10.1016/j.jas.2014.02.014</w:t>
      </w:r>
    </w:p>
    <w:p>
      <w:pPr>
        <w:pStyle w:val="BodyText"/>
        <w:rPr/>
      </w:pPr>
      <w:r>
        <w:rPr/>
        <w:t xml:space="preserve">Wendorf, F., &amp; Schild, R. (2001). </w:t>
      </w:r>
      <w:r>
        <w:rPr>
          <w:rStyle w:val="Emphasis"/>
        </w:rPr>
        <w:t>Holocene Settlement of the Egyptian Sahara</w:t>
      </w:r>
      <w:r>
        <w:rPr/>
        <w:t>. Kluwer Academic.</w:t>
      </w:r>
    </w:p>
    <w:p>
      <w:pPr>
        <w:pStyle w:val="BodyText"/>
        <w:rPr/>
      </w:pPr>
      <w:r>
        <w:rPr/>
        <w:t>Wengrow, D. (2006). *The Archaeology of Early Egypt: Social Transformations in North-East Africa, 10,000 to 2650 BC*. Cambridge University Press.</w:t>
      </w:r>
    </w:p>
    <w:p>
      <w:pPr>
        <w:pStyle w:val="BodyText"/>
        <w:rPr/>
      </w:pPr>
      <w:r>
        <w:rPr/>
        <w:t xml:space="preserve">Williams, B. (1986). </w:t>
      </w:r>
      <w:r>
        <w:rPr>
          <w:rStyle w:val="Emphasis"/>
        </w:rPr>
        <w:t>The A-Group Royal Cemetery at Qustul: Cemetery L</w:t>
      </w:r>
      <w:r>
        <w:rPr/>
        <w:t>. Oriental Institute Nubian Expedition, Vol. 3. University of Chicago.</w:t>
      </w:r>
    </w:p>
    <w:p>
      <w:pPr>
        <w:pStyle w:val="BodyText"/>
        <w:rPr/>
      </w:pPr>
      <w:r>
        <w:rPr/>
        <w:t xml:space="preserve">Winchell, F., et al. (2017). On the origins and spread of Sorghum bicolor: Evidence from a new archaeobotanical find in Sudan. </w:t>
      </w:r>
      <w:r>
        <w:rPr>
          <w:rStyle w:val="Emphasis"/>
        </w:rPr>
        <w:t>Current Anthropology</w:t>
      </w:r>
      <w:r>
        <w:rPr/>
        <w:t>, 58(5), 696–715. DOI: 10.1086/694273</w:t>
      </w:r>
    </w:p>
    <w:p>
      <w:pPr>
        <w:pStyle w:val="BodyText"/>
        <w:rPr/>
      </w:pPr>
      <w:r>
        <w:rPr/>
        <w:t xml:space="preserve">Zago, S. (2021). Sacred and symbolic animals in Egyptian funerary contexts. </w:t>
      </w:r>
      <w:r>
        <w:rPr>
          <w:rStyle w:val="Emphasis"/>
        </w:rPr>
        <w:t>Journal of Egyptian Archaeology</w:t>
      </w:r>
      <w:r>
        <w:rPr/>
        <w:t>, 107(1–2), 45–62.</w:t>
      </w:r>
    </w:p>
    <w:p>
      <w:pPr>
        <w:pStyle w:val="BodyText"/>
        <w:rPr/>
      </w:pPr>
      <w:r>
        <w:rPr/>
        <w:t xml:space="preserve">Zakrzewski, S. R., &amp; Powell, J. F. (2011). Population continuity or population change: Formation of the ancient Egyptian state. </w:t>
      </w:r>
      <w:r>
        <w:rPr>
          <w:rStyle w:val="Emphasis"/>
        </w:rPr>
        <w:t>American Journal of Physical Anthropology</w:t>
      </w:r>
      <w:r>
        <w:rPr/>
        <w:t>, 132(4), 501–509.</w:t>
      </w:r>
    </w:p>
    <w:p>
      <w:pPr>
        <w:pStyle w:val="Heading3"/>
        <w:spacing w:lineRule="auto" w:line="276" w:before="0" w:after="140"/>
        <w:rPr>
          <w:sz w:val="24"/>
          <w:szCs w:val="24"/>
        </w:rPr>
      </w:pPr>
      <w:r>
        <w:rPr>
          <w:sz w:val="24"/>
          <w:szCs w:val="24"/>
        </w:rPr>
        <w:t>Nubian Archaeology and Kerma Culture</w:t>
      </w:r>
    </w:p>
    <w:p>
      <w:pPr>
        <w:pStyle w:val="BodyText"/>
        <w:rPr/>
      </w:pPr>
      <w:r>
        <w:rPr/>
        <w:t xml:space="preserve">Adams, W. Y. (1985). </w:t>
      </w:r>
      <w:r>
        <w:rPr>
          <w:rStyle w:val="Emphasis"/>
        </w:rPr>
        <w:t>Nubia: Corridor to Africa</w:t>
      </w:r>
      <w:r>
        <w:rPr/>
        <w:t xml:space="preserve"> (2nd ed.). Princeton University Press.</w:t>
      </w:r>
    </w:p>
    <w:p>
      <w:pPr>
        <w:pStyle w:val="BodyText"/>
        <w:rPr/>
      </w:pPr>
      <w:r>
        <w:rPr/>
        <w:t xml:space="preserve">Trigger, B. G. (1976). </w:t>
      </w:r>
      <w:r>
        <w:rPr>
          <w:rStyle w:val="Emphasis"/>
        </w:rPr>
        <w:t>Nubia Under the Pharaohs</w:t>
      </w:r>
      <w:r>
        <w:rPr/>
        <w:t>. Thames and Hudson.</w:t>
      </w:r>
    </w:p>
    <w:p>
      <w:pPr>
        <w:pStyle w:val="Heading3"/>
        <w:spacing w:lineRule="auto" w:line="276" w:before="0" w:after="140"/>
        <w:rPr>
          <w:sz w:val="24"/>
          <w:szCs w:val="24"/>
        </w:rPr>
      </w:pPr>
      <w:r>
        <w:rPr>
          <w:sz w:val="24"/>
          <w:szCs w:val="24"/>
        </w:rPr>
        <w:t>Sinai Epigraphy</w:t>
      </w:r>
    </w:p>
    <w:p>
      <w:pPr>
        <w:pStyle w:val="BodyText"/>
        <w:rPr/>
      </w:pPr>
      <w:r>
        <w:rPr/>
        <w:t xml:space="preserve">Morenz, L. D., &amp; Nour El-Din, M. (2026). Wadi Khamila: A new early smiting scene from the Predynastic period. </w:t>
      </w:r>
      <w:r>
        <w:rPr>
          <w:rStyle w:val="Emphasis"/>
        </w:rPr>
        <w:t>Archiv für Orientforschung</w:t>
      </w:r>
      <w:r>
        <w:rPr/>
        <w:t>, 52, 1–15.</w:t>
      </w:r>
    </w:p>
    <w:p>
      <w:pPr>
        <w:pStyle w:val="BodyText"/>
        <w:rPr/>
      </w:pPr>
      <w:r>
        <w:rPr/>
        <w:t xml:space="preserve">Tallet, P., &amp; Laisney, D. (2012). Iry-Hor et Narmer au Sud-Sinaï: un complément à la chronologie des expéditions minières égyptiennes. </w:t>
      </w:r>
      <w:r>
        <w:rPr>
          <w:rStyle w:val="Emphasis"/>
        </w:rPr>
        <w:t>Bulletin de l'IFAO</w:t>
      </w:r>
      <w:r>
        <w:rPr/>
        <w:t>, 112, 381–398.</w:t>
      </w:r>
    </w:p>
    <w:p>
      <w:pPr>
        <w:pStyle w:val="Heading3"/>
        <w:spacing w:lineRule="auto" w:line="276" w:before="0" w:after="140"/>
        <w:rPr>
          <w:sz w:val="24"/>
          <w:szCs w:val="24"/>
        </w:rPr>
      </w:pPr>
      <w:r>
        <w:rPr>
          <w:sz w:val="24"/>
          <w:szCs w:val="24"/>
        </w:rPr>
        <w:t>Cylinder Seals and Early Administration</w:t>
      </w:r>
    </w:p>
    <w:p>
      <w:pPr>
        <w:pStyle w:val="BodyText"/>
        <w:rPr/>
      </w:pPr>
      <w:r>
        <w:rPr/>
        <w:t xml:space="preserve">Hill, J. A. (2022). </w:t>
      </w:r>
      <w:r>
        <w:rPr>
          <w:rStyle w:val="Emphasis"/>
        </w:rPr>
        <w:t>Cylinder Seals and the Administration of Predynastic Egypt</w:t>
      </w:r>
      <w:r>
        <w:rPr/>
        <w:t>. Oxbow Books.</w:t>
      </w:r>
    </w:p>
    <w:p>
      <w:pPr>
        <w:pStyle w:val="BodyText"/>
        <w:rPr/>
      </w:pPr>
      <w:r>
        <w:rPr/>
        <w:t xml:space="preserve">Honér, L. (2007). Mesopotamian influence on Predynastic Egyptian glyptics. </w:t>
      </w:r>
      <w:r>
        <w:rPr>
          <w:rStyle w:val="Emphasis"/>
        </w:rPr>
        <w:t>Archiv für Orientforschung</w:t>
      </w:r>
      <w:r>
        <w:rPr/>
        <w:t>, 51, 35–49.</w:t>
      </w:r>
    </w:p>
    <w:p>
      <w:pPr>
        <w:pStyle w:val="BodyText"/>
        <w:rPr/>
      </w:pPr>
      <w:r>
        <w:rPr/>
        <w:t xml:space="preserve">Watrin, L. (2004). The relationship between Egypt and the southern Levant during the 4th millennium: Reconsidering the evidence. </w:t>
      </w:r>
      <w:r>
        <w:rPr>
          <w:rStyle w:val="Emphasis"/>
        </w:rPr>
        <w:t>Egypt and the Levant</w:t>
      </w:r>
      <w:r>
        <w:rPr/>
        <w:t>, 14, 415–432.</w:t>
      </w:r>
    </w:p>
    <w:p>
      <w:pPr>
        <w:pStyle w:val="Heading3"/>
        <w:spacing w:lineRule="auto" w:line="276" w:before="0" w:after="140"/>
        <w:rPr>
          <w:sz w:val="24"/>
          <w:szCs w:val="24"/>
        </w:rPr>
      </w:pPr>
      <w:r>
        <w:rPr>
          <w:sz w:val="24"/>
          <w:szCs w:val="24"/>
        </w:rPr>
        <w:t>Geology and Geochemistry</w:t>
      </w:r>
    </w:p>
    <w:p>
      <w:pPr>
        <w:pStyle w:val="BodyText"/>
        <w:rPr/>
      </w:pPr>
      <w:r>
        <w:rPr/>
        <w:t xml:space="preserve">Abdeina, A. S., et al. (2024). The Richat Structure: Geological constraints on the origin of a magmatic concentric alkaline complex. </w:t>
      </w:r>
      <w:r>
        <w:rPr>
          <w:rStyle w:val="Emphasis"/>
        </w:rPr>
        <w:t>Lithos</w:t>
      </w:r>
      <w:r>
        <w:rPr/>
        <w:t>, 468-469, 107542.</w:t>
      </w:r>
    </w:p>
    <w:p>
      <w:pPr>
        <w:pStyle w:val="BodyText"/>
        <w:rPr/>
      </w:pPr>
      <w:r>
        <w:rPr/>
        <w:t xml:space="preserve">Aston, B. G. (1994). </w:t>
      </w:r>
      <w:r>
        <w:rPr>
          <w:rStyle w:val="Emphasis"/>
        </w:rPr>
        <w:t>Ancient Egyptian Stone Vessels: Materials and Forms</w:t>
      </w:r>
      <w:r>
        <w:rPr/>
        <w:t>. Heidelberger Orientverlag.</w:t>
      </w:r>
    </w:p>
    <w:p>
      <w:pPr>
        <w:pStyle w:val="BodyText"/>
        <w:rPr/>
      </w:pPr>
      <w:r>
        <w:rPr/>
        <w:t xml:space="preserve">El Afandy, A., et al. (2013). Mineralogy and geochemistry of the Abu Khruq alkaline ring complex. </w:t>
      </w:r>
      <w:r>
        <w:rPr>
          <w:rStyle w:val="Emphasis"/>
        </w:rPr>
        <w:t>Egyptian Journal of Remote Sensing and Space Sciences</w:t>
      </w:r>
      <w:r>
        <w:rPr/>
        <w:t>, 16(1), 43–58.</w:t>
      </w:r>
    </w:p>
    <w:p>
      <w:pPr>
        <w:pStyle w:val="BodyText"/>
        <w:rPr/>
      </w:pPr>
      <w:r>
        <w:rPr/>
        <w:t xml:space="preserve">Harrell, J. A., &amp; Storemyr, P. (2009). Ancient Egyptian quarries: An illustrated overview. In </w:t>
      </w:r>
      <w:r>
        <w:rPr>
          <w:rStyle w:val="Emphasis"/>
        </w:rPr>
        <w:t>QuarryScapes: Ancient Stone Quarry Landscapes in the Eastern Mediterranean</w:t>
      </w:r>
      <w:r>
        <w:rPr/>
        <w:t>. Geological Survey of Norway.</w:t>
      </w:r>
    </w:p>
    <w:p>
      <w:pPr>
        <w:pStyle w:val="BodyText"/>
        <w:rPr/>
      </w:pPr>
      <w:r>
        <w:rPr/>
        <w:t xml:space="preserve">Mallory, J. P. (2000). Stone vessels of the Predynastic period: A petrographic study. In K. A. Bard (Ed.), </w:t>
      </w:r>
      <w:r>
        <w:rPr>
          <w:rStyle w:val="Emphasis"/>
        </w:rPr>
        <w:t>Encyclopedia of the Archaeology of Ancient Egypt</w:t>
      </w:r>
      <w:r>
        <w:rPr/>
        <w:t xml:space="preserve"> (pp. 790–793). Routledge.</w:t>
      </w:r>
    </w:p>
    <w:p>
      <w:pPr>
        <w:pStyle w:val="BodyText"/>
        <w:rPr/>
      </w:pPr>
      <w:r>
        <w:rPr/>
        <w:t xml:space="preserve">Obeid, M. A., &amp; Lalonde, A. E. (2013). Petrology and geochemistry of the Abu Khruq alkaline complex. </w:t>
      </w:r>
      <w:r>
        <w:rPr>
          <w:rStyle w:val="Emphasis"/>
        </w:rPr>
        <w:t>Journal of African Earth Sciences</w:t>
      </w:r>
      <w:r>
        <w:rPr/>
        <w:t>, 86, 31–48.</w:t>
      </w:r>
    </w:p>
    <w:p>
      <w:pPr>
        <w:pStyle w:val="Heading3"/>
        <w:spacing w:lineRule="auto" w:line="276" w:before="0" w:after="140"/>
        <w:rPr>
          <w:sz w:val="24"/>
          <w:szCs w:val="24"/>
        </w:rPr>
      </w:pPr>
      <w:r>
        <w:rPr>
          <w:sz w:val="24"/>
          <w:szCs w:val="24"/>
        </w:rPr>
        <w:t>Paleohydrology and Saharan Climate</w:t>
      </w:r>
    </w:p>
    <w:p>
      <w:pPr>
        <w:pStyle w:val="BodyText"/>
        <w:rPr/>
      </w:pPr>
      <w:r>
        <w:rPr/>
        <w:t xml:space="preserve">Drake, N. A., Blench, R. M., Armitage, S. J., Bristow, C. S., &amp; White, K. H. (2011). Ancient watercourses and biogeography of the Sahara explain the peopling of the desert. </w:t>
      </w:r>
      <w:r>
        <w:rPr>
          <w:rStyle w:val="Emphasis"/>
        </w:rPr>
        <w:t>PNAS</w:t>
      </w:r>
      <w:r>
        <w:rPr/>
        <w:t>, 108(2), 458–462. DOI: 10.1073/pnas.1012231108</w:t>
      </w:r>
    </w:p>
    <w:p>
      <w:pPr>
        <w:pStyle w:val="BodyText"/>
        <w:rPr/>
      </w:pPr>
      <w:r>
        <w:rPr/>
        <w:t xml:space="preserve">Klokočník, J., Kostelecký, J., Novák, P., &amp; Bezděk, A. (2017). Gravitational signal revealed by EIGEN-6C4 over the Sahara. </w:t>
      </w:r>
      <w:r>
        <w:rPr>
          <w:rStyle w:val="Emphasis"/>
        </w:rPr>
        <w:t>Journal of African Earth Sciences</w:t>
      </w:r>
      <w:r>
        <w:rPr/>
        <w:t>, 134, 465–479. DOI: 10.1016/j.jafrearsci.2017.07.021</w:t>
      </w:r>
    </w:p>
    <w:p>
      <w:pPr>
        <w:pStyle w:val="BodyText"/>
        <w:rPr/>
      </w:pPr>
      <w:r>
        <w:rPr/>
        <w:t xml:space="preserve">Paillou, P., et al. (2009). Extended chronology of the Kufrah River in eastern Libya. </w:t>
      </w:r>
      <w:r>
        <w:rPr>
          <w:rStyle w:val="Emphasis"/>
        </w:rPr>
        <w:t>Earth and Planetary Science Letters</w:t>
      </w:r>
      <w:r>
        <w:rPr/>
        <w:t>, 277(1–2), 184–192. DOI: 10.1016/j.epsl.2008.10.019</w:t>
      </w:r>
    </w:p>
    <w:p>
      <w:pPr>
        <w:pStyle w:val="BodyText"/>
        <w:rPr/>
      </w:pPr>
      <w:r>
        <w:rPr/>
        <w:t xml:space="preserve">Skonieczny, C., et al. (2015). African humid periods triggered the reactivation of a large river system in Western Sahara. </w:t>
      </w:r>
      <w:r>
        <w:rPr>
          <w:rStyle w:val="Emphasis"/>
        </w:rPr>
        <w:t>Nature Communications</w:t>
      </w:r>
      <w:r>
        <w:rPr/>
        <w:t>, 6, 8751. DOI: 10.1038/ncomms9751</w:t>
      </w:r>
    </w:p>
    <w:p>
      <w:pPr>
        <w:pStyle w:val="Heading3"/>
        <w:spacing w:lineRule="auto" w:line="276" w:before="0" w:after="140"/>
        <w:rPr>
          <w:sz w:val="24"/>
          <w:szCs w:val="24"/>
        </w:rPr>
      </w:pPr>
      <w:r>
        <w:rPr>
          <w:sz w:val="24"/>
          <w:szCs w:val="24"/>
        </w:rPr>
        <w:t>Mathematics and Metrology</w:t>
      </w:r>
    </w:p>
    <w:p>
      <w:pPr>
        <w:pStyle w:val="BodyText"/>
        <w:rPr/>
      </w:pPr>
      <w:r>
        <w:rPr/>
        <w:t xml:space="preserve">Clagett, M. (1999). </w:t>
      </w:r>
      <w:r>
        <w:rPr>
          <w:rStyle w:val="Emphasis"/>
        </w:rPr>
        <w:t>Ancient Egyptian Science: A Source Book. Volume 3: Ancient Egyptian Mathematics</w:t>
      </w:r>
      <w:r>
        <w:rPr/>
        <w:t>. American Philosophical Society.</w:t>
      </w:r>
    </w:p>
    <w:p>
      <w:pPr>
        <w:pStyle w:val="BodyText"/>
        <w:rPr/>
      </w:pPr>
      <w:r>
        <w:rPr/>
        <w:t xml:space="preserve">Gillings, R. J. (1972). </w:t>
      </w:r>
      <w:r>
        <w:rPr>
          <w:rStyle w:val="Emphasis"/>
        </w:rPr>
        <w:t>Mathematics in the Time of the Pharaohs</w:t>
      </w:r>
      <w:r>
        <w:rPr/>
        <w:t>. MIT Press.</w:t>
      </w:r>
    </w:p>
    <w:p>
      <w:pPr>
        <w:pStyle w:val="BodyText"/>
        <w:rPr/>
      </w:pPr>
      <w:r>
        <w:rPr/>
        <w:t xml:space="preserve">Pommerening, T. (2003). </w:t>
      </w:r>
      <w:r>
        <w:rPr>
          <w:rStyle w:val="Emphasis"/>
        </w:rPr>
        <w:t>Die altägyptischen Hohlmaße</w:t>
      </w:r>
      <w:r>
        <w:rPr/>
        <w:t>. Helmut Buske Verlag.</w:t>
      </w:r>
    </w:p>
    <w:p>
      <w:pPr>
        <w:pStyle w:val="Heading3"/>
        <w:spacing w:lineRule="auto" w:line="276" w:before="0" w:after="140"/>
        <w:rPr>
          <w:sz w:val="24"/>
          <w:szCs w:val="24"/>
        </w:rPr>
      </w:pPr>
      <w:r>
        <w:rPr>
          <w:sz w:val="24"/>
          <w:szCs w:val="24"/>
        </w:rPr>
        <w:t>Saharan Rock Art and Symbolism</w:t>
      </w:r>
    </w:p>
    <w:p>
      <w:pPr>
        <w:pStyle w:val="BodyText"/>
        <w:rPr/>
      </w:pPr>
      <w:r>
        <w:rPr/>
        <w:t xml:space="preserve">Désiré-Vuillemin, G. (1997). </w:t>
      </w:r>
      <w:r>
        <w:rPr>
          <w:rStyle w:val="Emphasis"/>
        </w:rPr>
        <w:t>Préhistoire de la Mauritanie</w:t>
      </w:r>
      <w:r>
        <w:rPr/>
        <w:t>. Centre Culturel Français.</w:t>
      </w:r>
    </w:p>
    <w:p>
      <w:pPr>
        <w:pStyle w:val="BodyText"/>
        <w:rPr/>
      </w:pPr>
      <w:r>
        <w:rPr/>
        <w:t xml:space="preserve">Le Quellec, J.-L. (2011). Rock art research in Africa. In T. Insoll (Ed.), </w:t>
      </w:r>
      <w:r>
        <w:rPr>
          <w:rStyle w:val="Emphasis"/>
        </w:rPr>
        <w:t>Oxford Handbook of the Archaeology of Ritual and Religion</w:t>
      </w:r>
      <w:r>
        <w:rPr/>
        <w:t xml:space="preserve"> (pp. 664–678). Oxford University Press.</w:t>
      </w:r>
    </w:p>
    <w:p>
      <w:pPr>
        <w:pStyle w:val="BodyText"/>
        <w:rPr/>
      </w:pPr>
      <w:r>
        <w:rPr/>
        <w:t xml:space="preserve">Le Quellec, J.-L. (2013). Problèmes d'interprétation des gravures rupestres du Sahara. </w:t>
      </w:r>
      <w:r>
        <w:rPr>
          <w:rStyle w:val="Emphasis"/>
        </w:rPr>
        <w:t>Journal de la Société des Africanistes</w:t>
      </w:r>
      <w:r>
        <w:rPr/>
        <w:t>, 83(1), 9–40.</w:t>
      </w:r>
    </w:p>
    <w:p>
      <w:pPr>
        <w:pStyle w:val="BodyText"/>
        <w:rPr/>
      </w:pPr>
      <w:r>
        <w:rPr/>
        <w:t xml:space="preserve">Lutz, R., &amp; Lutz, G. (1992). </w:t>
      </w:r>
      <w:r>
        <w:rPr>
          <w:rStyle w:val="Emphasis"/>
        </w:rPr>
        <w:t>The Secret of the Desert: The Rock Art of Wadi Sura, Wadi el Obeiyed, and the Jilf Kebir</w:t>
      </w:r>
      <w:r>
        <w:rPr/>
        <w:t>. Edition Panorama.</w:t>
      </w:r>
    </w:p>
    <w:p>
      <w:pPr>
        <w:pStyle w:val="BodyText"/>
        <w:rPr/>
      </w:pPr>
      <w:r>
        <w:rPr/>
        <w:t xml:space="preserve">Vernet, R. (1993). </w:t>
      </w:r>
      <w:r>
        <w:rPr>
          <w:rStyle w:val="Emphasis"/>
        </w:rPr>
        <w:t>Préhistoire de la Mauritanie</w:t>
      </w:r>
      <w:r>
        <w:rPr/>
        <w:t>. Centre Culturel Français.</w:t>
      </w:r>
    </w:p>
    <w:p>
      <w:pPr>
        <w:pStyle w:val="BodyText"/>
        <w:rPr/>
      </w:pPr>
      <w:r>
        <w:rPr/>
        <w:t xml:space="preserve">Vernet, R. (1996). </w:t>
      </w:r>
      <w:r>
        <w:rPr>
          <w:rStyle w:val="Emphasis"/>
        </w:rPr>
        <w:t>Le Sahara occidental préhistorique et ses marges: Bilan des recherches françaises</w:t>
      </w:r>
      <w:r>
        <w:rPr/>
        <w:t>. SEDES.</w:t>
      </w:r>
    </w:p>
    <w:p>
      <w:pPr>
        <w:pStyle w:val="Heading3"/>
        <w:spacing w:lineRule="auto" w:line="276" w:before="0" w:after="140"/>
        <w:rPr>
          <w:sz w:val="24"/>
          <w:szCs w:val="24"/>
        </w:rPr>
      </w:pPr>
      <w:r>
        <w:rPr>
          <w:sz w:val="24"/>
          <w:szCs w:val="24"/>
        </w:rPr>
        <w:t>Phoenician and Mediterranean Networks</w:t>
      </w:r>
    </w:p>
    <w:p>
      <w:pPr>
        <w:pStyle w:val="BodyText"/>
        <w:rPr/>
      </w:pPr>
      <w:r>
        <w:rPr/>
        <w:t xml:space="preserve">Aractingi, S. (2025). Phoenician diaspora genetics: Mediterranean network analysis. </w:t>
      </w:r>
      <w:r>
        <w:rPr>
          <w:rStyle w:val="Emphasis"/>
        </w:rPr>
        <w:t>Journal of Mediterranean Studies</w:t>
      </w:r>
      <w:r>
        <w:rPr/>
        <w:t>, 34(1), 1–19.</w:t>
      </w:r>
    </w:p>
    <w:p>
      <w:pPr>
        <w:pStyle w:val="BodyText"/>
        <w:rPr/>
      </w:pPr>
      <w:r>
        <w:rPr/>
        <w:t xml:space="preserve">Cahill, N. (1996). Olynthus and Greek town planning. </w:t>
      </w:r>
      <w:r>
        <w:rPr>
          <w:rStyle w:val="Emphasis"/>
        </w:rPr>
        <w:t>Classical World</w:t>
      </w:r>
      <w:r>
        <w:rPr/>
        <w:t>, 93(5), 497–515.</w:t>
      </w:r>
    </w:p>
    <w:p>
      <w:pPr>
        <w:pStyle w:val="BodyText"/>
        <w:rPr/>
      </w:pPr>
      <w:r>
        <w:rPr/>
        <w:t xml:space="preserve">Herrmann, G. (1994). </w:t>
      </w:r>
      <w:r>
        <w:rPr>
          <w:rStyle w:val="Emphasis"/>
        </w:rPr>
        <w:t>Ivories from Nimrud (1949–1963). Fascicule VI: The Small Collections from Fort Shalmaneser</w:t>
      </w:r>
      <w:r>
        <w:rPr/>
        <w:t>. British School of Archaeology in Iraq.</w:t>
      </w:r>
    </w:p>
    <w:p>
      <w:pPr>
        <w:pStyle w:val="BodyText"/>
        <w:rPr/>
      </w:pPr>
      <w:r>
        <w:rPr/>
        <w:t xml:space="preserve">Moscati, S. (1988). </w:t>
      </w:r>
      <w:r>
        <w:rPr>
          <w:rStyle w:val="Emphasis"/>
        </w:rPr>
        <w:t>The Phoenicians</w:t>
      </w:r>
      <w:r>
        <w:rPr/>
        <w:t>. Abbeville Press.</w:t>
      </w:r>
    </w:p>
    <w:p>
      <w:pPr>
        <w:pStyle w:val="BodyText"/>
        <w:rPr/>
      </w:pPr>
      <w:r>
        <w:rPr/>
        <w:t xml:space="preserve">Muscuso, S. (2012). </w:t>
      </w:r>
      <w:r>
        <w:rPr>
          <w:rStyle w:val="Emphasis"/>
        </w:rPr>
        <w:t>I vetri del Museo Archeologico Regionale "A. Salinas" di Palermo</w:t>
      </w:r>
      <w:r>
        <w:rPr/>
        <w:t>. Regione Siciliana.</w:t>
      </w:r>
    </w:p>
    <w:p>
      <w:pPr>
        <w:pStyle w:val="BodyText"/>
        <w:rPr/>
      </w:pPr>
      <w:r>
        <w:rPr/>
        <w:t xml:space="preserve">Tursi, M., &amp; Genchi, F. (2024). A Wedjat amulet from a Late Pre-Islamic tomb at Dibā al-Bayāh, Sultanate of Oman. </w:t>
      </w:r>
      <w:r>
        <w:rPr>
          <w:rStyle w:val="Emphasis"/>
        </w:rPr>
        <w:t>Arabian Archaeology and Epigraphy</w:t>
      </w:r>
      <w:r>
        <w:rPr/>
        <w:t>, 35(1), 45–52.</w:t>
      </w:r>
    </w:p>
    <w:p>
      <w:pPr>
        <w:pStyle w:val="BodyText"/>
        <w:rPr/>
      </w:pPr>
      <w:r>
        <w:rPr/>
        <w:t xml:space="preserve">Zaven, T., &amp; Chanteau, S. (2024). Phoenician trade networks and North African distribution. </w:t>
      </w:r>
      <w:r>
        <w:rPr>
          <w:rStyle w:val="Emphasis"/>
        </w:rPr>
        <w:t>Antiquity</w:t>
      </w:r>
      <w:r>
        <w:rPr/>
        <w:t>, 98(398), 412–428.</w:t>
      </w:r>
    </w:p>
    <w:p>
      <w:pPr>
        <w:pStyle w:val="Heading3"/>
        <w:spacing w:lineRule="auto" w:line="276" w:before="0" w:after="140"/>
        <w:rPr>
          <w:sz w:val="24"/>
          <w:szCs w:val="24"/>
        </w:rPr>
      </w:pPr>
      <w:r>
        <w:rPr>
          <w:sz w:val="24"/>
          <w:szCs w:val="24"/>
        </w:rPr>
        <w:t>Egyptian Religion and Iconography</w:t>
      </w:r>
    </w:p>
    <w:p>
      <w:pPr>
        <w:pStyle w:val="BodyText"/>
        <w:rPr/>
      </w:pPr>
      <w:r>
        <w:rPr/>
        <w:t xml:space="preserve">Eaton, K. (2011). </w:t>
      </w:r>
      <w:r>
        <w:rPr>
          <w:rStyle w:val="Emphasis"/>
        </w:rPr>
        <w:t>Ancient Egyptian Temple Ritual: Performance, Pattern and Practice</w:t>
      </w:r>
      <w:r>
        <w:rPr/>
        <w:t>. Routledge.</w:t>
      </w:r>
    </w:p>
    <w:p>
      <w:pPr>
        <w:pStyle w:val="BodyText"/>
        <w:rPr/>
      </w:pPr>
      <w:r>
        <w:rPr/>
        <w:t xml:space="preserve">Hart, G. (1986). </w:t>
      </w:r>
      <w:r>
        <w:rPr>
          <w:rStyle w:val="Emphasis"/>
        </w:rPr>
        <w:t>A Dictionary of Egyptian Gods and Goddesses</w:t>
      </w:r>
      <w:r>
        <w:rPr/>
        <w:t>. Routledge.</w:t>
      </w:r>
    </w:p>
    <w:p>
      <w:pPr>
        <w:pStyle w:val="BodyText"/>
        <w:rPr/>
      </w:pPr>
      <w:r>
        <w:rPr/>
        <w:t xml:space="preserve">Kessler, D. (1989). </w:t>
      </w:r>
      <w:r>
        <w:rPr>
          <w:rStyle w:val="Emphasis"/>
        </w:rPr>
        <w:t>Die heiligen Tiere und der König</w:t>
      </w:r>
      <w:r>
        <w:rPr/>
        <w:t>. Harrassowitz.</w:t>
      </w:r>
    </w:p>
    <w:p>
      <w:pPr>
        <w:pStyle w:val="BodyText"/>
        <w:rPr/>
      </w:pPr>
      <w:r>
        <w:rPr/>
        <w:t xml:space="preserve">Otto, E. (1960). </w:t>
      </w:r>
      <w:r>
        <w:rPr>
          <w:rStyle w:val="Emphasis"/>
        </w:rPr>
        <w:t>Das ägyptische Mundöffnungsritual</w:t>
      </w:r>
      <w:r>
        <w:rPr/>
        <w:t>. Harrassowitz.</w:t>
      </w:r>
    </w:p>
    <w:p>
      <w:pPr>
        <w:pStyle w:val="BodyText"/>
        <w:rPr/>
      </w:pPr>
      <w:r>
        <w:rPr/>
        <w:t xml:space="preserve">Ritter, J. (2003). Closing the eye of Horus: The rise and fall of 'Horus-eye' fractions. In A. Imhausen et al. (Eds.), </w:t>
      </w:r>
      <w:r>
        <w:rPr>
          <w:rStyle w:val="Emphasis"/>
        </w:rPr>
        <w:t>Under One Sky</w:t>
      </w:r>
      <w:r>
        <w:rPr/>
        <w:t xml:space="preserve"> (pp. 297–323). Ugarit-Verlag.</w:t>
      </w:r>
    </w:p>
    <w:p>
      <w:pPr>
        <w:pStyle w:val="BodyText"/>
        <w:rPr/>
      </w:pPr>
      <w:r>
        <w:rPr/>
        <w:t xml:space="preserve">Roth, A. M. (1991). </w:t>
      </w:r>
      <w:r>
        <w:rPr>
          <w:rStyle w:val="Emphasis"/>
        </w:rPr>
        <w:t>Egyptian Phyles in the Old Kingdom: The Evolution of a System of Social Organization</w:t>
      </w:r>
      <w:r>
        <w:rPr/>
        <w:t>. Oriental Institute.</w:t>
      </w:r>
    </w:p>
    <w:p>
      <w:pPr>
        <w:pStyle w:val="BodyText"/>
        <w:rPr/>
      </w:pPr>
      <w:r>
        <w:rPr/>
        <w:t xml:space="preserve">Roth, A. M. (1993). Fingers, stars, and the 'Opening of the Mouth': The nature and function of the nTrwi-blades. </w:t>
      </w:r>
      <w:r>
        <w:rPr>
          <w:rStyle w:val="Emphasis"/>
        </w:rPr>
        <w:t>Journal of Egyptian Archaeology</w:t>
      </w:r>
      <w:r>
        <w:rPr/>
        <w:t>, 79, 57–79.</w:t>
      </w:r>
    </w:p>
    <w:p>
      <w:pPr>
        <w:pStyle w:val="BodyText"/>
        <w:rPr/>
      </w:pPr>
      <w:r>
        <w:rPr/>
        <w:t xml:space="preserve">Te Velde, H. (1988). Some remarks on the concept 'person' in the ancient Egyptian culture. In </w:t>
      </w:r>
      <w:r>
        <w:rPr>
          <w:rStyle w:val="Emphasis"/>
        </w:rPr>
        <w:t>Concepts of Person in Religion and Thought</w:t>
      </w:r>
      <w:r>
        <w:rPr/>
        <w:t xml:space="preserve"> (pp. 83–91). Mouton de Gruyter.</w:t>
      </w:r>
    </w:p>
    <w:p>
      <w:pPr>
        <w:pStyle w:val="BodyText"/>
        <w:rPr/>
      </w:pPr>
      <w:r>
        <w:rPr/>
        <w:t xml:space="preserve">Zecchi, M. (2010). </w:t>
      </w:r>
      <w:r>
        <w:rPr>
          <w:rStyle w:val="Emphasis"/>
        </w:rPr>
        <w:t>Sobek of Shedet: The Crocodile God in the Fayyum in the Dynastic Period</w:t>
      </w:r>
      <w:r>
        <w:rPr/>
        <w:t>. Tau Editrice.</w:t>
      </w:r>
    </w:p>
    <w:p>
      <w:pPr>
        <w:pStyle w:val="Heading3"/>
        <w:spacing w:lineRule="auto" w:line="276" w:before="0" w:after="140"/>
        <w:rPr>
          <w:sz w:val="24"/>
          <w:szCs w:val="24"/>
        </w:rPr>
      </w:pPr>
      <w:r>
        <w:rPr>
          <w:sz w:val="24"/>
          <w:szCs w:val="24"/>
        </w:rPr>
        <w:t>Cross-Cultural Comparison Sources</w:t>
      </w:r>
    </w:p>
    <w:p>
      <w:pPr>
        <w:pStyle w:val="BodyText"/>
        <w:rPr/>
      </w:pPr>
      <w:r>
        <w:rPr/>
        <w:t xml:space="preserve">Birrell, A. (1993). </w:t>
      </w:r>
      <w:r>
        <w:rPr>
          <w:rStyle w:val="Emphasis"/>
        </w:rPr>
        <w:t>Chinese Mythology: An Introduction</w:t>
      </w:r>
      <w:r>
        <w:rPr/>
        <w:t>. Johns Hopkins University Press.</w:t>
      </w:r>
    </w:p>
    <w:p>
      <w:pPr>
        <w:pStyle w:val="BodyText"/>
        <w:rPr/>
      </w:pPr>
      <w:r>
        <w:rPr/>
        <w:t xml:space="preserve">Flood, G. D. (1996). </w:t>
      </w:r>
      <w:r>
        <w:rPr>
          <w:rStyle w:val="Emphasis"/>
        </w:rPr>
        <w:t>An Introduction to Hinduism</w:t>
      </w:r>
      <w:r>
        <w:rPr/>
        <w:t>. Cambridge University Press.</w:t>
      </w:r>
    </w:p>
    <w:p>
      <w:pPr>
        <w:pStyle w:val="BodyText"/>
        <w:rPr/>
      </w:pPr>
      <w:r>
        <w:rPr/>
        <w:t xml:space="preserve">Hoffner, H. A. (1998). </w:t>
      </w:r>
      <w:r>
        <w:rPr>
          <w:rStyle w:val="Emphasis"/>
        </w:rPr>
        <w:t>Hittite Myths</w:t>
      </w:r>
      <w:r>
        <w:rPr/>
        <w:t xml:space="preserve"> (2nd ed.). Society of Biblical Literature.</w:t>
      </w:r>
    </w:p>
    <w:p>
      <w:pPr>
        <w:pStyle w:val="BodyText"/>
        <w:rPr/>
      </w:pPr>
      <w:r>
        <w:rPr/>
        <w:t xml:space="preserve">Jacobsen, T. (1939). </w:t>
      </w:r>
      <w:r>
        <w:rPr>
          <w:rStyle w:val="Emphasis"/>
        </w:rPr>
        <w:t>The Sumerian King List</w:t>
      </w:r>
      <w:r>
        <w:rPr/>
        <w:t>. University of Chicago Press.</w:t>
      </w:r>
    </w:p>
    <w:p>
      <w:pPr>
        <w:pStyle w:val="BodyText"/>
        <w:rPr/>
      </w:pPr>
      <w:r>
        <w:rPr/>
        <w:t xml:space="preserve">Kugel, J. L. (2007). </w:t>
      </w:r>
      <w:r>
        <w:rPr>
          <w:rStyle w:val="Emphasis"/>
        </w:rPr>
        <w:t>How to Read the Bible: A Guide to Scripture, Then and Now</w:t>
      </w:r>
      <w:r>
        <w:rPr/>
        <w:t>. Free Press.</w:t>
      </w:r>
    </w:p>
    <w:p>
      <w:pPr>
        <w:pStyle w:val="BodyText"/>
        <w:rPr/>
      </w:pPr>
      <w:r>
        <w:rPr/>
        <w:t xml:space="preserve">Philippi, D. L. (1969). </w:t>
      </w:r>
      <w:r>
        <w:rPr>
          <w:rStyle w:val="Emphasis"/>
        </w:rPr>
        <w:t>Kojiki</w:t>
      </w:r>
      <w:r>
        <w:rPr/>
        <w:t>. University of Tokyo Press.</w:t>
      </w:r>
    </w:p>
    <w:p>
      <w:pPr>
        <w:pStyle w:val="BodyText"/>
        <w:rPr/>
      </w:pPr>
      <w:r>
        <w:rPr/>
        <w:t xml:space="preserve">Sima Qian. (c. 94 BCE). </w:t>
      </w:r>
      <w:r>
        <w:rPr>
          <w:rStyle w:val="Emphasis"/>
        </w:rPr>
        <w:t>Shiji (Records of the Grand Historian)</w:t>
      </w:r>
      <w:r>
        <w:rPr/>
        <w:t>. Various editions.</w:t>
      </w:r>
    </w:p>
    <w:p>
      <w:pPr>
        <w:pStyle w:val="BodyText"/>
        <w:rPr/>
      </w:pPr>
      <w:r>
        <w:rPr/>
        <w:t xml:space="preserve">Verbrugghe, G. P., &amp; Wickersham, J. M. (1996). </w:t>
      </w:r>
      <w:r>
        <w:rPr>
          <w:rStyle w:val="Emphasis"/>
        </w:rPr>
        <w:t>Berossos and Manetho, Introduced and Translated: Native Traditions in Ancient Mesopotamia and Egypt</w:t>
      </w:r>
      <w:r>
        <w:rPr/>
        <w:t>. University of Michigan Press.</w:t>
      </w:r>
    </w:p>
    <w:p>
      <w:pPr>
        <w:pStyle w:val="Heading3"/>
        <w:spacing w:lineRule="auto" w:line="276" w:before="0" w:after="140"/>
        <w:rPr>
          <w:sz w:val="24"/>
          <w:szCs w:val="24"/>
        </w:rPr>
      </w:pPr>
      <w:r>
        <w:rPr>
          <w:sz w:val="24"/>
          <w:szCs w:val="24"/>
        </w:rPr>
        <w:t>Human Funerary Intervention</w:t>
      </w:r>
    </w:p>
    <w:p>
      <w:pPr>
        <w:pStyle w:val="BodyText"/>
        <w:rPr/>
      </w:pPr>
      <w:r>
        <w:rPr/>
        <w:t xml:space="preserve">Ascenzi, A. (1980). The Uan Muhuggiag child mummy: A paleopathological study. </w:t>
      </w:r>
      <w:r>
        <w:rPr>
          <w:rStyle w:val="Emphasis"/>
        </w:rPr>
        <w:t>Journal of Human Evolution</w:t>
      </w:r>
      <w:r>
        <w:rPr/>
        <w:t>, 9(3), 241–248.</w:t>
      </w:r>
    </w:p>
    <w:p>
      <w:pPr>
        <w:pStyle w:val="BodyText"/>
        <w:rPr/>
      </w:pPr>
      <w:r>
        <w:rPr/>
        <w:t xml:space="preserve">di Lernia, S., Cremaschi, M., &amp; Manzi, G. (2008). Natural mummification of prehistoric human remains in the Libyan Sahara. </w:t>
      </w:r>
      <w:r>
        <w:rPr>
          <w:rStyle w:val="Emphasis"/>
        </w:rPr>
        <w:t>Journal of Archaeological Science</w:t>
      </w:r>
      <w:r>
        <w:rPr/>
        <w:t>, 35(8), 2101–2109.</w:t>
      </w:r>
    </w:p>
    <w:p>
      <w:pPr>
        <w:pStyle w:val="BodyText"/>
        <w:rPr/>
      </w:pPr>
      <w:r>
        <w:rPr/>
        <w:t xml:space="preserve">Giuffra, V., et al. (2010). The Uan Muhuggiag child mummy revisited by radiological and pathological investigation. </w:t>
      </w:r>
      <w:r>
        <w:rPr>
          <w:rStyle w:val="Emphasis"/>
        </w:rPr>
        <w:t>HOMO</w:t>
      </w:r>
      <w:r>
        <w:rPr/>
        <w:t>, 61(4), 273–288.</w:t>
      </w:r>
    </w:p>
    <w:p>
      <w:pPr>
        <w:pStyle w:val="BodyText"/>
        <w:rPr/>
      </w:pPr>
      <w:r>
        <w:rPr/>
        <w:t xml:space="preserve">Jones, J., et al. (2018). Embalming treatment in Predynastic Egyptian mummies from Gebelein. </w:t>
      </w:r>
      <w:r>
        <w:rPr>
          <w:rStyle w:val="Emphasis"/>
        </w:rPr>
        <w:t>Journal of Archaeological Science</w:t>
      </w:r>
      <w:r>
        <w:rPr/>
        <w:t>, 95, 1–12.</w:t>
      </w:r>
    </w:p>
    <w:p>
      <w:pPr>
        <w:pStyle w:val="BodyText"/>
        <w:rPr/>
      </w:pPr>
      <w:r>
        <w:rPr/>
        <w:t xml:space="preserve">Mori, F., &amp; Ascenzi, A. (1959). The Uan Muhuggiag rock shelter and its mummified child. </w:t>
      </w:r>
      <w:r>
        <w:rPr>
          <w:rStyle w:val="Emphasis"/>
        </w:rPr>
        <w:t>Quaternaria</w:t>
      </w:r>
      <w:r>
        <w:rPr/>
        <w:t>, 4, 207–235.</w:t>
      </w:r>
    </w:p>
    <w:p>
      <w:pPr>
        <w:pStyle w:val="BodyText"/>
        <w:rPr/>
      </w:pPr>
      <w:r>
        <w:rPr/>
        <w:t>University of Manchester. (2014). CT scan analysis of Gebelein Man B (Manchester 1770).</w:t>
      </w:r>
    </w:p>
    <w:p>
      <w:pPr>
        <w:pStyle w:val="Heading3"/>
        <w:spacing w:lineRule="auto" w:line="276" w:before="0" w:after="140"/>
        <w:rPr>
          <w:sz w:val="24"/>
          <w:szCs w:val="24"/>
        </w:rPr>
      </w:pPr>
      <w:r>
        <w:rPr>
          <w:sz w:val="24"/>
          <w:szCs w:val="24"/>
        </w:rPr>
        <w:t>Archives, Leather Scrolls, and Material Transmission</w:t>
      </w:r>
    </w:p>
    <w:p>
      <w:pPr>
        <w:pStyle w:val="BodyText"/>
        <w:rPr/>
      </w:pPr>
      <w:r>
        <w:rPr/>
        <w:t xml:space="preserve">Hussein, A. (2002). The library at Edfu: Archives and the transmission of knowledge. </w:t>
      </w:r>
      <w:r>
        <w:rPr>
          <w:rStyle w:val="Emphasis"/>
        </w:rPr>
        <w:t>Studien zur Altägyptischen Kultur</w:t>
      </w:r>
      <w:r>
        <w:rPr/>
        <w:t>, 30, 155–169.</w:t>
      </w:r>
    </w:p>
    <w:p>
      <w:pPr>
        <w:pStyle w:val="BodyText"/>
        <w:rPr/>
      </w:pPr>
      <w:r>
        <w:rPr/>
        <w:t xml:space="preserve">Lorenzi, R. (2015). Oldest Egyptian leather manuscript found in museum. </w:t>
      </w:r>
      <w:r>
        <w:rPr>
          <w:rStyle w:val="Emphasis"/>
        </w:rPr>
        <w:t>Discovery News</w:t>
      </w:r>
      <w:r>
        <w:rPr/>
        <w:t>. [Report on Sherbiny's rediscovery of the Cairo Leather Roll]</w:t>
      </w:r>
    </w:p>
    <w:p>
      <w:pPr>
        <w:pStyle w:val="BodyText"/>
        <w:rPr/>
      </w:pPr>
      <w:r>
        <w:rPr/>
        <w:t xml:space="preserve">O'Connell, E. R., et al. (2022). The Hay Archive of Coptic spells on leather: A multidisciplinary study. </w:t>
      </w:r>
      <w:r>
        <w:rPr>
          <w:rStyle w:val="Emphasis"/>
        </w:rPr>
        <w:t>British Museum Studies in Ancient Egypt and Sudan</w:t>
      </w:r>
      <w:r>
        <w:rPr/>
        <w:t>, 27, 1–45.</w:t>
      </w:r>
    </w:p>
    <w:p>
      <w:pPr>
        <w:pStyle w:val="BodyText"/>
        <w:rPr/>
      </w:pPr>
      <w:r>
        <w:rPr/>
        <w:t xml:space="preserve">Sherbiny, W. (2015). In R. Lorenzi, </w:t>
      </w:r>
      <w:r>
        <w:rPr>
          <w:rStyle w:val="Emphasis"/>
        </w:rPr>
        <w:t>Oldest Egyptian leather manuscript found in museum</w:t>
      </w:r>
      <w:r>
        <w:rPr/>
        <w:t>. Discovery News.</w:t>
      </w:r>
    </w:p>
    <w:p>
      <w:pPr>
        <w:pStyle w:val="Heading3"/>
        <w:spacing w:lineRule="auto" w:line="276" w:before="0" w:after="140"/>
        <w:rPr>
          <w:sz w:val="24"/>
          <w:szCs w:val="24"/>
        </w:rPr>
      </w:pPr>
      <w:r>
        <w:rPr>
          <w:sz w:val="24"/>
          <w:szCs w:val="24"/>
        </w:rPr>
        <w:t>Levant, Byblos, and Eastern Mediterranean</w:t>
      </w:r>
    </w:p>
    <w:p>
      <w:pPr>
        <w:pStyle w:val="BodyText"/>
        <w:rPr/>
      </w:pPr>
      <w:r>
        <w:rPr/>
        <w:t xml:space="preserve">Sowada, K. (2009). </w:t>
      </w:r>
      <w:r>
        <w:rPr>
          <w:rStyle w:val="Emphasis"/>
        </w:rPr>
        <w:t>Egypt in the Eastern Mediterranean during the Old Kingdom: An Archaeological Perspective</w:t>
      </w:r>
      <w:r>
        <w:rPr/>
        <w:t>. Academic Press Fribourg / Vandenhoeck &amp; Ruprecht.</w:t>
      </w:r>
    </w:p>
    <w:p>
      <w:pPr>
        <w:pStyle w:val="BodyText"/>
        <w:rPr/>
      </w:pPr>
      <w:r>
        <w:rPr/>
        <w:t xml:space="preserve">van den Brink, E. C. M. (1992). Preliminary report on the excavations at Tell Ibrahim Awad, seasons 1988–1990. In E. C. M. van den Brink (Ed.), </w:t>
      </w:r>
      <w:r>
        <w:rPr>
          <w:rStyle w:val="Emphasis"/>
        </w:rPr>
        <w:t>The Nile Delta in Transition</w:t>
      </w:r>
      <w:r>
        <w:rPr/>
        <w:t xml:space="preserve"> (pp. 43–68). Israel Exploration Society.</w:t>
      </w:r>
    </w:p>
    <w:p>
      <w:pPr>
        <w:pStyle w:val="BodyText"/>
        <w:rPr/>
      </w:pPr>
      <w:r>
        <w:rPr/>
        <w:t xml:space="preserve">Ward, W. A. (2010). </w:t>
      </w:r>
      <w:r>
        <w:rPr>
          <w:rStyle w:val="Emphasis"/>
        </w:rPr>
        <w:t>Egypt and the East Mediterranean world 2200–1900 B.C.</w:t>
      </w:r>
      <w:r>
        <w:rPr/>
        <w:t xml:space="preserve"> American University of Beirut Press.</w:t>
      </w:r>
    </w:p>
    <w:p>
      <w:pPr>
        <w:pStyle w:val="Heading3"/>
        <w:spacing w:lineRule="auto" w:line="276" w:before="0" w:after="140"/>
        <w:rPr>
          <w:sz w:val="24"/>
          <w:szCs w:val="24"/>
        </w:rPr>
      </w:pPr>
      <w:r>
        <w:rPr>
          <w:sz w:val="24"/>
          <w:szCs w:val="24"/>
        </w:rPr>
        <w:t>Miscellaneous</w:t>
      </w:r>
    </w:p>
    <w:p>
      <w:pPr>
        <w:pStyle w:val="BodyText"/>
        <w:rPr/>
      </w:pPr>
      <w:r>
        <w:rPr/>
        <w:t xml:space="preserve">Bauval, R. (1989). A master-plan for the three pyramids of Giza based on the configuration of the three stars of the belt of Orion. </w:t>
      </w:r>
      <w:r>
        <w:rPr>
          <w:rStyle w:val="Emphasis"/>
        </w:rPr>
        <w:t>Discussions in Egyptology</w:t>
      </w:r>
      <w:r>
        <w:rPr/>
        <w:t>, 13, 7–13.</w:t>
      </w:r>
    </w:p>
    <w:p>
      <w:pPr>
        <w:pStyle w:val="BodyText"/>
        <w:rPr/>
      </w:pPr>
      <w:r>
        <w:rPr/>
        <w:t xml:space="preserve">Budge, E. A. W. (1904a). </w:t>
      </w:r>
      <w:r>
        <w:rPr>
          <w:rStyle w:val="Emphasis"/>
        </w:rPr>
        <w:t>The Gods of the Egyptians</w:t>
      </w:r>
      <w:r>
        <w:rPr/>
        <w:t xml:space="preserve"> (Vol. 1). Methuen &amp; Co.</w:t>
      </w:r>
    </w:p>
    <w:p>
      <w:pPr>
        <w:pStyle w:val="BodyText"/>
        <w:rPr/>
      </w:pPr>
      <w:r>
        <w:rPr/>
        <w:t xml:space="preserve">Childe, V. G. (1934). </w:t>
      </w:r>
      <w:r>
        <w:rPr>
          <w:rStyle w:val="Emphasis"/>
        </w:rPr>
        <w:t>New Light on the Most Ancient East</w:t>
      </w:r>
      <w:r>
        <w:rPr/>
        <w:t>. Kegan Paul.</w:t>
      </w:r>
    </w:p>
    <w:p>
      <w:pPr>
        <w:pStyle w:val="BodyText"/>
        <w:rPr/>
      </w:pPr>
      <w:r>
        <w:rPr/>
        <w:t xml:space="preserve">Davies, N. de G. (1943). </w:t>
      </w:r>
      <w:r>
        <w:rPr>
          <w:rStyle w:val="Emphasis"/>
        </w:rPr>
        <w:t>The Tomb of Rekh-mi-Rē at Thebes</w:t>
      </w:r>
      <w:r>
        <w:rPr/>
        <w:t xml:space="preserve"> (2 vols.). Metropolitan Museum of Art.</w:t>
      </w:r>
    </w:p>
    <w:p>
      <w:pPr>
        <w:pStyle w:val="BodyText"/>
        <w:rPr/>
      </w:pPr>
      <w:r>
        <w:rPr/>
        <w:t xml:space="preserve">Emery, W. B. (1987). </w:t>
      </w:r>
      <w:r>
        <w:rPr>
          <w:rStyle w:val="Emphasis"/>
        </w:rPr>
        <w:t>Archaic Egypt</w:t>
      </w:r>
      <w:r>
        <w:rPr/>
        <w:t xml:space="preserve"> (revised ed.). Penguin Books.</w:t>
      </w:r>
    </w:p>
    <w:p>
      <w:pPr>
        <w:pStyle w:val="BodyText"/>
        <w:rPr/>
      </w:pPr>
      <w:r>
        <w:rPr/>
        <w:t xml:space="preserve">Goddio, F. (2000). </w:t>
      </w:r>
      <w:r>
        <w:rPr>
          <w:rStyle w:val="Emphasis"/>
        </w:rPr>
        <w:t>Egypt's Sunken Treasures</w:t>
      </w:r>
      <w:r>
        <w:rPr/>
        <w:t>. Prestel.</w:t>
      </w:r>
    </w:p>
    <w:p>
      <w:pPr>
        <w:pStyle w:val="BodyText"/>
        <w:rPr/>
      </w:pPr>
      <w:r>
        <w:rPr/>
        <w:t xml:space="preserve">Hall, H. R. (n.d.). </w:t>
      </w:r>
      <w:r>
        <w:rPr>
          <w:rStyle w:val="Emphasis"/>
        </w:rPr>
        <w:t>Cambridge Ancient History</w:t>
      </w:r>
      <w:r>
        <w:rPr/>
        <w:t>, Vol. 1, p. 265.</w:t>
      </w:r>
    </w:p>
    <w:p>
      <w:pPr>
        <w:pStyle w:val="BodyText"/>
        <w:rPr/>
      </w:pPr>
      <w:r>
        <w:rPr/>
        <w:t xml:space="preserve">Kammerzell, F. (2013). Defining non-Egyptian peoples in the pre-Dynastic period. In A. J. Morales (Ed.), </w:t>
      </w:r>
      <w:r>
        <w:rPr>
          <w:rStyle w:val="Emphasis"/>
        </w:rPr>
        <w:t>Imaging and Imagining the Memphite Region</w:t>
      </w:r>
      <w:r>
        <w:rPr/>
        <w:t xml:space="preserve"> (pp. 45–62). UAM.</w:t>
      </w:r>
    </w:p>
    <w:p>
      <w:pPr>
        <w:pStyle w:val="BodyText"/>
        <w:rPr/>
      </w:pPr>
      <w:r>
        <w:rPr/>
        <w:t xml:space="preserve">Manuelian, P. D. (1994). </w:t>
      </w:r>
      <w:r>
        <w:rPr>
          <w:rStyle w:val="Emphasis"/>
        </w:rPr>
        <w:t>Living in the Past: Studies in Archaism of the Egyptian Twenty-sixth Dynasty</w:t>
      </w:r>
      <w:r>
        <w:rPr/>
        <w:t>. Kegan Paul.</w:t>
      </w:r>
    </w:p>
    <w:p>
      <w:pPr>
        <w:pStyle w:val="BodyText"/>
        <w:rPr/>
      </w:pPr>
      <w:r>
        <w:rPr/>
        <w:t xml:space="preserve">Marshall, F., &amp; Weissbrod, L. (2008). Lineage systems and the origins of herding in eastern Africa. In P. Szabo &amp; R. Hédl (Eds.), </w:t>
      </w:r>
      <w:r>
        <w:rPr>
          <w:rStyle w:val="Emphasis"/>
        </w:rPr>
        <w:t>Human Nature Interactions in Central Europe</w:t>
      </w:r>
      <w:r>
        <w:rPr/>
        <w:t xml:space="preserve"> (pp. 63–72). Silva Tarouca Institute.</w:t>
      </w:r>
    </w:p>
    <w:p>
      <w:pPr>
        <w:pStyle w:val="BodyText"/>
        <w:rPr/>
      </w:pPr>
      <w:r>
        <w:rPr/>
        <w:t>Royal Ontario Museum. (n.d.). Collection notes on Wedjat amulets.</w:t>
      </w:r>
    </w:p>
    <w:p>
      <w:pPr>
        <w:pStyle w:val="BodyText"/>
        <w:rPr/>
      </w:pPr>
      <w:r>
        <w:rPr/>
        <w:t xml:space="preserve">Ryholt, K. S. B. (1997). </w:t>
      </w:r>
      <w:r>
        <w:rPr>
          <w:rStyle w:val="Emphasis"/>
        </w:rPr>
        <w:t>The Political Situation in Egypt during the Second Intermediate Period, c. 1800–1550 B.C.</w:t>
      </w:r>
      <w:r>
        <w:rPr/>
        <w:t xml:space="preserve"> Carsten Niebuhr Institute Publications.</w:t>
      </w:r>
    </w:p>
    <w:p>
      <w:pPr>
        <w:pStyle w:val="BodyText"/>
        <w:rPr/>
      </w:pPr>
      <w:r>
        <w:rPr/>
        <w:t>University of Birmingham. (n.d.). Book of the Dead Chapter 140 and 167.</w:t>
      </w:r>
    </w:p>
    <w:p>
      <w:pPr>
        <w:pStyle w:val="BodyText"/>
        <w:rPr/>
      </w:pPr>
      <w:r>
        <w:rPr/>
        <w:t xml:space="preserve">Zaba, Z. (1956). </w:t>
      </w:r>
      <w:r>
        <w:rPr>
          <w:rStyle w:val="Emphasis"/>
        </w:rPr>
        <w:t>Les maximes de Ptahhotep</w:t>
      </w:r>
      <w:r>
        <w:rPr/>
        <w:t>. Éditions de l'Académie Tchécoslovaque des Sciences.</w:t>
      </w:r>
    </w:p>
    <w:p>
      <w:pPr>
        <w:pStyle w:val="Heading3"/>
        <w:spacing w:lineRule="auto" w:line="276" w:before="0" w:after="140"/>
        <w:rPr>
          <w:sz w:val="24"/>
          <w:szCs w:val="24"/>
        </w:rPr>
      </w:pPr>
      <w:r>
        <w:rPr>
          <w:sz w:val="24"/>
          <w:szCs w:val="24"/>
        </w:rPr>
        <w:t>Zep Tepi Series (Self-Citation)</w:t>
      </w:r>
    </w:p>
    <w:p>
      <w:pPr>
        <w:pStyle w:val="BodyText"/>
        <w:rPr/>
      </w:pPr>
      <w:r>
        <w:rPr/>
        <w:t xml:space="preserve">Levy, S. (2026). </w:t>
      </w:r>
      <w:r>
        <w:rPr>
          <w:rStyle w:val="Emphasis"/>
        </w:rPr>
        <w:t>Paper I: The Richat Structure as the Saharan Origin Site (Zep Tepi Series, Paper I)</w:t>
      </w:r>
      <w:r>
        <w:rPr/>
        <w:t>. Zenodo. DOI: 10.5281/zenodo.19087851.</w:t>
      </w:r>
    </w:p>
    <w:p>
      <w:pPr>
        <w:pStyle w:val="BodyText"/>
        <w:rPr/>
      </w:pPr>
      <w:r>
        <w:rPr/>
        <w:t xml:space="preserve">Levy, S. (2026). </w:t>
      </w:r>
      <w:r>
        <w:rPr>
          <w:rStyle w:val="Emphasis"/>
        </w:rPr>
        <w:t>Paper II: Genomic Endpoints and the Wedjat Sky-Schema (Zep Tepi Series, Paper II)</w:t>
      </w:r>
      <w:r>
        <w:rPr/>
        <w:t>. Zenodo. DOI: 10.5281/zenodo.19046278.</w:t>
      </w:r>
    </w:p>
    <w:p>
      <w:pPr>
        <w:pStyle w:val="BodyText"/>
        <w:rPr/>
      </w:pPr>
      <w:r>
        <w:rPr/>
        <w:t xml:space="preserve">Levy, S. (2026). </w:t>
      </w:r>
      <w:r>
        <w:rPr>
          <w:rStyle w:val="Emphasis"/>
        </w:rPr>
        <w:t>The Shemsu Hor Hypothesis: A Continuation: What Egypt Remembered (Zep Tepi Series, Paper III)</w:t>
      </w:r>
      <w:r>
        <w:rPr/>
        <w:t>. Zenodo. DOI: 10.5281/zenodo.19449607</w:t>
      </w:r>
    </w:p>
    <w:p>
      <w:pPr>
        <w:pStyle w:val="Heading3"/>
        <w:spacing w:before="360" w:after="200"/>
        <w:rPr/>
      </w:pPr>
      <w:r>
        <w:rPr/>
        <w:t>Artificial Intelligence Use Disclosure</w:t>
      </w:r>
    </w:p>
    <w:p>
      <w:pPr>
        <w:pStyle w:val="BodyText"/>
        <w:spacing w:before="0" w:after="160"/>
        <w:rPr/>
      </w:pPr>
      <w:r>
        <w:rPr/>
        <w:t>AI language models were used during the development process in a supporting capacity:</w:t>
      </w:r>
    </w:p>
    <w:p>
      <w:pPr>
        <w:pStyle w:val="BodyText"/>
        <w:spacing w:before="0" w:after="160"/>
        <w:rPr/>
      </w:pPr>
      <w:r>
        <w:rPr/>
        <w:t>Claude (Anthropic) — Primary research partner and analytical reviewer. Used for structural argument testing, source verification, and document editing. The specific constraint requiring any critique of the paper’s argument to be accompanied by an equally rigorous alternative explanation was developed in dialogue with this model.</w:t>
      </w:r>
    </w:p>
    <w:p>
      <w:pPr>
        <w:pStyle w:val="BodyText"/>
        <w:spacing w:before="0" w:after="160"/>
        <w:rPr/>
      </w:pPr>
      <w:r>
        <w:rPr/>
        <w:t>ChatGPT (GPT-4o, OpenAI) — External reviewer and adversarial framework testing. Used to stress-test the structural argument and identify logical weaknesses.</w:t>
      </w:r>
    </w:p>
    <w:p>
      <w:pPr>
        <w:pStyle w:val="BodyText"/>
        <w:spacing w:before="0" w:after="160"/>
        <w:rPr/>
      </w:pPr>
      <w:r>
        <w:rPr/>
        <w:t>Perplexity AI — Specialist fact-checking, including the Souls of Pe/Nekhen connection and the Nuwayrat aDNA framing.</w:t>
      </w:r>
    </w:p>
    <w:p>
      <w:pPr>
        <w:pStyle w:val="BodyText"/>
        <w:spacing w:before="0" w:after="160"/>
        <w:rPr/>
      </w:pPr>
      <w:r>
        <w:rPr/>
        <w:t>Gemini (Google) — Source verification and philological cross-checking, including transliteration verification and Coffin Text exclusion validation.</w:t>
      </w:r>
    </w:p>
    <w:p>
      <w:pPr>
        <w:pStyle w:val="BodyText"/>
        <w:spacing w:before="0" w:after="160"/>
        <w:rPr/>
      </w:pPr>
      <w:r>
        <w:rPr/>
        <w:t>Grok (xAI) — Mathematical verification, including the geometric calculations in Section 1.3 (corridor fractions and Richat geometry, verified against Abdeina et al. 2024).</w:t>
      </w:r>
    </w:p>
    <w:p>
      <w:pPr>
        <w:pStyle w:val="BodyText"/>
        <w:spacing w:before="0" w:after="160"/>
        <w:rPr/>
      </w:pPr>
      <w:r>
        <w:rPr/>
        <w:t>No AI generated the underlying argument, sourced original evidence, or authored interpretive claims. All cited evidence derives from published, peer-reviewed sources. The analytical framework, editorial judgments, and conclusions are the author’s own.</w:t>
      </w:r>
    </w:p>
    <w:sectPr>
      <w:type w:val="nextPage"/>
      <w:pgSz w:w="12240" w:h="15840"/>
      <w:pgMar w:left="1134" w:right="1134" w:gutter="0" w:header="0" w:top="1134" w:footer="0"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OpenSymbol">
    <w:altName w:val="Arial Unicode MS"/>
    <w:charset w:val="01" w:characterSet="utf-8"/>
    <w:family w:val="roman"/>
    <w:pitch w:val="variable"/>
  </w:font>
  <w:font w:name="Liberation Sans">
    <w:altName w:val="Arial"/>
    <w:charset w:val="01" w:characterSet="utf-8"/>
    <w:family w:val="swiss"/>
    <w:pitch w:val="variable"/>
  </w:font>
  <w:font w:name="Symbol">
    <w:charset w:val="02"/>
    <w:family w:val="auto"/>
    <w:pitch w:val="variable"/>
  </w:font>
  <w:font w:name="Symbol">
    <w:charset w:val="02"/>
    <w:family w:val="auto"/>
    <w:pitch w:val="default"/>
  </w:font>
  <w:font w:name="OpenSymbol">
    <w:altName w:val="Arial Unicode MS"/>
    <w:charset w:val="01"/>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
    <w:lvl w:ilvl="0">
      <w:start w:val="1"/>
      <w:numFmt w:val="bullet"/>
      <w:lvlText w:val=""/>
      <w:lvlJc w:val="start"/>
      <w:pPr>
        <w:tabs>
          <w:tab w:val="num" w:pos="720"/>
        </w:tabs>
        <w:ind w:start="720" w:hanging="360"/>
      </w:pPr>
      <w:rPr>
        <w:rFonts w:ascii="Symbol" w:hAnsi="Symbol" w:cs="Symbol" w:hint="default"/>
      </w:rPr>
    </w:lvl>
    <w:lvl w:ilvl="1">
      <w:start w:val="1"/>
      <w:numFmt w:val="bullet"/>
      <w:lvlText w:val="◦"/>
      <w:lvlJc w:val="start"/>
      <w:pPr>
        <w:tabs>
          <w:tab w:val="num" w:pos="1080"/>
        </w:tabs>
        <w:ind w:start="1080" w:hanging="360"/>
      </w:pPr>
      <w:rPr>
        <w:rFonts w:ascii="OpenSymbol" w:hAnsi="OpenSymbol" w:cs="OpenSymbol" w:hint="default"/>
      </w:rPr>
    </w:lvl>
    <w:lvl w:ilvl="2">
      <w:start w:val="1"/>
      <w:numFmt w:val="bullet"/>
      <w:lvlText w:val="▪"/>
      <w:lvlJc w:val="start"/>
      <w:pPr>
        <w:tabs>
          <w:tab w:val="num" w:pos="1440"/>
        </w:tabs>
        <w:ind w:start="1440" w:hanging="360"/>
      </w:pPr>
      <w:rPr>
        <w:rFonts w:ascii="OpenSymbol" w:hAnsi="OpenSymbol" w:cs="OpenSymbol" w:hint="default"/>
      </w:rPr>
    </w:lvl>
    <w:lvl w:ilvl="3">
      <w:start w:val="1"/>
      <w:numFmt w:val="bullet"/>
      <w:lvlText w:val=""/>
      <w:lvlJc w:val="start"/>
      <w:pPr>
        <w:tabs>
          <w:tab w:val="num" w:pos="1800"/>
        </w:tabs>
        <w:ind w:start="1800" w:hanging="360"/>
      </w:pPr>
      <w:rPr>
        <w:rFonts w:ascii="Symbol" w:hAnsi="Symbol" w:cs="Symbol" w:hint="default"/>
      </w:rPr>
    </w:lvl>
    <w:lvl w:ilvl="4">
      <w:start w:val="1"/>
      <w:numFmt w:val="bullet"/>
      <w:lvlText w:val="◦"/>
      <w:lvlJc w:val="start"/>
      <w:pPr>
        <w:tabs>
          <w:tab w:val="num" w:pos="2160"/>
        </w:tabs>
        <w:ind w:start="2160" w:hanging="360"/>
      </w:pPr>
      <w:rPr>
        <w:rFonts w:ascii="OpenSymbol" w:hAnsi="OpenSymbol" w:cs="OpenSymbol" w:hint="default"/>
      </w:rPr>
    </w:lvl>
    <w:lvl w:ilvl="5">
      <w:start w:val="1"/>
      <w:numFmt w:val="bullet"/>
      <w:lvlText w:val="▪"/>
      <w:lvlJc w:val="start"/>
      <w:pPr>
        <w:tabs>
          <w:tab w:val="num" w:pos="2520"/>
        </w:tabs>
        <w:ind w:start="2520" w:hanging="360"/>
      </w:pPr>
      <w:rPr>
        <w:rFonts w:ascii="OpenSymbol" w:hAnsi="OpenSymbol" w:cs="OpenSymbol" w:hint="default"/>
      </w:rPr>
    </w:lvl>
    <w:lvl w:ilvl="6">
      <w:start w:val="1"/>
      <w:numFmt w:val="bullet"/>
      <w:lvlText w:val=""/>
      <w:lvlJc w:val="start"/>
      <w:pPr>
        <w:tabs>
          <w:tab w:val="num" w:pos="2880"/>
        </w:tabs>
        <w:ind w:start="2880" w:hanging="360"/>
      </w:pPr>
      <w:rPr>
        <w:rFonts w:ascii="Symbol" w:hAnsi="Symbol" w:cs="Symbol" w:hint="default"/>
      </w:rPr>
    </w:lvl>
    <w:lvl w:ilvl="7">
      <w:start w:val="1"/>
      <w:numFmt w:val="bullet"/>
      <w:lvlText w:val="◦"/>
      <w:lvlJc w:val="start"/>
      <w:pPr>
        <w:tabs>
          <w:tab w:val="num" w:pos="3240"/>
        </w:tabs>
        <w:ind w:start="3240" w:hanging="360"/>
      </w:pPr>
      <w:rPr>
        <w:rFonts w:ascii="OpenSymbol" w:hAnsi="OpenSymbol" w:cs="OpenSymbol" w:hint="default"/>
      </w:rPr>
    </w:lvl>
    <w:lvl w:ilvl="8">
      <w:start w:val="1"/>
      <w:numFmt w:val="bullet"/>
      <w:lvlText w:val="▪"/>
      <w:lvlJc w:val="start"/>
      <w:pPr>
        <w:tabs>
          <w:tab w:val="num" w:pos="3600"/>
        </w:tabs>
        <w:ind w:start="3600" w:hanging="360"/>
      </w:pPr>
      <w:rPr>
        <w:rFonts w:ascii="OpenSymbol" w:hAnsi="OpenSymbol" w:cs="OpenSymbol" w:hint="default"/>
      </w:rPr>
    </w:lvl>
  </w:abstractNum>
  <w:abstractNum w:abstractNumId="16">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w="http://schemas.openxmlformats.org/wordprocessingml/2006/main">
  <w:zoom w:percent="140"/>
  <w:embedSystemFonts/>
  <w:defaultTabStop w:val="709"/>
  <w:autoHyphenation w:val="true"/>
  <w:hyphenationZone w:val="0"/>
  <w:compat>
    <w:compatSetting w:name="compatibilityMode" w:uri="http://schemas.microsoft.com/office/word" w:val="15"/>
    <w:compatSetting w:name="useWord2013TrackBottomHyphenation" w:uri="http://schemas.microsoft.com/office/word" w:val="1"/>
    <w:compatSetting w:name="allowHyphenationAtTrackBottom"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Tahoma" w:cs="Noto Sans"/>
        <w:kern w:val="2"/>
        <w:sz w:val="24"/>
        <w:szCs w:val="24"/>
        <w:lang w:val="en-US" w:eastAsia="zh-CN" w:bidi="hi-IN"/>
      </w:rPr>
    </w:rPrDefault>
    <w:pPrDefault>
      <w:pPr>
        <w:suppressAutoHyphens w:val="true"/>
      </w:pPr>
    </w:pPrDefault>
  </w:docDefaults>
  <w:style w:type="paragraph" w:styleId="Normal">
    <w:name w:val="Normal"/>
    <w:qFormat/>
    <w:pPr>
      <w:widowControl/>
      <w:suppressAutoHyphens w:val="true"/>
      <w:bidi w:val="0"/>
      <w:spacing w:before="0" w:after="0"/>
      <w:jc w:val="start"/>
    </w:pPr>
    <w:rPr>
      <w:rFonts w:ascii="Liberation Serif" w:hAnsi="Liberation Serif" w:eastAsia="Tahoma" w:cs="Noto Sans"/>
      <w:color w:val="auto"/>
      <w:kern w:val="2"/>
      <w:sz w:val="24"/>
      <w:szCs w:val="24"/>
      <w:lang w:val="en-US" w:eastAsia="zh-CN" w:bidi="hi-IN"/>
    </w:rPr>
  </w:style>
  <w:style w:type="paragraph" w:styleId="Heading1">
    <w:name w:val="heading 1"/>
    <w:basedOn w:val="Heading"/>
    <w:next w:val="BodyText"/>
    <w:qFormat/>
    <w:pPr>
      <w:spacing w:before="240" w:after="120"/>
      <w:outlineLvl w:val="0"/>
    </w:pPr>
    <w:rPr>
      <w:rFonts w:ascii="Liberation Serif" w:hAnsi="Liberation Serif" w:eastAsia="Tahoma" w:cs="Noto Sans"/>
      <w:b/>
      <w:bCs/>
      <w:sz w:val="48"/>
      <w:szCs w:val="48"/>
    </w:rPr>
  </w:style>
  <w:style w:type="paragraph" w:styleId="Heading2">
    <w:name w:val="heading 2"/>
    <w:basedOn w:val="Heading"/>
    <w:next w:val="BodyText"/>
    <w:qFormat/>
    <w:pPr>
      <w:spacing w:before="200" w:after="120"/>
      <w:outlineLvl w:val="1"/>
    </w:pPr>
    <w:rPr>
      <w:rFonts w:ascii="Liberation Serif" w:hAnsi="Liberation Serif" w:eastAsia="Tahoma" w:cs="Noto Sans"/>
      <w:b/>
      <w:bCs/>
      <w:sz w:val="36"/>
      <w:szCs w:val="36"/>
    </w:rPr>
  </w:style>
  <w:style w:type="paragraph" w:styleId="Heading3">
    <w:name w:val="heading 3"/>
    <w:basedOn w:val="Heading"/>
    <w:next w:val="BodyText"/>
    <w:qFormat/>
    <w:pPr>
      <w:spacing w:before="140" w:after="120"/>
      <w:outlineLvl w:val="2"/>
    </w:pPr>
    <w:rPr>
      <w:rFonts w:ascii="Liberation Serif" w:hAnsi="Liberation Serif" w:eastAsia="Tahoma" w:cs="Noto Sans"/>
      <w:b/>
      <w:bCs/>
      <w:sz w:val="28"/>
      <w:szCs w:val="28"/>
    </w:rPr>
  </w:style>
  <w:style w:type="paragraph" w:styleId="Heading4">
    <w:name w:val="heading 4"/>
    <w:basedOn w:val="Heading"/>
    <w:next w:val="BodyText"/>
    <w:qFormat/>
    <w:pPr>
      <w:spacing w:before="120" w:after="120"/>
      <w:outlineLvl w:val="3"/>
    </w:pPr>
    <w:rPr>
      <w:rFonts w:ascii="Liberation Serif" w:hAnsi="Liberation Serif" w:eastAsia="Tahoma" w:cs="Noto Sans"/>
      <w:b/>
      <w:bCs/>
      <w:sz w:val="24"/>
      <w:szCs w:val="24"/>
    </w:rPr>
  </w:style>
  <w:style w:type="character" w:styleId="Emphasis">
    <w:name w:val="Emphasis"/>
    <w:qFormat/>
    <w:rPr>
      <w:i/>
      <w:iCs/>
    </w:rPr>
  </w:style>
  <w:style w:type="character" w:styleId="Strong">
    <w:name w:val="Strong"/>
    <w:qFormat/>
    <w:rPr>
      <w:b/>
      <w:bCs/>
    </w:rPr>
  </w:style>
  <w:style w:type="character" w:styleId="Bullets">
    <w:name w:val="Bullets"/>
    <w:qFormat/>
    <w:rPr>
      <w:rFonts w:ascii="OpenSymbol" w:hAnsi="OpenSymbol" w:eastAsia="OpenSymbol" w:cs="OpenSymbol"/>
    </w:rPr>
  </w:style>
  <w:style w:type="character" w:styleId="Hyperlink">
    <w:name w:val="Hyperlink"/>
    <w:rPr>
      <w:color w:val="000080"/>
      <w:u w:val="single"/>
    </w:rPr>
  </w:style>
  <w:style w:type="character" w:styleId="Bulletsuser">
    <w:name w:val="Bullets (user)"/>
    <w:qFormat/>
    <w:rPr>
      <w:rFonts w:ascii="OpenSymbol" w:hAnsi="OpenSymbol" w:eastAsia="OpenSymbol" w:cs="OpenSymbol"/>
    </w:rPr>
  </w:style>
  <w:style w:type="character" w:styleId="KeywordTok" w:customStyle="1">
    <w:name w:val="KeywordTok"/>
    <w:qFormat/>
    <w:rPr>
      <w:b/>
      <w:color w:val="007020"/>
    </w:rPr>
  </w:style>
  <w:style w:type="character" w:styleId="DataTypeTok" w:customStyle="1">
    <w:name w:val="DataTypeTok"/>
    <w:qFormat/>
    <w:rPr>
      <w:color w:val="902000"/>
    </w:rPr>
  </w:style>
  <w:style w:type="character" w:styleId="DecValTok" w:customStyle="1">
    <w:name w:val="DecValTok"/>
    <w:qFormat/>
    <w:rPr>
      <w:color w:val="40A070"/>
    </w:rPr>
  </w:style>
  <w:style w:type="character" w:styleId="BaseNTok" w:customStyle="1">
    <w:name w:val="BaseNTok"/>
    <w:qFormat/>
    <w:rPr>
      <w:color w:val="40A070"/>
    </w:rPr>
  </w:style>
  <w:style w:type="character" w:styleId="FloatTok" w:customStyle="1">
    <w:name w:val="FloatTok"/>
    <w:qFormat/>
    <w:rPr>
      <w:color w:val="40A070"/>
    </w:rPr>
  </w:style>
  <w:style w:type="character" w:styleId="ConstantTok" w:customStyle="1">
    <w:name w:val="ConstantTok"/>
    <w:qFormat/>
    <w:rPr>
      <w:color w:val="880000"/>
    </w:rPr>
  </w:style>
  <w:style w:type="character" w:styleId="CharTok" w:customStyle="1">
    <w:name w:val="CharTok"/>
    <w:qFormat/>
    <w:rPr>
      <w:color w:val="4070A0"/>
    </w:rPr>
  </w:style>
  <w:style w:type="character" w:styleId="SpecialCharTok" w:customStyle="1">
    <w:name w:val="SpecialCharTok"/>
    <w:qFormat/>
    <w:rPr>
      <w:color w:val="4070A0"/>
    </w:rPr>
  </w:style>
  <w:style w:type="character" w:styleId="StringTok" w:customStyle="1">
    <w:name w:val="StringTok"/>
    <w:qFormat/>
    <w:rPr>
      <w:color w:val="4070A0"/>
    </w:rPr>
  </w:style>
  <w:style w:type="character" w:styleId="VerbatimStringTok" w:customStyle="1">
    <w:name w:val="VerbatimStringTok"/>
    <w:qFormat/>
    <w:rPr>
      <w:color w:val="4070A0"/>
    </w:rPr>
  </w:style>
  <w:style w:type="character" w:styleId="SpecialStringTok" w:customStyle="1">
    <w:name w:val="SpecialStringTok"/>
    <w:qFormat/>
    <w:rPr>
      <w:color w:val="BB6688"/>
    </w:rPr>
  </w:style>
  <w:style w:type="character" w:styleId="ImportTok" w:customStyle="1">
    <w:name w:val="ImportTok"/>
    <w:qFormat/>
    <w:rPr>
      <w:b/>
      <w:color w:val="008000"/>
    </w:rPr>
  </w:style>
  <w:style w:type="character" w:styleId="CommentTok" w:customStyle="1">
    <w:name w:val="CommentTok"/>
    <w:qFormat/>
    <w:rPr>
      <w:i/>
      <w:color w:val="60A0B0"/>
    </w:rPr>
  </w:style>
  <w:style w:type="character" w:styleId="DocumentationTok" w:customStyle="1">
    <w:name w:val="DocumentationTok"/>
    <w:qFormat/>
    <w:rPr>
      <w:i/>
      <w:color w:val="BA2121"/>
    </w:rPr>
  </w:style>
  <w:style w:type="character" w:styleId="AnnotationTok" w:customStyle="1">
    <w:name w:val="AnnotationTok"/>
    <w:qFormat/>
    <w:rPr>
      <w:b/>
      <w:i/>
      <w:color w:val="60A0B0"/>
    </w:rPr>
  </w:style>
  <w:style w:type="character" w:styleId="CommentVarTok" w:customStyle="1">
    <w:name w:val="CommentVarTok"/>
    <w:qFormat/>
    <w:rPr>
      <w:b/>
      <w:i/>
      <w:color w:val="60A0B0"/>
    </w:rPr>
  </w:style>
  <w:style w:type="character" w:styleId="OtherTok" w:customStyle="1">
    <w:name w:val="OtherTok"/>
    <w:qFormat/>
    <w:rPr>
      <w:color w:val="007020"/>
    </w:rPr>
  </w:style>
  <w:style w:type="character" w:styleId="FunctionTok" w:customStyle="1">
    <w:name w:val="FunctionTok"/>
    <w:qFormat/>
    <w:rPr>
      <w:color w:val="06287E"/>
    </w:rPr>
  </w:style>
  <w:style w:type="character" w:styleId="VariableTok" w:customStyle="1">
    <w:name w:val="VariableTok"/>
    <w:qFormat/>
    <w:rPr>
      <w:color w:val="19177C"/>
    </w:rPr>
  </w:style>
  <w:style w:type="character" w:styleId="ControlFlowTok" w:customStyle="1">
    <w:name w:val="ControlFlowTok"/>
    <w:qFormat/>
    <w:rPr>
      <w:b/>
      <w:color w:val="007020"/>
    </w:rPr>
  </w:style>
  <w:style w:type="character" w:styleId="OperatorTok" w:customStyle="1">
    <w:name w:val="OperatorTok"/>
    <w:qFormat/>
    <w:rPr>
      <w:color w:val="666666"/>
    </w:rPr>
  </w:style>
  <w:style w:type="character" w:styleId="BuiltInTok" w:customStyle="1">
    <w:name w:val="BuiltInTok"/>
    <w:qFormat/>
    <w:rPr>
      <w:color w:val="008000"/>
    </w:rPr>
  </w:style>
  <w:style w:type="character" w:styleId="ExtensionTok" w:customStyle="1">
    <w:name w:val="ExtensionTok"/>
    <w:qFormat/>
    <w:rPr/>
  </w:style>
  <w:style w:type="character" w:styleId="PreprocessorTok" w:customStyle="1">
    <w:name w:val="PreprocessorTok"/>
    <w:qFormat/>
    <w:rPr>
      <w:color w:val="BC7A00"/>
    </w:rPr>
  </w:style>
  <w:style w:type="character" w:styleId="AttributeTok" w:customStyle="1">
    <w:name w:val="AttributeTok"/>
    <w:qFormat/>
    <w:rPr>
      <w:color w:val="7D9029"/>
    </w:rPr>
  </w:style>
  <w:style w:type="character" w:styleId="RegionMarkerTok" w:customStyle="1">
    <w:name w:val="RegionMarkerTok"/>
    <w:qFormat/>
    <w:rPr/>
  </w:style>
  <w:style w:type="character" w:styleId="InformationTok" w:customStyle="1">
    <w:name w:val="InformationTok"/>
    <w:qFormat/>
    <w:rPr>
      <w:b/>
      <w:i/>
      <w:color w:val="60A0B0"/>
    </w:rPr>
  </w:style>
  <w:style w:type="character" w:styleId="WarningTok" w:customStyle="1">
    <w:name w:val="WarningTok"/>
    <w:qFormat/>
    <w:rPr>
      <w:b/>
      <w:i/>
      <w:color w:val="60A0B0"/>
    </w:rPr>
  </w:style>
  <w:style w:type="character" w:styleId="AlertTok" w:customStyle="1">
    <w:name w:val="AlertTok"/>
    <w:qFormat/>
    <w:rPr>
      <w:b/>
      <w:color w:val="FF0000"/>
    </w:rPr>
  </w:style>
  <w:style w:type="character" w:styleId="ErrorTok" w:customStyle="1">
    <w:name w:val="ErrorTok"/>
    <w:qFormat/>
    <w:rPr>
      <w:b/>
      <w:color w:val="FF0000"/>
    </w:rPr>
  </w:style>
  <w:style w:type="character" w:styleId="NormalTok" w:customStyle="1">
    <w:name w:val="NormalTok"/>
    <w:qFormat/>
    <w:rPr/>
  </w:style>
  <w:style w:type="character" w:styleId="NumberingSymbols">
    <w:name w:val="Numbering Symbols"/>
    <w:qFormat/>
    <w:rPr/>
  </w:style>
  <w:style w:type="paragraph" w:styleId="Heading">
    <w:name w:val="Heading"/>
    <w:basedOn w:val="Normal"/>
    <w:next w:val="BodyText"/>
    <w:qFormat/>
    <w:pPr>
      <w:keepNext w:val="true"/>
      <w:spacing w:before="240" w:after="120"/>
    </w:pPr>
    <w:rPr>
      <w:rFonts w:ascii="Liberation Sans" w:hAnsi="Liberation Sans" w:eastAsia="Tahoma" w:cs="Noto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Noto Sans"/>
    </w:rPr>
  </w:style>
  <w:style w:type="paragraph" w:styleId="Caption">
    <w:name w:val="caption"/>
    <w:basedOn w:val="Normal"/>
    <w:qFormat/>
    <w:pPr>
      <w:suppressLineNumbers/>
      <w:spacing w:before="120" w:after="120"/>
    </w:pPr>
    <w:rPr>
      <w:rFonts w:cs="Noto Sans"/>
      <w:i/>
      <w:iCs/>
      <w:sz w:val="24"/>
      <w:szCs w:val="24"/>
    </w:rPr>
  </w:style>
  <w:style w:type="paragraph" w:styleId="Index">
    <w:name w:val="Index"/>
    <w:basedOn w:val="Normal"/>
    <w:qFormat/>
    <w:pPr>
      <w:suppressLineNumbers/>
    </w:pPr>
    <w:rPr>
      <w:rFonts w:cs="Noto Sans"/>
    </w:rPr>
  </w:style>
  <w:style w:type="paragraph" w:styleId="HorizontalLine">
    <w:name w:val="Horizontal Line"/>
    <w:basedOn w:val="Normal"/>
    <w:next w:val="BodyText"/>
    <w:qFormat/>
    <w:pPr>
      <w:suppressLineNumbers/>
      <w:pBdr>
        <w:bottom w:val="double" w:sz="2" w:space="0" w:color="808080"/>
      </w:pBdr>
      <w:spacing w:before="0" w:after="283"/>
    </w:pPr>
    <w:rPr>
      <w:sz w:val="12"/>
      <w:szCs w:val="12"/>
    </w:rPr>
  </w:style>
  <w:style w:type="paragraph" w:styleId="TableContents">
    <w:name w:val="Table Contents"/>
    <w:basedOn w:val="Normal"/>
    <w:qFormat/>
    <w:pPr>
      <w:widowControl w:val="false"/>
      <w:suppressLineNumbers/>
    </w:pPr>
    <w:rPr/>
  </w:style>
  <w:style w:type="paragraph" w:styleId="TableHeading">
    <w:name w:val="Table Heading"/>
    <w:basedOn w:val="TableContents"/>
    <w:qFormat/>
    <w:pPr>
      <w:suppressLineNumbers/>
      <w:jc w:val="center"/>
    </w:pPr>
    <w:rPr>
      <w:b/>
      <w:bCs/>
    </w:rPr>
  </w:style>
  <w:style w:type="paragraph" w:styleId="BlockQuotation">
    <w:name w:val="Block Quotation"/>
    <w:basedOn w:val="Normal"/>
    <w:qFormat/>
    <w:pPr>
      <w:spacing w:before="0" w:after="283"/>
      <w:ind w:hanging="0" w:start="567" w:end="567"/>
    </w:pPr>
    <w:rPr/>
  </w:style>
  <w:style w:type="paragraph" w:styleId="SourceCode" w:customStyle="1">
    <w:name w:val="Source Code"/>
    <w:basedOn w:val="Normal"/>
    <w:qFormat/>
    <w:pPr/>
    <w:rPr/>
  </w:style>
  <w:style w:type="paragraph" w:styleId="IndexHeading">
    <w:name w:val="index heading"/>
    <w:basedOn w:val="Heading"/>
    <w:pPr/>
    <w:rPr/>
  </w:style>
  <w:style w:type="paragraph" w:styleId="TOCHeading">
    <w:name w:val="TOC Heading"/>
    <w:basedOn w:val="IndexHeading"/>
    <w:qFormat/>
    <w:pPr/>
    <w:rPr/>
  </w:style>
  <w:style w:type="paragraph" w:styleId="BlockQuotationuser">
    <w:name w:val="Block Quotation (user)"/>
    <w:basedOn w:val="Normal"/>
    <w:qFormat/>
    <w:pPr>
      <w:spacing w:before="0" w:after="283"/>
      <w:ind w:hanging="0" w:start="567" w:end="567"/>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n.tw/" TargetMode="Externa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1553</TotalTime>
  <Application>LibreOffice/25.8.4.2$Linux_X86_64 LibreOffice_project/290daaa01b999472f0c7a3890eb6a550fd74c6df</Application>
  <AppVersion>15.0000</AppVersion>
  <Pages>81</Pages>
  <Words>33304</Words>
  <Characters>195967</Characters>
  <CharactersWithSpaces>227540</CharactersWithSpaces>
  <Paragraphs>1359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2026-04-04T21:19:39Z</dcterms:created>
  <dc:creator/>
  <dc:description/>
  <dc:language>en-US</dc:language>
  <cp:lastModifiedBy/>
  <cp:lastPrinted>2026-04-07T10:08:05Z</cp:lastPrinted>
  <dcterms:modified xsi:type="dcterms:W3CDTF">2026-04-07T10:18:21Z</dcterms:modified>
  <cp:revision>106</cp:revision>
  <dc:subject/>
  <dc:title/>
</cp:coreProperties>
</file>

<file path=docProps/custom.xml><?xml version="1.0" encoding="utf-8"?>
<Properties xmlns="http://schemas.openxmlformats.org/officeDocument/2006/custom-properties" xmlns:vt="http://schemas.openxmlformats.org/officeDocument/2006/docPropsVTypes"/>
</file>