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74CB64" w14:textId="77777777" w:rsidR="006F2069" w:rsidRPr="00467627" w:rsidRDefault="00163A17" w:rsidP="00163A17">
      <w:pPr>
        <w:jc w:val="right"/>
        <w:rPr>
          <w:rFonts w:asciiTheme="minorHAnsi" w:hAnsiTheme="minorHAnsi" w:cs="JetBrains Mono"/>
        </w:rPr>
      </w:pPr>
      <w:r w:rsidRPr="00467627">
        <w:rPr>
          <w:rFonts w:asciiTheme="minorHAnsi" w:hAnsiTheme="minorHAnsi" w:cs="JetBrains Mono"/>
          <w:noProof/>
        </w:rPr>
        <w:drawing>
          <wp:inline distT="0" distB="0" distL="0" distR="0" wp14:anchorId="797DCE69" wp14:editId="6A648DA0">
            <wp:extent cx="1343025" cy="1343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7"/>
                    <a:stretch>
                      <a:fillRect/>
                    </a:stretch>
                  </pic:blipFill>
                  <pic:spPr>
                    <a:xfrm>
                      <a:off x="0" y="0"/>
                      <a:ext cx="1343025" cy="1343025"/>
                    </a:xfrm>
                    <a:prstGeom prst="rect">
                      <a:avLst/>
                    </a:prstGeom>
                  </pic:spPr>
                </pic:pic>
              </a:graphicData>
            </a:graphic>
          </wp:inline>
        </w:drawing>
      </w:r>
    </w:p>
    <w:p w14:paraId="7DAB97C9" w14:textId="77777777" w:rsidR="00CF160C" w:rsidRPr="00467627" w:rsidRDefault="00CF160C">
      <w:pPr>
        <w:pStyle w:val="CoverSubtitle"/>
        <w:rPr>
          <w:rFonts w:asciiTheme="minorHAnsi" w:hAnsiTheme="minorHAnsi" w:cs="JetBrains Mono"/>
          <w:color w:val="9333EA"/>
          <w:sz w:val="21"/>
          <w:lang w:val="ru-RU"/>
        </w:rPr>
      </w:pPr>
    </w:p>
    <w:p w14:paraId="3AEAFFC4" w14:textId="77777777" w:rsidR="00CF160C" w:rsidRDefault="00CF160C">
      <w:pPr>
        <w:pStyle w:val="CoverSubtitle"/>
        <w:rPr>
          <w:rFonts w:asciiTheme="minorHAnsi" w:hAnsiTheme="minorHAnsi" w:cs="JetBrains Mono"/>
          <w:color w:val="9333EA"/>
          <w:sz w:val="21"/>
          <w:lang w:val="ru-RU"/>
        </w:rPr>
      </w:pPr>
    </w:p>
    <w:p w14:paraId="6462E4E2" w14:textId="77777777" w:rsidR="00163A17" w:rsidRDefault="00163A17">
      <w:pPr>
        <w:pStyle w:val="CoverSubtitle"/>
        <w:rPr>
          <w:rFonts w:asciiTheme="minorHAnsi" w:hAnsiTheme="minorHAnsi" w:cs="JetBrains Mono"/>
          <w:color w:val="9333EA"/>
          <w:sz w:val="21"/>
          <w:lang w:val="ru-RU"/>
        </w:rPr>
      </w:pPr>
    </w:p>
    <w:p w14:paraId="40F39468" w14:textId="77777777" w:rsidR="00163A17" w:rsidRDefault="00163A17">
      <w:pPr>
        <w:pStyle w:val="CoverSubtitle"/>
        <w:rPr>
          <w:rFonts w:asciiTheme="minorHAnsi" w:hAnsiTheme="minorHAnsi" w:cs="JetBrains Mono"/>
          <w:color w:val="9333EA"/>
          <w:sz w:val="21"/>
          <w:lang w:val="ru-RU"/>
        </w:rPr>
      </w:pPr>
    </w:p>
    <w:p w14:paraId="5B913F9C" w14:textId="77777777" w:rsidR="00163A17" w:rsidRPr="00467627" w:rsidRDefault="00163A17">
      <w:pPr>
        <w:pStyle w:val="CoverSubtitle"/>
        <w:rPr>
          <w:rFonts w:asciiTheme="minorHAnsi" w:hAnsiTheme="minorHAnsi" w:cs="JetBrains Mono"/>
          <w:color w:val="9333EA"/>
          <w:sz w:val="21"/>
          <w:lang w:val="ru-RU"/>
        </w:rPr>
      </w:pPr>
    </w:p>
    <w:p w14:paraId="6E4217BD" w14:textId="77777777" w:rsidR="00CF160C" w:rsidRPr="00467627" w:rsidRDefault="00CF160C">
      <w:pPr>
        <w:pStyle w:val="CoverSubtitle"/>
        <w:rPr>
          <w:rFonts w:asciiTheme="minorHAnsi" w:hAnsiTheme="minorHAnsi" w:cs="JetBrains Mono"/>
          <w:color w:val="9333EA"/>
          <w:sz w:val="21"/>
          <w:lang w:val="ru-RU"/>
        </w:rPr>
      </w:pPr>
    </w:p>
    <w:p w14:paraId="7895A637" w14:textId="77777777" w:rsidR="00CF160C" w:rsidRPr="00467627" w:rsidRDefault="00CF160C">
      <w:pPr>
        <w:pStyle w:val="CoverSubtitle"/>
        <w:rPr>
          <w:rFonts w:asciiTheme="minorHAnsi" w:hAnsiTheme="minorHAnsi" w:cs="JetBrains Mono"/>
          <w:color w:val="9333EA"/>
          <w:sz w:val="21"/>
          <w:lang w:val="ru-RU"/>
        </w:rPr>
      </w:pPr>
    </w:p>
    <w:p w14:paraId="2016963A" w14:textId="77777777" w:rsidR="006F2069" w:rsidRPr="00467627" w:rsidRDefault="00000000">
      <w:pPr>
        <w:pStyle w:val="CoverTitle"/>
      </w:pPr>
      <w:r>
        <w:t>Adaptation Threshold Dynamics (ATD)</w:t>
      </w:r>
    </w:p>
    <w:p w14:paraId="1D8DE77E" w14:textId="77777777" w:rsidR="006F2069" w:rsidRPr="00467627" w:rsidRDefault="006F2069">
      <w:pPr>
        <w:pStyle w:val="CoverSubtitle"/>
      </w:pPr>
    </w:p>
    <w:p w14:paraId="67F69DFE" w14:textId="77777777" w:rsidR="006F2069" w:rsidRPr="00467627" w:rsidRDefault="006F2069">
      <w:pPr>
        <w:rPr>
          <w:rFonts w:asciiTheme="minorHAnsi" w:hAnsiTheme="minorHAnsi" w:cs="JetBrains Mono"/>
          <w:lang w:val="ru-RU"/>
        </w:rPr>
      </w:pPr>
    </w:p>
    <w:p w14:paraId="7B181594" w14:textId="77777777" w:rsidR="00CF160C" w:rsidRPr="00467627" w:rsidRDefault="00CF160C">
      <w:pPr>
        <w:rPr>
          <w:rFonts w:asciiTheme="minorHAnsi" w:hAnsiTheme="minorHAnsi" w:cs="JetBrains Mono"/>
          <w:lang w:val="ru-RU"/>
        </w:rPr>
      </w:pPr>
    </w:p>
    <w:p w14:paraId="6600B5B7" w14:textId="77777777" w:rsidR="00CF160C" w:rsidRPr="00163A17" w:rsidRDefault="00CF160C">
      <w:pPr>
        <w:rPr>
          <w:rFonts w:asciiTheme="minorHAnsi" w:hAnsiTheme="minorHAnsi" w:cs="JetBrains Mono"/>
          <w:lang w:val="ru-RU"/>
        </w:rPr>
      </w:pPr>
    </w:p>
    <w:p w14:paraId="44481D80" w14:textId="77777777" w:rsidR="00CF160C" w:rsidRPr="00467627" w:rsidRDefault="00CF160C">
      <w:pPr>
        <w:rPr>
          <w:rFonts w:asciiTheme="minorHAnsi" w:hAnsiTheme="minorHAnsi" w:cs="JetBrains Mono"/>
          <w:lang w:val="ru-RU"/>
        </w:rPr>
      </w:pPr>
    </w:p>
    <w:tbl>
      <w:tblPr>
        <w:tblW w:w="0" w:type="auto"/>
        <w:tblBorders>
          <w:top w:val="nil"/>
          <w:left w:val="nil"/>
          <w:bottom w:val="single" w:sz="6" w:space="0" w:color="999999"/>
          <w:right w:val="nil"/>
          <w:insideH w:val="single" w:sz="6" w:space="0" w:color="999999"/>
          <w:insideV w:val="nil"/>
        </w:tblBorders>
        <w:tblLook w:val="04A0" w:firstRow="1" w:lastRow="0" w:firstColumn="1" w:lastColumn="0" w:noHBand="0" w:noVBand="1"/>
      </w:tblPr>
      <w:tblGrid>
        <w:gridCol w:w="4682"/>
        <w:gridCol w:w="4767"/>
      </w:tblGrid>
      <w:tr w:rsidR="006F2069" w:rsidRPr="00467627" w14:paraId="7B645039" w14:textId="77777777" w:rsidTr="00AB6275">
        <w:tc>
          <w:tcPr>
            <w:tcW w:w="0" w:type="auto"/>
          </w:tcPr>
          <w:p w14:paraId="1DA0802F" w14:textId="77777777" w:rsidR="001F0D49" w:rsidRDefault="00000000">
            <w:pPr>
              <w:pStyle w:val="MetaLabel"/>
            </w:pPr>
            <w:r>
              <w:t>Version</w:t>
            </w:r>
          </w:p>
          <w:p w14:paraId="316245E5" w14:textId="77777777" w:rsidR="001F0D49" w:rsidRDefault="00000000">
            <w:pPr>
              <w:pStyle w:val="MetaValue"/>
            </w:pPr>
            <w:r>
              <w:t>2.0</w:t>
            </w:r>
          </w:p>
        </w:tc>
        <w:tc>
          <w:tcPr>
            <w:tcW w:w="0" w:type="auto"/>
          </w:tcPr>
          <w:p w14:paraId="22202C39" w14:textId="77777777" w:rsidR="001F0D49" w:rsidRDefault="00000000">
            <w:pPr>
              <w:pStyle w:val="MetaLabel"/>
            </w:pPr>
            <w:r>
              <w:t>Date</w:t>
            </w:r>
          </w:p>
          <w:p w14:paraId="474D4BDE" w14:textId="77777777" w:rsidR="001F0D49" w:rsidRDefault="00000000">
            <w:pPr>
              <w:pStyle w:val="MetaValue"/>
            </w:pPr>
            <w:r>
              <w:t>05.04.2026</w:t>
            </w:r>
          </w:p>
        </w:tc>
      </w:tr>
      <w:tr w:rsidR="00AB6275" w:rsidRPr="00467627" w14:paraId="0A7C5B7E" w14:textId="77777777" w:rsidTr="00591B3D">
        <w:tc>
          <w:tcPr>
            <w:tcW w:w="0" w:type="auto"/>
          </w:tcPr>
          <w:p w14:paraId="52668CF9" w14:textId="77777777" w:rsidR="001F0D49" w:rsidRDefault="00000000">
            <w:pPr>
              <w:pStyle w:val="MetaLabel"/>
            </w:pPr>
            <w:r>
              <w:t>DOI</w:t>
            </w:r>
          </w:p>
          <w:p w14:paraId="433B0672" w14:textId="77777777" w:rsidR="001F0D49" w:rsidRDefault="00000000">
            <w:pPr>
              <w:pStyle w:val="MetaValue"/>
            </w:pPr>
            <w:hyperlink r:id="rId8">
              <w:r>
                <w:t>10.5281/zenodo.19077256</w:t>
              </w:r>
            </w:hyperlink>
          </w:p>
        </w:tc>
        <w:tc>
          <w:tcPr>
            <w:tcW w:w="0" w:type="auto"/>
          </w:tcPr>
          <w:p w14:paraId="4A732306" w14:textId="77777777" w:rsidR="001F0D49" w:rsidRDefault="00000000">
            <w:pPr>
              <w:pStyle w:val="MetaLabel"/>
            </w:pPr>
            <w:r>
              <w:t>License</w:t>
            </w:r>
          </w:p>
          <w:p w14:paraId="3E136E54" w14:textId="77777777" w:rsidR="001F0D49" w:rsidRDefault="00000000">
            <w:pPr>
              <w:pStyle w:val="MetaValue"/>
            </w:pPr>
            <w:r>
              <w:t>CC BY 4.0</w:t>
            </w:r>
          </w:p>
        </w:tc>
      </w:tr>
      <w:tr w:rsidR="00AB6275" w:rsidRPr="00467627" w14:paraId="189FA5F8" w14:textId="77777777" w:rsidTr="00AB6275">
        <w:tc>
          <w:tcPr>
            <w:tcW w:w="0" w:type="auto"/>
          </w:tcPr>
          <w:p w14:paraId="5FCEB57B" w14:textId="77777777" w:rsidR="001F0D49" w:rsidRDefault="00000000">
            <w:pPr>
              <w:pStyle w:val="MetaLabel"/>
            </w:pPr>
            <w:r>
              <w:t>Corpus</w:t>
            </w:r>
          </w:p>
          <w:p w14:paraId="18151F2E" w14:textId="77777777" w:rsidR="001F0D49" w:rsidRDefault="00000000">
            <w:pPr>
              <w:pStyle w:val="MetaValue"/>
            </w:pPr>
            <w:hyperlink r:id="rId9">
              <w:proofErr w:type="spellStart"/>
              <w:r>
                <w:t>CoLaba.Space</w:t>
              </w:r>
              <w:proofErr w:type="spellEnd"/>
            </w:hyperlink>
          </w:p>
        </w:tc>
        <w:tc>
          <w:tcPr>
            <w:tcW w:w="0" w:type="auto"/>
          </w:tcPr>
          <w:p w14:paraId="7D59E5F9" w14:textId="77777777" w:rsidR="001F0D49" w:rsidRDefault="00000000">
            <w:pPr>
              <w:pStyle w:val="MetaLabel"/>
            </w:pPr>
            <w:r>
              <w:t>Affiliation</w:t>
            </w:r>
          </w:p>
          <w:p w14:paraId="7CD87F7C" w14:textId="77777777" w:rsidR="001F0D49" w:rsidRDefault="00000000">
            <w:pPr>
              <w:pStyle w:val="MetaValue"/>
            </w:pPr>
            <w:r>
              <w:t>YuLab · independent research mark</w:t>
            </w:r>
          </w:p>
        </w:tc>
      </w:tr>
      <w:tr w:rsidR="00A277B1" w:rsidRPr="00467627" w14:paraId="75319A73" w14:textId="77777777" w:rsidTr="00AB6275">
        <w:tc>
          <w:tcPr>
            <w:tcW w:w="0" w:type="auto"/>
          </w:tcPr>
          <w:p w14:paraId="3FAEE08D" w14:textId="77777777" w:rsidR="001F0D49" w:rsidRDefault="00000000">
            <w:pPr>
              <w:pStyle w:val="MetaLabel"/>
            </w:pPr>
            <w:r>
              <w:t>Upstream</w:t>
            </w:r>
          </w:p>
          <w:p w14:paraId="32E969AC" w14:textId="77777777" w:rsidR="001F0D49" w:rsidRDefault="00000000">
            <w:pPr>
              <w:pStyle w:val="MetaValue"/>
            </w:pPr>
            <w:hyperlink r:id="rId10">
              <w:r>
                <w:t>THM</w:t>
              </w:r>
            </w:hyperlink>
          </w:p>
        </w:tc>
        <w:tc>
          <w:tcPr>
            <w:tcW w:w="0" w:type="auto"/>
          </w:tcPr>
          <w:p w14:paraId="3F87CD44" w14:textId="77777777" w:rsidR="001F0D49" w:rsidRDefault="00000000">
            <w:pPr>
              <w:pStyle w:val="MetaLabel"/>
            </w:pPr>
            <w:r>
              <w:t>Downstream</w:t>
            </w:r>
          </w:p>
          <w:p w14:paraId="57DA851D" w14:textId="77777777" w:rsidR="001F0D49" w:rsidRDefault="00000000">
            <w:pPr>
              <w:pStyle w:val="MetaValue"/>
            </w:pPr>
            <w:hyperlink r:id="rId11">
              <w:r>
                <w:t>PLH</w:t>
              </w:r>
            </w:hyperlink>
            <w:r>
              <w:t xml:space="preserve"> · </w:t>
            </w:r>
            <w:hyperlink r:id="rId12">
              <w:r>
                <w:t>HNF</w:t>
              </w:r>
            </w:hyperlink>
            <w:r>
              <w:t xml:space="preserve"> · </w:t>
            </w:r>
            <w:hyperlink r:id="rId13">
              <w:r>
                <w:t>HNA</w:t>
              </w:r>
            </w:hyperlink>
            <w:r>
              <w:t xml:space="preserve"> · </w:t>
            </w:r>
            <w:hyperlink r:id="rId14">
              <w:r>
                <w:t>HND</w:t>
              </w:r>
            </w:hyperlink>
            <w:r>
              <w:t xml:space="preserve"> · </w:t>
            </w:r>
            <w:hyperlink r:id="rId15">
              <w:r>
                <w:t>HNF Program</w:t>
              </w:r>
            </w:hyperlink>
          </w:p>
        </w:tc>
      </w:tr>
      <w:tr w:rsidR="00A277B1" w:rsidRPr="00467627" w14:paraId="0593F437" w14:textId="77777777" w:rsidTr="00AB6275">
        <w:tc>
          <w:tcPr>
            <w:tcW w:w="0" w:type="auto"/>
          </w:tcPr>
          <w:p w14:paraId="0AFF23B8" w14:textId="77777777" w:rsidR="001F0D49" w:rsidRDefault="00000000">
            <w:pPr>
              <w:pStyle w:val="MetaLabel"/>
            </w:pPr>
            <w:r>
              <w:t>Related</w:t>
            </w:r>
          </w:p>
          <w:p w14:paraId="7909F9B8" w14:textId="77777777" w:rsidR="001F0D49" w:rsidRDefault="00000000">
            <w:pPr>
              <w:pStyle w:val="MetaValue"/>
            </w:pPr>
            <w:hyperlink r:id="rId16">
              <w:r>
                <w:t>DRD</w:t>
              </w:r>
            </w:hyperlink>
            <w:r>
              <w:t xml:space="preserve"> · </w:t>
            </w:r>
            <w:hyperlink r:id="rId17">
              <w:r>
                <w:t>CEF</w:t>
              </w:r>
            </w:hyperlink>
            <w:r>
              <w:t xml:space="preserve"> · </w:t>
            </w:r>
            <w:hyperlink r:id="rId18">
              <w:proofErr w:type="spellStart"/>
              <w:r>
                <w:t>CgX</w:t>
              </w:r>
              <w:proofErr w:type="spellEnd"/>
            </w:hyperlink>
            <w:r>
              <w:t xml:space="preserve"> · </w:t>
            </w:r>
            <w:hyperlink r:id="rId19">
              <w:r>
                <w:t>DMF</w:t>
              </w:r>
            </w:hyperlink>
            <w:r>
              <w:t xml:space="preserve"> · </w:t>
            </w:r>
            <w:hyperlink r:id="rId20">
              <w:r>
                <w:t>White Paper</w:t>
              </w:r>
            </w:hyperlink>
            <w:r>
              <w:t xml:space="preserve"> · </w:t>
            </w:r>
            <w:hyperlink r:id="rId21">
              <w:r>
                <w:t>Governance</w:t>
              </w:r>
            </w:hyperlink>
          </w:p>
        </w:tc>
        <w:tc>
          <w:tcPr>
            <w:tcW w:w="0" w:type="auto"/>
          </w:tcPr>
          <w:p w14:paraId="0EBE0AAC" w14:textId="77777777" w:rsidR="001F0D49" w:rsidRDefault="00000000">
            <w:pPr>
              <w:pStyle w:val="MetaLabel"/>
            </w:pPr>
            <w:r>
              <w:t>Document genre</w:t>
            </w:r>
          </w:p>
          <w:p w14:paraId="2BAC21A8" w14:textId="77777777" w:rsidR="001F0D49" w:rsidRDefault="00000000">
            <w:pPr>
              <w:pStyle w:val="MetaValue"/>
            </w:pPr>
            <w:r>
              <w:t>Analytical hypothesis framework / research model</w:t>
            </w:r>
          </w:p>
        </w:tc>
      </w:tr>
    </w:tbl>
    <w:p w14:paraId="180C8EB7" w14:textId="77777777" w:rsidR="006F2069" w:rsidRDefault="006F2069"/>
    <w:p w14:paraId="34CBC6D1" w14:textId="77777777" w:rsidR="00A277B1" w:rsidRPr="00A277B1" w:rsidRDefault="00A277B1" w:rsidP="00A277B1">
      <w:r>
        <w:t>Andrey Yudin · Independent researcher · YuLab, Lipetsk, Russia</w:t>
      </w:r>
    </w:p>
    <w:p w14:paraId="08970C95" w14:textId="77777777" w:rsidR="00A277B1" w:rsidRDefault="00A277B1">
      <w:pPr>
        <w:pStyle w:val="MetaValue"/>
      </w:pPr>
      <w:r>
        <w:t xml:space="preserve">ORCID: </w:t>
      </w:r>
      <w:hyperlink r:id="rId22">
        <w:r>
          <w:t>0009-0004-0432-5336</w:t>
        </w:r>
      </w:hyperlink>
    </w:p>
    <w:p w14:paraId="25CA5CA3" w14:textId="77777777" w:rsidR="00A277B1" w:rsidRPr="00A277B1" w:rsidRDefault="00A277B1">
      <w:pPr>
        <w:rPr>
          <w:rFonts w:asciiTheme="minorHAnsi" w:hAnsiTheme="minorHAnsi" w:cs="JetBrains Mono"/>
        </w:rPr>
        <w:sectPr w:rsidR="00A277B1" w:rsidRPr="00A277B1">
          <w:pgSz w:w="11906" w:h="16838"/>
          <w:pgMar w:top="1247" w:right="1304" w:bottom="1134" w:left="1304" w:header="567" w:footer="567" w:gutter="0"/>
          <w:cols w:space="720"/>
          <w:docGrid w:linePitch="360"/>
        </w:sectPr>
      </w:pPr>
    </w:p>
    <w:p w14:paraId="5F50AF02" w14:textId="77777777" w:rsidR="001F0D49" w:rsidRDefault="00000000">
      <w:pPr>
        <w:pStyle w:val="aff"/>
      </w:pPr>
      <w:r>
        <w:lastRenderedPageBreak/>
        <w:t>Contents</w:t>
      </w:r>
    </w:p>
    <w:p w14:paraId="00438970" w14:textId="59061FF7" w:rsidR="00F86C14" w:rsidRDefault="00000000">
      <w:pPr>
        <w:pStyle w:val="14"/>
        <w:tabs>
          <w:tab w:val="right" w:leader="dot" w:pos="9288"/>
        </w:tabs>
        <w:rPr>
          <w:rFonts w:eastAsiaTheme="minorEastAsia" w:cstheme="minorBidi"/>
          <w:noProof/>
          <w:color w:val="auto"/>
          <w:kern w:val="2"/>
          <w:sz w:val="24"/>
          <w:szCs w:val="24"/>
          <w:lang w:val="ru-RU" w:eastAsia="ru-RU"/>
          <w14:ligatures w14:val="standardContextual"/>
        </w:rPr>
      </w:pPr>
      <w:r>
        <w:fldChar w:fldCharType="begin"/>
      </w:r>
      <w:r>
        <w:instrText xml:space="preserve"> TOC \o "1-2" \h \z </w:instrText>
      </w:r>
      <w:r>
        <w:fldChar w:fldCharType="separate"/>
      </w:r>
      <w:hyperlink w:anchor="_Toc226514437" w:history="1">
        <w:r w:rsidR="00F86C14" w:rsidRPr="008A6FFA">
          <w:rPr>
            <w:rStyle w:val="aff8"/>
            <w:noProof/>
          </w:rPr>
          <w:t>Adaptation Threshold Dynamics</w:t>
        </w:r>
        <w:r w:rsidR="00F86C14">
          <w:rPr>
            <w:noProof/>
            <w:webHidden/>
          </w:rPr>
          <w:tab/>
        </w:r>
        <w:r w:rsidR="00F86C14">
          <w:rPr>
            <w:noProof/>
            <w:webHidden/>
          </w:rPr>
          <w:fldChar w:fldCharType="begin"/>
        </w:r>
        <w:r w:rsidR="00F86C14">
          <w:rPr>
            <w:noProof/>
            <w:webHidden/>
          </w:rPr>
          <w:instrText xml:space="preserve"> PAGEREF _Toc226514437 \h </w:instrText>
        </w:r>
        <w:r w:rsidR="00F86C14">
          <w:rPr>
            <w:noProof/>
            <w:webHidden/>
          </w:rPr>
        </w:r>
        <w:r w:rsidR="00F86C14">
          <w:rPr>
            <w:noProof/>
            <w:webHidden/>
          </w:rPr>
          <w:fldChar w:fldCharType="separate"/>
        </w:r>
        <w:r w:rsidR="00F86C14">
          <w:rPr>
            <w:noProof/>
            <w:webHidden/>
          </w:rPr>
          <w:t>2</w:t>
        </w:r>
        <w:r w:rsidR="00F86C14">
          <w:rPr>
            <w:noProof/>
            <w:webHidden/>
          </w:rPr>
          <w:fldChar w:fldCharType="end"/>
        </w:r>
      </w:hyperlink>
    </w:p>
    <w:p w14:paraId="39FC4775" w14:textId="6FED2521" w:rsidR="00F86C14" w:rsidRDefault="00F86C14">
      <w:pPr>
        <w:pStyle w:val="2c"/>
        <w:tabs>
          <w:tab w:val="right" w:leader="dot" w:pos="9288"/>
        </w:tabs>
        <w:rPr>
          <w:rFonts w:asciiTheme="minorHAnsi" w:eastAsiaTheme="minorEastAsia" w:hAnsiTheme="minorHAnsi" w:cstheme="minorBidi"/>
          <w:noProof/>
          <w:color w:val="auto"/>
          <w:kern w:val="2"/>
          <w:sz w:val="24"/>
          <w:szCs w:val="24"/>
          <w:lang w:val="ru-RU" w:eastAsia="ru-RU"/>
          <w14:ligatures w14:val="standardContextual"/>
        </w:rPr>
      </w:pPr>
      <w:hyperlink w:anchor="_Toc226514438" w:history="1">
        <w:r w:rsidRPr="008A6FFA">
          <w:rPr>
            <w:rStyle w:val="aff8"/>
            <w:noProof/>
          </w:rPr>
          <w:t>Abstract</w:t>
        </w:r>
        <w:r>
          <w:rPr>
            <w:noProof/>
            <w:webHidden/>
          </w:rPr>
          <w:tab/>
        </w:r>
        <w:r>
          <w:rPr>
            <w:noProof/>
            <w:webHidden/>
          </w:rPr>
          <w:fldChar w:fldCharType="begin"/>
        </w:r>
        <w:r>
          <w:rPr>
            <w:noProof/>
            <w:webHidden/>
          </w:rPr>
          <w:instrText xml:space="preserve"> PAGEREF _Toc226514438 \h </w:instrText>
        </w:r>
        <w:r>
          <w:rPr>
            <w:noProof/>
            <w:webHidden/>
          </w:rPr>
        </w:r>
        <w:r>
          <w:rPr>
            <w:noProof/>
            <w:webHidden/>
          </w:rPr>
          <w:fldChar w:fldCharType="separate"/>
        </w:r>
        <w:r>
          <w:rPr>
            <w:noProof/>
            <w:webHidden/>
          </w:rPr>
          <w:t>2</w:t>
        </w:r>
        <w:r>
          <w:rPr>
            <w:noProof/>
            <w:webHidden/>
          </w:rPr>
          <w:fldChar w:fldCharType="end"/>
        </w:r>
      </w:hyperlink>
    </w:p>
    <w:p w14:paraId="1E4E2F12" w14:textId="295BD3E5" w:rsidR="00F86C14" w:rsidRDefault="00F86C14">
      <w:pPr>
        <w:pStyle w:val="2c"/>
        <w:tabs>
          <w:tab w:val="right" w:leader="dot" w:pos="9288"/>
        </w:tabs>
        <w:rPr>
          <w:rFonts w:asciiTheme="minorHAnsi" w:eastAsiaTheme="minorEastAsia" w:hAnsiTheme="minorHAnsi" w:cstheme="minorBidi"/>
          <w:noProof/>
          <w:color w:val="auto"/>
          <w:kern w:val="2"/>
          <w:sz w:val="24"/>
          <w:szCs w:val="24"/>
          <w:lang w:val="ru-RU" w:eastAsia="ru-RU"/>
          <w14:ligatures w14:val="standardContextual"/>
        </w:rPr>
      </w:pPr>
      <w:hyperlink w:anchor="_Toc226514439" w:history="1">
        <w:r w:rsidRPr="008A6FFA">
          <w:rPr>
            <w:rStyle w:val="aff8"/>
            <w:noProof/>
          </w:rPr>
          <w:t>Keywords</w:t>
        </w:r>
        <w:r>
          <w:rPr>
            <w:noProof/>
            <w:webHidden/>
          </w:rPr>
          <w:tab/>
        </w:r>
        <w:r>
          <w:rPr>
            <w:noProof/>
            <w:webHidden/>
          </w:rPr>
          <w:fldChar w:fldCharType="begin"/>
        </w:r>
        <w:r>
          <w:rPr>
            <w:noProof/>
            <w:webHidden/>
          </w:rPr>
          <w:instrText xml:space="preserve"> PAGEREF _Toc226514439 \h </w:instrText>
        </w:r>
        <w:r>
          <w:rPr>
            <w:noProof/>
            <w:webHidden/>
          </w:rPr>
        </w:r>
        <w:r>
          <w:rPr>
            <w:noProof/>
            <w:webHidden/>
          </w:rPr>
          <w:fldChar w:fldCharType="separate"/>
        </w:r>
        <w:r>
          <w:rPr>
            <w:noProof/>
            <w:webHidden/>
          </w:rPr>
          <w:t>3</w:t>
        </w:r>
        <w:r>
          <w:rPr>
            <w:noProof/>
            <w:webHidden/>
          </w:rPr>
          <w:fldChar w:fldCharType="end"/>
        </w:r>
      </w:hyperlink>
    </w:p>
    <w:p w14:paraId="3870860E" w14:textId="28C37900" w:rsidR="00F86C14" w:rsidRDefault="00F86C14">
      <w:pPr>
        <w:pStyle w:val="2c"/>
        <w:tabs>
          <w:tab w:val="right" w:leader="dot" w:pos="9288"/>
        </w:tabs>
        <w:rPr>
          <w:rFonts w:asciiTheme="minorHAnsi" w:eastAsiaTheme="minorEastAsia" w:hAnsiTheme="minorHAnsi" w:cstheme="minorBidi"/>
          <w:noProof/>
          <w:color w:val="auto"/>
          <w:kern w:val="2"/>
          <w:sz w:val="24"/>
          <w:szCs w:val="24"/>
          <w:lang w:val="ru-RU" w:eastAsia="ru-RU"/>
          <w14:ligatures w14:val="standardContextual"/>
        </w:rPr>
      </w:pPr>
      <w:hyperlink w:anchor="_Toc226514440" w:history="1">
        <w:r w:rsidRPr="008A6FFA">
          <w:rPr>
            <w:rStyle w:val="aff8"/>
            <w:noProof/>
          </w:rPr>
          <w:t>List of abbreviations</w:t>
        </w:r>
        <w:r>
          <w:rPr>
            <w:noProof/>
            <w:webHidden/>
          </w:rPr>
          <w:tab/>
        </w:r>
        <w:r>
          <w:rPr>
            <w:noProof/>
            <w:webHidden/>
          </w:rPr>
          <w:fldChar w:fldCharType="begin"/>
        </w:r>
        <w:r>
          <w:rPr>
            <w:noProof/>
            <w:webHidden/>
          </w:rPr>
          <w:instrText xml:space="preserve"> PAGEREF _Toc226514440 \h </w:instrText>
        </w:r>
        <w:r>
          <w:rPr>
            <w:noProof/>
            <w:webHidden/>
          </w:rPr>
        </w:r>
        <w:r>
          <w:rPr>
            <w:noProof/>
            <w:webHidden/>
          </w:rPr>
          <w:fldChar w:fldCharType="separate"/>
        </w:r>
        <w:r>
          <w:rPr>
            <w:noProof/>
            <w:webHidden/>
          </w:rPr>
          <w:t>3</w:t>
        </w:r>
        <w:r>
          <w:rPr>
            <w:noProof/>
            <w:webHidden/>
          </w:rPr>
          <w:fldChar w:fldCharType="end"/>
        </w:r>
      </w:hyperlink>
    </w:p>
    <w:p w14:paraId="4FD3899F" w14:textId="6B64D33F" w:rsidR="00F86C14" w:rsidRDefault="00F86C14">
      <w:pPr>
        <w:pStyle w:val="2c"/>
        <w:tabs>
          <w:tab w:val="right" w:leader="dot" w:pos="9288"/>
        </w:tabs>
        <w:rPr>
          <w:rFonts w:asciiTheme="minorHAnsi" w:eastAsiaTheme="minorEastAsia" w:hAnsiTheme="minorHAnsi" w:cstheme="minorBidi"/>
          <w:noProof/>
          <w:color w:val="auto"/>
          <w:kern w:val="2"/>
          <w:sz w:val="24"/>
          <w:szCs w:val="24"/>
          <w:lang w:val="ru-RU" w:eastAsia="ru-RU"/>
          <w14:ligatures w14:val="standardContextual"/>
        </w:rPr>
      </w:pPr>
      <w:hyperlink w:anchor="_Toc226514441" w:history="1">
        <w:r w:rsidRPr="008A6FFA">
          <w:rPr>
            <w:rStyle w:val="aff8"/>
            <w:noProof/>
          </w:rPr>
          <w:t>1. Introduction</w:t>
        </w:r>
        <w:r>
          <w:rPr>
            <w:noProof/>
            <w:webHidden/>
          </w:rPr>
          <w:tab/>
        </w:r>
        <w:r>
          <w:rPr>
            <w:noProof/>
            <w:webHidden/>
          </w:rPr>
          <w:fldChar w:fldCharType="begin"/>
        </w:r>
        <w:r>
          <w:rPr>
            <w:noProof/>
            <w:webHidden/>
          </w:rPr>
          <w:instrText xml:space="preserve"> PAGEREF _Toc226514441 \h </w:instrText>
        </w:r>
        <w:r>
          <w:rPr>
            <w:noProof/>
            <w:webHidden/>
          </w:rPr>
        </w:r>
        <w:r>
          <w:rPr>
            <w:noProof/>
            <w:webHidden/>
          </w:rPr>
          <w:fldChar w:fldCharType="separate"/>
        </w:r>
        <w:r>
          <w:rPr>
            <w:noProof/>
            <w:webHidden/>
          </w:rPr>
          <w:t>3</w:t>
        </w:r>
        <w:r>
          <w:rPr>
            <w:noProof/>
            <w:webHidden/>
          </w:rPr>
          <w:fldChar w:fldCharType="end"/>
        </w:r>
      </w:hyperlink>
    </w:p>
    <w:p w14:paraId="01537DFE" w14:textId="74728D2C" w:rsidR="00F86C14" w:rsidRDefault="00F86C14">
      <w:pPr>
        <w:pStyle w:val="2c"/>
        <w:tabs>
          <w:tab w:val="right" w:leader="dot" w:pos="9288"/>
        </w:tabs>
        <w:rPr>
          <w:rFonts w:asciiTheme="minorHAnsi" w:eastAsiaTheme="minorEastAsia" w:hAnsiTheme="minorHAnsi" w:cstheme="minorBidi"/>
          <w:noProof/>
          <w:color w:val="auto"/>
          <w:kern w:val="2"/>
          <w:sz w:val="24"/>
          <w:szCs w:val="24"/>
          <w:lang w:val="ru-RU" w:eastAsia="ru-RU"/>
          <w14:ligatures w14:val="standardContextual"/>
        </w:rPr>
      </w:pPr>
      <w:hyperlink w:anchor="_Toc226514442" w:history="1">
        <w:r w:rsidRPr="008A6FFA">
          <w:rPr>
            <w:rStyle w:val="aff8"/>
            <w:noProof/>
          </w:rPr>
          <w:t>2. Materials and methods</w:t>
        </w:r>
        <w:r>
          <w:rPr>
            <w:noProof/>
            <w:webHidden/>
          </w:rPr>
          <w:tab/>
        </w:r>
        <w:r>
          <w:rPr>
            <w:noProof/>
            <w:webHidden/>
          </w:rPr>
          <w:fldChar w:fldCharType="begin"/>
        </w:r>
        <w:r>
          <w:rPr>
            <w:noProof/>
            <w:webHidden/>
          </w:rPr>
          <w:instrText xml:space="preserve"> PAGEREF _Toc226514442 \h </w:instrText>
        </w:r>
        <w:r>
          <w:rPr>
            <w:noProof/>
            <w:webHidden/>
          </w:rPr>
        </w:r>
        <w:r>
          <w:rPr>
            <w:noProof/>
            <w:webHidden/>
          </w:rPr>
          <w:fldChar w:fldCharType="separate"/>
        </w:r>
        <w:r>
          <w:rPr>
            <w:noProof/>
            <w:webHidden/>
          </w:rPr>
          <w:t>4</w:t>
        </w:r>
        <w:r>
          <w:rPr>
            <w:noProof/>
            <w:webHidden/>
          </w:rPr>
          <w:fldChar w:fldCharType="end"/>
        </w:r>
      </w:hyperlink>
    </w:p>
    <w:p w14:paraId="7B153BF5" w14:textId="090EBB54" w:rsidR="00F86C14" w:rsidRDefault="00F86C14">
      <w:pPr>
        <w:pStyle w:val="2c"/>
        <w:tabs>
          <w:tab w:val="right" w:leader="dot" w:pos="9288"/>
        </w:tabs>
        <w:rPr>
          <w:rFonts w:asciiTheme="minorHAnsi" w:eastAsiaTheme="minorEastAsia" w:hAnsiTheme="minorHAnsi" w:cstheme="minorBidi"/>
          <w:noProof/>
          <w:color w:val="auto"/>
          <w:kern w:val="2"/>
          <w:sz w:val="24"/>
          <w:szCs w:val="24"/>
          <w:lang w:val="ru-RU" w:eastAsia="ru-RU"/>
          <w14:ligatures w14:val="standardContextual"/>
        </w:rPr>
      </w:pPr>
      <w:hyperlink w:anchor="_Toc226514443" w:history="1">
        <w:r w:rsidRPr="008A6FFA">
          <w:rPr>
            <w:rStyle w:val="aff8"/>
            <w:noProof/>
          </w:rPr>
          <w:t>3. Results</w:t>
        </w:r>
        <w:r>
          <w:rPr>
            <w:noProof/>
            <w:webHidden/>
          </w:rPr>
          <w:tab/>
        </w:r>
        <w:r>
          <w:rPr>
            <w:noProof/>
            <w:webHidden/>
          </w:rPr>
          <w:fldChar w:fldCharType="begin"/>
        </w:r>
        <w:r>
          <w:rPr>
            <w:noProof/>
            <w:webHidden/>
          </w:rPr>
          <w:instrText xml:space="preserve"> PAGEREF _Toc226514443 \h </w:instrText>
        </w:r>
        <w:r>
          <w:rPr>
            <w:noProof/>
            <w:webHidden/>
          </w:rPr>
        </w:r>
        <w:r>
          <w:rPr>
            <w:noProof/>
            <w:webHidden/>
          </w:rPr>
          <w:fldChar w:fldCharType="separate"/>
        </w:r>
        <w:r>
          <w:rPr>
            <w:noProof/>
            <w:webHidden/>
          </w:rPr>
          <w:t>8</w:t>
        </w:r>
        <w:r>
          <w:rPr>
            <w:noProof/>
            <w:webHidden/>
          </w:rPr>
          <w:fldChar w:fldCharType="end"/>
        </w:r>
      </w:hyperlink>
    </w:p>
    <w:p w14:paraId="78AA192B" w14:textId="368D51CC" w:rsidR="00F86C14" w:rsidRDefault="00F86C14">
      <w:pPr>
        <w:pStyle w:val="2c"/>
        <w:tabs>
          <w:tab w:val="right" w:leader="dot" w:pos="9288"/>
        </w:tabs>
        <w:rPr>
          <w:rFonts w:asciiTheme="minorHAnsi" w:eastAsiaTheme="minorEastAsia" w:hAnsiTheme="minorHAnsi" w:cstheme="minorBidi"/>
          <w:noProof/>
          <w:color w:val="auto"/>
          <w:kern w:val="2"/>
          <w:sz w:val="24"/>
          <w:szCs w:val="24"/>
          <w:lang w:val="ru-RU" w:eastAsia="ru-RU"/>
          <w14:ligatures w14:val="standardContextual"/>
        </w:rPr>
      </w:pPr>
      <w:hyperlink w:anchor="_Toc226514444" w:history="1">
        <w:r w:rsidRPr="008A6FFA">
          <w:rPr>
            <w:rStyle w:val="aff8"/>
            <w:noProof/>
          </w:rPr>
          <w:t>4. Discussion</w:t>
        </w:r>
        <w:r>
          <w:rPr>
            <w:noProof/>
            <w:webHidden/>
          </w:rPr>
          <w:tab/>
        </w:r>
        <w:r>
          <w:rPr>
            <w:noProof/>
            <w:webHidden/>
          </w:rPr>
          <w:fldChar w:fldCharType="begin"/>
        </w:r>
        <w:r>
          <w:rPr>
            <w:noProof/>
            <w:webHidden/>
          </w:rPr>
          <w:instrText xml:space="preserve"> PAGEREF _Toc226514444 \h </w:instrText>
        </w:r>
        <w:r>
          <w:rPr>
            <w:noProof/>
            <w:webHidden/>
          </w:rPr>
        </w:r>
        <w:r>
          <w:rPr>
            <w:noProof/>
            <w:webHidden/>
          </w:rPr>
          <w:fldChar w:fldCharType="separate"/>
        </w:r>
        <w:r>
          <w:rPr>
            <w:noProof/>
            <w:webHidden/>
          </w:rPr>
          <w:t>20</w:t>
        </w:r>
        <w:r>
          <w:rPr>
            <w:noProof/>
            <w:webHidden/>
          </w:rPr>
          <w:fldChar w:fldCharType="end"/>
        </w:r>
      </w:hyperlink>
    </w:p>
    <w:p w14:paraId="3094730B" w14:textId="05DF8557" w:rsidR="00F86C14" w:rsidRDefault="00F86C14">
      <w:pPr>
        <w:pStyle w:val="2c"/>
        <w:tabs>
          <w:tab w:val="right" w:leader="dot" w:pos="9288"/>
        </w:tabs>
        <w:rPr>
          <w:rFonts w:asciiTheme="minorHAnsi" w:eastAsiaTheme="minorEastAsia" w:hAnsiTheme="minorHAnsi" w:cstheme="minorBidi"/>
          <w:noProof/>
          <w:color w:val="auto"/>
          <w:kern w:val="2"/>
          <w:sz w:val="24"/>
          <w:szCs w:val="24"/>
          <w:lang w:val="ru-RU" w:eastAsia="ru-RU"/>
          <w14:ligatures w14:val="standardContextual"/>
        </w:rPr>
      </w:pPr>
      <w:hyperlink w:anchor="_Toc226514445" w:history="1">
        <w:r w:rsidRPr="008A6FFA">
          <w:rPr>
            <w:rStyle w:val="aff8"/>
            <w:noProof/>
          </w:rPr>
          <w:t>5. Conclusions</w:t>
        </w:r>
        <w:r>
          <w:rPr>
            <w:noProof/>
            <w:webHidden/>
          </w:rPr>
          <w:tab/>
        </w:r>
        <w:r>
          <w:rPr>
            <w:noProof/>
            <w:webHidden/>
          </w:rPr>
          <w:fldChar w:fldCharType="begin"/>
        </w:r>
        <w:r>
          <w:rPr>
            <w:noProof/>
            <w:webHidden/>
          </w:rPr>
          <w:instrText xml:space="preserve"> PAGEREF _Toc226514445 \h </w:instrText>
        </w:r>
        <w:r>
          <w:rPr>
            <w:noProof/>
            <w:webHidden/>
          </w:rPr>
        </w:r>
        <w:r>
          <w:rPr>
            <w:noProof/>
            <w:webHidden/>
          </w:rPr>
          <w:fldChar w:fldCharType="separate"/>
        </w:r>
        <w:r>
          <w:rPr>
            <w:noProof/>
            <w:webHidden/>
          </w:rPr>
          <w:t>27</w:t>
        </w:r>
        <w:r>
          <w:rPr>
            <w:noProof/>
            <w:webHidden/>
          </w:rPr>
          <w:fldChar w:fldCharType="end"/>
        </w:r>
      </w:hyperlink>
    </w:p>
    <w:p w14:paraId="4A0E408A" w14:textId="214AB743" w:rsidR="00F86C14" w:rsidRDefault="00F86C14">
      <w:pPr>
        <w:pStyle w:val="2c"/>
        <w:tabs>
          <w:tab w:val="right" w:leader="dot" w:pos="9288"/>
        </w:tabs>
        <w:rPr>
          <w:rFonts w:asciiTheme="minorHAnsi" w:eastAsiaTheme="minorEastAsia" w:hAnsiTheme="minorHAnsi" w:cstheme="minorBidi"/>
          <w:noProof/>
          <w:color w:val="auto"/>
          <w:kern w:val="2"/>
          <w:sz w:val="24"/>
          <w:szCs w:val="24"/>
          <w:lang w:val="ru-RU" w:eastAsia="ru-RU"/>
          <w14:ligatures w14:val="standardContextual"/>
        </w:rPr>
      </w:pPr>
      <w:hyperlink w:anchor="_Toc226514446" w:history="1">
        <w:r w:rsidRPr="008A6FFA">
          <w:rPr>
            <w:rStyle w:val="aff8"/>
            <w:noProof/>
          </w:rPr>
          <w:t>Author contributions</w:t>
        </w:r>
        <w:r>
          <w:rPr>
            <w:noProof/>
            <w:webHidden/>
          </w:rPr>
          <w:tab/>
        </w:r>
        <w:r>
          <w:rPr>
            <w:noProof/>
            <w:webHidden/>
          </w:rPr>
          <w:fldChar w:fldCharType="begin"/>
        </w:r>
        <w:r>
          <w:rPr>
            <w:noProof/>
            <w:webHidden/>
          </w:rPr>
          <w:instrText xml:space="preserve"> PAGEREF _Toc226514446 \h </w:instrText>
        </w:r>
        <w:r>
          <w:rPr>
            <w:noProof/>
            <w:webHidden/>
          </w:rPr>
        </w:r>
        <w:r>
          <w:rPr>
            <w:noProof/>
            <w:webHidden/>
          </w:rPr>
          <w:fldChar w:fldCharType="separate"/>
        </w:r>
        <w:r>
          <w:rPr>
            <w:noProof/>
            <w:webHidden/>
          </w:rPr>
          <w:t>27</w:t>
        </w:r>
        <w:r>
          <w:rPr>
            <w:noProof/>
            <w:webHidden/>
          </w:rPr>
          <w:fldChar w:fldCharType="end"/>
        </w:r>
      </w:hyperlink>
    </w:p>
    <w:p w14:paraId="1FCEDC48" w14:textId="29C2AA45" w:rsidR="00F86C14" w:rsidRDefault="00F86C14">
      <w:pPr>
        <w:pStyle w:val="2c"/>
        <w:tabs>
          <w:tab w:val="right" w:leader="dot" w:pos="9288"/>
        </w:tabs>
        <w:rPr>
          <w:rFonts w:asciiTheme="minorHAnsi" w:eastAsiaTheme="minorEastAsia" w:hAnsiTheme="minorHAnsi" w:cstheme="minorBidi"/>
          <w:noProof/>
          <w:color w:val="auto"/>
          <w:kern w:val="2"/>
          <w:sz w:val="24"/>
          <w:szCs w:val="24"/>
          <w:lang w:val="ru-RU" w:eastAsia="ru-RU"/>
          <w14:ligatures w14:val="standardContextual"/>
        </w:rPr>
      </w:pPr>
      <w:hyperlink w:anchor="_Toc226514447" w:history="1">
        <w:r w:rsidRPr="008A6FFA">
          <w:rPr>
            <w:rStyle w:val="aff8"/>
            <w:noProof/>
          </w:rPr>
          <w:t>Funding</w:t>
        </w:r>
        <w:r>
          <w:rPr>
            <w:noProof/>
            <w:webHidden/>
          </w:rPr>
          <w:tab/>
        </w:r>
        <w:r>
          <w:rPr>
            <w:noProof/>
            <w:webHidden/>
          </w:rPr>
          <w:fldChar w:fldCharType="begin"/>
        </w:r>
        <w:r>
          <w:rPr>
            <w:noProof/>
            <w:webHidden/>
          </w:rPr>
          <w:instrText xml:space="preserve"> PAGEREF _Toc226514447 \h </w:instrText>
        </w:r>
        <w:r>
          <w:rPr>
            <w:noProof/>
            <w:webHidden/>
          </w:rPr>
        </w:r>
        <w:r>
          <w:rPr>
            <w:noProof/>
            <w:webHidden/>
          </w:rPr>
          <w:fldChar w:fldCharType="separate"/>
        </w:r>
        <w:r>
          <w:rPr>
            <w:noProof/>
            <w:webHidden/>
          </w:rPr>
          <w:t>28</w:t>
        </w:r>
        <w:r>
          <w:rPr>
            <w:noProof/>
            <w:webHidden/>
          </w:rPr>
          <w:fldChar w:fldCharType="end"/>
        </w:r>
      </w:hyperlink>
    </w:p>
    <w:p w14:paraId="5DE56A14" w14:textId="38BF9ADB" w:rsidR="00F86C14" w:rsidRDefault="00F86C14">
      <w:pPr>
        <w:pStyle w:val="2c"/>
        <w:tabs>
          <w:tab w:val="right" w:leader="dot" w:pos="9288"/>
        </w:tabs>
        <w:rPr>
          <w:rFonts w:asciiTheme="minorHAnsi" w:eastAsiaTheme="minorEastAsia" w:hAnsiTheme="minorHAnsi" w:cstheme="minorBidi"/>
          <w:noProof/>
          <w:color w:val="auto"/>
          <w:kern w:val="2"/>
          <w:sz w:val="24"/>
          <w:szCs w:val="24"/>
          <w:lang w:val="ru-RU" w:eastAsia="ru-RU"/>
          <w14:ligatures w14:val="standardContextual"/>
        </w:rPr>
      </w:pPr>
      <w:hyperlink w:anchor="_Toc226514448" w:history="1">
        <w:r w:rsidRPr="008A6FFA">
          <w:rPr>
            <w:rStyle w:val="aff8"/>
            <w:noProof/>
          </w:rPr>
          <w:t>Institutional Review Board Statement</w:t>
        </w:r>
        <w:r>
          <w:rPr>
            <w:noProof/>
            <w:webHidden/>
          </w:rPr>
          <w:tab/>
        </w:r>
        <w:r>
          <w:rPr>
            <w:noProof/>
            <w:webHidden/>
          </w:rPr>
          <w:fldChar w:fldCharType="begin"/>
        </w:r>
        <w:r>
          <w:rPr>
            <w:noProof/>
            <w:webHidden/>
          </w:rPr>
          <w:instrText xml:space="preserve"> PAGEREF _Toc226514448 \h </w:instrText>
        </w:r>
        <w:r>
          <w:rPr>
            <w:noProof/>
            <w:webHidden/>
          </w:rPr>
        </w:r>
        <w:r>
          <w:rPr>
            <w:noProof/>
            <w:webHidden/>
          </w:rPr>
          <w:fldChar w:fldCharType="separate"/>
        </w:r>
        <w:r>
          <w:rPr>
            <w:noProof/>
            <w:webHidden/>
          </w:rPr>
          <w:t>28</w:t>
        </w:r>
        <w:r>
          <w:rPr>
            <w:noProof/>
            <w:webHidden/>
          </w:rPr>
          <w:fldChar w:fldCharType="end"/>
        </w:r>
      </w:hyperlink>
    </w:p>
    <w:p w14:paraId="45237CBF" w14:textId="27600FF5" w:rsidR="00F86C14" w:rsidRDefault="00F86C14">
      <w:pPr>
        <w:pStyle w:val="2c"/>
        <w:tabs>
          <w:tab w:val="right" w:leader="dot" w:pos="9288"/>
        </w:tabs>
        <w:rPr>
          <w:rFonts w:asciiTheme="minorHAnsi" w:eastAsiaTheme="minorEastAsia" w:hAnsiTheme="minorHAnsi" w:cstheme="minorBidi"/>
          <w:noProof/>
          <w:color w:val="auto"/>
          <w:kern w:val="2"/>
          <w:sz w:val="24"/>
          <w:szCs w:val="24"/>
          <w:lang w:val="ru-RU" w:eastAsia="ru-RU"/>
          <w14:ligatures w14:val="standardContextual"/>
        </w:rPr>
      </w:pPr>
      <w:hyperlink w:anchor="_Toc226514449" w:history="1">
        <w:r w:rsidRPr="008A6FFA">
          <w:rPr>
            <w:rStyle w:val="aff8"/>
            <w:noProof/>
          </w:rPr>
          <w:t>Informed Consent Statement</w:t>
        </w:r>
        <w:r>
          <w:rPr>
            <w:noProof/>
            <w:webHidden/>
          </w:rPr>
          <w:tab/>
        </w:r>
        <w:r>
          <w:rPr>
            <w:noProof/>
            <w:webHidden/>
          </w:rPr>
          <w:fldChar w:fldCharType="begin"/>
        </w:r>
        <w:r>
          <w:rPr>
            <w:noProof/>
            <w:webHidden/>
          </w:rPr>
          <w:instrText xml:space="preserve"> PAGEREF _Toc226514449 \h </w:instrText>
        </w:r>
        <w:r>
          <w:rPr>
            <w:noProof/>
            <w:webHidden/>
          </w:rPr>
        </w:r>
        <w:r>
          <w:rPr>
            <w:noProof/>
            <w:webHidden/>
          </w:rPr>
          <w:fldChar w:fldCharType="separate"/>
        </w:r>
        <w:r>
          <w:rPr>
            <w:noProof/>
            <w:webHidden/>
          </w:rPr>
          <w:t>28</w:t>
        </w:r>
        <w:r>
          <w:rPr>
            <w:noProof/>
            <w:webHidden/>
          </w:rPr>
          <w:fldChar w:fldCharType="end"/>
        </w:r>
      </w:hyperlink>
    </w:p>
    <w:p w14:paraId="7D759269" w14:textId="5C7AD93F" w:rsidR="00F86C14" w:rsidRDefault="00F86C14">
      <w:pPr>
        <w:pStyle w:val="2c"/>
        <w:tabs>
          <w:tab w:val="right" w:leader="dot" w:pos="9288"/>
        </w:tabs>
        <w:rPr>
          <w:rFonts w:asciiTheme="minorHAnsi" w:eastAsiaTheme="minorEastAsia" w:hAnsiTheme="minorHAnsi" w:cstheme="minorBidi"/>
          <w:noProof/>
          <w:color w:val="auto"/>
          <w:kern w:val="2"/>
          <w:sz w:val="24"/>
          <w:szCs w:val="24"/>
          <w:lang w:val="ru-RU" w:eastAsia="ru-RU"/>
          <w14:ligatures w14:val="standardContextual"/>
        </w:rPr>
      </w:pPr>
      <w:hyperlink w:anchor="_Toc226514450" w:history="1">
        <w:r w:rsidRPr="008A6FFA">
          <w:rPr>
            <w:rStyle w:val="aff8"/>
            <w:noProof/>
          </w:rPr>
          <w:t>Data Availability Statement</w:t>
        </w:r>
        <w:r>
          <w:rPr>
            <w:noProof/>
            <w:webHidden/>
          </w:rPr>
          <w:tab/>
        </w:r>
        <w:r>
          <w:rPr>
            <w:noProof/>
            <w:webHidden/>
          </w:rPr>
          <w:fldChar w:fldCharType="begin"/>
        </w:r>
        <w:r>
          <w:rPr>
            <w:noProof/>
            <w:webHidden/>
          </w:rPr>
          <w:instrText xml:space="preserve"> PAGEREF _Toc226514450 \h </w:instrText>
        </w:r>
        <w:r>
          <w:rPr>
            <w:noProof/>
            <w:webHidden/>
          </w:rPr>
        </w:r>
        <w:r>
          <w:rPr>
            <w:noProof/>
            <w:webHidden/>
          </w:rPr>
          <w:fldChar w:fldCharType="separate"/>
        </w:r>
        <w:r>
          <w:rPr>
            <w:noProof/>
            <w:webHidden/>
          </w:rPr>
          <w:t>28</w:t>
        </w:r>
        <w:r>
          <w:rPr>
            <w:noProof/>
            <w:webHidden/>
          </w:rPr>
          <w:fldChar w:fldCharType="end"/>
        </w:r>
      </w:hyperlink>
    </w:p>
    <w:p w14:paraId="227EBCFC" w14:textId="770F326E" w:rsidR="00F86C14" w:rsidRDefault="00F86C14">
      <w:pPr>
        <w:pStyle w:val="2c"/>
        <w:tabs>
          <w:tab w:val="right" w:leader="dot" w:pos="9288"/>
        </w:tabs>
        <w:rPr>
          <w:rFonts w:asciiTheme="minorHAnsi" w:eastAsiaTheme="minorEastAsia" w:hAnsiTheme="minorHAnsi" w:cstheme="minorBidi"/>
          <w:noProof/>
          <w:color w:val="auto"/>
          <w:kern w:val="2"/>
          <w:sz w:val="24"/>
          <w:szCs w:val="24"/>
          <w:lang w:val="ru-RU" w:eastAsia="ru-RU"/>
          <w14:ligatures w14:val="standardContextual"/>
        </w:rPr>
      </w:pPr>
      <w:hyperlink w:anchor="_Toc226514451" w:history="1">
        <w:r w:rsidRPr="008A6FFA">
          <w:rPr>
            <w:rStyle w:val="aff8"/>
            <w:noProof/>
          </w:rPr>
          <w:t>Use of AI tools</w:t>
        </w:r>
        <w:r>
          <w:rPr>
            <w:noProof/>
            <w:webHidden/>
          </w:rPr>
          <w:tab/>
        </w:r>
        <w:r>
          <w:rPr>
            <w:noProof/>
            <w:webHidden/>
          </w:rPr>
          <w:fldChar w:fldCharType="begin"/>
        </w:r>
        <w:r>
          <w:rPr>
            <w:noProof/>
            <w:webHidden/>
          </w:rPr>
          <w:instrText xml:space="preserve"> PAGEREF _Toc226514451 \h </w:instrText>
        </w:r>
        <w:r>
          <w:rPr>
            <w:noProof/>
            <w:webHidden/>
          </w:rPr>
        </w:r>
        <w:r>
          <w:rPr>
            <w:noProof/>
            <w:webHidden/>
          </w:rPr>
          <w:fldChar w:fldCharType="separate"/>
        </w:r>
        <w:r>
          <w:rPr>
            <w:noProof/>
            <w:webHidden/>
          </w:rPr>
          <w:t>28</w:t>
        </w:r>
        <w:r>
          <w:rPr>
            <w:noProof/>
            <w:webHidden/>
          </w:rPr>
          <w:fldChar w:fldCharType="end"/>
        </w:r>
      </w:hyperlink>
    </w:p>
    <w:p w14:paraId="7324C651" w14:textId="53128D25" w:rsidR="00F86C14" w:rsidRDefault="00F86C14">
      <w:pPr>
        <w:pStyle w:val="2c"/>
        <w:tabs>
          <w:tab w:val="right" w:leader="dot" w:pos="9288"/>
        </w:tabs>
        <w:rPr>
          <w:rFonts w:asciiTheme="minorHAnsi" w:eastAsiaTheme="minorEastAsia" w:hAnsiTheme="minorHAnsi" w:cstheme="minorBidi"/>
          <w:noProof/>
          <w:color w:val="auto"/>
          <w:kern w:val="2"/>
          <w:sz w:val="24"/>
          <w:szCs w:val="24"/>
          <w:lang w:val="ru-RU" w:eastAsia="ru-RU"/>
          <w14:ligatures w14:val="standardContextual"/>
        </w:rPr>
      </w:pPr>
      <w:hyperlink w:anchor="_Toc226514452" w:history="1">
        <w:r w:rsidRPr="008A6FFA">
          <w:rPr>
            <w:rStyle w:val="aff8"/>
            <w:noProof/>
          </w:rPr>
          <w:t>Acknowledgements</w:t>
        </w:r>
        <w:r>
          <w:rPr>
            <w:noProof/>
            <w:webHidden/>
          </w:rPr>
          <w:tab/>
        </w:r>
        <w:r>
          <w:rPr>
            <w:noProof/>
            <w:webHidden/>
          </w:rPr>
          <w:fldChar w:fldCharType="begin"/>
        </w:r>
        <w:r>
          <w:rPr>
            <w:noProof/>
            <w:webHidden/>
          </w:rPr>
          <w:instrText xml:space="preserve"> PAGEREF _Toc226514452 \h </w:instrText>
        </w:r>
        <w:r>
          <w:rPr>
            <w:noProof/>
            <w:webHidden/>
          </w:rPr>
        </w:r>
        <w:r>
          <w:rPr>
            <w:noProof/>
            <w:webHidden/>
          </w:rPr>
          <w:fldChar w:fldCharType="separate"/>
        </w:r>
        <w:r>
          <w:rPr>
            <w:noProof/>
            <w:webHidden/>
          </w:rPr>
          <w:t>28</w:t>
        </w:r>
        <w:r>
          <w:rPr>
            <w:noProof/>
            <w:webHidden/>
          </w:rPr>
          <w:fldChar w:fldCharType="end"/>
        </w:r>
      </w:hyperlink>
    </w:p>
    <w:p w14:paraId="64D90929" w14:textId="4D78FEC8" w:rsidR="00F86C14" w:rsidRDefault="00F86C14">
      <w:pPr>
        <w:pStyle w:val="2c"/>
        <w:tabs>
          <w:tab w:val="right" w:leader="dot" w:pos="9288"/>
        </w:tabs>
        <w:rPr>
          <w:rFonts w:asciiTheme="minorHAnsi" w:eastAsiaTheme="minorEastAsia" w:hAnsiTheme="minorHAnsi" w:cstheme="minorBidi"/>
          <w:noProof/>
          <w:color w:val="auto"/>
          <w:kern w:val="2"/>
          <w:sz w:val="24"/>
          <w:szCs w:val="24"/>
          <w:lang w:val="ru-RU" w:eastAsia="ru-RU"/>
          <w14:ligatures w14:val="standardContextual"/>
        </w:rPr>
      </w:pPr>
      <w:hyperlink w:anchor="_Toc226514453" w:history="1">
        <w:r w:rsidRPr="008A6FFA">
          <w:rPr>
            <w:rStyle w:val="aff8"/>
            <w:noProof/>
          </w:rPr>
          <w:t>Conflicts of interest</w:t>
        </w:r>
        <w:r>
          <w:rPr>
            <w:noProof/>
            <w:webHidden/>
          </w:rPr>
          <w:tab/>
        </w:r>
        <w:r>
          <w:rPr>
            <w:noProof/>
            <w:webHidden/>
          </w:rPr>
          <w:fldChar w:fldCharType="begin"/>
        </w:r>
        <w:r>
          <w:rPr>
            <w:noProof/>
            <w:webHidden/>
          </w:rPr>
          <w:instrText xml:space="preserve"> PAGEREF _Toc226514453 \h </w:instrText>
        </w:r>
        <w:r>
          <w:rPr>
            <w:noProof/>
            <w:webHidden/>
          </w:rPr>
        </w:r>
        <w:r>
          <w:rPr>
            <w:noProof/>
            <w:webHidden/>
          </w:rPr>
          <w:fldChar w:fldCharType="separate"/>
        </w:r>
        <w:r>
          <w:rPr>
            <w:noProof/>
            <w:webHidden/>
          </w:rPr>
          <w:t>28</w:t>
        </w:r>
        <w:r>
          <w:rPr>
            <w:noProof/>
            <w:webHidden/>
          </w:rPr>
          <w:fldChar w:fldCharType="end"/>
        </w:r>
      </w:hyperlink>
    </w:p>
    <w:p w14:paraId="75414DEC" w14:textId="7DAA79F4" w:rsidR="00F86C14" w:rsidRDefault="00F86C14">
      <w:pPr>
        <w:pStyle w:val="14"/>
        <w:tabs>
          <w:tab w:val="right" w:leader="dot" w:pos="9288"/>
        </w:tabs>
        <w:rPr>
          <w:rFonts w:eastAsiaTheme="minorEastAsia" w:cstheme="minorBidi"/>
          <w:noProof/>
          <w:color w:val="auto"/>
          <w:kern w:val="2"/>
          <w:sz w:val="24"/>
          <w:szCs w:val="24"/>
          <w:lang w:val="ru-RU" w:eastAsia="ru-RU"/>
          <w14:ligatures w14:val="standardContextual"/>
        </w:rPr>
      </w:pPr>
      <w:hyperlink w:anchor="_Toc226514454" w:history="1">
        <w:r w:rsidRPr="008A6FFA">
          <w:rPr>
            <w:rStyle w:val="aff8"/>
            <w:noProof/>
          </w:rPr>
          <w:t>Appendices</w:t>
        </w:r>
        <w:r>
          <w:rPr>
            <w:noProof/>
            <w:webHidden/>
          </w:rPr>
          <w:tab/>
        </w:r>
        <w:r>
          <w:rPr>
            <w:noProof/>
            <w:webHidden/>
          </w:rPr>
          <w:fldChar w:fldCharType="begin"/>
        </w:r>
        <w:r>
          <w:rPr>
            <w:noProof/>
            <w:webHidden/>
          </w:rPr>
          <w:instrText xml:space="preserve"> PAGEREF _Toc226514454 \h </w:instrText>
        </w:r>
        <w:r>
          <w:rPr>
            <w:noProof/>
            <w:webHidden/>
          </w:rPr>
        </w:r>
        <w:r>
          <w:rPr>
            <w:noProof/>
            <w:webHidden/>
          </w:rPr>
          <w:fldChar w:fldCharType="separate"/>
        </w:r>
        <w:r>
          <w:rPr>
            <w:noProof/>
            <w:webHidden/>
          </w:rPr>
          <w:t>29</w:t>
        </w:r>
        <w:r>
          <w:rPr>
            <w:noProof/>
            <w:webHidden/>
          </w:rPr>
          <w:fldChar w:fldCharType="end"/>
        </w:r>
      </w:hyperlink>
    </w:p>
    <w:p w14:paraId="65574361" w14:textId="23553175" w:rsidR="00F86C14" w:rsidRDefault="00F86C14">
      <w:pPr>
        <w:pStyle w:val="2c"/>
        <w:tabs>
          <w:tab w:val="right" w:leader="dot" w:pos="9288"/>
        </w:tabs>
        <w:rPr>
          <w:rFonts w:asciiTheme="minorHAnsi" w:eastAsiaTheme="minorEastAsia" w:hAnsiTheme="minorHAnsi" w:cstheme="minorBidi"/>
          <w:noProof/>
          <w:color w:val="auto"/>
          <w:kern w:val="2"/>
          <w:sz w:val="24"/>
          <w:szCs w:val="24"/>
          <w:lang w:val="ru-RU" w:eastAsia="ru-RU"/>
          <w14:ligatures w14:val="standardContextual"/>
        </w:rPr>
      </w:pPr>
      <w:hyperlink w:anchor="_Toc226514455" w:history="1">
        <w:r w:rsidRPr="008A6FFA">
          <w:rPr>
            <w:rStyle w:val="aff8"/>
            <w:noProof/>
          </w:rPr>
          <w:t>Appendix A. Limitations and honest caveats</w:t>
        </w:r>
        <w:r>
          <w:rPr>
            <w:noProof/>
            <w:webHidden/>
          </w:rPr>
          <w:tab/>
        </w:r>
        <w:r>
          <w:rPr>
            <w:noProof/>
            <w:webHidden/>
          </w:rPr>
          <w:fldChar w:fldCharType="begin"/>
        </w:r>
        <w:r>
          <w:rPr>
            <w:noProof/>
            <w:webHidden/>
          </w:rPr>
          <w:instrText xml:space="preserve"> PAGEREF _Toc226514455 \h </w:instrText>
        </w:r>
        <w:r>
          <w:rPr>
            <w:noProof/>
            <w:webHidden/>
          </w:rPr>
        </w:r>
        <w:r>
          <w:rPr>
            <w:noProof/>
            <w:webHidden/>
          </w:rPr>
          <w:fldChar w:fldCharType="separate"/>
        </w:r>
        <w:r>
          <w:rPr>
            <w:noProof/>
            <w:webHidden/>
          </w:rPr>
          <w:t>29</w:t>
        </w:r>
        <w:r>
          <w:rPr>
            <w:noProof/>
            <w:webHidden/>
          </w:rPr>
          <w:fldChar w:fldCharType="end"/>
        </w:r>
      </w:hyperlink>
    </w:p>
    <w:p w14:paraId="5FC0C8C3" w14:textId="287B4342" w:rsidR="00F86C14" w:rsidRDefault="00F86C14">
      <w:pPr>
        <w:pStyle w:val="2c"/>
        <w:tabs>
          <w:tab w:val="right" w:leader="dot" w:pos="9288"/>
        </w:tabs>
        <w:rPr>
          <w:rFonts w:asciiTheme="minorHAnsi" w:eastAsiaTheme="minorEastAsia" w:hAnsiTheme="minorHAnsi" w:cstheme="minorBidi"/>
          <w:noProof/>
          <w:color w:val="auto"/>
          <w:kern w:val="2"/>
          <w:sz w:val="24"/>
          <w:szCs w:val="24"/>
          <w:lang w:val="ru-RU" w:eastAsia="ru-RU"/>
          <w14:ligatures w14:val="standardContextual"/>
        </w:rPr>
      </w:pPr>
      <w:hyperlink w:anchor="_Toc226514456" w:history="1">
        <w:r w:rsidRPr="008A6FFA">
          <w:rPr>
            <w:rStyle w:val="aff8"/>
            <w:noProof/>
          </w:rPr>
          <w:t>Appendix B. ATD evidentiary layer: data register, proxy layer, and interpretation levels</w:t>
        </w:r>
        <w:r>
          <w:rPr>
            <w:noProof/>
            <w:webHidden/>
          </w:rPr>
          <w:tab/>
        </w:r>
        <w:r>
          <w:rPr>
            <w:noProof/>
            <w:webHidden/>
          </w:rPr>
          <w:fldChar w:fldCharType="begin"/>
        </w:r>
        <w:r>
          <w:rPr>
            <w:noProof/>
            <w:webHidden/>
          </w:rPr>
          <w:instrText xml:space="preserve"> PAGEREF _Toc226514456 \h </w:instrText>
        </w:r>
        <w:r>
          <w:rPr>
            <w:noProof/>
            <w:webHidden/>
          </w:rPr>
        </w:r>
        <w:r>
          <w:rPr>
            <w:noProof/>
            <w:webHidden/>
          </w:rPr>
          <w:fldChar w:fldCharType="separate"/>
        </w:r>
        <w:r>
          <w:rPr>
            <w:noProof/>
            <w:webHidden/>
          </w:rPr>
          <w:t>29</w:t>
        </w:r>
        <w:r>
          <w:rPr>
            <w:noProof/>
            <w:webHidden/>
          </w:rPr>
          <w:fldChar w:fldCharType="end"/>
        </w:r>
      </w:hyperlink>
    </w:p>
    <w:p w14:paraId="01E2C998" w14:textId="13B68169" w:rsidR="00F86C14" w:rsidRDefault="00F86C14">
      <w:pPr>
        <w:pStyle w:val="2c"/>
        <w:tabs>
          <w:tab w:val="right" w:leader="dot" w:pos="9288"/>
        </w:tabs>
        <w:rPr>
          <w:rFonts w:asciiTheme="minorHAnsi" w:eastAsiaTheme="minorEastAsia" w:hAnsiTheme="minorHAnsi" w:cstheme="minorBidi"/>
          <w:noProof/>
          <w:color w:val="auto"/>
          <w:kern w:val="2"/>
          <w:sz w:val="24"/>
          <w:szCs w:val="24"/>
          <w:lang w:val="ru-RU" w:eastAsia="ru-RU"/>
          <w14:ligatures w14:val="standardContextual"/>
        </w:rPr>
      </w:pPr>
      <w:hyperlink w:anchor="_Toc226514457" w:history="1">
        <w:r w:rsidRPr="008A6FFA">
          <w:rPr>
            <w:rStyle w:val="aff8"/>
            <w:noProof/>
          </w:rPr>
          <w:t>Appendix C. Measurement architecture</w:t>
        </w:r>
        <w:r>
          <w:rPr>
            <w:noProof/>
            <w:webHidden/>
          </w:rPr>
          <w:tab/>
        </w:r>
        <w:r>
          <w:rPr>
            <w:noProof/>
            <w:webHidden/>
          </w:rPr>
          <w:fldChar w:fldCharType="begin"/>
        </w:r>
        <w:r>
          <w:rPr>
            <w:noProof/>
            <w:webHidden/>
          </w:rPr>
          <w:instrText xml:space="preserve"> PAGEREF _Toc226514457 \h </w:instrText>
        </w:r>
        <w:r>
          <w:rPr>
            <w:noProof/>
            <w:webHidden/>
          </w:rPr>
        </w:r>
        <w:r>
          <w:rPr>
            <w:noProof/>
            <w:webHidden/>
          </w:rPr>
          <w:fldChar w:fldCharType="separate"/>
        </w:r>
        <w:r>
          <w:rPr>
            <w:noProof/>
            <w:webHidden/>
          </w:rPr>
          <w:t>48</w:t>
        </w:r>
        <w:r>
          <w:rPr>
            <w:noProof/>
            <w:webHidden/>
          </w:rPr>
          <w:fldChar w:fldCharType="end"/>
        </w:r>
      </w:hyperlink>
    </w:p>
    <w:p w14:paraId="745C7D25" w14:textId="2383E10C" w:rsidR="00F86C14" w:rsidRDefault="00F86C14">
      <w:pPr>
        <w:pStyle w:val="2c"/>
        <w:tabs>
          <w:tab w:val="right" w:leader="dot" w:pos="9288"/>
        </w:tabs>
        <w:rPr>
          <w:rFonts w:asciiTheme="minorHAnsi" w:eastAsiaTheme="minorEastAsia" w:hAnsiTheme="minorHAnsi" w:cstheme="minorBidi"/>
          <w:noProof/>
          <w:color w:val="auto"/>
          <w:kern w:val="2"/>
          <w:sz w:val="24"/>
          <w:szCs w:val="24"/>
          <w:lang w:val="ru-RU" w:eastAsia="ru-RU"/>
          <w14:ligatures w14:val="standardContextual"/>
        </w:rPr>
      </w:pPr>
      <w:hyperlink w:anchor="_Toc226514458" w:history="1">
        <w:r w:rsidRPr="008A6FFA">
          <w:rPr>
            <w:rStyle w:val="aff8"/>
            <w:noProof/>
          </w:rPr>
          <w:t>Appendix D. Preliminary global estimate of systemic coordination and context losses</w:t>
        </w:r>
        <w:r>
          <w:rPr>
            <w:noProof/>
            <w:webHidden/>
          </w:rPr>
          <w:tab/>
        </w:r>
        <w:r>
          <w:rPr>
            <w:noProof/>
            <w:webHidden/>
          </w:rPr>
          <w:fldChar w:fldCharType="begin"/>
        </w:r>
        <w:r>
          <w:rPr>
            <w:noProof/>
            <w:webHidden/>
          </w:rPr>
          <w:instrText xml:space="preserve"> PAGEREF _Toc226514458 \h </w:instrText>
        </w:r>
        <w:r>
          <w:rPr>
            <w:noProof/>
            <w:webHidden/>
          </w:rPr>
        </w:r>
        <w:r>
          <w:rPr>
            <w:noProof/>
            <w:webHidden/>
          </w:rPr>
          <w:fldChar w:fldCharType="separate"/>
        </w:r>
        <w:r>
          <w:rPr>
            <w:noProof/>
            <w:webHidden/>
          </w:rPr>
          <w:t>51</w:t>
        </w:r>
        <w:r>
          <w:rPr>
            <w:noProof/>
            <w:webHidden/>
          </w:rPr>
          <w:fldChar w:fldCharType="end"/>
        </w:r>
      </w:hyperlink>
    </w:p>
    <w:p w14:paraId="26D3C139" w14:textId="1B39E5BD" w:rsidR="001F0D49" w:rsidRDefault="00000000">
      <w:r>
        <w:fldChar w:fldCharType="end"/>
      </w:r>
    </w:p>
    <w:p w14:paraId="24A87868" w14:textId="77777777" w:rsidR="001F0D49" w:rsidRDefault="00000000">
      <w:r>
        <w:br w:type="page"/>
      </w:r>
    </w:p>
    <w:p w14:paraId="6E1FF94E" w14:textId="77777777" w:rsidR="001F0D49" w:rsidRDefault="00000000">
      <w:pPr>
        <w:pStyle w:val="1"/>
      </w:pPr>
      <w:bookmarkStart w:id="0" w:name="adaptation-threshold-dynamics"/>
      <w:bookmarkStart w:id="1" w:name="_Toc226514437"/>
      <w:r>
        <w:lastRenderedPageBreak/>
        <w:t>Adaptation Threshold Dynamics</w:t>
      </w:r>
      <w:bookmarkEnd w:id="1"/>
    </w:p>
    <w:p w14:paraId="5BAC2922" w14:textId="77777777" w:rsidR="001F0D49" w:rsidRDefault="00000000">
      <w:pPr>
        <w:pStyle w:val="21"/>
      </w:pPr>
      <w:bookmarkStart w:id="2" w:name="abstract"/>
      <w:bookmarkStart w:id="3" w:name="_Toc226514438"/>
      <w:r>
        <w:t>Abstract</w:t>
      </w:r>
      <w:bookmarkEnd w:id="3"/>
    </w:p>
    <w:p w14:paraId="76B2EAAB" w14:textId="77777777" w:rsidR="001F0D49" w:rsidRDefault="00000000">
      <w:r>
        <w:t xml:space="preserve">Over the last decades, humanity has entered a regime in which the </w:t>
      </w:r>
      <w:r>
        <w:rPr>
          <w:b/>
          <w:bCs/>
        </w:rPr>
        <w:t>rate of growth of complexity and information load</w:t>
      </w:r>
      <w:r>
        <w:t xml:space="preserve"> outpaces the capacity of the psyche and institutions to turn that complexity into stable cognitive models, norms, and practices. In this paper, this condition is described as crossing an </w:t>
      </w:r>
      <w:r>
        <w:rPr>
          <w:b/>
          <w:bCs/>
        </w:rPr>
        <w:t>adaptation threshold</w:t>
      </w:r>
      <w:r>
        <w:t>: the aggregate cognitive density of the environment (the number of contexts, switches, micro-decisions, and signal flows per unit of time) begins to systematically exceed the available adaptive cognitive capacity of people and institutions.</w:t>
      </w:r>
    </w:p>
    <w:p w14:paraId="48E1A2D9" w14:textId="77777777" w:rsidR="001F0D49" w:rsidRDefault="00000000">
      <w:pPr>
        <w:pStyle w:val="af"/>
      </w:pPr>
      <w:r>
        <w:t xml:space="preserve">Within the corpus architecture, the basic distinctions of the cognitive model — </w:t>
      </w:r>
      <w:r>
        <w:rPr>
          <w:b/>
          <w:bCs/>
        </w:rPr>
        <w:t>the required task horizon, the working and available horizons, cognitive resource, holding cost, and regression under overload</w:t>
      </w:r>
      <w:r>
        <w:t xml:space="preserve"> — are defined in </w:t>
      </w:r>
      <w:r>
        <w:rPr>
          <w:b/>
          <w:bCs/>
        </w:rPr>
        <w:t>THM (Think Horizons Model)</w:t>
      </w:r>
      <w:r>
        <w:t xml:space="preserve">. Therefore, the present text does not build the internal mechanics of thought from scratch. Instead, it uses THM as its theoretical basis and describes a different layer: </w:t>
      </w:r>
      <w:r>
        <w:rPr>
          <w:b/>
          <w:bCs/>
        </w:rPr>
        <w:t>adaptation-threshold dynamics as environmental pressure on cognitive carrying capacity</w:t>
      </w:r>
      <w:r>
        <w:t xml:space="preserve"> and the observable proxy cascade of that pressure.</w:t>
      </w:r>
    </w:p>
    <w:p w14:paraId="13313B12" w14:textId="77777777" w:rsidR="001F0D49" w:rsidRDefault="00000000">
      <w:pPr>
        <w:pStyle w:val="af"/>
      </w:pPr>
      <w:r>
        <w:t xml:space="preserve">The result is a cumulative effect: a </w:t>
      </w:r>
      <w:r>
        <w:rPr>
          <w:b/>
          <w:bCs/>
        </w:rPr>
        <w:t>structuring deficit</w:t>
      </w:r>
      <w:r>
        <w:t xml:space="preserve"> leads to the accumulation of </w:t>
      </w:r>
      <w:r>
        <w:rPr>
          <w:b/>
          <w:bCs/>
        </w:rPr>
        <w:t>systematization debt (SysDebt)</w:t>
      </w:r>
      <w:r>
        <w:t xml:space="preserve">¹, increases stress and error frequency, reduces cognitive workforce capacity, and makes systems more fragile and more cascade-prone. On the surface, society notices mainly </w:t>
      </w:r>
      <w:r>
        <w:rPr>
          <w:b/>
          <w:bCs/>
        </w:rPr>
        <w:t>shocks</w:t>
      </w:r>
      <w:r>
        <w:t xml:space="preserve"> and “sudden events,” while the background growth of cognitive density remains almost invisible and is experienced as a “new normal.” This creates a dangerous distortion: public reaction is directed at symptoms rather than at the mechanism.</w:t>
      </w:r>
    </w:p>
    <w:p w14:paraId="62B3EC04" w14:textId="77777777" w:rsidR="001F0D49" w:rsidRDefault="00000000">
      <w:r>
        <w:t xml:space="preserve">¹ In this paper, the term </w:t>
      </w:r>
      <w:r>
        <w:rPr>
          <w:i/>
          <w:iCs/>
        </w:rPr>
        <w:t>systematization debt (SysDebt)</w:t>
      </w:r>
      <w:r>
        <w:t xml:space="preserve"> is used by analogy with “technical debt” in software engineering (Cunningham, 1992). In the academic literature, the nearest analogue is Tainter’s concept of diminishing marginal returns to complexity (Tainter, 1988). In parallel, the term </w:t>
      </w:r>
      <w:r>
        <w:rPr>
          <w:i/>
          <w:iCs/>
        </w:rPr>
        <w:t>structuring deficit</w:t>
      </w:r>
      <w:r>
        <w:t xml:space="preserve"> is used to denote a processual insufficiency: a situation in which incoming complexity grows faster than the system can convert it into stable models, norms, and schemas.</w:t>
      </w:r>
    </w:p>
    <w:p w14:paraId="2B72446C" w14:textId="77777777" w:rsidR="001F0D49" w:rsidRDefault="00000000">
      <w:r>
        <w:t>The document identifies three key curves (and one optional curve) that can serve as a basis for public communication and presentation design:</w:t>
      </w:r>
    </w:p>
    <w:p w14:paraId="59B7BD72" w14:textId="77777777" w:rsidR="001F0D49" w:rsidRDefault="00000000">
      <w:pPr>
        <w:numPr>
          <w:ilvl w:val="0"/>
          <w:numId w:val="55"/>
        </w:numPr>
      </w:pPr>
      <w:r>
        <w:rPr>
          <w:b/>
          <w:bCs/>
        </w:rPr>
        <w:t>CDI — cognitive density</w:t>
      </w:r>
      <w:r>
        <w:t xml:space="preserve"> (proxies: fragmentation, switching, communication load, context-restoration cost);</w:t>
      </w:r>
    </w:p>
    <w:p w14:paraId="78EBB2ED" w14:textId="77777777" w:rsidR="001F0D49" w:rsidRDefault="00000000">
      <w:pPr>
        <w:numPr>
          <w:ilvl w:val="0"/>
          <w:numId w:val="55"/>
        </w:numPr>
      </w:pPr>
      <w:r>
        <w:rPr>
          <w:b/>
          <w:bCs/>
        </w:rPr>
        <w:t>SDI — observed shock density</w:t>
      </w:r>
      <w:r>
        <w:t xml:space="preserve"> (proxies: uncertainty indices and their spikes), interpreted as a manifestation of growing fragility;</w:t>
      </w:r>
    </w:p>
    <w:p w14:paraId="053C1940" w14:textId="77777777" w:rsidR="001F0D49" w:rsidRDefault="00000000">
      <w:pPr>
        <w:numPr>
          <w:ilvl w:val="0"/>
          <w:numId w:val="55"/>
        </w:numPr>
      </w:pPr>
      <w:r>
        <w:rPr>
          <w:b/>
          <w:bCs/>
        </w:rPr>
        <w:t>CWCI — cognitive workforce capacity</w:t>
      </w:r>
      <w:r>
        <w:t xml:space="preserve"> (proxies: the burden of mental disorders, lost work capacity, and productivity losses);</w:t>
      </w:r>
    </w:p>
    <w:p w14:paraId="6DA15622" w14:textId="77777777" w:rsidR="001F0D49" w:rsidRDefault="00000000">
      <w:pPr>
        <w:numPr>
          <w:ilvl w:val="0"/>
          <w:numId w:val="55"/>
        </w:numPr>
      </w:pPr>
      <w:r>
        <w:t xml:space="preserve">(optional) </w:t>
      </w:r>
      <w:r>
        <w:rPr>
          <w:b/>
          <w:bCs/>
        </w:rPr>
        <w:t>HSI/SEI — system output</w:t>
      </w:r>
      <w:r>
        <w:t>, expressed through labor share in income or productivity dynamics.</w:t>
      </w:r>
    </w:p>
    <w:p w14:paraId="617244CB" w14:textId="77777777" w:rsidR="001F0D49" w:rsidRDefault="00000000">
      <w:r>
        <w:t>The final sections discuss the limits of the model, scenario interpretations, and possible pathways of stabilization. These elements do not belong to the evidential core of the present document and are separated from the mechanistic and indicator layer of ATD.</w:t>
      </w:r>
    </w:p>
    <w:p w14:paraId="77C6160E" w14:textId="77777777" w:rsidR="001F0D49" w:rsidRDefault="00000000">
      <w:pPr>
        <w:pStyle w:val="21"/>
      </w:pPr>
      <w:bookmarkStart w:id="4" w:name="keywords"/>
      <w:bookmarkStart w:id="5" w:name="_Toc226514439"/>
      <w:bookmarkEnd w:id="2"/>
      <w:r>
        <w:lastRenderedPageBreak/>
        <w:t>Keywords</w:t>
      </w:r>
      <w:bookmarkEnd w:id="5"/>
    </w:p>
    <w:p w14:paraId="05491006" w14:textId="77777777" w:rsidR="001F0D49" w:rsidRDefault="00000000">
      <w:r>
        <w:t>cognitive density; adaptation threshold; systematization debt (SysDebt); cognitive workforce capacity; shock density; predictive processing; AI cognitive augmentation; AI cognitive substitution; human agency; complex systems; civilizational resilience</w:t>
      </w:r>
    </w:p>
    <w:p w14:paraId="5EF8703F" w14:textId="77777777" w:rsidR="001F0D49" w:rsidRDefault="00000000">
      <w:pPr>
        <w:pStyle w:val="21"/>
      </w:pPr>
      <w:bookmarkStart w:id="6" w:name="list-of-abbreviations"/>
      <w:bookmarkStart w:id="7" w:name="_Toc226514440"/>
      <w:bookmarkEnd w:id="4"/>
      <w:r>
        <w:t>List of abbreviations</w:t>
      </w:r>
      <w:bookmarkEnd w:id="7"/>
    </w:p>
    <w:tbl>
      <w:tblPr>
        <w:tblW w:w="5000" w:type="pct"/>
        <w:tblLayout w:type="fixed"/>
        <w:tblLook w:val="0020" w:firstRow="1" w:lastRow="0" w:firstColumn="0" w:lastColumn="0" w:noHBand="0" w:noVBand="0"/>
      </w:tblPr>
      <w:tblGrid>
        <w:gridCol w:w="3172"/>
        <w:gridCol w:w="3171"/>
        <w:gridCol w:w="3171"/>
      </w:tblGrid>
      <w:tr w:rsidR="001F0D49" w14:paraId="2BF21133" w14:textId="77777777">
        <w:trPr>
          <w:cantSplit/>
          <w:tblHeader/>
        </w:trPr>
        <w:tc>
          <w:tcPr>
            <w:tcW w:w="2640" w:type="dxa"/>
            <w:tcBorders>
              <w:bottom w:val="single" w:sz="6" w:space="0" w:color="000000"/>
            </w:tcBorders>
          </w:tcPr>
          <w:p w14:paraId="7BF71852" w14:textId="77777777" w:rsidR="001F0D49" w:rsidRDefault="00000000">
            <w:pPr>
              <w:keepLines/>
            </w:pPr>
            <w:r>
              <w:rPr>
                <w:b/>
              </w:rPr>
              <w:t>Abbreviation</w:t>
            </w:r>
          </w:p>
        </w:tc>
        <w:tc>
          <w:tcPr>
            <w:tcW w:w="2640" w:type="dxa"/>
            <w:tcBorders>
              <w:bottom w:val="single" w:sz="6" w:space="0" w:color="000000"/>
            </w:tcBorders>
          </w:tcPr>
          <w:p w14:paraId="516CF028" w14:textId="77777777" w:rsidR="001F0D49" w:rsidRDefault="00000000">
            <w:pPr>
              <w:keepLines/>
            </w:pPr>
            <w:r>
              <w:rPr>
                <w:b/>
              </w:rPr>
              <w:t>Expansion</w:t>
            </w:r>
          </w:p>
        </w:tc>
        <w:tc>
          <w:tcPr>
            <w:tcW w:w="2640" w:type="dxa"/>
            <w:tcBorders>
              <w:bottom w:val="single" w:sz="6" w:space="0" w:color="000000"/>
            </w:tcBorders>
          </w:tcPr>
          <w:p w14:paraId="5B461DCC" w14:textId="77777777" w:rsidR="001F0D49" w:rsidRDefault="00000000">
            <w:pPr>
              <w:keepLines/>
            </w:pPr>
            <w:r>
              <w:rPr>
                <w:b/>
              </w:rPr>
              <w:t>Explanation</w:t>
            </w:r>
          </w:p>
        </w:tc>
      </w:tr>
      <w:tr w:rsidR="001F0D49" w14:paraId="7D2843A8" w14:textId="77777777">
        <w:trPr>
          <w:cantSplit/>
        </w:trPr>
        <w:tc>
          <w:tcPr>
            <w:tcW w:w="2640" w:type="dxa"/>
            <w:tcBorders>
              <w:bottom w:val="single" w:sz="6" w:space="0" w:color="000000"/>
            </w:tcBorders>
          </w:tcPr>
          <w:p w14:paraId="008A8F33" w14:textId="77777777" w:rsidR="001F0D49" w:rsidRDefault="00000000">
            <w:pPr>
              <w:keepLines/>
            </w:pPr>
            <w:r>
              <w:rPr>
                <w:b/>
                <w:bCs/>
              </w:rPr>
              <w:t>ATD</w:t>
            </w:r>
          </w:p>
        </w:tc>
        <w:tc>
          <w:tcPr>
            <w:tcW w:w="2640" w:type="dxa"/>
            <w:tcBorders>
              <w:bottom w:val="single" w:sz="6" w:space="0" w:color="000000"/>
            </w:tcBorders>
          </w:tcPr>
          <w:p w14:paraId="5EA43772" w14:textId="77777777" w:rsidR="001F0D49" w:rsidRDefault="00000000">
            <w:pPr>
              <w:keepLines/>
            </w:pPr>
            <w:r>
              <w:t>Adaptation Threshold Dynamics</w:t>
            </w:r>
          </w:p>
        </w:tc>
        <w:tc>
          <w:tcPr>
            <w:tcW w:w="2640" w:type="dxa"/>
            <w:tcBorders>
              <w:bottom w:val="single" w:sz="6" w:space="0" w:color="000000"/>
            </w:tcBorders>
          </w:tcPr>
          <w:p w14:paraId="5CEFF8CA" w14:textId="77777777" w:rsidR="001F0D49" w:rsidRDefault="00000000">
            <w:pPr>
              <w:keepLines/>
            </w:pPr>
            <w:r>
              <w:t>Canonical name of the model of environmental pressure and the adaptation threshold</w:t>
            </w:r>
          </w:p>
        </w:tc>
      </w:tr>
      <w:tr w:rsidR="001F0D49" w14:paraId="244CFA7D" w14:textId="77777777">
        <w:trPr>
          <w:cantSplit/>
        </w:trPr>
        <w:tc>
          <w:tcPr>
            <w:tcW w:w="2640" w:type="dxa"/>
            <w:tcBorders>
              <w:bottom w:val="single" w:sz="6" w:space="0" w:color="000000"/>
            </w:tcBorders>
          </w:tcPr>
          <w:p w14:paraId="0CB881EA" w14:textId="77777777" w:rsidR="001F0D49" w:rsidRDefault="00000000">
            <w:pPr>
              <w:keepLines/>
            </w:pPr>
            <w:r>
              <w:rPr>
                <w:b/>
                <w:bCs/>
              </w:rPr>
              <w:t>CDI</w:t>
            </w:r>
          </w:p>
        </w:tc>
        <w:tc>
          <w:tcPr>
            <w:tcW w:w="2640" w:type="dxa"/>
            <w:tcBorders>
              <w:bottom w:val="single" w:sz="6" w:space="0" w:color="000000"/>
            </w:tcBorders>
          </w:tcPr>
          <w:p w14:paraId="1D5CA77B" w14:textId="77777777" w:rsidR="001F0D49" w:rsidRDefault="00000000">
            <w:pPr>
              <w:keepLines/>
            </w:pPr>
            <w:r>
              <w:t>Cognitive Density Index</w:t>
            </w:r>
          </w:p>
        </w:tc>
        <w:tc>
          <w:tcPr>
            <w:tcW w:w="2640" w:type="dxa"/>
            <w:tcBorders>
              <w:bottom w:val="single" w:sz="6" w:space="0" w:color="000000"/>
            </w:tcBorders>
          </w:tcPr>
          <w:p w14:paraId="0691D960" w14:textId="77777777" w:rsidR="001F0D49" w:rsidRDefault="00000000">
            <w:pPr>
              <w:keepLines/>
            </w:pPr>
            <w:r>
              <w:t>Composite proxy reflecting the volume of meaning-processing work per unit of time</w:t>
            </w:r>
          </w:p>
        </w:tc>
      </w:tr>
      <w:tr w:rsidR="001F0D49" w14:paraId="78FB99DC" w14:textId="77777777">
        <w:trPr>
          <w:cantSplit/>
        </w:trPr>
        <w:tc>
          <w:tcPr>
            <w:tcW w:w="2640" w:type="dxa"/>
            <w:tcBorders>
              <w:bottom w:val="single" w:sz="6" w:space="0" w:color="000000"/>
            </w:tcBorders>
          </w:tcPr>
          <w:p w14:paraId="3832533E" w14:textId="77777777" w:rsidR="001F0D49" w:rsidRDefault="00000000">
            <w:pPr>
              <w:keepLines/>
            </w:pPr>
            <w:r>
              <w:rPr>
                <w:b/>
                <w:bCs/>
              </w:rPr>
              <w:t>SDI</w:t>
            </w:r>
          </w:p>
        </w:tc>
        <w:tc>
          <w:tcPr>
            <w:tcW w:w="2640" w:type="dxa"/>
            <w:tcBorders>
              <w:bottom w:val="single" w:sz="6" w:space="0" w:color="000000"/>
            </w:tcBorders>
          </w:tcPr>
          <w:p w14:paraId="7DB05673" w14:textId="77777777" w:rsidR="001F0D49" w:rsidRDefault="00000000">
            <w:pPr>
              <w:keepLines/>
            </w:pPr>
            <w:r>
              <w:t>Shock Density Index</w:t>
            </w:r>
          </w:p>
        </w:tc>
        <w:tc>
          <w:tcPr>
            <w:tcW w:w="2640" w:type="dxa"/>
            <w:tcBorders>
              <w:bottom w:val="single" w:sz="6" w:space="0" w:color="000000"/>
            </w:tcBorders>
          </w:tcPr>
          <w:p w14:paraId="70F16D50" w14:textId="77777777" w:rsidR="001F0D49" w:rsidRDefault="00000000">
            <w:pPr>
              <w:keepLines/>
            </w:pPr>
            <w:r>
              <w:t>Observable frequency and amplitude of “sudden” events</w:t>
            </w:r>
          </w:p>
        </w:tc>
      </w:tr>
      <w:tr w:rsidR="001F0D49" w14:paraId="196A7405" w14:textId="77777777">
        <w:trPr>
          <w:cantSplit/>
        </w:trPr>
        <w:tc>
          <w:tcPr>
            <w:tcW w:w="2640" w:type="dxa"/>
            <w:tcBorders>
              <w:bottom w:val="single" w:sz="6" w:space="0" w:color="000000"/>
            </w:tcBorders>
          </w:tcPr>
          <w:p w14:paraId="674A7A3D" w14:textId="77777777" w:rsidR="001F0D49" w:rsidRDefault="00000000">
            <w:pPr>
              <w:keepLines/>
            </w:pPr>
            <w:r>
              <w:rPr>
                <w:b/>
                <w:bCs/>
              </w:rPr>
              <w:t>SDI_exo</w:t>
            </w:r>
          </w:p>
        </w:tc>
        <w:tc>
          <w:tcPr>
            <w:tcW w:w="2640" w:type="dxa"/>
            <w:tcBorders>
              <w:bottom w:val="single" w:sz="6" w:space="0" w:color="000000"/>
            </w:tcBorders>
          </w:tcPr>
          <w:p w14:paraId="2F4076F7" w14:textId="77777777" w:rsidR="001F0D49" w:rsidRDefault="00000000">
            <w:pPr>
              <w:keepLines/>
            </w:pPr>
            <w:r>
              <w:t>—</w:t>
            </w:r>
          </w:p>
        </w:tc>
        <w:tc>
          <w:tcPr>
            <w:tcW w:w="2640" w:type="dxa"/>
            <w:tcBorders>
              <w:bottom w:val="single" w:sz="6" w:space="0" w:color="000000"/>
            </w:tcBorders>
          </w:tcPr>
          <w:p w14:paraId="57209E6C" w14:textId="77777777" w:rsidR="001F0D49" w:rsidRDefault="00000000">
            <w:pPr>
              <w:keepLines/>
            </w:pPr>
            <w:r>
              <w:t>Exogenous shock triggers (pandemics, wars, commodity shocks)</w:t>
            </w:r>
          </w:p>
        </w:tc>
      </w:tr>
      <w:tr w:rsidR="001F0D49" w14:paraId="1C412891" w14:textId="77777777">
        <w:trPr>
          <w:cantSplit/>
        </w:trPr>
        <w:tc>
          <w:tcPr>
            <w:tcW w:w="2640" w:type="dxa"/>
            <w:tcBorders>
              <w:bottom w:val="single" w:sz="6" w:space="0" w:color="000000"/>
            </w:tcBorders>
          </w:tcPr>
          <w:p w14:paraId="23F1B50A" w14:textId="77777777" w:rsidR="001F0D49" w:rsidRDefault="00000000">
            <w:pPr>
              <w:keepLines/>
            </w:pPr>
            <w:r>
              <w:rPr>
                <w:b/>
                <w:bCs/>
              </w:rPr>
              <w:t>SDI_obs</w:t>
            </w:r>
          </w:p>
        </w:tc>
        <w:tc>
          <w:tcPr>
            <w:tcW w:w="2640" w:type="dxa"/>
            <w:tcBorders>
              <w:bottom w:val="single" w:sz="6" w:space="0" w:color="000000"/>
            </w:tcBorders>
          </w:tcPr>
          <w:p w14:paraId="0ABB1694" w14:textId="77777777" w:rsidR="001F0D49" w:rsidRDefault="00000000">
            <w:pPr>
              <w:keepLines/>
            </w:pPr>
            <w:r>
              <w:t>—</w:t>
            </w:r>
          </w:p>
        </w:tc>
        <w:tc>
          <w:tcPr>
            <w:tcW w:w="2640" w:type="dxa"/>
            <w:tcBorders>
              <w:bottom w:val="single" w:sz="6" w:space="0" w:color="000000"/>
            </w:tcBorders>
          </w:tcPr>
          <w:p w14:paraId="465DEC5B" w14:textId="77777777" w:rsidR="001F0D49" w:rsidRDefault="00000000">
            <w:pPr>
              <w:keepLines/>
            </w:pPr>
            <w:r>
              <w:t>Observed shock density after amplification by the system</w:t>
            </w:r>
          </w:p>
        </w:tc>
      </w:tr>
      <w:tr w:rsidR="001F0D49" w14:paraId="6A40E607" w14:textId="77777777">
        <w:trPr>
          <w:cantSplit/>
        </w:trPr>
        <w:tc>
          <w:tcPr>
            <w:tcW w:w="2640" w:type="dxa"/>
            <w:tcBorders>
              <w:bottom w:val="single" w:sz="6" w:space="0" w:color="000000"/>
            </w:tcBorders>
          </w:tcPr>
          <w:p w14:paraId="0ABDFD6C" w14:textId="77777777" w:rsidR="001F0D49" w:rsidRDefault="00000000">
            <w:pPr>
              <w:keepLines/>
            </w:pPr>
            <w:r>
              <w:rPr>
                <w:b/>
                <w:bCs/>
              </w:rPr>
              <w:t>CWCI</w:t>
            </w:r>
          </w:p>
        </w:tc>
        <w:tc>
          <w:tcPr>
            <w:tcW w:w="2640" w:type="dxa"/>
            <w:tcBorders>
              <w:bottom w:val="single" w:sz="6" w:space="0" w:color="000000"/>
            </w:tcBorders>
          </w:tcPr>
          <w:p w14:paraId="35AFDB4C" w14:textId="77777777" w:rsidR="001F0D49" w:rsidRDefault="00000000">
            <w:pPr>
              <w:keepLines/>
            </w:pPr>
            <w:r>
              <w:t>Cognitive Workforce Capacity Index</w:t>
            </w:r>
          </w:p>
        </w:tc>
        <w:tc>
          <w:tcPr>
            <w:tcW w:w="2640" w:type="dxa"/>
            <w:tcBorders>
              <w:bottom w:val="single" w:sz="6" w:space="0" w:color="000000"/>
            </w:tcBorders>
          </w:tcPr>
          <w:p w14:paraId="367CBBE4" w14:textId="77777777" w:rsidR="001F0D49" w:rsidRDefault="00000000">
            <w:pPr>
              <w:keepLines/>
            </w:pPr>
            <w:r>
              <w:t>The system’s “species-level power” to perform cognitive work</w:t>
            </w:r>
          </w:p>
        </w:tc>
      </w:tr>
      <w:tr w:rsidR="001F0D49" w14:paraId="1DEBED4C" w14:textId="77777777">
        <w:trPr>
          <w:cantSplit/>
        </w:trPr>
        <w:tc>
          <w:tcPr>
            <w:tcW w:w="2640" w:type="dxa"/>
            <w:tcBorders>
              <w:bottom w:val="single" w:sz="6" w:space="0" w:color="000000"/>
            </w:tcBorders>
          </w:tcPr>
          <w:p w14:paraId="56C59054" w14:textId="77777777" w:rsidR="001F0D49" w:rsidRDefault="00000000">
            <w:pPr>
              <w:keepLines/>
            </w:pPr>
            <w:r>
              <w:rPr>
                <w:b/>
                <w:bCs/>
              </w:rPr>
              <w:t>HSI</w:t>
            </w:r>
          </w:p>
        </w:tc>
        <w:tc>
          <w:tcPr>
            <w:tcW w:w="2640" w:type="dxa"/>
            <w:tcBorders>
              <w:bottom w:val="single" w:sz="6" w:space="0" w:color="000000"/>
            </w:tcBorders>
          </w:tcPr>
          <w:p w14:paraId="743ED508" w14:textId="77777777" w:rsidR="001F0D49" w:rsidRDefault="00000000">
            <w:pPr>
              <w:keepLines/>
            </w:pPr>
            <w:r>
              <w:t>Human Share Index</w:t>
            </w:r>
          </w:p>
        </w:tc>
        <w:tc>
          <w:tcPr>
            <w:tcW w:w="2640" w:type="dxa"/>
            <w:tcBorders>
              <w:bottom w:val="single" w:sz="6" w:space="0" w:color="000000"/>
            </w:tcBorders>
          </w:tcPr>
          <w:p w14:paraId="297F910A" w14:textId="77777777" w:rsidR="001F0D49" w:rsidRDefault="00000000">
            <w:pPr>
              <w:keepLines/>
            </w:pPr>
            <w:r>
              <w:t>Labor’s share in the distribution of created value</w:t>
            </w:r>
          </w:p>
        </w:tc>
      </w:tr>
      <w:tr w:rsidR="001F0D49" w14:paraId="35287A5F" w14:textId="77777777">
        <w:trPr>
          <w:cantSplit/>
        </w:trPr>
        <w:tc>
          <w:tcPr>
            <w:tcW w:w="2640" w:type="dxa"/>
            <w:tcBorders>
              <w:bottom w:val="single" w:sz="6" w:space="0" w:color="000000"/>
            </w:tcBorders>
          </w:tcPr>
          <w:p w14:paraId="7EFB4D14" w14:textId="77777777" w:rsidR="001F0D49" w:rsidRDefault="00000000">
            <w:pPr>
              <w:keepLines/>
            </w:pPr>
            <w:r>
              <w:rPr>
                <w:b/>
                <w:bCs/>
              </w:rPr>
              <w:t>SEI</w:t>
            </w:r>
          </w:p>
        </w:tc>
        <w:tc>
          <w:tcPr>
            <w:tcW w:w="2640" w:type="dxa"/>
            <w:tcBorders>
              <w:bottom w:val="single" w:sz="6" w:space="0" w:color="000000"/>
            </w:tcBorders>
          </w:tcPr>
          <w:p w14:paraId="09C8FB9E" w14:textId="77777777" w:rsidR="001F0D49" w:rsidRDefault="00000000">
            <w:pPr>
              <w:keepLines/>
            </w:pPr>
            <w:r>
              <w:t>System Efficiency Index</w:t>
            </w:r>
          </w:p>
        </w:tc>
        <w:tc>
          <w:tcPr>
            <w:tcW w:w="2640" w:type="dxa"/>
            <w:tcBorders>
              <w:bottom w:val="single" w:sz="6" w:space="0" w:color="000000"/>
            </w:tcBorders>
          </w:tcPr>
          <w:p w14:paraId="7E699FE8" w14:textId="77777777" w:rsidR="001F0D49" w:rsidRDefault="00000000">
            <w:pPr>
              <w:keepLines/>
            </w:pPr>
            <w:r>
              <w:t>Indicator of system efficiency (via productivity)</w:t>
            </w:r>
          </w:p>
        </w:tc>
      </w:tr>
      <w:tr w:rsidR="001F0D49" w14:paraId="1A80551A" w14:textId="77777777">
        <w:trPr>
          <w:cantSplit/>
        </w:trPr>
        <w:tc>
          <w:tcPr>
            <w:tcW w:w="2640" w:type="dxa"/>
            <w:tcBorders>
              <w:bottom w:val="single" w:sz="6" w:space="0" w:color="000000"/>
            </w:tcBorders>
          </w:tcPr>
          <w:p w14:paraId="6CEB6859" w14:textId="77777777" w:rsidR="001F0D49" w:rsidRDefault="00000000">
            <w:pPr>
              <w:keepLines/>
            </w:pPr>
            <w:r>
              <w:rPr>
                <w:b/>
                <w:bCs/>
              </w:rPr>
              <w:t>WUI</w:t>
            </w:r>
          </w:p>
        </w:tc>
        <w:tc>
          <w:tcPr>
            <w:tcW w:w="2640" w:type="dxa"/>
            <w:tcBorders>
              <w:bottom w:val="single" w:sz="6" w:space="0" w:color="000000"/>
            </w:tcBorders>
          </w:tcPr>
          <w:p w14:paraId="1E0F165F" w14:textId="77777777" w:rsidR="001F0D49" w:rsidRDefault="00000000">
            <w:pPr>
              <w:keepLines/>
            </w:pPr>
            <w:r>
              <w:t>World Uncertainty Index</w:t>
            </w:r>
          </w:p>
        </w:tc>
        <w:tc>
          <w:tcPr>
            <w:tcW w:w="2640" w:type="dxa"/>
            <w:tcBorders>
              <w:bottom w:val="single" w:sz="6" w:space="0" w:color="000000"/>
            </w:tcBorders>
          </w:tcPr>
          <w:p w14:paraId="43D9EDB0" w14:textId="77777777" w:rsidR="001F0D49" w:rsidRDefault="00000000">
            <w:pPr>
              <w:keepLines/>
            </w:pPr>
            <w:r>
              <w:t>Global uncertainty index (Ahir, Bloom, Furceri)</w:t>
            </w:r>
          </w:p>
        </w:tc>
      </w:tr>
      <w:tr w:rsidR="001F0D49" w14:paraId="1640089B" w14:textId="77777777">
        <w:trPr>
          <w:cantSplit/>
        </w:trPr>
        <w:tc>
          <w:tcPr>
            <w:tcW w:w="2640" w:type="dxa"/>
            <w:tcBorders>
              <w:bottom w:val="single" w:sz="6" w:space="0" w:color="000000"/>
            </w:tcBorders>
          </w:tcPr>
          <w:p w14:paraId="484D89F5" w14:textId="77777777" w:rsidR="001F0D49" w:rsidRDefault="00000000">
            <w:pPr>
              <w:keepLines/>
            </w:pPr>
            <w:r>
              <w:rPr>
                <w:b/>
                <w:bCs/>
              </w:rPr>
              <w:t>EPU</w:t>
            </w:r>
          </w:p>
        </w:tc>
        <w:tc>
          <w:tcPr>
            <w:tcW w:w="2640" w:type="dxa"/>
            <w:tcBorders>
              <w:bottom w:val="single" w:sz="6" w:space="0" w:color="000000"/>
            </w:tcBorders>
          </w:tcPr>
          <w:p w14:paraId="61B248BB" w14:textId="77777777" w:rsidR="001F0D49" w:rsidRDefault="00000000">
            <w:pPr>
              <w:keepLines/>
            </w:pPr>
            <w:r>
              <w:t>Economic Policy Uncertainty</w:t>
            </w:r>
          </w:p>
        </w:tc>
        <w:tc>
          <w:tcPr>
            <w:tcW w:w="2640" w:type="dxa"/>
            <w:tcBorders>
              <w:bottom w:val="single" w:sz="6" w:space="0" w:color="000000"/>
            </w:tcBorders>
          </w:tcPr>
          <w:p w14:paraId="0F9D07C7" w14:textId="77777777" w:rsidR="001F0D49" w:rsidRDefault="00000000">
            <w:pPr>
              <w:keepLines/>
            </w:pPr>
            <w:r>
              <w:t>Economic policy uncertainty index (Baker, Bloom, Davis)</w:t>
            </w:r>
          </w:p>
        </w:tc>
      </w:tr>
      <w:tr w:rsidR="001F0D49" w14:paraId="32058F50" w14:textId="77777777">
        <w:trPr>
          <w:cantSplit/>
        </w:trPr>
        <w:tc>
          <w:tcPr>
            <w:tcW w:w="2640" w:type="dxa"/>
            <w:tcBorders>
              <w:bottom w:val="single" w:sz="6" w:space="0" w:color="000000"/>
            </w:tcBorders>
          </w:tcPr>
          <w:p w14:paraId="3196D556" w14:textId="77777777" w:rsidR="001F0D49" w:rsidRDefault="00000000">
            <w:pPr>
              <w:keepLines/>
            </w:pPr>
            <w:r>
              <w:rPr>
                <w:b/>
                <w:bCs/>
              </w:rPr>
              <w:t>GBD</w:t>
            </w:r>
          </w:p>
        </w:tc>
        <w:tc>
          <w:tcPr>
            <w:tcW w:w="2640" w:type="dxa"/>
            <w:tcBorders>
              <w:bottom w:val="single" w:sz="6" w:space="0" w:color="000000"/>
            </w:tcBorders>
          </w:tcPr>
          <w:p w14:paraId="02831279" w14:textId="77777777" w:rsidR="001F0D49" w:rsidRDefault="00000000">
            <w:pPr>
              <w:keepLines/>
            </w:pPr>
            <w:r>
              <w:t>Global Burden of Disease</w:t>
            </w:r>
          </w:p>
        </w:tc>
        <w:tc>
          <w:tcPr>
            <w:tcW w:w="2640" w:type="dxa"/>
            <w:tcBorders>
              <w:bottom w:val="single" w:sz="6" w:space="0" w:color="000000"/>
            </w:tcBorders>
          </w:tcPr>
          <w:p w14:paraId="79685158" w14:textId="77777777" w:rsidR="001F0D49" w:rsidRDefault="00000000">
            <w:pPr>
              <w:keepLines/>
            </w:pPr>
            <w:r>
              <w:t>Global Burden of Disease (IHME)</w:t>
            </w:r>
          </w:p>
        </w:tc>
      </w:tr>
      <w:tr w:rsidR="001F0D49" w14:paraId="423B2ECF" w14:textId="77777777">
        <w:trPr>
          <w:cantSplit/>
        </w:trPr>
        <w:tc>
          <w:tcPr>
            <w:tcW w:w="2640" w:type="dxa"/>
            <w:tcBorders>
              <w:bottom w:val="single" w:sz="6" w:space="0" w:color="000000"/>
            </w:tcBorders>
          </w:tcPr>
          <w:p w14:paraId="1A57C1A9" w14:textId="77777777" w:rsidR="001F0D49" w:rsidRDefault="00000000">
            <w:pPr>
              <w:keepLines/>
            </w:pPr>
            <w:r>
              <w:rPr>
                <w:b/>
                <w:bCs/>
              </w:rPr>
              <w:t>YLD</w:t>
            </w:r>
          </w:p>
        </w:tc>
        <w:tc>
          <w:tcPr>
            <w:tcW w:w="2640" w:type="dxa"/>
            <w:tcBorders>
              <w:bottom w:val="single" w:sz="6" w:space="0" w:color="000000"/>
            </w:tcBorders>
          </w:tcPr>
          <w:p w14:paraId="33AD42D1" w14:textId="77777777" w:rsidR="001F0D49" w:rsidRDefault="00000000">
            <w:pPr>
              <w:keepLines/>
            </w:pPr>
            <w:r>
              <w:t>Years Lived with Disability</w:t>
            </w:r>
          </w:p>
        </w:tc>
        <w:tc>
          <w:tcPr>
            <w:tcW w:w="2640" w:type="dxa"/>
            <w:tcBorders>
              <w:bottom w:val="single" w:sz="6" w:space="0" w:color="000000"/>
            </w:tcBorders>
          </w:tcPr>
          <w:p w14:paraId="18E91E46" w14:textId="77777777" w:rsidR="001F0D49" w:rsidRDefault="00000000">
            <w:pPr>
              <w:keepLines/>
            </w:pPr>
            <w:r>
              <w:t>Years Lived with Disability</w:t>
            </w:r>
          </w:p>
        </w:tc>
      </w:tr>
      <w:tr w:rsidR="001F0D49" w14:paraId="4C35B8E3" w14:textId="77777777">
        <w:trPr>
          <w:cantSplit/>
        </w:trPr>
        <w:tc>
          <w:tcPr>
            <w:tcW w:w="2640" w:type="dxa"/>
          </w:tcPr>
          <w:p w14:paraId="737F8AB2" w14:textId="77777777" w:rsidR="001F0D49" w:rsidRDefault="00000000">
            <w:pPr>
              <w:keepLines/>
            </w:pPr>
            <w:r>
              <w:rPr>
                <w:b/>
                <w:bCs/>
              </w:rPr>
              <w:t>DALY</w:t>
            </w:r>
          </w:p>
        </w:tc>
        <w:tc>
          <w:tcPr>
            <w:tcW w:w="2640" w:type="dxa"/>
          </w:tcPr>
          <w:p w14:paraId="7EF8C426" w14:textId="77777777" w:rsidR="001F0D49" w:rsidRDefault="00000000">
            <w:pPr>
              <w:keepLines/>
            </w:pPr>
            <w:r>
              <w:t>Disability-Adjusted Life Year</w:t>
            </w:r>
          </w:p>
        </w:tc>
        <w:tc>
          <w:tcPr>
            <w:tcW w:w="2640" w:type="dxa"/>
          </w:tcPr>
          <w:p w14:paraId="2889DED1" w14:textId="77777777" w:rsidR="001F0D49" w:rsidRDefault="00000000">
            <w:pPr>
              <w:keepLines/>
            </w:pPr>
            <w:r>
              <w:t>Disability-Adjusted Life Year</w:t>
            </w:r>
          </w:p>
        </w:tc>
      </w:tr>
    </w:tbl>
    <w:p w14:paraId="4402C8D0" w14:textId="77777777" w:rsidR="001F0D49" w:rsidRDefault="00000000">
      <w:pPr>
        <w:pStyle w:val="21"/>
      </w:pPr>
      <w:bookmarkStart w:id="8" w:name="introduction"/>
      <w:bookmarkStart w:id="9" w:name="_Toc226514441"/>
      <w:bookmarkEnd w:id="6"/>
      <w:r>
        <w:t>1. Introduction</w:t>
      </w:r>
      <w:bookmarkEnd w:id="9"/>
    </w:p>
    <w:p w14:paraId="39DEA011" w14:textId="77777777" w:rsidR="001F0D49" w:rsidRDefault="00000000">
      <w:pPr>
        <w:pStyle w:val="31"/>
      </w:pPr>
      <w:bookmarkStart w:id="10" w:name="from-symptoms-to-mechanism"/>
      <w:r>
        <w:t>From symptoms to mechanism</w:t>
      </w:r>
    </w:p>
    <w:p w14:paraId="2CAF711C" w14:textId="77777777" w:rsidR="001F0D49" w:rsidRDefault="00000000">
      <w:pPr>
        <w:pStyle w:val="4"/>
      </w:pPr>
      <w:bookmarkStart w:id="11" w:name="why-there-are-too-many-symptoms"/>
      <w:r>
        <w:t>1.1. Why there are “too many symptoms”</w:t>
      </w:r>
    </w:p>
    <w:p w14:paraId="61931D35" w14:textId="77777777" w:rsidR="001F0D49" w:rsidRDefault="00000000">
      <w:r>
        <w:t>The contemporary picture is recognizable across different social strata and economies:</w:t>
      </w:r>
    </w:p>
    <w:p w14:paraId="63D45284" w14:textId="77777777" w:rsidR="001F0D49" w:rsidRDefault="00000000">
      <w:pPr>
        <w:numPr>
          <w:ilvl w:val="0"/>
          <w:numId w:val="56"/>
        </w:numPr>
      </w:pPr>
      <w:r>
        <w:lastRenderedPageBreak/>
        <w:t>fatigue and a constant sense of time scarcity;</w:t>
      </w:r>
    </w:p>
    <w:p w14:paraId="636E911B" w14:textId="77777777" w:rsidR="001F0D49" w:rsidRDefault="00000000">
      <w:pPr>
        <w:numPr>
          <w:ilvl w:val="0"/>
          <w:numId w:val="56"/>
        </w:numPr>
      </w:pPr>
      <w:r>
        <w:t>“focus breakdown” and fragmentation of activity;</w:t>
      </w:r>
    </w:p>
    <w:p w14:paraId="23C19C04" w14:textId="77777777" w:rsidR="001F0D49" w:rsidRDefault="00000000">
      <w:pPr>
        <w:numPr>
          <w:ilvl w:val="0"/>
          <w:numId w:val="56"/>
        </w:numPr>
      </w:pPr>
      <w:r>
        <w:t>rising psycho-emotional strain, burnout, and anxiety;</w:t>
      </w:r>
    </w:p>
    <w:p w14:paraId="558B0BCF" w14:textId="77777777" w:rsidR="001F0D49" w:rsidRDefault="00000000">
      <w:pPr>
        <w:numPr>
          <w:ilvl w:val="0"/>
          <w:numId w:val="56"/>
        </w:numPr>
      </w:pPr>
      <w:r>
        <w:t>the feeling that socio-economic models “predict worse” and become obsolete faster;</w:t>
      </w:r>
    </w:p>
    <w:p w14:paraId="5250F38B" w14:textId="77777777" w:rsidR="001F0D49" w:rsidRDefault="00000000">
      <w:pPr>
        <w:numPr>
          <w:ilvl w:val="0"/>
          <w:numId w:val="56"/>
        </w:numPr>
      </w:pPr>
      <w:r>
        <w:t>an accelerating sequence of crises and events experienced as external blows.</w:t>
      </w:r>
    </w:p>
    <w:p w14:paraId="069BF231" w14:textId="77777777" w:rsidR="001F0D49" w:rsidRDefault="00000000">
      <w:r>
        <w:t xml:space="preserve">These phenomena are often discussed separately — as problems of mental health, management, digital dependency, crises, or the economy. This paper proposes a different step: these phenomena are treated as </w:t>
      </w:r>
      <w:r>
        <w:rPr>
          <w:b/>
          <w:bCs/>
        </w:rPr>
        <w:t>different projections of a single regime transition</w:t>
      </w:r>
      <w:r>
        <w:t>.</w:t>
      </w:r>
    </w:p>
    <w:p w14:paraId="27A6FB59" w14:textId="77777777" w:rsidR="001F0D49" w:rsidRDefault="00000000">
      <w:pPr>
        <w:pStyle w:val="4"/>
      </w:pPr>
      <w:bookmarkStart w:id="12" w:name="the-central-hypothesis-of-the-mechanism"/>
      <w:bookmarkEnd w:id="11"/>
      <w:r>
        <w:t>1.2. The central hypothesis of the mechanism</w:t>
      </w:r>
    </w:p>
    <w:p w14:paraId="4C054BFD" w14:textId="77777777" w:rsidR="001F0D49" w:rsidRDefault="00000000">
      <w:r>
        <w:t xml:space="preserve">The present article does not propose a “sensation,” but the following </w:t>
      </w:r>
      <w:r>
        <w:rPr>
          <w:b/>
          <w:bCs/>
        </w:rPr>
        <w:t>structural principle</w:t>
      </w:r>
      <w:r>
        <w:t>:</w:t>
      </w:r>
    </w:p>
    <w:p w14:paraId="02410DC5" w14:textId="77777777" w:rsidR="001F0D49" w:rsidRDefault="00000000">
      <w:r>
        <w:t xml:space="preserve">As interdependence and the pace of change increase, the </w:t>
      </w:r>
      <w:r>
        <w:rPr>
          <w:b/>
          <w:bCs/>
        </w:rPr>
        <w:t>cognitive density</w:t>
      </w:r>
      <w:r>
        <w:t xml:space="preserve"> of the environment grows faster than the available adaptive cognitive capacity. When the </w:t>
      </w:r>
      <w:r>
        <w:rPr>
          <w:b/>
          <w:bCs/>
        </w:rPr>
        <w:t>required holding horizon</w:t>
      </w:r>
      <w:r>
        <w:t xml:space="preserve"> and the cost of coordination begin to systematically exceed the </w:t>
      </w:r>
      <w:r>
        <w:rPr>
          <w:b/>
          <w:bCs/>
        </w:rPr>
        <w:t>working and available horizons</w:t>
      </w:r>
      <w:r>
        <w:t xml:space="preserve"> of a significant share of people and institutions, a structuring deficit emerges and turns into the accumulation of systematization debt. That debt then further amplifies the degradation of cognitive capacity and increases systemic fragility.</w:t>
      </w:r>
    </w:p>
    <w:p w14:paraId="14B9DE6A" w14:textId="77777777" w:rsidR="001F0D49" w:rsidRDefault="00000000">
      <w:r>
        <w:t xml:space="preserve">The key point is that this does not mean that “everyone is already broken.” The </w:t>
      </w:r>
      <w:r>
        <w:rPr>
          <w:b/>
          <w:bCs/>
        </w:rPr>
        <w:t>adaptation threshold is uneven</w:t>
      </w:r>
      <w:r>
        <w:t xml:space="preserve">: particular people, professions, organizations, and countries may remain on the safer side of the threshold. However, the </w:t>
      </w:r>
      <w:r>
        <w:rPr>
          <w:b/>
          <w:bCs/>
        </w:rPr>
        <w:t>aggregate/average density</w:t>
      </w:r>
      <w:r>
        <w:t xml:space="preserve"> of the environment and the economy already creates a common drift: the larger the share of the population and institutions that crosses the threshold, the higher the probability of cascade effects.</w:t>
      </w:r>
    </w:p>
    <w:p w14:paraId="3996438E" w14:textId="77777777" w:rsidR="001F0D49" w:rsidRDefault="00000000">
      <w:pPr>
        <w:pStyle w:val="21"/>
      </w:pPr>
      <w:bookmarkStart w:id="13" w:name="materials-and-methods"/>
      <w:bookmarkStart w:id="14" w:name="_Toc226514442"/>
      <w:bookmarkEnd w:id="8"/>
      <w:bookmarkEnd w:id="10"/>
      <w:bookmarkEnd w:id="12"/>
      <w:r>
        <w:t>2. Materials and methods</w:t>
      </w:r>
      <w:bookmarkEnd w:id="14"/>
    </w:p>
    <w:p w14:paraId="54AA6E29" w14:textId="77777777" w:rsidR="001F0D49" w:rsidRDefault="00000000">
      <w:pPr>
        <w:pStyle w:val="31"/>
      </w:pPr>
      <w:bookmarkStart w:id="15" w:name="study-design-and-genre-of-the-paper"/>
      <w:r>
        <w:t>2.1. Study design and genre of the paper</w:t>
      </w:r>
    </w:p>
    <w:p w14:paraId="2950F0FD" w14:textId="77777777" w:rsidR="001F0D49" w:rsidRDefault="00000000">
      <w:r>
        <w:t xml:space="preserve">The present text is an </w:t>
      </w:r>
      <w:r>
        <w:rPr>
          <w:b/>
          <w:bCs/>
        </w:rPr>
        <w:t>interdisciplinary analytical document</w:t>
      </w:r>
      <w:r>
        <w:t xml:space="preserve"> assembled as a </w:t>
      </w:r>
      <w:r>
        <w:rPr>
          <w:b/>
          <w:bCs/>
        </w:rPr>
        <w:t>literature-based hypothesis paper</w:t>
      </w:r>
      <w:r>
        <w:t>. It does not claim to provide a completed empirical proof of a unified causal model. Instead, it performs four tasks:</w:t>
      </w:r>
    </w:p>
    <w:p w14:paraId="2139E870" w14:textId="77777777" w:rsidR="001F0D49" w:rsidRDefault="00000000">
      <w:pPr>
        <w:numPr>
          <w:ilvl w:val="0"/>
          <w:numId w:val="57"/>
        </w:numPr>
      </w:pPr>
      <w:r>
        <w:t>it gathers observable trends from different research fields;</w:t>
      </w:r>
    </w:p>
    <w:p w14:paraId="4596D1F3" w14:textId="77777777" w:rsidR="001F0D49" w:rsidRDefault="00000000">
      <w:pPr>
        <w:numPr>
          <w:ilvl w:val="0"/>
          <w:numId w:val="57"/>
        </w:numPr>
      </w:pPr>
      <w:r>
        <w:t>it introduces working operational proxies for the invisible mechanism;</w:t>
      </w:r>
    </w:p>
    <w:p w14:paraId="46013922" w14:textId="77777777" w:rsidR="001F0D49" w:rsidRDefault="00000000">
      <w:pPr>
        <w:numPr>
          <w:ilvl w:val="0"/>
          <w:numId w:val="57"/>
        </w:numPr>
      </w:pPr>
      <w:r>
        <w:t>it formulates a causal model suitable for further testing;</w:t>
      </w:r>
    </w:p>
    <w:p w14:paraId="37F9AFBC" w14:textId="77777777" w:rsidR="001F0D49" w:rsidRDefault="00000000">
      <w:pPr>
        <w:numPr>
          <w:ilvl w:val="0"/>
          <w:numId w:val="57"/>
        </w:numPr>
      </w:pPr>
      <w:r>
        <w:t>it specifies falsifiable hypotheses and practical design directions.</w:t>
      </w:r>
    </w:p>
    <w:p w14:paraId="00D785BC" w14:textId="77777777" w:rsidR="001F0D49" w:rsidRDefault="00000000">
      <w:pPr>
        <w:pStyle w:val="31"/>
      </w:pPr>
      <w:bookmarkStart w:id="16" w:name="the-evidential-principle"/>
      <w:bookmarkEnd w:id="15"/>
      <w:r>
        <w:t>2.2. The evidential principle</w:t>
      </w:r>
    </w:p>
    <w:p w14:paraId="673226E1" w14:textId="77777777" w:rsidR="001F0D49" w:rsidRDefault="00000000">
      <w:r>
        <w:t>The text distinguishes three layers of claims:</w:t>
      </w:r>
    </w:p>
    <w:p w14:paraId="0A0A7EAD" w14:textId="77777777" w:rsidR="001F0D49" w:rsidRDefault="00000000">
      <w:pPr>
        <w:numPr>
          <w:ilvl w:val="0"/>
          <w:numId w:val="58"/>
        </w:numPr>
      </w:pPr>
      <w:r>
        <w:t xml:space="preserve">the </w:t>
      </w:r>
      <w:r>
        <w:rPr>
          <w:b/>
          <w:bCs/>
        </w:rPr>
        <w:t>observational layer</w:t>
      </w:r>
      <w:r>
        <w:t xml:space="preserve"> — what is directly grounded in existing data and reviews;</w:t>
      </w:r>
    </w:p>
    <w:p w14:paraId="4FAA783B" w14:textId="77777777" w:rsidR="001F0D49" w:rsidRDefault="00000000">
      <w:pPr>
        <w:numPr>
          <w:ilvl w:val="0"/>
          <w:numId w:val="58"/>
        </w:numPr>
      </w:pPr>
      <w:r>
        <w:t xml:space="preserve">the </w:t>
      </w:r>
      <w:r>
        <w:rPr>
          <w:b/>
          <w:bCs/>
        </w:rPr>
        <w:t>interpretive layer</w:t>
      </w:r>
      <w:r>
        <w:t xml:space="preserve"> — an interdisciplinary assembly that links those data into a working causal frame;</w:t>
      </w:r>
    </w:p>
    <w:p w14:paraId="59D350EA" w14:textId="77777777" w:rsidR="001F0D49" w:rsidRDefault="00000000">
      <w:pPr>
        <w:numPr>
          <w:ilvl w:val="0"/>
          <w:numId w:val="58"/>
        </w:numPr>
      </w:pPr>
      <w:r>
        <w:t xml:space="preserve">the </w:t>
      </w:r>
      <w:r>
        <w:rPr>
          <w:b/>
          <w:bCs/>
        </w:rPr>
        <w:t>hypothesis layer</w:t>
      </w:r>
      <w:r>
        <w:t xml:space="preserve"> — scenario-level and civilizational conclusions that require separate further testing.</w:t>
      </w:r>
    </w:p>
    <w:p w14:paraId="1AD406EA" w14:textId="77777777" w:rsidR="001F0D49" w:rsidRDefault="00000000">
      <w:pPr>
        <w:pStyle w:val="31"/>
      </w:pPr>
      <w:bookmarkStart w:id="17" w:name="atds-position-relative-to-thm"/>
      <w:bookmarkEnd w:id="16"/>
      <w:r>
        <w:lastRenderedPageBreak/>
        <w:t>2.2.1. ATD’s position relative to THM</w:t>
      </w:r>
    </w:p>
    <w:p w14:paraId="5319F3AE" w14:textId="77777777" w:rsidR="001F0D49" w:rsidRDefault="00000000">
      <w:r>
        <w:t xml:space="preserve">Within the corpus, ATD </w:t>
      </w:r>
      <w:r>
        <w:rPr>
          <w:b/>
          <w:bCs/>
        </w:rPr>
        <w:t>does not claim to be a fully autonomous model of thinking</w:t>
      </w:r>
      <w:r>
        <w:t xml:space="preserve">. To distinguish the </w:t>
      </w:r>
      <w:r>
        <w:rPr>
          <w:b/>
          <w:bCs/>
        </w:rPr>
        <w:t>required horizon</w:t>
      </w:r>
      <w:r>
        <w:t xml:space="preserve">, the </w:t>
      </w:r>
      <w:r>
        <w:rPr>
          <w:b/>
          <w:bCs/>
        </w:rPr>
        <w:t>working and available horizons</w:t>
      </w:r>
      <w:r>
        <w:t xml:space="preserve">, </w:t>
      </w:r>
      <w:r>
        <w:rPr>
          <w:b/>
          <w:bCs/>
        </w:rPr>
        <w:t>cognitive resource</w:t>
      </w:r>
      <w:r>
        <w:t xml:space="preserve">, </w:t>
      </w:r>
      <w:r>
        <w:rPr>
          <w:b/>
          <w:bCs/>
        </w:rPr>
        <w:t>horizon cost</w:t>
      </w:r>
      <w:r>
        <w:t xml:space="preserve">, regimes of regression under load, and the difference between </w:t>
      </w:r>
      <w:r>
        <w:rPr>
          <w:b/>
          <w:bCs/>
        </w:rPr>
        <w:t>internal holding</w:t>
      </w:r>
      <w:r>
        <w:t xml:space="preserve"> and </w:t>
      </w:r>
      <w:r>
        <w:rPr>
          <w:b/>
          <w:bCs/>
        </w:rPr>
        <w:t>externally borrowed coherence</w:t>
      </w:r>
      <w:r>
        <w:t xml:space="preserve">, the present document relies on </w:t>
      </w:r>
      <w:r>
        <w:rPr>
          <w:b/>
          <w:bCs/>
        </w:rPr>
        <w:t>THM</w:t>
      </w:r>
      <w:r>
        <w:t xml:space="preserve"> as its base cognitive model. The point is not only the model of horizons, but a fuller mechanics of thought: the building and reconstruction of working models, external cognitive mediation, the distinction between available, working, and required horizons, and the ontogenetic dynamics of access to those modes. For reading ATD, THM itself and its built-in appendices within the open CoLaba.Space corpus are sufficient.</w:t>
      </w:r>
    </w:p>
    <w:p w14:paraId="25A64EA7" w14:textId="77777777" w:rsidR="001F0D49" w:rsidRDefault="00000000">
      <w:pPr>
        <w:pStyle w:val="af"/>
      </w:pPr>
      <w:r>
        <w:t xml:space="preserve">Accordingly, the subject matter of ATD is different: not the internal mechanics of thought as such, but </w:t>
      </w:r>
      <w:r>
        <w:rPr>
          <w:b/>
          <w:bCs/>
        </w:rPr>
        <w:t>the growth of environmental pressure on that mechanics</w:t>
      </w:r>
      <w:r>
        <w:t xml:space="preserve">, its </w:t>
      </w:r>
      <w:r>
        <w:rPr>
          <w:b/>
          <w:bCs/>
        </w:rPr>
        <w:t>observable proxies</w:t>
      </w:r>
      <w:r>
        <w:t xml:space="preserve">, its </w:t>
      </w:r>
      <w:r>
        <w:rPr>
          <w:b/>
          <w:bCs/>
        </w:rPr>
        <w:t>cascade consequences</w:t>
      </w:r>
      <w:r>
        <w:t xml:space="preserve">, and the accumulation of </w:t>
      </w:r>
      <w:r>
        <w:rPr>
          <w:b/>
          <w:bCs/>
        </w:rPr>
        <w:t>systematization debt</w:t>
      </w:r>
      <w:r>
        <w:t xml:space="preserve"> as a long-term divergence between required holding complexity and the actually available cognitive carrying capacity.</w:t>
      </w:r>
    </w:p>
    <w:p w14:paraId="78241A7B" w14:textId="77777777" w:rsidR="001F0D49" w:rsidRDefault="00000000">
      <w:pPr>
        <w:pStyle w:val="31"/>
      </w:pPr>
      <w:bookmarkStart w:id="18" w:name="Xdd2f1a33291c2a8a841292f3c5e053a0e008217"/>
      <w:bookmarkEnd w:id="17"/>
      <w:r>
        <w:t>2.3. Definitions: what exactly is being measured</w:t>
      </w:r>
    </w:p>
    <w:p w14:paraId="1C18DB45" w14:textId="77777777" w:rsidR="001F0D49" w:rsidRDefault="00000000">
      <w:pPr>
        <w:pStyle w:val="4"/>
      </w:pPr>
      <w:bookmarkStart w:id="19" w:name="cognitive-density-cdi"/>
      <w:r>
        <w:t>2.3.1. Cognitive density (CDI)</w:t>
      </w:r>
    </w:p>
    <w:p w14:paraId="00A09FD7" w14:textId="77777777" w:rsidR="001F0D49" w:rsidRDefault="00000000">
      <w:r>
        <w:rPr>
          <w:b/>
          <w:bCs/>
        </w:rPr>
        <w:t>Cognitive density</w:t>
      </w:r>
      <w:r>
        <w:t xml:space="preserve"> is neither an emotion nor a metaphor. Within the corpus framework, it is </w:t>
      </w:r>
      <w:r>
        <w:rPr>
          <w:b/>
          <w:bCs/>
        </w:rPr>
        <w:t>environmental pressure relative to available adaptive cognitive capacity</w:t>
      </w:r>
      <w:r>
        <w:t xml:space="preserve">: how much </w:t>
      </w:r>
      <w:r>
        <w:rPr>
          <w:i/>
          <w:iCs/>
        </w:rPr>
        <w:t>meaning-processing work</w:t>
      </w:r>
      <w:r>
        <w:t xml:space="preserve">, coordination, and holding the environment demands per unit of time — and to what extent that demand begins to exceed the actually available </w:t>
      </w:r>
      <w:r>
        <w:rPr>
          <w:b/>
          <w:bCs/>
        </w:rPr>
        <w:t>working horizon</w:t>
      </w:r>
      <w:r>
        <w:t xml:space="preserve">, </w:t>
      </w:r>
      <w:r>
        <w:rPr>
          <w:b/>
          <w:bCs/>
        </w:rPr>
        <w:t>holding resource</w:t>
      </w:r>
      <w:r>
        <w:t>, and the ability to restore structure.</w:t>
      </w:r>
    </w:p>
    <w:p w14:paraId="2D20B04E" w14:textId="77777777" w:rsidR="001F0D49" w:rsidRDefault="00000000">
      <w:pPr>
        <w:pStyle w:val="af"/>
      </w:pPr>
      <w:r>
        <w:t xml:space="preserve">For that reason, CDI is best treated not as a single “physical” quantity but as a </w:t>
      </w:r>
      <w:r>
        <w:rPr>
          <w:b/>
          <w:bCs/>
        </w:rPr>
        <w:t>composite proxy</w:t>
      </w:r>
      <w:r>
        <w:t xml:space="preserve"> describing precisely this pressure:</w:t>
      </w:r>
    </w:p>
    <w:p w14:paraId="5A1878D3" w14:textId="77777777" w:rsidR="001F0D49" w:rsidRDefault="00000000">
      <w:pPr>
        <w:numPr>
          <w:ilvl w:val="0"/>
          <w:numId w:val="59"/>
        </w:numPr>
      </w:pPr>
      <w:r>
        <w:rPr>
          <w:b/>
          <w:bCs/>
        </w:rPr>
        <w:t>fragmentation and switching</w:t>
      </w:r>
      <w:r>
        <w:t xml:space="preserve"> — the frequency of interruptions and context changes;</w:t>
      </w:r>
    </w:p>
    <w:p w14:paraId="77E02FD9" w14:textId="77777777" w:rsidR="001F0D49" w:rsidRDefault="00000000">
      <w:pPr>
        <w:numPr>
          <w:ilvl w:val="0"/>
          <w:numId w:val="59"/>
        </w:numPr>
      </w:pPr>
      <w:r>
        <w:rPr>
          <w:b/>
          <w:bCs/>
        </w:rPr>
        <w:t>communication load</w:t>
      </w:r>
      <w:r>
        <w:t xml:space="preserve"> — messages, notifications, and meetings as a “coordination tax”;</w:t>
      </w:r>
    </w:p>
    <w:p w14:paraId="6E987D48" w14:textId="77777777" w:rsidR="001F0D49" w:rsidRDefault="00000000">
      <w:pPr>
        <w:numPr>
          <w:ilvl w:val="0"/>
          <w:numId w:val="59"/>
        </w:numPr>
      </w:pPr>
      <w:r>
        <w:rPr>
          <w:b/>
          <w:bCs/>
        </w:rPr>
        <w:t>context-restoration cost</w:t>
      </w:r>
      <w:r>
        <w:t xml:space="preserve"> — task resumption time and attention residue;</w:t>
      </w:r>
    </w:p>
    <w:p w14:paraId="6B0B3142" w14:textId="77777777" w:rsidR="001F0D49" w:rsidRDefault="00000000">
      <w:pPr>
        <w:numPr>
          <w:ilvl w:val="0"/>
          <w:numId w:val="59"/>
        </w:numPr>
      </w:pPr>
      <w:r>
        <w:rPr>
          <w:b/>
          <w:bCs/>
        </w:rPr>
        <w:t>required holding length</w:t>
      </w:r>
      <w:r>
        <w:t xml:space="preserve"> — the number of interdependent elements, causal links, and decisions that must be held simultaneously in order to avoid falling into a reactive mode;</w:t>
      </w:r>
    </w:p>
    <w:p w14:paraId="276DA5CB" w14:textId="77777777" w:rsidR="001F0D49" w:rsidRDefault="00000000">
      <w:pPr>
        <w:numPr>
          <w:ilvl w:val="0"/>
          <w:numId w:val="59"/>
        </w:numPr>
      </w:pPr>
      <w:r>
        <w:rPr>
          <w:b/>
          <w:bCs/>
        </w:rPr>
        <w:t>navigation and search burden</w:t>
      </w:r>
      <w:r>
        <w:t xml:space="preserve"> — the cost of finding the needed information and point of action;</w:t>
      </w:r>
    </w:p>
    <w:p w14:paraId="347E171E" w14:textId="77777777" w:rsidR="001F0D49" w:rsidRDefault="00000000">
      <w:pPr>
        <w:numPr>
          <w:ilvl w:val="0"/>
          <w:numId w:val="59"/>
        </w:numPr>
      </w:pPr>
      <w:r>
        <w:rPr>
          <w:b/>
          <w:bCs/>
        </w:rPr>
        <w:t>entry cost</w:t>
      </w:r>
      <w:r>
        <w:t xml:space="preserve"> — the cost of entering a task, tool, or process;</w:t>
      </w:r>
    </w:p>
    <w:p w14:paraId="6449A07B" w14:textId="77777777" w:rsidR="001F0D49" w:rsidRDefault="00000000">
      <w:pPr>
        <w:numPr>
          <w:ilvl w:val="0"/>
          <w:numId w:val="59"/>
        </w:numPr>
      </w:pPr>
      <w:r>
        <w:rPr>
          <w:b/>
          <w:bCs/>
        </w:rPr>
        <w:t>context-transfer and continuity burden</w:t>
      </w:r>
      <w:r>
        <w:t xml:space="preserve"> — the cost of handing over and restoring context across people, roles, and stages;</w:t>
      </w:r>
    </w:p>
    <w:p w14:paraId="779E6C91" w14:textId="77777777" w:rsidR="001F0D49" w:rsidRDefault="00000000">
      <w:pPr>
        <w:numPr>
          <w:ilvl w:val="0"/>
          <w:numId w:val="59"/>
        </w:numPr>
      </w:pPr>
      <w:r>
        <w:rPr>
          <w:b/>
          <w:bCs/>
        </w:rPr>
        <w:t>excess process-routing costs</w:t>
      </w:r>
      <w:r>
        <w:t xml:space="preserve"> — the cost of misrouting, queues, escalations, and redundant coordination;</w:t>
      </w:r>
    </w:p>
    <w:p w14:paraId="13B7E75F" w14:textId="77777777" w:rsidR="001F0D49" w:rsidRDefault="00000000">
      <w:pPr>
        <w:numPr>
          <w:ilvl w:val="0"/>
          <w:numId w:val="59"/>
        </w:numPr>
      </w:pPr>
      <w:r>
        <w:rPr>
          <w:b/>
          <w:bCs/>
        </w:rPr>
        <w:t>quality of knowledge packaging</w:t>
      </w:r>
      <w:r>
        <w:t xml:space="preserve"> — the extent to which knowledge is embedded as support at the point of action rather than requiring manual retrieval;</w:t>
      </w:r>
    </w:p>
    <w:p w14:paraId="1133E22F" w14:textId="77777777" w:rsidR="001F0D49" w:rsidRDefault="00000000">
      <w:pPr>
        <w:numPr>
          <w:ilvl w:val="0"/>
          <w:numId w:val="59"/>
        </w:numPr>
      </w:pPr>
      <w:r>
        <w:rPr>
          <w:b/>
          <w:bCs/>
        </w:rPr>
        <w:t>verification burden</w:t>
      </w:r>
      <w:r>
        <w:t xml:space="preserve"> — the cost of checking and re-checking, including in AI-mediated work.</w:t>
      </w:r>
    </w:p>
    <w:p w14:paraId="0E78E12C" w14:textId="77777777" w:rsidR="001F0D49" w:rsidRDefault="00000000">
      <w:r>
        <w:t xml:space="preserve">The new retrospective product/process layer additionally shows that CDI is generated not only by the incoming flow of signals, but also by the architecture of action itself: how easy it is for the </w:t>
      </w:r>
      <w:r>
        <w:lastRenderedPageBreak/>
        <w:t>subject to enter a task, find the right structure, restore context, transfer state correctly, move through the solution path, and verify the outcome without excessive cognitive cost.</w:t>
      </w:r>
    </w:p>
    <w:p w14:paraId="4E62FC05" w14:textId="77777777" w:rsidR="001F0D49" w:rsidRDefault="00000000">
      <w:pPr>
        <w:pStyle w:val="af"/>
      </w:pPr>
      <w:r>
        <w:t xml:space="preserve">In other words, CDI is not simply “how many signals are around,” but </w:t>
      </w:r>
      <w:r>
        <w:rPr>
          <w:b/>
          <w:bCs/>
        </w:rPr>
        <w:t>the degree to which the environment demands a larger horizon and more resource than the subject can sustain with stability</w:t>
      </w:r>
      <w:r>
        <w:t>. Within the present corpus, CDI should therefore be understood not as a container for “everything bad,” but as a configuration of the environment that raises the cognitive cost of holding, coordination, reconstruction, and action verification.</w:t>
      </w:r>
    </w:p>
    <w:p w14:paraId="466B3E02" w14:textId="77777777" w:rsidR="001F0D49" w:rsidRDefault="00000000">
      <w:pPr>
        <w:pStyle w:val="4"/>
      </w:pPr>
      <w:bookmarkStart w:id="20" w:name="adaptation-threshold"/>
      <w:bookmarkEnd w:id="19"/>
      <w:r>
        <w:t>2.3.2. Adaptation threshold</w:t>
      </w:r>
    </w:p>
    <w:p w14:paraId="1B36A5AD" w14:textId="77777777" w:rsidR="001F0D49" w:rsidRDefault="00000000">
      <w:r>
        <w:t xml:space="preserve">The </w:t>
      </w:r>
      <w:r>
        <w:rPr>
          <w:b/>
          <w:bCs/>
        </w:rPr>
        <w:t>adaptation threshold</w:t>
      </w:r>
      <w:r>
        <w:t xml:space="preserve"> is the range in which CDI starts growing faster than the average pace of:</w:t>
      </w:r>
    </w:p>
    <w:p w14:paraId="1A7E9440" w14:textId="77777777" w:rsidR="001F0D49" w:rsidRDefault="00000000">
      <w:pPr>
        <w:numPr>
          <w:ilvl w:val="0"/>
          <w:numId w:val="60"/>
        </w:numPr>
      </w:pPr>
      <w:r>
        <w:t>individual adaptation (learning, self-regulation, neuroplasticity);</w:t>
      </w:r>
    </w:p>
    <w:p w14:paraId="050A09C9" w14:textId="77777777" w:rsidR="001F0D49" w:rsidRDefault="00000000">
      <w:pPr>
        <w:numPr>
          <w:ilvl w:val="0"/>
          <w:numId w:val="60"/>
        </w:numPr>
      </w:pPr>
      <w:r>
        <w:t>social adaptation (education, professional standards, stable norms of coordination and responsibility).</w:t>
      </w:r>
    </w:p>
    <w:p w14:paraId="6D260FC6" w14:textId="77777777" w:rsidR="001F0D49" w:rsidRDefault="00000000">
      <w:r>
        <w:t xml:space="preserve">In THM terms, this is the range in which the </w:t>
      </w:r>
      <w:r>
        <w:rPr>
          <w:b/>
          <w:bCs/>
        </w:rPr>
        <w:t>required horizon</w:t>
      </w:r>
      <w:r>
        <w:t xml:space="preserve"> and </w:t>
      </w:r>
      <w:r>
        <w:rPr>
          <w:b/>
          <w:bCs/>
        </w:rPr>
        <w:t>holding cost</w:t>
      </w:r>
      <w:r>
        <w:t xml:space="preserve"> begin to systematically exceed the </w:t>
      </w:r>
      <w:r>
        <w:rPr>
          <w:b/>
          <w:bCs/>
        </w:rPr>
        <w:t>working</w:t>
      </w:r>
      <w:r>
        <w:t xml:space="preserve"> and then the </w:t>
      </w:r>
      <w:r>
        <w:rPr>
          <w:b/>
          <w:bCs/>
        </w:rPr>
        <w:t>available horizon</w:t>
      </w:r>
      <w:r>
        <w:t xml:space="preserve"> of a significant share of people and institutions. After that point, a growing part of incoming complexity fails to become a stable schema and remains “raw complexity.”</w:t>
      </w:r>
    </w:p>
    <w:p w14:paraId="68382221" w14:textId="77777777" w:rsidR="001F0D49" w:rsidRDefault="00000000">
      <w:pPr>
        <w:pStyle w:val="5"/>
      </w:pPr>
      <w:bookmarkStart w:id="21" w:name="X2f879e27fd8d23a2412256cffcfd9270f61266b"/>
      <w:r>
        <w:t>2.3.2.1. Operationalizing the threshold: a conceptual frame and indicator candidates</w:t>
      </w:r>
    </w:p>
    <w:p w14:paraId="4C8227ED" w14:textId="77777777" w:rsidR="001F0D49" w:rsidRDefault="00000000">
      <w:r>
        <w:t xml:space="preserve">At this stage, the adaptation threshold is a </w:t>
      </w:r>
      <w:r>
        <w:rPr>
          <w:b/>
          <w:bCs/>
        </w:rPr>
        <w:t>conceptual frame awaiting full operationalization</w:t>
      </w:r>
      <w:r>
        <w:t>. The paper does not claim that a precise crossing point can already be placed on a timeline. However, one can propose a set of candidate indicators that, taken together, point to an approach to the threshold or a crossing of it.</w:t>
      </w:r>
    </w:p>
    <w:p w14:paraId="38428411" w14:textId="77777777" w:rsidR="001F0D49" w:rsidRDefault="00000000">
      <w:pPr>
        <w:pStyle w:val="af"/>
      </w:pPr>
      <w:r>
        <w:rPr>
          <w:b/>
          <w:bCs/>
        </w:rPr>
        <w:t>Macro-level indicators (from existing data):</w:t>
      </w:r>
    </w:p>
    <w:p w14:paraId="6AD15943" w14:textId="77777777" w:rsidR="001F0D49" w:rsidRDefault="00000000">
      <w:pPr>
        <w:numPr>
          <w:ilvl w:val="0"/>
          <w:numId w:val="61"/>
        </w:numPr>
      </w:pPr>
      <w:r>
        <w:rPr>
          <w:b/>
          <w:bCs/>
        </w:rPr>
        <w:t>The dynamics of DALYs/YLDs for depression and anxiety</w:t>
      </w:r>
      <w:r>
        <w:t xml:space="preserve"> (IHME/GBD): a persistent increase in the burden of mental disorders when demography and access to care are controlled for. In the GBD data, YLDs for depressive and anxiety disorders rise over 1990–2019, with a sharp acceleration in 2020 (Santomauro et al., </w:t>
      </w:r>
      <w:r>
        <w:rPr>
          <w:i/>
          <w:iCs/>
        </w:rPr>
        <w:t>Lancet</w:t>
      </w:r>
      <w:r>
        <w:t xml:space="preserve"> 2021: +27.6% for depression and +25.6% for anxiety in one pandemic year).</w:t>
      </w:r>
    </w:p>
    <w:p w14:paraId="7C5A5E6A" w14:textId="77777777" w:rsidR="001F0D49" w:rsidRDefault="00000000">
      <w:pPr>
        <w:numPr>
          <w:ilvl w:val="0"/>
          <w:numId w:val="61"/>
        </w:numPr>
      </w:pPr>
      <w:r>
        <w:rPr>
          <w:b/>
          <w:bCs/>
        </w:rPr>
        <w:t>The share of workers reporting high work intensity</w:t>
      </w:r>
      <w:r>
        <w:t xml:space="preserve"> (EWCS/Eurofound): a wave-by-wave increase in the share working “at high speed” and “under tight deadlines,” starting in the 1990s.</w:t>
      </w:r>
    </w:p>
    <w:p w14:paraId="31E50B1C" w14:textId="77777777" w:rsidR="001F0D49" w:rsidRDefault="00000000">
      <w:pPr>
        <w:numPr>
          <w:ilvl w:val="0"/>
          <w:numId w:val="61"/>
        </w:numPr>
      </w:pPr>
      <w:r>
        <w:rPr>
          <w:b/>
          <w:bCs/>
        </w:rPr>
        <w:t>Growth of the WUI (World Uncertainty Index)</w:t>
      </w:r>
      <w:r>
        <w:t xml:space="preserve"> over decades: a systematic rise in the baseline level of uncertainty and a greater frequency of “spikes,” especially in developed economies with high synchronization.</w:t>
      </w:r>
    </w:p>
    <w:p w14:paraId="3AE7FBBA" w14:textId="77777777" w:rsidR="001F0D49" w:rsidRDefault="00000000">
      <w:pPr>
        <w:numPr>
          <w:ilvl w:val="0"/>
          <w:numId w:val="61"/>
        </w:numPr>
      </w:pPr>
      <w:r>
        <w:rPr>
          <w:b/>
          <w:bCs/>
        </w:rPr>
        <w:t>The dynamics of labor share</w:t>
      </w:r>
      <w:r>
        <w:t xml:space="preserve"> (ILO WESO): a decline of 1.6 percentage points over 2004–2024; over the long horizon this corresponds to a counterfactual shortfall of </w:t>
      </w:r>
      <w:r>
        <w:rPr>
          <w:b/>
          <w:bCs/>
        </w:rPr>
        <w:t>$2.4 trillion</w:t>
      </w:r>
      <w:r>
        <w:t xml:space="preserve"> in labor income using 2004 as the comparison base, and in the latest update about </w:t>
      </w:r>
      <w:r>
        <w:rPr>
          <w:b/>
          <w:bCs/>
        </w:rPr>
        <w:t>$1 trillion</w:t>
      </w:r>
      <w:r>
        <w:t xml:space="preserve"> in 2024 using 2014 as the comparison base, which may reflect a systemic weakening of returns to cognitive labor.</w:t>
      </w:r>
    </w:p>
    <w:p w14:paraId="70B0DE24" w14:textId="77777777" w:rsidR="001F0D49" w:rsidRDefault="00000000">
      <w:r>
        <w:rPr>
          <w:b/>
          <w:bCs/>
        </w:rPr>
        <w:t>Micro-level indicators (requiring aggregation):</w:t>
      </w:r>
    </w:p>
    <w:p w14:paraId="4C470789" w14:textId="77777777" w:rsidR="001F0D49" w:rsidRDefault="00000000">
      <w:pPr>
        <w:numPr>
          <w:ilvl w:val="0"/>
          <w:numId w:val="62"/>
        </w:numPr>
      </w:pPr>
      <w:r>
        <w:rPr>
          <w:b/>
          <w:bCs/>
        </w:rPr>
        <w:t>Fragmentation of the working day</w:t>
      </w:r>
      <w:r>
        <w:t xml:space="preserve">: the average duration of a continuous “working sphere” (Mark et al., 2005: ~11 min), the share of interrupted tasks, and the average time </w:t>
      </w:r>
      <w:r>
        <w:lastRenderedPageBreak/>
        <w:t>needed to return to an interrupted task. If these indicators worsen from study to study, that is a meaningful signal.</w:t>
      </w:r>
    </w:p>
    <w:p w14:paraId="5BF8E15E" w14:textId="77777777" w:rsidR="001F0D49" w:rsidRDefault="00000000">
      <w:pPr>
        <w:numPr>
          <w:ilvl w:val="0"/>
          <w:numId w:val="62"/>
        </w:numPr>
      </w:pPr>
      <w:r>
        <w:rPr>
          <w:b/>
          <w:bCs/>
        </w:rPr>
        <w:t>Post-2020 telemetry proxies</w:t>
      </w:r>
      <w:r>
        <w:t>: data from corporate platforms (Microsoft Work Trend Index, Asana Anatomy of Work) indicating growth in the number of meetings, messages, and “work about work.” These data are indicative but require careful methodological interpretation.</w:t>
      </w:r>
    </w:p>
    <w:p w14:paraId="75EAC1BD" w14:textId="77777777" w:rsidR="001F0D49" w:rsidRDefault="00000000">
      <w:r>
        <w:rPr>
          <w:b/>
          <w:bCs/>
        </w:rPr>
        <w:t>Proposed criterion of a “threshold zone”</w:t>
      </w:r>
      <w:r>
        <w:t xml:space="preserve"> (working hypothesis): the system is approaching the threshold when one observes </w:t>
      </w:r>
      <w:r>
        <w:rPr>
          <w:b/>
          <w:bCs/>
        </w:rPr>
        <w:t>simultaneously</w:t>
      </w:r>
      <w:r>
        <w:t xml:space="preserve"> (a) persistent growth of CDI proxies, (b) growth in the burden of mental disorders (CWCI↓), and (c) the absence of compensating growth in productivity or decision quality. If all three trends converge, there is reason to consider the threshold either reached or near.</w:t>
      </w:r>
    </w:p>
    <w:p w14:paraId="4A1773C2" w14:textId="77777777" w:rsidR="001F0D49" w:rsidRDefault="00000000">
      <w:pPr>
        <w:pStyle w:val="af"/>
      </w:pPr>
      <w:r>
        <w:t>A full operationalization (with threshold values, statistical tests, and interregional comparisons) is a task for a separate methodological study.</w:t>
      </w:r>
    </w:p>
    <w:p w14:paraId="00C0BC50" w14:textId="77777777" w:rsidR="001F0D49" w:rsidRDefault="00000000">
      <w:pPr>
        <w:pStyle w:val="5"/>
      </w:pPr>
      <w:bookmarkStart w:id="22" w:name="X7df02a29e479c82a3bfab53c057204099a12fcf"/>
      <w:bookmarkEnd w:id="21"/>
      <w:r>
        <w:t>2.3.2.2. Systematization debt as accumulated divergence</w:t>
      </w:r>
    </w:p>
    <w:p w14:paraId="7D04EC93" w14:textId="77777777" w:rsidR="001F0D49" w:rsidRDefault="00000000">
      <w:r>
        <w:t xml:space="preserve">Within ATD, </w:t>
      </w:r>
      <w:r>
        <w:rPr>
          <w:b/>
          <w:bCs/>
        </w:rPr>
        <w:t>systematization debt (SysDebt)</w:t>
      </w:r>
      <w:r>
        <w:t xml:space="preserve"> is treated not as an autonomous external entity but as the </w:t>
      </w:r>
      <w:r>
        <w:rPr>
          <w:b/>
          <w:bCs/>
        </w:rPr>
        <w:t>accumulated result of a prolonged divergence</w:t>
      </w:r>
      <w:r>
        <w:t xml:space="preserve"> between:</w:t>
      </w:r>
    </w:p>
    <w:p w14:paraId="40F4C75A" w14:textId="77777777" w:rsidR="001F0D49" w:rsidRDefault="00000000">
      <w:pPr>
        <w:numPr>
          <w:ilvl w:val="0"/>
          <w:numId w:val="63"/>
        </w:numPr>
      </w:pPr>
      <w:r>
        <w:rPr>
          <w:b/>
          <w:bCs/>
        </w:rPr>
        <w:t>required holding complexity</w:t>
      </w:r>
      <w:r>
        <w:t>;</w:t>
      </w:r>
    </w:p>
    <w:p w14:paraId="0990A822" w14:textId="77777777" w:rsidR="001F0D49" w:rsidRDefault="00000000">
      <w:pPr>
        <w:numPr>
          <w:ilvl w:val="0"/>
          <w:numId w:val="63"/>
        </w:numPr>
      </w:pPr>
      <w:r>
        <w:rPr>
          <w:b/>
          <w:bCs/>
        </w:rPr>
        <w:t>the actually maintained working horizon</w:t>
      </w:r>
      <w:r>
        <w:t>;</w:t>
      </w:r>
    </w:p>
    <w:p w14:paraId="0D8ECB10" w14:textId="77777777" w:rsidR="001F0D49" w:rsidRDefault="00000000">
      <w:pPr>
        <w:numPr>
          <w:ilvl w:val="0"/>
          <w:numId w:val="63"/>
        </w:numPr>
      </w:pPr>
      <w:r>
        <w:rPr>
          <w:b/>
          <w:bCs/>
        </w:rPr>
        <w:t>the available cognitive capacity</w:t>
      </w:r>
      <w:r>
        <w:t xml:space="preserve"> of the system;</w:t>
      </w:r>
    </w:p>
    <w:p w14:paraId="3A10ECD2" w14:textId="77777777" w:rsidR="001F0D49" w:rsidRDefault="00000000">
      <w:pPr>
        <w:numPr>
          <w:ilvl w:val="0"/>
          <w:numId w:val="63"/>
        </w:numPr>
      </w:pPr>
      <w:r>
        <w:rPr>
          <w:b/>
          <w:bCs/>
        </w:rPr>
        <w:t>the speed with which the environment throws new contexts at the system before previous cycles of systematization are completed</w:t>
      </w:r>
      <w:r>
        <w:t>.</w:t>
      </w:r>
    </w:p>
    <w:p w14:paraId="3659FD1F" w14:textId="77777777" w:rsidR="001F0D49" w:rsidRDefault="00000000">
      <w:r>
        <w:t>Therefore, systematization debt is not simply “chaos,” and not simply “bad organization.” It is a historically accumulated residue of unassembled complexity, which then raises the cost of subsequent decisions, coordination, and learning.</w:t>
      </w:r>
    </w:p>
    <w:p w14:paraId="35505705" w14:textId="77777777" w:rsidR="001F0D49" w:rsidRDefault="00000000">
      <w:pPr>
        <w:pStyle w:val="af"/>
      </w:pPr>
      <w:r>
        <w:t>At the applied level, SysDebt appears not only as abstract non-assembly, but also as an accumulated deficit in the quality of packaging, routing, transferring, and restoring context. It is therefore visible through such proxies as ambiguity in context transfer, repeated clarifications, search burden, reopening and rework, documentation drift relative to action, routing and queue losses, and rising entry cost into routine actions.</w:t>
      </w:r>
    </w:p>
    <w:p w14:paraId="66271C9A" w14:textId="77777777" w:rsidR="001F0D49" w:rsidRDefault="00000000">
      <w:pPr>
        <w:pStyle w:val="af"/>
      </w:pPr>
      <w:r>
        <w:t>Typical manifestations of this layer include:</w:t>
      </w:r>
    </w:p>
    <w:p w14:paraId="05812C38" w14:textId="77777777" w:rsidR="001F0D49" w:rsidRDefault="00000000">
      <w:pPr>
        <w:numPr>
          <w:ilvl w:val="0"/>
          <w:numId w:val="64"/>
        </w:numPr>
      </w:pPr>
      <w:r>
        <w:t>repeated-explanation burden;</w:t>
      </w:r>
    </w:p>
    <w:p w14:paraId="478A25E1" w14:textId="77777777" w:rsidR="001F0D49" w:rsidRDefault="00000000">
      <w:pPr>
        <w:numPr>
          <w:ilvl w:val="0"/>
          <w:numId w:val="64"/>
        </w:numPr>
      </w:pPr>
      <w:r>
        <w:t>the number of clarifications after context transfer;</w:t>
      </w:r>
    </w:p>
    <w:p w14:paraId="19DBF1CC" w14:textId="77777777" w:rsidR="001F0D49" w:rsidRDefault="00000000">
      <w:pPr>
        <w:numPr>
          <w:ilvl w:val="0"/>
          <w:numId w:val="64"/>
        </w:numPr>
      </w:pPr>
      <w:r>
        <w:t>reopening / rework after incomplete transfer;</w:t>
      </w:r>
    </w:p>
    <w:p w14:paraId="25D7D669" w14:textId="77777777" w:rsidR="001F0D49" w:rsidRDefault="00000000">
      <w:pPr>
        <w:numPr>
          <w:ilvl w:val="0"/>
          <w:numId w:val="64"/>
        </w:numPr>
      </w:pPr>
      <w:r>
        <w:t>the gap between documentation and action;</w:t>
      </w:r>
    </w:p>
    <w:p w14:paraId="64492F91" w14:textId="77777777" w:rsidR="001F0D49" w:rsidRDefault="00000000">
      <w:pPr>
        <w:numPr>
          <w:ilvl w:val="0"/>
          <w:numId w:val="64"/>
        </w:numPr>
      </w:pPr>
      <w:r>
        <w:t>losses on queues and routing;</w:t>
      </w:r>
    </w:p>
    <w:p w14:paraId="66B2BB12" w14:textId="77777777" w:rsidR="001F0D49" w:rsidRDefault="00000000">
      <w:pPr>
        <w:numPr>
          <w:ilvl w:val="0"/>
          <w:numId w:val="64"/>
        </w:numPr>
      </w:pPr>
      <w:r>
        <w:t>high entry cost for routine but information-dense tasks.</w:t>
      </w:r>
    </w:p>
    <w:p w14:paraId="71BF82DE" w14:textId="77777777" w:rsidR="001F0D49" w:rsidRDefault="00000000">
      <w:pPr>
        <w:pStyle w:val="4"/>
      </w:pPr>
      <w:bookmarkStart w:id="23" w:name="X4acfcd6abae8170c440b2252a9b4d5f559ef5e6"/>
      <w:bookmarkEnd w:id="20"/>
      <w:bookmarkEnd w:id="22"/>
      <w:r>
        <w:t>2.3.3. Shock density (SDI): a symptom, not a root cause</w:t>
      </w:r>
    </w:p>
    <w:p w14:paraId="5B0C7CFA" w14:textId="77777777" w:rsidR="001F0D49" w:rsidRDefault="00000000">
      <w:r>
        <w:t>It is important to distinguish:</w:t>
      </w:r>
    </w:p>
    <w:p w14:paraId="09236641" w14:textId="77777777" w:rsidR="001F0D49" w:rsidRDefault="00000000">
      <w:pPr>
        <w:numPr>
          <w:ilvl w:val="0"/>
          <w:numId w:val="65"/>
        </w:numPr>
      </w:pPr>
      <w:r>
        <w:rPr>
          <w:b/>
          <w:bCs/>
        </w:rPr>
        <w:t>SDI_exo</w:t>
      </w:r>
      <w:r>
        <w:t xml:space="preserve"> — external triggers (pandemics, wars, commodity shocks);</w:t>
      </w:r>
    </w:p>
    <w:p w14:paraId="2E168084" w14:textId="77777777" w:rsidR="001F0D49" w:rsidRDefault="00000000">
      <w:pPr>
        <w:numPr>
          <w:ilvl w:val="0"/>
          <w:numId w:val="65"/>
        </w:numPr>
      </w:pPr>
      <w:r>
        <w:rPr>
          <w:b/>
          <w:bCs/>
        </w:rPr>
        <w:lastRenderedPageBreak/>
        <w:t>SDI_obs</w:t>
      </w:r>
      <w:r>
        <w:t xml:space="preserve"> — the observed density and amplitude of shocks after system amplification (through connectivity, tight coupling, and cascades).</w:t>
      </w:r>
    </w:p>
    <w:p w14:paraId="304D0492" w14:textId="77777777" w:rsidR="001F0D49" w:rsidRDefault="00000000">
      <w:r>
        <w:t xml:space="preserve">In this meta-review, SDI is treated primarily as a </w:t>
      </w:r>
      <w:r>
        <w:rPr>
          <w:b/>
          <w:bCs/>
        </w:rPr>
        <w:t>visible fluctuation</w:t>
      </w:r>
      <w:r>
        <w:t xml:space="preserve"> against the background of hidden growth in cognitive density and systemic fragility.</w:t>
      </w:r>
    </w:p>
    <w:p w14:paraId="15B52CDC" w14:textId="77777777" w:rsidR="001F0D49" w:rsidRDefault="00000000">
      <w:pPr>
        <w:pStyle w:val="4"/>
      </w:pPr>
      <w:bookmarkStart w:id="24" w:name="cognitive-workforce-capacity-cwci"/>
      <w:bookmarkEnd w:id="23"/>
      <w:r>
        <w:t>2.3.4. Cognitive workforce capacity (CWCI)</w:t>
      </w:r>
    </w:p>
    <w:p w14:paraId="6286A2E6" w14:textId="77777777" w:rsidR="001F0D49" w:rsidRDefault="00000000">
      <w:r>
        <w:rPr>
          <w:b/>
          <w:bCs/>
        </w:rPr>
        <w:t>CWCI</w:t>
      </w:r>
      <w:r>
        <w:t xml:space="preserve"> is used here as a macro-level proxy for the </w:t>
      </w:r>
      <w:r>
        <w:rPr>
          <w:b/>
          <w:bCs/>
        </w:rPr>
        <w:t>available adaptive cognitive capacity</w:t>
      </w:r>
      <w:r>
        <w:t xml:space="preserve"> of the human system under conditions of rising environmental complexity. The indicator is not reducible to “mental health” in a narrowly clinical sense. It includes the practical ability to sustain attention, make decisions, learn, coordinate, reconstruct structure, and preserve adaptiveness without chronic overload.</w:t>
      </w:r>
    </w:p>
    <w:p w14:paraId="62244D7C" w14:textId="77777777" w:rsidR="001F0D49" w:rsidRDefault="00000000">
      <w:pPr>
        <w:pStyle w:val="af"/>
      </w:pPr>
      <w:r>
        <w:t xml:space="preserve">At the operational level, CWCI is not measured by a single direct metric. In this paper it is approximated through load and loss indicators: the burden of depression and anxiety, lost work capacity, declines in productivity, and other proxies reflecting a reduced capacity of the system to maintain stable cognitive work. Within the </w:t>
      </w:r>
      <w:r>
        <w:rPr>
          <w:b/>
          <w:bCs/>
        </w:rPr>
        <w:t>THM → ATD</w:t>
      </w:r>
      <w:r>
        <w:t xml:space="preserve"> linkage, this indicator does not replace the cognitive model but serves as its </w:t>
      </w:r>
      <w:r>
        <w:rPr>
          <w:b/>
          <w:bCs/>
        </w:rPr>
        <w:t>macro-observable approximation</w:t>
      </w:r>
      <w:r>
        <w:t>.</w:t>
      </w:r>
    </w:p>
    <w:p w14:paraId="25BD7886" w14:textId="77777777" w:rsidR="001F0D49" w:rsidRDefault="00000000">
      <w:pPr>
        <w:pStyle w:val="31"/>
      </w:pPr>
      <w:bookmarkStart w:id="25" w:name="X377a438a96784427029c62521ae8564f2172b15"/>
      <w:bookmarkEnd w:id="18"/>
      <w:bookmarkEnd w:id="24"/>
      <w:r>
        <w:t>2.4. Principles for building diagrams and graphs</w:t>
      </w:r>
    </w:p>
    <w:p w14:paraId="70C5646C" w14:textId="77777777" w:rsidR="001F0D49" w:rsidRDefault="00000000">
      <w:r>
        <w:t xml:space="preserve">The diagrams in this document are </w:t>
      </w:r>
      <w:r>
        <w:rPr>
          <w:b/>
          <w:bCs/>
        </w:rPr>
        <w:t>analytical and explanatory</w:t>
      </w:r>
      <w:r>
        <w:t>, not final empirical visualizations. Their purpose is to make the causal logic of the document explicit and to show which time series and composites could be assembled in subsequent empirical work. All axes in the diagrams use conventional normalized scales. The figures illustrate the proposed qualitative dependencies and scenario relations, not calibrated forecasting series.</w:t>
      </w:r>
    </w:p>
    <w:p w14:paraId="5FAA88D4" w14:textId="77777777" w:rsidR="001F0D49" w:rsidRDefault="00000000">
      <w:pPr>
        <w:pStyle w:val="21"/>
      </w:pPr>
      <w:bookmarkStart w:id="26" w:name="results"/>
      <w:bookmarkStart w:id="27" w:name="_Toc226514443"/>
      <w:bookmarkEnd w:id="13"/>
      <w:bookmarkEnd w:id="25"/>
      <w:r>
        <w:t>3. Results</w:t>
      </w:r>
      <w:bookmarkEnd w:id="27"/>
    </w:p>
    <w:p w14:paraId="2C502820" w14:textId="77777777" w:rsidR="001F0D49" w:rsidRDefault="00000000">
      <w:pPr>
        <w:pStyle w:val="31"/>
      </w:pPr>
      <w:bookmarkStart w:id="28" w:name="X5483642f37ed8e2a243a2d26b3eb13b21794933"/>
      <w:r>
        <w:t>3.1. Curve 1: the growth of cognitive density (CDI)</w:t>
      </w:r>
    </w:p>
    <w:p w14:paraId="1A2017D0" w14:textId="77777777" w:rsidR="001F0D49" w:rsidRDefault="00000000">
      <w:pPr>
        <w:pStyle w:val="4"/>
      </w:pPr>
      <w:bookmarkStart w:id="29" w:name="X111b6c575bd1977aba7f026ff89f0cac817a0f2"/>
      <w:r>
        <w:t>3.1.1. Before the digital era and in early digitalization: work intensification begins before internet platforms</w:t>
      </w:r>
    </w:p>
    <w:p w14:paraId="5C3E4547" w14:textId="77777777" w:rsidR="001F0D49" w:rsidRDefault="00000000">
      <w:r>
        <w:t xml:space="preserve">Cognitive density as a social phenomenon did not appear “yesterday.” By the end of the twentieth century, </w:t>
      </w:r>
      <w:r>
        <w:rPr>
          <w:b/>
          <w:bCs/>
        </w:rPr>
        <w:t>work intensification</w:t>
      </w:r>
      <w:r>
        <w:t xml:space="preserve"> was already being documented (deadline pressure, high working speed, hard deadlines). In Britain, </w:t>
      </w:r>
      <w:r>
        <w:rPr>
          <w:b/>
          <w:bCs/>
        </w:rPr>
        <w:t>effort intensification</w:t>
      </w:r>
      <w:r>
        <w:t xml:space="preserve"> grew from the early 1980s onward, shifting across sectors (stronger in industry in the 1980s, stronger in the public sector in the 1990s). This matters because the mechanism began before social networks and smartphones; its roots therefore run deeper than “notifications.” See: Francis Green (2001), “It’s Been A Hard Day’s Night: The Concentration and Intensification of Work in Late Twentieth-Century Britain.”</w:t>
      </w:r>
    </w:p>
    <w:p w14:paraId="5BF48FE8" w14:textId="77777777" w:rsidR="001F0D49" w:rsidRDefault="00000000">
      <w:pPr>
        <w:pStyle w:val="af"/>
      </w:pPr>
      <w:r>
        <w:t xml:space="preserve">In Europe (EWCS), the period 1990–2000 showed growth in the share of workers operating “at high speed” and “under tight deadlines”; Eurofound links this to stronger market constraints and coordination factors. See Eurofound materials on the growth of work intensity (1990→1995→2000) and the report </w:t>
      </w:r>
      <w:r>
        <w:rPr>
          <w:i/>
          <w:iCs/>
        </w:rPr>
        <w:t>Time and work: work intensity</w:t>
      </w:r>
      <w:r>
        <w:t xml:space="preserve"> (2003).</w:t>
      </w:r>
    </w:p>
    <w:p w14:paraId="50418C53" w14:textId="77777777" w:rsidR="001F0D49" w:rsidRDefault="00000000">
      <w:pPr>
        <w:pStyle w:val="af"/>
      </w:pPr>
      <w:r>
        <w:t xml:space="preserve">What matters, however, is that even this layer of history was not the first. Humanity had already faced moments when the natural transmission of knowledge at the scale of the small community, oral culture, and local memory ceased to cope with growing volumes of knowledge and growing coordination complexity. As societies expanded and early statehood took shape, external structures for the systematization of knowledge emerged: writing, archives, libraries, schools, canons, and later university forms. At subsequent turns of complexity growth, the response again moved in the direction of greater systematization. In that sense, the current crisis differs not </w:t>
      </w:r>
      <w:r>
        <w:lastRenderedPageBreak/>
        <w:t>because knowledge itself became “too complex,” but because the production of fragments, signals, and local decisions now grows faster than the existing mechanisms for assembling, synthesizing, and re-systematizing them. The system increasingly falls apart into disconnected patches that fail to recombine into a stable structure.</w:t>
      </w:r>
    </w:p>
    <w:p w14:paraId="7DB12C35" w14:textId="77777777" w:rsidR="001F0D49" w:rsidRDefault="00000000">
      <w:pPr>
        <w:pStyle w:val="af"/>
      </w:pPr>
      <w:r>
        <w:rPr>
          <w:b/>
          <w:bCs/>
        </w:rPr>
        <w:t>What this means for the logic of the paper:</w:t>
      </w:r>
      <w:r>
        <w:t xml:space="preserve"> a trend toward acceleration and densification of work was already forming before mass digitalization. The digital environment then added a mechanism of constant coordination and multichannel load.</w:t>
      </w:r>
    </w:p>
    <w:p w14:paraId="10F9E837" w14:textId="77777777" w:rsidR="001F0D49" w:rsidRDefault="00000000">
      <w:pPr>
        <w:pStyle w:val="4"/>
      </w:pPr>
      <w:bookmarkStart w:id="30" w:name="X244503c4ecc13e737ea89e16796bf0008cd4267"/>
      <w:bookmarkEnd w:id="29"/>
      <w:r>
        <w:t>3.1.2. Knowledge work: fragmentation and the “cost of restoring context”</w:t>
      </w:r>
    </w:p>
    <w:p w14:paraId="5E4E3C4D" w14:textId="77777777" w:rsidR="001F0D49" w:rsidRDefault="00000000">
      <w:r>
        <w:t xml:space="preserve">For cognitive density, it matters not only </w:t>
      </w:r>
      <w:r>
        <w:rPr>
          <w:i/>
          <w:iCs/>
        </w:rPr>
        <w:t>how many hours we work</w:t>
      </w:r>
      <w:r>
        <w:t xml:space="preserve">, but </w:t>
      </w:r>
      <w:r>
        <w:rPr>
          <w:i/>
          <w:iCs/>
        </w:rPr>
        <w:t>how work is organized</w:t>
      </w:r>
      <w:r>
        <w:t>. Research on knowledge work shows a persistent structure: interruptions and switching are the norm, not the exception.</w:t>
      </w:r>
    </w:p>
    <w:p w14:paraId="7A6C4A42" w14:textId="77777777" w:rsidR="001F0D49" w:rsidRDefault="00000000">
      <w:pPr>
        <w:pStyle w:val="af"/>
      </w:pPr>
      <w:r>
        <w:t>In the work of Mark and colleagues (CHI 2005/2008), fragmentation is measured “in the field”: a significant share of working “spheres” is interrupted, and interruptions increase subjective stress even if they speed up task completion. In later work (CSCW 2016), email-pattern logging, biosensors, and diaries are used; the link between communication patterns, stress, and perceived productivity is again confirmed.</w:t>
      </w:r>
    </w:p>
    <w:p w14:paraId="2769C296" w14:textId="77777777" w:rsidR="001F0D49" w:rsidRDefault="00000000">
      <w:pPr>
        <w:pStyle w:val="af"/>
      </w:pPr>
      <w:r>
        <w:t xml:space="preserve">To avoid staying at the level of general description, it is useful to fix one concrete “anchor” from field research. In an observation of 24 information workers, Mark et al. showed that the average continuous “working sphere” lasted about </w:t>
      </w:r>
      <w:r>
        <w:rPr>
          <w:b/>
          <w:bCs/>
        </w:rPr>
        <w:t>11 minutes 4 seconds</w:t>
      </w:r>
      <w:r>
        <w:t xml:space="preserve">, while </w:t>
      </w:r>
      <w:r>
        <w:rPr>
          <w:b/>
          <w:bCs/>
        </w:rPr>
        <w:t>57%</w:t>
      </w:r>
      <w:r>
        <w:t xml:space="preserve"> of spheres were interrupted. Most interrupted tasks were resumed on the same day (</w:t>
      </w:r>
      <w:r>
        <w:rPr>
          <w:b/>
          <w:bCs/>
        </w:rPr>
        <w:t>77.2%</w:t>
      </w:r>
      <w:r>
        <w:t xml:space="preserve">), but on average only after </w:t>
      </w:r>
      <w:r>
        <w:rPr>
          <w:b/>
          <w:bCs/>
        </w:rPr>
        <w:t>25 minutes 26 seconds</w:t>
      </w:r>
      <w:r>
        <w:t xml:space="preserve"> and after switching to about </w:t>
      </w:r>
      <w:r>
        <w:rPr>
          <w:b/>
          <w:bCs/>
        </w:rPr>
        <w:t>2.26</w:t>
      </w:r>
      <w:r>
        <w:t xml:space="preserve"> other “spheres” — meaning that context restoration is systematically delayed and spread across the day. Source: Mark et al. (CHI 2005) — https://www.ics.uci.edu/~gmark/CHI2005.pdf</w:t>
      </w:r>
    </w:p>
    <w:p w14:paraId="1F5AAAAB" w14:textId="77777777" w:rsidR="001F0D49" w:rsidRDefault="00000000">
      <w:pPr>
        <w:pStyle w:val="af"/>
      </w:pPr>
      <w:r>
        <w:t xml:space="preserve">At the level of cognitive mechanisms, the idea of </w:t>
      </w:r>
      <w:r>
        <w:rPr>
          <w:b/>
          <w:bCs/>
        </w:rPr>
        <w:t>attention residue</w:t>
      </w:r>
      <w:r>
        <w:t xml:space="preserve"> is important: switching leaves a “trace” of attention on the previous task, reducing the quality and speed of the next one.</w:t>
      </w:r>
    </w:p>
    <w:p w14:paraId="7452221B" w14:textId="77777777" w:rsidR="001F0D49" w:rsidRDefault="00000000">
      <w:pPr>
        <w:pStyle w:val="af"/>
      </w:pPr>
      <w:r>
        <w:rPr>
          <w:b/>
          <w:bCs/>
        </w:rPr>
        <w:t>What this gives us:</w:t>
      </w:r>
      <w:r>
        <w:t xml:space="preserve"> CDI can be defended as an observable proxy quantity: it has operationalizable indicators and cognitive-psychological mechanisms that explain the losses.</w:t>
      </w:r>
    </w:p>
    <w:p w14:paraId="0DF36AA9" w14:textId="77777777" w:rsidR="001F0D49" w:rsidRDefault="00000000">
      <w:pPr>
        <w:pStyle w:val="4"/>
      </w:pPr>
      <w:bookmarkStart w:id="31" w:name="Xfbc690d5018b9bd1b45b9abb977d5cae403a671"/>
      <w:bookmarkEnd w:id="30"/>
      <w:r>
        <w:t>3.1.3. Why CDI grows “quietly”: it becomes normalized</w:t>
      </w:r>
    </w:p>
    <w:p w14:paraId="4E4F8AD1" w14:textId="77777777" w:rsidR="001F0D49" w:rsidRDefault="00000000">
      <w:r>
        <w:t>The growth of cognitive density is rarely perceived as a major trend. It enters as “new processes,” “new tools,” and “new speed standards.” At the level of subjective experience, this looks like:</w:t>
      </w:r>
    </w:p>
    <w:p w14:paraId="5C8D6152" w14:textId="77777777" w:rsidR="001F0D49" w:rsidRDefault="00000000">
      <w:pPr>
        <w:numPr>
          <w:ilvl w:val="0"/>
          <w:numId w:val="66"/>
        </w:numPr>
      </w:pPr>
      <w:r>
        <w:t>less continuous time for deep work;</w:t>
      </w:r>
    </w:p>
    <w:p w14:paraId="36DB681F" w14:textId="77777777" w:rsidR="001F0D49" w:rsidRDefault="00000000">
      <w:pPr>
        <w:numPr>
          <w:ilvl w:val="0"/>
          <w:numId w:val="66"/>
        </w:numPr>
      </w:pPr>
      <w:r>
        <w:t>more time spent on coordination;</w:t>
      </w:r>
    </w:p>
    <w:p w14:paraId="1A36453B" w14:textId="77777777" w:rsidR="001F0D49" w:rsidRDefault="00000000">
      <w:pPr>
        <w:numPr>
          <w:ilvl w:val="0"/>
          <w:numId w:val="66"/>
        </w:numPr>
      </w:pPr>
      <w:r>
        <w:t>more micro-decisions and “small switches” that are not counted as “events”;</w:t>
      </w:r>
    </w:p>
    <w:p w14:paraId="2F0AA55A" w14:textId="77777777" w:rsidR="001F0D49" w:rsidRDefault="00000000">
      <w:pPr>
        <w:numPr>
          <w:ilvl w:val="0"/>
          <w:numId w:val="66"/>
        </w:numPr>
      </w:pPr>
      <w:r>
        <w:t>higher entry cost into routine actions;</w:t>
      </w:r>
    </w:p>
    <w:p w14:paraId="46763B05" w14:textId="77777777" w:rsidR="001F0D49" w:rsidRDefault="00000000">
      <w:pPr>
        <w:numPr>
          <w:ilvl w:val="0"/>
          <w:numId w:val="66"/>
        </w:numPr>
      </w:pPr>
      <w:r>
        <w:t>more manual reconstruction of state;</w:t>
      </w:r>
    </w:p>
    <w:p w14:paraId="40C31A0A" w14:textId="77777777" w:rsidR="001F0D49" w:rsidRDefault="00000000">
      <w:pPr>
        <w:numPr>
          <w:ilvl w:val="0"/>
          <w:numId w:val="66"/>
        </w:numPr>
      </w:pPr>
      <w:r>
        <w:t>more hidden losses on queues and routing;</w:t>
      </w:r>
    </w:p>
    <w:p w14:paraId="17CAC8B4" w14:textId="77777777" w:rsidR="001F0D49" w:rsidRDefault="00000000">
      <w:pPr>
        <w:numPr>
          <w:ilvl w:val="0"/>
          <w:numId w:val="66"/>
        </w:numPr>
      </w:pPr>
      <w:r>
        <w:t>more verification work where the system does not provide reliable support at the point of action.</w:t>
      </w:r>
    </w:p>
    <w:p w14:paraId="5982576A" w14:textId="77777777" w:rsidR="001F0D49" w:rsidRDefault="00000000">
      <w:r>
        <w:t xml:space="preserve">This is how a </w:t>
      </w:r>
      <w:r>
        <w:rPr>
          <w:b/>
          <w:bCs/>
        </w:rPr>
        <w:t>structuring deficit</w:t>
      </w:r>
      <w:r>
        <w:t xml:space="preserve"> emerges: much of the incoming material does not become a stable schema because the environment changes faster than norms and models can form. As a result, </w:t>
      </w:r>
      <w:r>
        <w:rPr>
          <w:b/>
          <w:bCs/>
        </w:rPr>
        <w:t>systematization debt</w:t>
      </w:r>
      <w:r>
        <w:t xml:space="preserve"> begins to accumulate. It is also important that a significant share of these costs is masked as “normal coordination,” “expected flexibility,” and “ordinary workplace </w:t>
      </w:r>
      <w:r>
        <w:lastRenderedPageBreak/>
        <w:t>responsiveness,” which is why the growth of CDI is not perceived for a long time as a systemic trend.</w:t>
      </w:r>
    </w:p>
    <w:p w14:paraId="786055EC" w14:textId="77777777" w:rsidR="001F0D49" w:rsidRDefault="00000000">
      <w:pPr>
        <w:pStyle w:val="31"/>
      </w:pPr>
      <w:bookmarkStart w:id="32" w:name="Xcec5a10c4db59a51103df2a1b8352059475bc0b"/>
      <w:bookmarkEnd w:id="28"/>
      <w:bookmarkEnd w:id="31"/>
      <w:r>
        <w:t>3.2. Curve 2: shock density (SDI) as the visible surface</w:t>
      </w:r>
    </w:p>
    <w:p w14:paraId="22CD2577" w14:textId="77777777" w:rsidR="001F0D49" w:rsidRDefault="00000000">
      <w:pPr>
        <w:pStyle w:val="4"/>
      </w:pPr>
      <w:bookmarkStart w:id="33" w:name="what-uncertainty-indices-show"/>
      <w:r>
        <w:t>3.2.1. What uncertainty indices show</w:t>
      </w:r>
    </w:p>
    <w:p w14:paraId="3322FAE8" w14:textId="77777777" w:rsidR="001F0D49" w:rsidRDefault="00000000">
      <w:r>
        <w:t>There are global uncertainty indicators built on comparable methodologies.</w:t>
      </w:r>
    </w:p>
    <w:p w14:paraId="6000645B" w14:textId="77777777" w:rsidR="001F0D49" w:rsidRDefault="00000000">
      <w:pPr>
        <w:pStyle w:val="af"/>
      </w:pPr>
      <w:r>
        <w:t>The World Uncertainty Index (WUI) is a quarterly unbalanced country panel (starting in 1952 for the earliest countries; broad coverage of 143 countries from the mid-1990s onward), constructed from the frequency of the word “uncertainty” in Economist Intelligence Unit reports. The index “lights up” around major events and is statistically associated with lower output.</w:t>
      </w:r>
    </w:p>
    <w:p w14:paraId="0A16DB3E" w14:textId="77777777" w:rsidR="001F0D49" w:rsidRDefault="00000000">
      <w:pPr>
        <w:pStyle w:val="af"/>
      </w:pPr>
      <w:r>
        <w:t xml:space="preserve">An important detail is that the level of uncertainty is higher in developing countries, but </w:t>
      </w:r>
      <w:r>
        <w:rPr>
          <w:b/>
          <w:bCs/>
        </w:rPr>
        <w:t>the synchronization of uncertainty is higher in developed economies</w:t>
      </w:r>
      <w:r>
        <w:t xml:space="preserve"> because of close trade and financial ties.</w:t>
      </w:r>
    </w:p>
    <w:p w14:paraId="29E58762" w14:textId="77777777" w:rsidR="001F0D49" w:rsidRDefault="00000000">
      <w:pPr>
        <w:pStyle w:val="af"/>
      </w:pPr>
      <w:r>
        <w:t>The Economic Policy Uncertainty index (EPU) and its global version (GEPU) provide an alternative view through media-based indicators.</w:t>
      </w:r>
    </w:p>
    <w:p w14:paraId="6587745F" w14:textId="77777777" w:rsidR="001F0D49" w:rsidRDefault="00000000">
      <w:pPr>
        <w:pStyle w:val="4"/>
      </w:pPr>
      <w:bookmarkStart w:id="34" w:name="Xb5a72e2bdd275af6d148ac2a942b257ba590c32"/>
      <w:bookmarkEnd w:id="33"/>
      <w:r>
        <w:t>3.2.2. Why SDI is treated as a manifestation of fragility</w:t>
      </w:r>
    </w:p>
    <w:p w14:paraId="18883C14" w14:textId="77777777" w:rsidR="001F0D49" w:rsidRDefault="00000000">
      <w:r>
        <w:t>For public analysis, the observable surface should not be confused with the cause. Within the present framework, the following thesis is justified:</w:t>
      </w:r>
    </w:p>
    <w:p w14:paraId="3D757D65" w14:textId="77777777" w:rsidR="001F0D49" w:rsidRDefault="00000000">
      <w:r>
        <w:t>In many cases, growth of SDI_obs is not an independent driver but an observable effect of systems becoming more tightly connected and more cascade-prone, so that small disruptions or errors more easily escalate into large events.</w:t>
      </w:r>
    </w:p>
    <w:p w14:paraId="5F585306" w14:textId="77777777" w:rsidR="001F0D49" w:rsidRDefault="00000000">
      <w:r>
        <w:t>This is consistent with complex-systems theory: the combination of interactive complexity and tight coupling increases the probability of “normal accidents” (Perrow). In models of network resilience, threshold effects exist: as complexity grows, the system may shift into a regime of fluctuations and instability (the classic May line). The analogy is particularly visible in financial networks: Haldane &amp; May show that increasing complexity and optimizing “local risk” can raise systemic risk (their paper focuses on financial networks, but the logic generalizes to other types of complex systems).</w:t>
      </w:r>
    </w:p>
    <w:p w14:paraId="5A75E405" w14:textId="77777777" w:rsidR="001F0D49" w:rsidRDefault="00000000">
      <w:pPr>
        <w:pStyle w:val="af"/>
      </w:pPr>
      <w:r>
        <w:rPr>
          <w:b/>
          <w:bCs/>
        </w:rPr>
        <w:t>Practical conclusion:</w:t>
      </w:r>
      <w:r>
        <w:t xml:space="preserve"> society “sees” shocks, not CDI. For this reason, communication about the mechanism should begin by explaining that shocks are the surface, while the cause lies in the hidden growth of density and the structuring deficit.</w:t>
      </w:r>
    </w:p>
    <w:p w14:paraId="77B981A9" w14:textId="77777777" w:rsidR="001F0D49" w:rsidRDefault="00000000">
      <w:pPr>
        <w:pStyle w:val="31"/>
      </w:pPr>
      <w:bookmarkStart w:id="35" w:name="X3ff4344d9e9a67f07296ec30086a253dfceadf5"/>
      <w:bookmarkEnd w:id="32"/>
      <w:bookmarkEnd w:id="34"/>
      <w:r>
        <w:t>3.3. Curve 3: decline in cognitive workforce capacity (CWCI)</w:t>
      </w:r>
    </w:p>
    <w:p w14:paraId="22B0152D" w14:textId="77777777" w:rsidR="001F0D49" w:rsidRDefault="00000000">
      <w:pPr>
        <w:pStyle w:val="4"/>
      </w:pPr>
      <w:bookmarkStart w:id="36" w:name="Xa565f16f9966a1491af727542b187791e312501"/>
      <w:r>
        <w:t>3.3.1. Why this is not “psychology,” but an economy of capacity</w:t>
      </w:r>
    </w:p>
    <w:p w14:paraId="58291EA9" w14:textId="77777777" w:rsidR="001F0D49" w:rsidRDefault="00000000">
      <w:r>
        <w:t>Mental disorders are not a private issue of “well-being”; they are a factor in losses of work capacity and productivity. The World Health Organization estimates that:</w:t>
      </w:r>
    </w:p>
    <w:p w14:paraId="3C8A25E4" w14:textId="77777777" w:rsidR="001F0D49" w:rsidRDefault="00000000">
      <w:pPr>
        <w:numPr>
          <w:ilvl w:val="0"/>
          <w:numId w:val="67"/>
        </w:numPr>
      </w:pPr>
      <w:r>
        <w:t>15% of people of working age had a mental disorder (2019);</w:t>
      </w:r>
    </w:p>
    <w:p w14:paraId="1ADC7645" w14:textId="77777777" w:rsidR="001F0D49" w:rsidRDefault="00000000">
      <w:pPr>
        <w:numPr>
          <w:ilvl w:val="0"/>
          <w:numId w:val="67"/>
        </w:numPr>
      </w:pPr>
      <w:r>
        <w:t>about 12 billion working days are lost each year due to depression and anxiety;</w:t>
      </w:r>
    </w:p>
    <w:p w14:paraId="16B1F1C3" w14:textId="77777777" w:rsidR="001F0D49" w:rsidRDefault="00000000">
      <w:pPr>
        <w:numPr>
          <w:ilvl w:val="0"/>
          <w:numId w:val="67"/>
        </w:numPr>
      </w:pPr>
      <w:r>
        <w:t>the cost of lost productivity is about USD 1 trillion per year (the estimate from Chisholm et al., 2016, in 2013 prices; once inflation and population growth are taken into account, the current real figure is likely significantly higher).</w:t>
      </w:r>
    </w:p>
    <w:p w14:paraId="43947E43" w14:textId="77777777" w:rsidR="001F0D49" w:rsidRDefault="00000000">
      <w:r>
        <w:t xml:space="preserve">These estimates give the “scale,” while dynamics over time are more conveniently built through Global Burden of Disease (IHME/GBD): prevalence, YLD, and DALY for depression, anxiety, and </w:t>
      </w:r>
      <w:r>
        <w:lastRenderedPageBreak/>
        <w:t xml:space="preserve">other conditions, disaggregated by countries and regions. It is also important that the pandemic acted as an “accelerator” of the burden of depression and anxiety in 2020 (Santomauro et al., </w:t>
      </w:r>
      <w:r>
        <w:rPr>
          <w:i/>
          <w:iCs/>
        </w:rPr>
        <w:t>The Lancet</w:t>
      </w:r>
      <w:r>
        <w:t xml:space="preserve"> 2021).</w:t>
      </w:r>
    </w:p>
    <w:p w14:paraId="32BCA190" w14:textId="77777777" w:rsidR="001F0D49" w:rsidRDefault="00000000">
      <w:pPr>
        <w:pStyle w:val="4"/>
      </w:pPr>
      <w:bookmarkStart w:id="37" w:name="regional-heterogeneity-of-cwci"/>
      <w:bookmarkEnd w:id="36"/>
      <w:r>
        <w:t>3.3.2. Regional heterogeneity of CWCI</w:t>
      </w:r>
    </w:p>
    <w:p w14:paraId="098EE742" w14:textId="77777777" w:rsidR="001F0D49" w:rsidRDefault="00000000">
      <w:r>
        <w:t>CWCI is heterogeneous by definition: demography differs, as do access to care, work norms, cultures of stigma, and methods of recording. That is precisely why GBD series are useful: they make at least order-of-magnitude and trajectory-shape comparisons possible between OECD and developing countries.</w:t>
      </w:r>
    </w:p>
    <w:p w14:paraId="4A4A8F90" w14:textId="77777777" w:rsidR="001F0D49" w:rsidRDefault="00000000">
      <w:pPr>
        <w:pStyle w:val="af"/>
      </w:pPr>
      <w:r>
        <w:rPr>
          <w:b/>
          <w:bCs/>
        </w:rPr>
        <w:t>Link to the proposed mechanism:</w:t>
      </w:r>
      <w:r>
        <w:t xml:space="preserve"> the growth of CDI, the structuring deficit, and the accumulation of systematization debt increase the load on the human system of regulation and adaptation. Once the threshold is exceeded, this turns into a macro-level capacity constraint: the ability to produce quality decisions, hold focus, learn, and adapt declines.</w:t>
      </w:r>
    </w:p>
    <w:p w14:paraId="2972772F" w14:textId="77777777" w:rsidR="001F0D49" w:rsidRDefault="00000000">
      <w:pPr>
        <w:pStyle w:val="31"/>
      </w:pPr>
      <w:bookmarkStart w:id="38" w:name="optional-curve-system-output-hsisei"/>
      <w:bookmarkEnd w:id="35"/>
      <w:bookmarkEnd w:id="37"/>
      <w:r>
        <w:t>3.4. Optional curve: system output (HSI/SEI)</w:t>
      </w:r>
    </w:p>
    <w:p w14:paraId="275300D2" w14:textId="77777777" w:rsidR="001F0D49" w:rsidRDefault="00000000">
      <w:r>
        <w:t>To show “declining system trends against rising density,” it is useful to add an output indicator. There are two working options.</w:t>
      </w:r>
    </w:p>
    <w:p w14:paraId="36533B5A" w14:textId="77777777" w:rsidR="001F0D49" w:rsidRDefault="00000000">
      <w:pPr>
        <w:pStyle w:val="4"/>
      </w:pPr>
      <w:bookmarkStart w:id="39" w:name="hsi-labor-share-human-share"/>
      <w:r>
        <w:t>3.4.1. HSI: labor share (human share)</w:t>
      </w:r>
    </w:p>
    <w:p w14:paraId="3218B4FA" w14:textId="77777777" w:rsidR="001F0D49" w:rsidRDefault="00000000">
      <w:r>
        <w:t xml:space="preserve">Global labor income share in output/income is a convenient proxy for the “human share” in the distribution of created value. In WESO (September 2024), the ILO documents a decline in the global labor share of 1.6 percentage points over a two-decade horizon (2004→2024). Over the long horizon, this means that if labor share had remained at its 2004 level, labor income would already have been </w:t>
      </w:r>
      <w:r>
        <w:rPr>
          <w:b/>
          <w:bCs/>
        </w:rPr>
        <w:t>$2.4 trillion</w:t>
      </w:r>
      <w:r>
        <w:t xml:space="preserve"> higher by 2024. In WESO (May 2025), using a shorter comparison base, the ILO separately states that labor share declined from </w:t>
      </w:r>
      <w:r>
        <w:rPr>
          <w:b/>
          <w:bCs/>
        </w:rPr>
        <w:t>53.0% to 52.4%</w:t>
      </w:r>
      <w:r>
        <w:t xml:space="preserve"> over 2014→2024; if it had remained at the 2014 level, labor income in 2024 would have been higher by about </w:t>
      </w:r>
      <w:r>
        <w:rPr>
          <w:b/>
          <w:bCs/>
        </w:rPr>
        <w:t>$1 trillion</w:t>
      </w:r>
      <w:r>
        <w:t xml:space="preserve"> (or </w:t>
      </w:r>
      <w:r>
        <w:rPr>
          <w:b/>
          <w:bCs/>
        </w:rPr>
        <w:t>$290 per worker</w:t>
      </w:r>
      <w:r>
        <w:t xml:space="preserve">). The difference between the </w:t>
      </w:r>
      <w:r>
        <w:rPr>
          <w:b/>
          <w:bCs/>
        </w:rPr>
        <w:t>$2.4 trillion</w:t>
      </w:r>
      <w:r>
        <w:t xml:space="preserve"> and </w:t>
      </w:r>
      <w:r>
        <w:rPr>
          <w:b/>
          <w:bCs/>
        </w:rPr>
        <w:t>$1 trillion</w:t>
      </w:r>
      <w:r>
        <w:t xml:space="preserve"> estimates therefore reflects not a change of trend, but different comparison base years. In academic macroeconomics, this trend is well documented as a global decline in labor share since the early 1980s (Karabarbounis &amp; Neiman, NBER/QJE 2014), partly explained by the falling price of investment goods and the computer era.</w:t>
      </w:r>
    </w:p>
    <w:p w14:paraId="78E3A705" w14:textId="77777777" w:rsidR="001F0D49" w:rsidRDefault="00000000">
      <w:pPr>
        <w:pStyle w:val="4"/>
      </w:pPr>
      <w:bookmarkStart w:id="40" w:name="sei-productivity"/>
      <w:bookmarkEnd w:id="39"/>
      <w:r>
        <w:t>3.4.2. SEI: productivity</w:t>
      </w:r>
    </w:p>
    <w:p w14:paraId="508B609A" w14:textId="77777777" w:rsidR="001F0D49" w:rsidRDefault="00000000">
      <w:r>
        <w:t xml:space="preserve">An alternative is productivity metrics (productivity / MFP) from comparable sources (for example, the OECD </w:t>
      </w:r>
      <w:r>
        <w:rPr>
          <w:i/>
          <w:iCs/>
        </w:rPr>
        <w:t>Compendium of Productivity Indicators</w:t>
      </w:r>
      <w:r>
        <w:t>). This option is better if the focus of the presentation is on “system efficiency” rather than distribution.</w:t>
      </w:r>
    </w:p>
    <w:p w14:paraId="0E05E278" w14:textId="77777777" w:rsidR="001F0D49" w:rsidRDefault="00000000">
      <w:pPr>
        <w:pStyle w:val="31"/>
      </w:pPr>
      <w:bookmarkStart w:id="41" w:name="X43f283c27070f3fba4ee6a14952516bb44a9ca1"/>
      <w:bookmarkEnd w:id="38"/>
      <w:bookmarkEnd w:id="40"/>
      <w:r>
        <w:t>3.5. Synthesis: how the curves are connected and where the “threshold” appears</w:t>
      </w:r>
    </w:p>
    <w:p w14:paraId="12CDC600" w14:textId="77777777" w:rsidR="001F0D49" w:rsidRDefault="00000000">
      <w:pPr>
        <w:pStyle w:val="4"/>
      </w:pPr>
      <w:bookmarkStart w:id="42" w:name="the-feedback-loop-working-model"/>
      <w:r>
        <w:t>3.5.1. The feedback loop (working model)</w:t>
      </w:r>
    </w:p>
    <w:p w14:paraId="7B31AE83" w14:textId="77777777" w:rsidR="001F0D49" w:rsidRDefault="00000000">
      <w:r>
        <w:t>In its simplest form, the mechanism looks like this:</w:t>
      </w:r>
    </w:p>
    <w:p w14:paraId="3C00C07D" w14:textId="77777777" w:rsidR="001F0D49" w:rsidRDefault="00000000">
      <w:pPr>
        <w:pStyle w:val="af"/>
      </w:pPr>
      <w:r>
        <w:rPr>
          <w:b/>
          <w:bCs/>
        </w:rPr>
        <w:t>CDI↑ → structuring deficit↑ → systematization debt↑ → stress/errors↑ → CWCI↓ → adaptation capacity↓ → CDI (effectively)↑</w:t>
      </w:r>
    </w:p>
    <w:p w14:paraId="03E560A4" w14:textId="77777777" w:rsidR="001F0D49" w:rsidRDefault="00000000">
      <w:pPr>
        <w:pStyle w:val="af"/>
      </w:pPr>
      <w:r>
        <w:rPr>
          <w:noProof/>
        </w:rPr>
        <w:lastRenderedPageBreak/>
        <w:drawing>
          <wp:inline distT="0" distB="0" distL="0" distR="0" wp14:anchorId="37665764" wp14:editId="6C337117">
            <wp:extent cx="5892800" cy="3358896"/>
            <wp:effectExtent l="0" t="0" r="0" b="0"/>
            <wp:docPr id="53" name="Picture"/>
            <wp:cNvGraphicFramePr/>
            <a:graphic xmlns:a="http://schemas.openxmlformats.org/drawingml/2006/main">
              <a:graphicData uri="http://schemas.openxmlformats.org/drawingml/2006/picture">
                <pic:pic xmlns:pic="http://schemas.openxmlformats.org/drawingml/2006/picture">
                  <pic:nvPicPr>
                    <pic:cNvPr id="54" name="Picture" descr="images/mechanisms/atd_fig_feedback_loop_simple_en.png"/>
                    <pic:cNvPicPr>
                      <a:picLocks noChangeAspect="1" noChangeArrowheads="1"/>
                    </pic:cNvPicPr>
                  </pic:nvPicPr>
                  <pic:blipFill>
                    <a:blip r:embed="rId23"/>
                    <a:stretch>
                      <a:fillRect/>
                    </a:stretch>
                  </pic:blipFill>
                  <pic:spPr bwMode="auto">
                    <a:xfrm>
                      <a:off x="0" y="0"/>
                      <a:ext cx="5892800" cy="3358896"/>
                    </a:xfrm>
                    <a:prstGeom prst="rect">
                      <a:avLst/>
                    </a:prstGeom>
                    <a:noFill/>
                    <a:ln w="9525">
                      <a:noFill/>
                      <a:headEnd/>
                      <a:tailEnd/>
                    </a:ln>
                  </pic:spPr>
                </pic:pic>
              </a:graphicData>
            </a:graphic>
          </wp:inline>
        </w:drawing>
      </w:r>
    </w:p>
    <w:p w14:paraId="11B93644" w14:textId="77777777" w:rsidR="001F0D49" w:rsidRDefault="00000000">
      <w:pPr>
        <w:pStyle w:val="af"/>
      </w:pPr>
      <w:r>
        <w:t>Figure 1. The simplified ATD loop. The diagram captures the minimum closure logic: rising environmental cognitive density creates a structuring deficit, accumulates systematization debt, raises stress and error frequency, lowers CWCI and adaptation capacity, and then returns to the system as an even higher effective CDI.</w:t>
      </w:r>
    </w:p>
    <w:p w14:paraId="09639B82" w14:textId="77777777" w:rsidR="001F0D49" w:rsidRDefault="00000000">
      <w:pPr>
        <w:pStyle w:val="af"/>
      </w:pPr>
      <w:r>
        <w:t xml:space="preserve">However, this formulation conceals a key intermediate mechanism that deserves separate attention: </w:t>
      </w:r>
      <w:r>
        <w:rPr>
          <w:b/>
          <w:bCs/>
        </w:rPr>
        <w:t>the suppression of the predictive function of thought and the transition into a reactive mode</w:t>
      </w:r>
      <w:r>
        <w:t>.</w:t>
      </w:r>
    </w:p>
    <w:p w14:paraId="4D5184AC" w14:textId="77777777" w:rsidR="001F0D49" w:rsidRDefault="00000000">
      <w:pPr>
        <w:pStyle w:val="5"/>
      </w:pPr>
      <w:bookmarkStart w:id="43" w:name="Xe8e300606d2e9434ae4d14ab6804203ecf2c329"/>
      <w:r>
        <w:t>The predictive channel: from world model to reaction to stimuli</w:t>
      </w:r>
    </w:p>
    <w:p w14:paraId="4B5B8809" w14:textId="77777777" w:rsidR="001F0D49" w:rsidRDefault="00000000">
      <w:r>
        <w:t xml:space="preserve">Contemporary neuroscience no longer treats the brain as a passive receiver of signals, but as a </w:t>
      </w:r>
      <w:r>
        <w:rPr>
          <w:b/>
          <w:bCs/>
        </w:rPr>
        <w:t>prediction machine</w:t>
      </w:r>
      <w:r>
        <w:t xml:space="preserve">. In the framework of predictive processing / predictive coding, the brain continuously generates predictive models of incoming sensory flows and then processes only </w:t>
      </w:r>
      <w:r>
        <w:rPr>
          <w:i/>
          <w:iCs/>
        </w:rPr>
        <w:t>prediction errors</w:t>
      </w:r>
      <w:r>
        <w:t xml:space="preserve"> — mismatches between expectation and reality. Learning, adaptation, and decision-making proceed through the constant refinement of these internal models (Friston, 2010; Clark, 2016).</w:t>
      </w:r>
    </w:p>
    <w:p w14:paraId="117E9B09" w14:textId="77777777" w:rsidR="001F0D49" w:rsidRDefault="00000000">
      <w:pPr>
        <w:pStyle w:val="af"/>
      </w:pPr>
      <w:r>
        <w:t xml:space="preserve">In THM terms, this mechanism can be described more precisely. At moderate cognitive density, the subject is still able to maintain a </w:t>
      </w:r>
      <w:r>
        <w:rPr>
          <w:b/>
          <w:bCs/>
        </w:rPr>
        <w:t>working horizon</w:t>
      </w:r>
      <w:r>
        <w:t xml:space="preserve"> sufficient for building and updating internal models: planning, anticipating consequences, maintaining causal relations, and coordinating several levels of context at once. But when CDI exceeds the threshold — that is, when the </w:t>
      </w:r>
      <w:r>
        <w:rPr>
          <w:b/>
          <w:bCs/>
        </w:rPr>
        <w:t>required horizon</w:t>
      </w:r>
      <w:r>
        <w:t xml:space="preserve"> and the cost of coordination systematically exceed available holding resources — the working horizon begins to </w:t>
      </w:r>
      <w:r>
        <w:rPr>
          <w:b/>
          <w:bCs/>
        </w:rPr>
        <w:t>compress</w:t>
      </w:r>
      <w:r>
        <w:t>, and the system regresses to lower processing modes. Thought then stops getting ahead of the incoming flow and increasingly acts according to the nearest stimulus.</w:t>
      </w:r>
    </w:p>
    <w:p w14:paraId="410E72F9" w14:textId="77777777" w:rsidR="001F0D49" w:rsidRDefault="00000000">
      <w:pPr>
        <w:pStyle w:val="af"/>
      </w:pPr>
      <w:r>
        <w:t xml:space="preserve">In terms of the free-energy principle (Friston, 2010), this can be described as follows: under high cognitive density, the system fails to minimize prediction error by updating its internal model quickly enough and is forced to compensate through action — reactive, short-term action that does not account for long-term consequences. In THM terms, this means </w:t>
      </w:r>
      <w:r>
        <w:rPr>
          <w:b/>
          <w:bCs/>
        </w:rPr>
        <w:t>the loss of the upper working horizon and regression to modes in which fewer links, less time, and fewer levels of causality can be held</w:t>
      </w:r>
      <w:r>
        <w:t>.</w:t>
      </w:r>
    </w:p>
    <w:p w14:paraId="625D97F7" w14:textId="77777777" w:rsidR="001F0D49" w:rsidRDefault="00000000">
      <w:pPr>
        <w:pStyle w:val="5"/>
      </w:pPr>
      <w:bookmarkStart w:id="44" w:name="Xbf08a91be147d785f8dade3c8b31eba10839650"/>
      <w:bookmarkEnd w:id="43"/>
      <w:r>
        <w:lastRenderedPageBreak/>
        <w:t>The cascade: reactivity generates unpredictability</w:t>
      </w:r>
    </w:p>
    <w:p w14:paraId="3B9BD2F2" w14:textId="77777777" w:rsidR="001F0D49" w:rsidRDefault="00000000">
      <w:r>
        <w:t>At this point, a self-reinforcing cascade appears:</w:t>
      </w:r>
    </w:p>
    <w:p w14:paraId="63F85D30" w14:textId="77777777" w:rsidR="001F0D49" w:rsidRDefault="00000000">
      <w:pPr>
        <w:numPr>
          <w:ilvl w:val="0"/>
          <w:numId w:val="68"/>
        </w:numPr>
      </w:pPr>
      <w:r>
        <w:rPr>
          <w:b/>
          <w:bCs/>
        </w:rPr>
        <w:t>CDI↑</w:t>
      </w:r>
      <w:r>
        <w:t xml:space="preserve"> → the environment demands more holding than the system can provide → the </w:t>
      </w:r>
      <w:r>
        <w:rPr>
          <w:b/>
          <w:bCs/>
        </w:rPr>
        <w:t>working horizon compresses</w:t>
      </w:r>
      <w:r>
        <w:t>.</w:t>
      </w:r>
    </w:p>
    <w:p w14:paraId="4A1BDB05" w14:textId="77777777" w:rsidR="001F0D49" w:rsidRDefault="00000000">
      <w:pPr>
        <w:numPr>
          <w:ilvl w:val="0"/>
          <w:numId w:val="68"/>
        </w:numPr>
      </w:pPr>
      <w:r>
        <w:t xml:space="preserve">Compression of the working horizon → </w:t>
      </w:r>
      <w:r>
        <w:rPr>
          <w:b/>
          <w:bCs/>
        </w:rPr>
        <w:t>transition into a reactive mode</w:t>
      </w:r>
      <w:r>
        <w:t>: decisions are taken according to the nearest stimulus, over a shorter time window, and with a partial loss of causal links.</w:t>
      </w:r>
    </w:p>
    <w:p w14:paraId="29AE2DD4" w14:textId="77777777" w:rsidR="001F0D49" w:rsidRDefault="00000000">
      <w:pPr>
        <w:numPr>
          <w:ilvl w:val="0"/>
          <w:numId w:val="68"/>
        </w:numPr>
      </w:pPr>
      <w:r>
        <w:t xml:space="preserve">Reactive mode → </w:t>
      </w:r>
      <w:r>
        <w:rPr>
          <w:b/>
          <w:bCs/>
        </w:rPr>
        <w:t>decline in decision quality</w:t>
      </w:r>
      <w:r>
        <w:t>: the share of actions taken without verification, without full coordination, and without assembling consequences increases.</w:t>
      </w:r>
    </w:p>
    <w:p w14:paraId="1A20DDC8" w14:textId="77777777" w:rsidR="001F0D49" w:rsidRDefault="00000000">
      <w:pPr>
        <w:numPr>
          <w:ilvl w:val="0"/>
          <w:numId w:val="68"/>
        </w:numPr>
      </w:pPr>
      <w:r>
        <w:t xml:space="preserve">A critical mass of low-quality decisions (at the level of people, organizations, and institutions) → </w:t>
      </w:r>
      <w:r>
        <w:rPr>
          <w:b/>
          <w:bCs/>
        </w:rPr>
        <w:t>growth in the unpredictability of outcomes</w:t>
      </w:r>
      <w:r>
        <w:t xml:space="preserve"> for surrounding actors: models of “how a partner / market / regulator will behave” cease to work.</w:t>
      </w:r>
    </w:p>
    <w:p w14:paraId="79E90B3C" w14:textId="77777777" w:rsidR="001F0D49" w:rsidRDefault="00000000">
      <w:pPr>
        <w:numPr>
          <w:ilvl w:val="0"/>
          <w:numId w:val="68"/>
        </w:numPr>
      </w:pPr>
      <w:r>
        <w:t xml:space="preserve">Growth of environmental unpredictability → </w:t>
      </w:r>
      <w:r>
        <w:rPr>
          <w:b/>
          <w:bCs/>
        </w:rPr>
        <w:t>SDI_obs↑</w:t>
      </w:r>
      <w:r>
        <w:t xml:space="preserve"> — shocks arise not only because of external triggers, but as an </w:t>
      </w:r>
      <w:r>
        <w:rPr>
          <w:i/>
          <w:iCs/>
        </w:rPr>
        <w:t>internal product</w:t>
      </w:r>
      <w:r>
        <w:t xml:space="preserve"> of a system generating low-quality decisions.</w:t>
      </w:r>
    </w:p>
    <w:p w14:paraId="7C60E4DE" w14:textId="77777777" w:rsidR="001F0D49" w:rsidRDefault="00000000">
      <w:pPr>
        <w:numPr>
          <w:ilvl w:val="0"/>
          <w:numId w:val="68"/>
        </w:numPr>
      </w:pPr>
      <w:r>
        <w:t xml:space="preserve">Growth of SDI_obs → even more load on an already overloaded cognitive system → </w:t>
      </w:r>
      <w:r>
        <w:rPr>
          <w:b/>
          <w:bCs/>
        </w:rPr>
        <w:t>CDI↑</w:t>
      </w:r>
      <w:r>
        <w:t xml:space="preserve"> (the loop closes).</w:t>
      </w:r>
    </w:p>
    <w:p w14:paraId="2C392464" w14:textId="77777777" w:rsidR="001F0D49" w:rsidRDefault="00000000">
      <w:r>
        <w:t xml:space="preserve">Thus, SDI_obs is not only a “manifestation of fragility,” but also </w:t>
      </w:r>
      <w:r>
        <w:rPr>
          <w:b/>
          <w:bCs/>
        </w:rPr>
        <w:t>the observable surface of a mass failure of holding</w:t>
      </w:r>
      <w:r>
        <w:t>, when a significant share of decisions begins to be produced below the required horizon.</w:t>
      </w:r>
    </w:p>
    <w:p w14:paraId="2735E107" w14:textId="77777777" w:rsidR="001F0D49" w:rsidRDefault="00000000">
      <w:pPr>
        <w:pStyle w:val="af"/>
      </w:pPr>
      <w:r>
        <w:rPr>
          <w:noProof/>
        </w:rPr>
        <w:drawing>
          <wp:inline distT="0" distB="0" distL="0" distR="0" wp14:anchorId="0C86706D" wp14:editId="1C93BCD3">
            <wp:extent cx="5892800" cy="3358896"/>
            <wp:effectExtent l="0" t="0" r="0" b="0"/>
            <wp:docPr id="57" name="Picture"/>
            <wp:cNvGraphicFramePr/>
            <a:graphic xmlns:a="http://schemas.openxmlformats.org/drawingml/2006/main">
              <a:graphicData uri="http://schemas.openxmlformats.org/drawingml/2006/picture">
                <pic:pic xmlns:pic="http://schemas.openxmlformats.org/drawingml/2006/picture">
                  <pic:nvPicPr>
                    <pic:cNvPr id="58" name="Picture" descr="images/mechanisms/atd_fig_reactivity_cascade_en.png"/>
                    <pic:cNvPicPr>
                      <a:picLocks noChangeAspect="1" noChangeArrowheads="1"/>
                    </pic:cNvPicPr>
                  </pic:nvPicPr>
                  <pic:blipFill>
                    <a:blip r:embed="rId24"/>
                    <a:stretch>
                      <a:fillRect/>
                    </a:stretch>
                  </pic:blipFill>
                  <pic:spPr bwMode="auto">
                    <a:xfrm>
                      <a:off x="0" y="0"/>
                      <a:ext cx="5892800" cy="3358896"/>
                    </a:xfrm>
                    <a:prstGeom prst="rect">
                      <a:avLst/>
                    </a:prstGeom>
                    <a:noFill/>
                    <a:ln w="9525">
                      <a:noFill/>
                      <a:headEnd/>
                      <a:tailEnd/>
                    </a:ln>
                  </pic:spPr>
                </pic:pic>
              </a:graphicData>
            </a:graphic>
          </wp:inline>
        </w:drawing>
      </w:r>
    </w:p>
    <w:p w14:paraId="59069512" w14:textId="77777777" w:rsidR="001F0D49" w:rsidRDefault="00000000">
      <w:pPr>
        <w:pStyle w:val="af"/>
      </w:pPr>
      <w:r>
        <w:t>Figure 2. The reactivity cascade in the predictive channel of the ATD loop. The diagram shows how compression of the working horizon pushes thinking into a reactive mode, lowers decision quality, and raises SDI_obs as the observable surface of systemic reactivity.</w:t>
      </w:r>
    </w:p>
    <w:p w14:paraId="6C91B0F9" w14:textId="77777777" w:rsidR="001F0D49" w:rsidRDefault="00000000">
      <w:pPr>
        <w:pStyle w:val="5"/>
      </w:pPr>
      <w:bookmarkStart w:id="45" w:name="full-formulation-of-the-loop"/>
      <w:bookmarkEnd w:id="44"/>
      <w:r>
        <w:t>Full formulation of the loop</w:t>
      </w:r>
    </w:p>
    <w:p w14:paraId="2C3F2DB4" w14:textId="77777777" w:rsidR="001F0D49" w:rsidRDefault="00000000">
      <w:r>
        <w:t>Taking the predictive channel into account, the feedback loop looks like this:</w:t>
      </w:r>
    </w:p>
    <w:p w14:paraId="0EC925F0" w14:textId="77777777" w:rsidR="001F0D49" w:rsidRDefault="00000000">
      <w:pPr>
        <w:pStyle w:val="af"/>
      </w:pPr>
      <w:r>
        <w:rPr>
          <w:b/>
          <w:bCs/>
        </w:rPr>
        <w:lastRenderedPageBreak/>
        <w:t>CDI↑ → compression of the working horizon → suppression of predictive models → reactive mode → decline in decision quality → unpredictability of outcomes↑ → SDI_obs↑ → CDI (effectively)↑</w:t>
      </w:r>
    </w:p>
    <w:p w14:paraId="55C12FF8" w14:textId="77777777" w:rsidR="001F0D49" w:rsidRDefault="00000000">
      <w:pPr>
        <w:pStyle w:val="af"/>
      </w:pPr>
      <w:r>
        <w:t xml:space="preserve">In parallel, the “classical” channel also operates: </w:t>
      </w:r>
      <w:r>
        <w:rPr>
          <w:b/>
          <w:bCs/>
        </w:rPr>
        <w:t>CDI↑ → structuring deficit↑ → systematization debt↑ → stress/errors↑ → CWCI↓ → adaptation capacity↓ → CDI↑</w:t>
      </w:r>
    </w:p>
    <w:p w14:paraId="6F5A1761" w14:textId="77777777" w:rsidR="001F0D49" w:rsidRDefault="00000000">
      <w:pPr>
        <w:pStyle w:val="af"/>
      </w:pPr>
      <w:r>
        <w:t>The two channels reinforce one another: a decline in CWCI reduces the resources available for predictive work, while reactivity itself generates additional stress, errors, and further compression of the available horizon.</w:t>
      </w:r>
    </w:p>
    <w:p w14:paraId="6E3FDFB8" w14:textId="77777777" w:rsidR="001F0D49" w:rsidRDefault="00000000">
      <w:pPr>
        <w:pStyle w:val="af"/>
      </w:pPr>
      <w:r>
        <w:rPr>
          <w:noProof/>
        </w:rPr>
        <w:drawing>
          <wp:inline distT="0" distB="0" distL="0" distR="0" wp14:anchorId="6ABF991B" wp14:editId="53619253">
            <wp:extent cx="5892800" cy="3358896"/>
            <wp:effectExtent l="0" t="0" r="0" b="0"/>
            <wp:docPr id="61" name="Picture"/>
            <wp:cNvGraphicFramePr/>
            <a:graphic xmlns:a="http://schemas.openxmlformats.org/drawingml/2006/main">
              <a:graphicData uri="http://schemas.openxmlformats.org/drawingml/2006/picture">
                <pic:pic xmlns:pic="http://schemas.openxmlformats.org/drawingml/2006/picture">
                  <pic:nvPicPr>
                    <pic:cNvPr id="62" name="Picture" descr="images/mechanisms/atd_fig_feedback_loop_dual_en.png"/>
                    <pic:cNvPicPr>
                      <a:picLocks noChangeAspect="1" noChangeArrowheads="1"/>
                    </pic:cNvPicPr>
                  </pic:nvPicPr>
                  <pic:blipFill>
                    <a:blip r:embed="rId25"/>
                    <a:stretch>
                      <a:fillRect/>
                    </a:stretch>
                  </pic:blipFill>
                  <pic:spPr bwMode="auto">
                    <a:xfrm>
                      <a:off x="0" y="0"/>
                      <a:ext cx="5892800" cy="3358896"/>
                    </a:xfrm>
                    <a:prstGeom prst="rect">
                      <a:avLst/>
                    </a:prstGeom>
                    <a:noFill/>
                    <a:ln w="9525">
                      <a:noFill/>
                      <a:headEnd/>
                      <a:tailEnd/>
                    </a:ln>
                  </pic:spPr>
                </pic:pic>
              </a:graphicData>
            </a:graphic>
          </wp:inline>
        </w:drawing>
      </w:r>
    </w:p>
    <w:p w14:paraId="23767CDF" w14:textId="77777777" w:rsidR="001F0D49" w:rsidRDefault="00000000">
      <w:pPr>
        <w:pStyle w:val="af"/>
      </w:pPr>
      <w:r>
        <w:t>Figure 3. The full ATD loop with two amplification channels. The diagram assembles the systematization-debt channel and the predictive reactivity channel into one self-reinforcing mechanism.</w:t>
      </w:r>
    </w:p>
    <w:p w14:paraId="13A14790" w14:textId="77777777" w:rsidR="001F0D49" w:rsidRDefault="00000000">
      <w:pPr>
        <w:pStyle w:val="af"/>
      </w:pPr>
      <w:r>
        <w:rPr>
          <w:b/>
          <w:bCs/>
        </w:rPr>
        <w:t>Important caveat.</w:t>
      </w:r>
      <w:r>
        <w:t xml:space="preserve"> This loop is a </w:t>
      </w:r>
      <w:r>
        <w:rPr>
          <w:i/>
          <w:iCs/>
        </w:rPr>
        <w:t>working model constructed from separate links</w:t>
      </w:r>
      <w:r>
        <w:t xml:space="preserve">, each of which is supported by the literature. However, the </w:t>
      </w:r>
      <w:r>
        <w:rPr>
          <w:b/>
          <w:bCs/>
        </w:rPr>
        <w:t>causal chain as a whole</w:t>
      </w:r>
      <w:r>
        <w:t xml:space="preserve"> has not been tested in any single integrated study. In the present paper, this loop is proposed as a mechanism-based explanation (cf. Hedström &amp; Ylikoski, 2010), not as an empirically verified cascade. Verification of the full loop is a task for future research.</w:t>
      </w:r>
    </w:p>
    <w:p w14:paraId="2D431CE8" w14:textId="77777777" w:rsidR="001F0D49" w:rsidRDefault="00000000">
      <w:pPr>
        <w:pStyle w:val="af"/>
      </w:pPr>
      <w:r>
        <w:t>This model does something important: it shifts the conversation from “there are many problems” to “there is a single regime,” and explains why what appears on the surface are specifically “shocks”: these are not random blows from outside, but to a significant extent the product of a system that has lost the ability to predict the consequences of its own actions.</w:t>
      </w:r>
    </w:p>
    <w:p w14:paraId="02B8AF9A" w14:textId="77777777" w:rsidR="001F0D49" w:rsidRDefault="00000000">
      <w:pPr>
        <w:pStyle w:val="4"/>
      </w:pPr>
      <w:bookmarkStart w:id="46" w:name="X5732b9e6e17bafbd99d4d8cdb63c5c8111621f8"/>
      <w:bookmarkEnd w:id="42"/>
      <w:bookmarkEnd w:id="45"/>
      <w:r>
        <w:t>3.5.2. Unevenness of the threshold and “aggregate density”</w:t>
      </w:r>
    </w:p>
    <w:p w14:paraId="023546B8" w14:textId="77777777" w:rsidR="001F0D49" w:rsidRDefault="00000000">
      <w:r>
        <w:t>The adaptation threshold is not a point “in one place.” It is distributed:</w:t>
      </w:r>
    </w:p>
    <w:p w14:paraId="50E6B4EC" w14:textId="77777777" w:rsidR="001F0D49" w:rsidRDefault="00000000">
      <w:pPr>
        <w:numPr>
          <w:ilvl w:val="0"/>
          <w:numId w:val="69"/>
        </w:numPr>
      </w:pPr>
      <w:r>
        <w:t>across people (cognitive reserve, experience, skills, age);</w:t>
      </w:r>
    </w:p>
    <w:p w14:paraId="3DB7956D" w14:textId="77777777" w:rsidR="001F0D49" w:rsidRDefault="00000000">
      <w:pPr>
        <w:numPr>
          <w:ilvl w:val="0"/>
          <w:numId w:val="69"/>
        </w:numPr>
      </w:pPr>
      <w:r>
        <w:t>across sectors (high coordination, high responsibility, high speed of change);</w:t>
      </w:r>
    </w:p>
    <w:p w14:paraId="46EC44AC" w14:textId="77777777" w:rsidR="001F0D49" w:rsidRDefault="00000000">
      <w:pPr>
        <w:numPr>
          <w:ilvl w:val="0"/>
          <w:numId w:val="69"/>
        </w:numPr>
      </w:pPr>
      <w:r>
        <w:t>across regions (differences in institutions, labor protection, digitalization, and access to care).</w:t>
      </w:r>
    </w:p>
    <w:p w14:paraId="71135EA9" w14:textId="77777777" w:rsidR="001F0D49" w:rsidRDefault="00000000">
      <w:r>
        <w:lastRenderedPageBreak/>
        <w:t>Therefore, the correct formulation is the following:</w:t>
      </w:r>
    </w:p>
    <w:p w14:paraId="0F2373FB" w14:textId="77777777" w:rsidR="001F0D49" w:rsidRDefault="00000000">
      <w:r>
        <w:t xml:space="preserve">“Even if a significant share of people and organizations still adapts, the </w:t>
      </w:r>
      <w:r>
        <w:rPr>
          <w:b/>
          <w:bCs/>
        </w:rPr>
        <w:t>aggregate density</w:t>
      </w:r>
      <w:r>
        <w:t xml:space="preserve"> of the environment may already exceed society’s average ability to structure change. This creates a common drift, which then manifests as growing fragility and shocks.”</w:t>
      </w:r>
    </w:p>
    <w:p w14:paraId="5E251DF4" w14:textId="77777777" w:rsidR="001F0D49" w:rsidRDefault="00000000">
      <w:r>
        <w:t xml:space="preserve">The new retrospective layer further shows that the threshold is uneven not only across people, sectors, and regions, but also across the </w:t>
      </w:r>
      <w:r>
        <w:rPr>
          <w:b/>
          <w:bCs/>
        </w:rPr>
        <w:t>architecture of the environment</w:t>
      </w:r>
      <w:r>
        <w:t>. The same nominal volume of load can produce a different effective CDI depending on the quality of context transfer, routing, support at the point of action, and the cost of entry into action. This matters because effective CDI can be reduced not only by reducing the volume of tasks, but also by redesigning the architecture through which work is performed.</w:t>
      </w:r>
    </w:p>
    <w:p w14:paraId="50FAF534" w14:textId="77777777" w:rsidR="001F0D49" w:rsidRDefault="00000000">
      <w:pPr>
        <w:pStyle w:val="4"/>
      </w:pPr>
      <w:bookmarkStart w:id="47" w:name="Xf27707b6553ee2e7465be220983a52e72cd5b56"/>
      <w:bookmarkEnd w:id="46"/>
      <w:r>
        <w:t>3.5.3. Why society notices “shocks” but does not notice the “threshold”</w:t>
      </w:r>
    </w:p>
    <w:p w14:paraId="469DA462" w14:textId="77777777" w:rsidR="001F0D49" w:rsidRDefault="00000000">
      <w:r>
        <w:t>The social radar is tuned to events. The slow trend of densification is perceived as “normal requirements of the times.” For this reason, crossing the threshold rarely looks like a revolution. It looks like a gradual change in the norm: more coordination, less uninterrupted time, more dependence on external prompts, more psychological and organizational “crutches.”</w:t>
      </w:r>
    </w:p>
    <w:p w14:paraId="28B80AEF" w14:textId="77777777" w:rsidR="001F0D49" w:rsidRDefault="00000000">
      <w:pPr>
        <w:pStyle w:val="af"/>
      </w:pPr>
      <w:r>
        <w:t>An additional reason is that a significant share of changes appears as local improvements of interface and process: redesign of task entry, changes in routing, request templates, rewritten documentation, AI-assisted summarization. Taken one by one, they are rarely perceived as elements of the general problem of adaptive capacity, even though precisely through them the hidden growth — or reduction — of effective CDI often becomes visible.</w:t>
      </w:r>
    </w:p>
    <w:p w14:paraId="378849AB" w14:textId="77777777" w:rsidR="001F0D49" w:rsidRDefault="00000000">
      <w:pPr>
        <w:pStyle w:val="4"/>
      </w:pPr>
      <w:bookmarkStart w:id="48" w:name="X2e906542711dd57cf035f60a09c6e19cf933ea0"/>
      <w:bookmarkEnd w:id="47"/>
      <w:r>
        <w:t>3.5.4. Graphical assembly of the model (schematic visualization)</w:t>
      </w:r>
    </w:p>
    <w:p w14:paraId="027EEC9B" w14:textId="77777777" w:rsidR="001F0D49" w:rsidRDefault="00000000">
      <w:r>
        <w:t xml:space="preserve">The previous subsection presented </w:t>
      </w:r>
      <w:r>
        <w:rPr>
          <w:b/>
          <w:bCs/>
        </w:rPr>
        <w:t>mechanism diagrams</w:t>
      </w:r>
      <w:r>
        <w:t xml:space="preserve">: the simplified loop, the predictive channel of reactivity, and the full dual-channel assembly. Below are not mechanism diagrams, but </w:t>
      </w:r>
      <w:r>
        <w:rPr>
          <w:b/>
          <w:bCs/>
        </w:rPr>
        <w:t>synthetic graphs</w:t>
      </w:r>
      <w:r>
        <w:t xml:space="preserve"> that show the same logic at the level of macrodynamics and the relative positioning of the key curves. These figures are not direct empirical series and do not replace the data discussed in Sections 3.1–3.5. In the current edition, this status is also marked directly on the figures themselves so that standalone PNG/SVG files are not read as calibrated charts. Their purpose is to show the relation between growing cognitive density, the accumulation of systematization debt (SysDebt), shock density, declining cognitive workforce capacity, the synthetic logic of the system, and the intergenerational risk window for human agency.</w:t>
      </w:r>
    </w:p>
    <w:p w14:paraId="5A47B4B9" w14:textId="77777777" w:rsidR="001F0D49" w:rsidRDefault="00000000">
      <w:pPr>
        <w:pStyle w:val="af"/>
      </w:pPr>
      <w:r>
        <w:rPr>
          <w:noProof/>
        </w:rPr>
        <w:lastRenderedPageBreak/>
        <w:drawing>
          <wp:inline distT="0" distB="0" distL="0" distR="0" wp14:anchorId="61375B1C" wp14:editId="23AF1CA9">
            <wp:extent cx="5892800" cy="3358896"/>
            <wp:effectExtent l="0" t="0" r="0" b="0"/>
            <wp:docPr id="68" name="Picture"/>
            <wp:cNvGraphicFramePr/>
            <a:graphic xmlns:a="http://schemas.openxmlformats.org/drawingml/2006/main">
              <a:graphicData uri="http://schemas.openxmlformats.org/drawingml/2006/picture">
                <pic:pic xmlns:pic="http://schemas.openxmlformats.org/drawingml/2006/picture">
                  <pic:nvPicPr>
                    <pic:cNvPr id="69" name="Picture" descr="images/atd_fig1_cdi_adaptation_en.png"/>
                    <pic:cNvPicPr>
                      <a:picLocks noChangeAspect="1" noChangeArrowheads="1"/>
                    </pic:cNvPicPr>
                  </pic:nvPicPr>
                  <pic:blipFill>
                    <a:blip r:embed="rId26"/>
                    <a:stretch>
                      <a:fillRect/>
                    </a:stretch>
                  </pic:blipFill>
                  <pic:spPr bwMode="auto">
                    <a:xfrm>
                      <a:off x="0" y="0"/>
                      <a:ext cx="5892800" cy="3358896"/>
                    </a:xfrm>
                    <a:prstGeom prst="rect">
                      <a:avLst/>
                    </a:prstGeom>
                    <a:noFill/>
                    <a:ln w="9525">
                      <a:noFill/>
                      <a:headEnd/>
                      <a:tailEnd/>
                    </a:ln>
                  </pic:spPr>
                </pic:pic>
              </a:graphicData>
            </a:graphic>
          </wp:inline>
        </w:drawing>
      </w:r>
    </w:p>
    <w:p w14:paraId="0BED02D1" w14:textId="77777777" w:rsidR="001F0D49" w:rsidRDefault="00000000">
      <w:pPr>
        <w:pStyle w:val="af"/>
      </w:pPr>
      <w:r>
        <w:t>Figure 4. Growth of cognitive density and the adaptation threshold — interpretive synthetic schematic, not an empirical chart. The growth of environmental cognitive density (CDI) proceeds noticeably faster than the growth of adaptive capacity in human and institutional systems. At the intersection point, a zone of critical load emerges in which adaptation can no longer keep pace with environmental complexity.</w:t>
      </w:r>
    </w:p>
    <w:p w14:paraId="1E91BBBB" w14:textId="77777777" w:rsidR="001F0D49" w:rsidRDefault="00000000">
      <w:pPr>
        <w:pStyle w:val="af"/>
      </w:pPr>
      <w:r>
        <w:rPr>
          <w:noProof/>
        </w:rPr>
        <w:drawing>
          <wp:inline distT="0" distB="0" distL="0" distR="0" wp14:anchorId="0FEB50EB" wp14:editId="518C12D3">
            <wp:extent cx="5892800" cy="3358896"/>
            <wp:effectExtent l="0" t="0" r="0" b="0"/>
            <wp:docPr id="71" name="Picture"/>
            <wp:cNvGraphicFramePr/>
            <a:graphic xmlns:a="http://schemas.openxmlformats.org/drawingml/2006/main">
              <a:graphicData uri="http://schemas.openxmlformats.org/drawingml/2006/picture">
                <pic:pic xmlns:pic="http://schemas.openxmlformats.org/drawingml/2006/picture">
                  <pic:nvPicPr>
                    <pic:cNvPr id="72" name="Picture" descr="images/atd_fig1a_systematization_debt_en.png"/>
                    <pic:cNvPicPr>
                      <a:picLocks noChangeAspect="1" noChangeArrowheads="1"/>
                    </pic:cNvPicPr>
                  </pic:nvPicPr>
                  <pic:blipFill>
                    <a:blip r:embed="rId27"/>
                    <a:stretch>
                      <a:fillRect/>
                    </a:stretch>
                  </pic:blipFill>
                  <pic:spPr bwMode="auto">
                    <a:xfrm>
                      <a:off x="0" y="0"/>
                      <a:ext cx="5892800" cy="3358896"/>
                    </a:xfrm>
                    <a:prstGeom prst="rect">
                      <a:avLst/>
                    </a:prstGeom>
                    <a:noFill/>
                    <a:ln w="9525">
                      <a:noFill/>
                      <a:headEnd/>
                      <a:tailEnd/>
                    </a:ln>
                  </pic:spPr>
                </pic:pic>
              </a:graphicData>
            </a:graphic>
          </wp:inline>
        </w:drawing>
      </w:r>
    </w:p>
    <w:p w14:paraId="57DBCA6D" w14:textId="77777777" w:rsidR="001F0D49" w:rsidRDefault="00000000">
      <w:pPr>
        <w:pStyle w:val="af"/>
      </w:pPr>
      <w:r>
        <w:t>Figure 4a. Intermediate curve: growth of systematization debt — interpretive synthetic schematic, not an empirical chart. As the volume of knowledge, the number of inter-element connections, and the overall cognitive density of the environment increase, systematization debt (SysDebt) rises whenever the forms of packaging, transmitting, and reconstructing knowledge fail to adapt to the growing structural complexity or degrade toward fragmented, weakly compatible, and substantively flattened formats.</w:t>
      </w:r>
    </w:p>
    <w:p w14:paraId="25F19B1B" w14:textId="77777777" w:rsidR="001F0D49" w:rsidRDefault="00000000">
      <w:pPr>
        <w:pStyle w:val="af"/>
      </w:pPr>
      <w:r>
        <w:rPr>
          <w:noProof/>
        </w:rPr>
        <w:lastRenderedPageBreak/>
        <w:drawing>
          <wp:inline distT="0" distB="0" distL="0" distR="0" wp14:anchorId="05BAFF20" wp14:editId="71DA1343">
            <wp:extent cx="5892800" cy="3358896"/>
            <wp:effectExtent l="0" t="0" r="0" b="0"/>
            <wp:docPr id="74" name="Picture"/>
            <wp:cNvGraphicFramePr/>
            <a:graphic xmlns:a="http://schemas.openxmlformats.org/drawingml/2006/main">
              <a:graphicData uri="http://schemas.openxmlformats.org/drawingml/2006/picture">
                <pic:pic xmlns:pic="http://schemas.openxmlformats.org/drawingml/2006/picture">
                  <pic:nvPicPr>
                    <pic:cNvPr id="75" name="Picture" descr="images/atd_fig2_sdi_shocks_en.png"/>
                    <pic:cNvPicPr>
                      <a:picLocks noChangeAspect="1" noChangeArrowheads="1"/>
                    </pic:cNvPicPr>
                  </pic:nvPicPr>
                  <pic:blipFill>
                    <a:blip r:embed="rId28"/>
                    <a:stretch>
                      <a:fillRect/>
                    </a:stretch>
                  </pic:blipFill>
                  <pic:spPr bwMode="auto">
                    <a:xfrm>
                      <a:off x="0" y="0"/>
                      <a:ext cx="5892800" cy="3358896"/>
                    </a:xfrm>
                    <a:prstGeom prst="rect">
                      <a:avLst/>
                    </a:prstGeom>
                    <a:noFill/>
                    <a:ln w="9525">
                      <a:noFill/>
                      <a:headEnd/>
                      <a:tailEnd/>
                    </a:ln>
                  </pic:spPr>
                </pic:pic>
              </a:graphicData>
            </a:graphic>
          </wp:inline>
        </w:drawing>
      </w:r>
    </w:p>
    <w:p w14:paraId="40D816AD" w14:textId="77777777" w:rsidR="001F0D49" w:rsidRDefault="00000000">
      <w:pPr>
        <w:pStyle w:val="af"/>
      </w:pPr>
      <w:r>
        <w:t>Figure 5. Observed density of systemic shocks — interpretive synthetic schematic, not an empirical chart. In this scheme, SDI is understood as the visible surface of growing fragility: as connectivity, density, and cascade-proneness increase, the system begins to produce more frequent and stronger shocks.</w:t>
      </w:r>
    </w:p>
    <w:p w14:paraId="3CEAC9B5" w14:textId="77777777" w:rsidR="001F0D49" w:rsidRDefault="00000000">
      <w:pPr>
        <w:pStyle w:val="af"/>
      </w:pPr>
      <w:r>
        <w:rPr>
          <w:noProof/>
        </w:rPr>
        <w:drawing>
          <wp:inline distT="0" distB="0" distL="0" distR="0" wp14:anchorId="5621EAB9" wp14:editId="6E369EEF">
            <wp:extent cx="5892800" cy="3358896"/>
            <wp:effectExtent l="0" t="0" r="0" b="0"/>
            <wp:docPr id="77" name="Picture"/>
            <wp:cNvGraphicFramePr/>
            <a:graphic xmlns:a="http://schemas.openxmlformats.org/drawingml/2006/main">
              <a:graphicData uri="http://schemas.openxmlformats.org/drawingml/2006/picture">
                <pic:pic xmlns:pic="http://schemas.openxmlformats.org/drawingml/2006/picture">
                  <pic:nvPicPr>
                    <pic:cNvPr id="78" name="Picture" descr="images/atd_fig3_cwci_decline_en.png"/>
                    <pic:cNvPicPr>
                      <a:picLocks noChangeAspect="1" noChangeArrowheads="1"/>
                    </pic:cNvPicPr>
                  </pic:nvPicPr>
                  <pic:blipFill>
                    <a:blip r:embed="rId29"/>
                    <a:stretch>
                      <a:fillRect/>
                    </a:stretch>
                  </pic:blipFill>
                  <pic:spPr bwMode="auto">
                    <a:xfrm>
                      <a:off x="0" y="0"/>
                      <a:ext cx="5892800" cy="3358896"/>
                    </a:xfrm>
                    <a:prstGeom prst="rect">
                      <a:avLst/>
                    </a:prstGeom>
                    <a:noFill/>
                    <a:ln w="9525">
                      <a:noFill/>
                      <a:headEnd/>
                      <a:tailEnd/>
                    </a:ln>
                  </pic:spPr>
                </pic:pic>
              </a:graphicData>
            </a:graphic>
          </wp:inline>
        </w:drawing>
      </w:r>
    </w:p>
    <w:p w14:paraId="1648FCF3" w14:textId="77777777" w:rsidR="001F0D49" w:rsidRDefault="00000000">
      <w:pPr>
        <w:pStyle w:val="af"/>
      </w:pPr>
      <w:r>
        <w:t>Figure 6. Decline in cognitive workforce capacity — interpretive synthetic schematic, not an empirical chart. CWCI reflects the capacity of people and institutions to process environmental complexity with quality. Once the load threshold is exceeded, the stability of attention, the quality of decisions, and the ability to act adaptively begin to decline.</w:t>
      </w:r>
    </w:p>
    <w:p w14:paraId="091CA1BD" w14:textId="77777777" w:rsidR="001F0D49" w:rsidRDefault="00000000">
      <w:pPr>
        <w:pStyle w:val="af"/>
      </w:pPr>
      <w:r>
        <w:rPr>
          <w:noProof/>
        </w:rPr>
        <w:lastRenderedPageBreak/>
        <w:drawing>
          <wp:inline distT="0" distB="0" distL="0" distR="0" wp14:anchorId="407C2DF6" wp14:editId="76FC0903">
            <wp:extent cx="5892800" cy="5623941"/>
            <wp:effectExtent l="0" t="0" r="0" b="0"/>
            <wp:docPr id="80" name="Picture"/>
            <wp:cNvGraphicFramePr/>
            <a:graphic xmlns:a="http://schemas.openxmlformats.org/drawingml/2006/main">
              <a:graphicData uri="http://schemas.openxmlformats.org/drawingml/2006/picture">
                <pic:pic xmlns:pic="http://schemas.openxmlformats.org/drawingml/2006/picture">
                  <pic:nvPicPr>
                    <pic:cNvPr id="81" name="Picture" descr="images/atd_fig4_system_synthesis_en.png"/>
                    <pic:cNvPicPr>
                      <a:picLocks noChangeAspect="1" noChangeArrowheads="1"/>
                    </pic:cNvPicPr>
                  </pic:nvPicPr>
                  <pic:blipFill>
                    <a:blip r:embed="rId30"/>
                    <a:stretch>
                      <a:fillRect/>
                    </a:stretch>
                  </pic:blipFill>
                  <pic:spPr bwMode="auto">
                    <a:xfrm>
                      <a:off x="0" y="0"/>
                      <a:ext cx="5892800" cy="5623941"/>
                    </a:xfrm>
                    <a:prstGeom prst="rect">
                      <a:avLst/>
                    </a:prstGeom>
                    <a:noFill/>
                    <a:ln w="9525">
                      <a:noFill/>
                      <a:headEnd/>
                      <a:tailEnd/>
                    </a:ln>
                  </pic:spPr>
                </pic:pic>
              </a:graphicData>
            </a:graphic>
          </wp:inline>
        </w:drawing>
      </w:r>
    </w:p>
    <w:p w14:paraId="2A7590A0" w14:textId="77777777" w:rsidR="001F0D49" w:rsidRDefault="00000000">
      <w:pPr>
        <w:pStyle w:val="af"/>
      </w:pPr>
      <w:r>
        <w:t>Figure 7. Synthetic system dynamics — interpretive synthetic schematic, not a calibrated model. Taken together, CDI, SDI, and CWCI reveal not separate unrelated problems, but a single regime: rising environmental density, growing shocks, and a loss of cognitive capacity converge in a zone of systemic turbulence.</w:t>
      </w:r>
    </w:p>
    <w:p w14:paraId="7B3A101B" w14:textId="77777777" w:rsidR="001F0D49" w:rsidRDefault="00000000">
      <w:pPr>
        <w:pStyle w:val="af"/>
      </w:pPr>
      <w:r>
        <w:rPr>
          <w:noProof/>
        </w:rPr>
        <w:lastRenderedPageBreak/>
        <w:drawing>
          <wp:inline distT="0" distB="0" distL="0" distR="0" wp14:anchorId="3DF29F57" wp14:editId="1FD7B223">
            <wp:extent cx="5892800" cy="5623941"/>
            <wp:effectExtent l="0" t="0" r="0" b="0"/>
            <wp:docPr id="83" name="Picture"/>
            <wp:cNvGraphicFramePr/>
            <a:graphic xmlns:a="http://schemas.openxmlformats.org/drawingml/2006/main">
              <a:graphicData uri="http://schemas.openxmlformats.org/drawingml/2006/picture">
                <pic:pic xmlns:pic="http://schemas.openxmlformats.org/drawingml/2006/picture">
                  <pic:nvPicPr>
                    <pic:cNvPr id="84" name="Picture" descr="images/atd_fig5_generational_window_probabilities_en.png"/>
                    <pic:cNvPicPr>
                      <a:picLocks noChangeAspect="1" noChangeArrowheads="1"/>
                    </pic:cNvPicPr>
                  </pic:nvPicPr>
                  <pic:blipFill>
                    <a:blip r:embed="rId31"/>
                    <a:stretch>
                      <a:fillRect/>
                    </a:stretch>
                  </pic:blipFill>
                  <pic:spPr bwMode="auto">
                    <a:xfrm>
                      <a:off x="0" y="0"/>
                      <a:ext cx="5892800" cy="5623941"/>
                    </a:xfrm>
                    <a:prstGeom prst="rect">
                      <a:avLst/>
                    </a:prstGeom>
                    <a:noFill/>
                    <a:ln w="9525">
                      <a:noFill/>
                      <a:headEnd/>
                      <a:tailEnd/>
                    </a:ln>
                  </pic:spPr>
                </pic:pic>
              </a:graphicData>
            </a:graphic>
          </wp:inline>
        </w:drawing>
      </w:r>
    </w:p>
    <w:p w14:paraId="7D88CEAC" w14:textId="77777777" w:rsidR="001F0D49" w:rsidRDefault="00000000">
      <w:pPr>
        <w:pStyle w:val="af"/>
      </w:pPr>
      <w:r>
        <w:t>Figure 8. Intergenerational shift toward younger cohorts and the risk window for human agency — interpretive synthesis with unequal confidence levels, not a direct probability measurement. The diagram overlays the demographic shift and a bundle of autonomy and agency proxies to show an interpretable intergenerational risk window rather than a “proven agency defect.”</w:t>
      </w:r>
    </w:p>
    <w:p w14:paraId="046D87DC" w14:textId="77777777" w:rsidR="001F0D49" w:rsidRDefault="00000000">
      <w:pPr>
        <w:pStyle w:val="af"/>
      </w:pPr>
      <w:r>
        <w:t xml:space="preserve">What follows from overlaying these layers is not a “proven agency defect,” but an </w:t>
      </w:r>
      <w:r>
        <w:rPr>
          <w:b/>
          <w:bCs/>
        </w:rPr>
        <w:t>interpretable intergenerational risk window</w:t>
      </w:r>
      <w:r>
        <w:t xml:space="preserve">: a period in which the demographic weight of younger cohorts begins to coincide with proxy signals that </w:t>
      </w:r>
      <w:r>
        <w:rPr>
          <w:b/>
          <w:bCs/>
        </w:rPr>
        <w:t>may be consistent with</w:t>
      </w:r>
      <w:r>
        <w:t xml:space="preserve"> a more vulnerable profile of functional agency in specific domains. This is not a direct index of human agency and not a direct measurement of probabilities, but a model-theoretic assembly built on top of two evidentiary layers of unequal strength.</w:t>
      </w:r>
    </w:p>
    <w:p w14:paraId="7901C1A2" w14:textId="77777777" w:rsidR="001F0D49" w:rsidRDefault="00000000">
      <w:pPr>
        <w:pStyle w:val="af"/>
      </w:pPr>
      <w:r>
        <w:t xml:space="preserve">This figure should therefore be read as a </w:t>
      </w:r>
      <w:r>
        <w:rPr>
          <w:b/>
          <w:bCs/>
        </w:rPr>
        <w:t>two-panel interpretive synthesis with unequal epistemic confidence</w:t>
      </w:r>
      <w:r>
        <w:t xml:space="preserve">: the demographic layer is stronger and closer to a verifiable fact; the proxy layer is weaker, more contested, and dependent on interpretation. The correct reading of such a visualization is </w:t>
      </w:r>
      <w:r>
        <w:rPr>
          <w:b/>
          <w:bCs/>
        </w:rPr>
        <w:t>a demographic anchor + a literature-based proxy bundle + a cautious interpretation of the convergence zone</w:t>
      </w:r>
      <w:r>
        <w:t>.</w:t>
      </w:r>
    </w:p>
    <w:p w14:paraId="536E6554" w14:textId="77777777" w:rsidR="001F0D49" w:rsidRDefault="00000000">
      <w:pPr>
        <w:pStyle w:val="21"/>
      </w:pPr>
      <w:bookmarkStart w:id="49" w:name="discussion"/>
      <w:bookmarkStart w:id="50" w:name="_Toc226514444"/>
      <w:bookmarkEnd w:id="26"/>
      <w:bookmarkEnd w:id="41"/>
      <w:bookmarkEnd w:id="48"/>
      <w:r>
        <w:lastRenderedPageBreak/>
        <w:t>4. Discussion</w:t>
      </w:r>
      <w:bookmarkEnd w:id="50"/>
    </w:p>
    <w:p w14:paraId="4D321C8F" w14:textId="77777777" w:rsidR="001F0D49" w:rsidRDefault="00000000">
      <w:pPr>
        <w:pStyle w:val="31"/>
      </w:pPr>
      <w:bookmarkStart w:id="51" w:name="X67a76f1799aa37e0b94c55e9234705096d86c8f"/>
      <w:r>
        <w:t>4.1. Hypotheses and directions for further theoretical assembly</w:t>
      </w:r>
    </w:p>
    <w:p w14:paraId="167E7A03" w14:textId="77777777" w:rsidR="001F0D49" w:rsidRDefault="00000000">
      <w:pPr>
        <w:pStyle w:val="4"/>
      </w:pPr>
      <w:bookmarkStart w:id="52" w:name="atds-position-in-the-corpus"/>
      <w:r>
        <w:t>4.1.0. ATD’s position in the corpus</w:t>
      </w:r>
    </w:p>
    <w:p w14:paraId="0D1B7353" w14:textId="77777777" w:rsidR="001F0D49" w:rsidRDefault="00000000">
      <w:r>
        <w:t>Within the corpus cascade, the present document occupies the following position:</w:t>
      </w:r>
    </w:p>
    <w:p w14:paraId="7123ED66" w14:textId="77777777" w:rsidR="001F0D49" w:rsidRDefault="00000000">
      <w:pPr>
        <w:numPr>
          <w:ilvl w:val="0"/>
          <w:numId w:val="70"/>
        </w:numPr>
      </w:pPr>
      <w:r>
        <w:rPr>
          <w:b/>
          <w:bCs/>
        </w:rPr>
        <w:t>THM</w:t>
      </w:r>
      <w:r>
        <w:t xml:space="preserve"> defines the cognitive mechanics: thinking horizons, holding resource, horizon cost, regression under load, and the distinction between internal holding and externally borrowed coherence;</w:t>
      </w:r>
    </w:p>
    <w:p w14:paraId="0A574F61" w14:textId="77777777" w:rsidR="001F0D49" w:rsidRDefault="00000000">
      <w:pPr>
        <w:numPr>
          <w:ilvl w:val="0"/>
          <w:numId w:val="70"/>
        </w:numPr>
      </w:pPr>
      <w:r>
        <w:rPr>
          <w:b/>
          <w:bCs/>
        </w:rPr>
        <w:t>ATD</w:t>
      </w:r>
      <w:r>
        <w:t xml:space="preserve"> describes the </w:t>
      </w:r>
      <w:r>
        <w:rPr>
          <w:b/>
          <w:bCs/>
        </w:rPr>
        <w:t>pressure of the environment</w:t>
      </w:r>
      <w:r>
        <w:t xml:space="preserve"> on that mechanics, the observable </w:t>
      </w:r>
      <w:r>
        <w:rPr>
          <w:b/>
          <w:bCs/>
        </w:rPr>
        <w:t>proxy cascade</w:t>
      </w:r>
      <w:r>
        <w:t xml:space="preserve"> of that pressure, and the accumulation of </w:t>
      </w:r>
      <w:r>
        <w:rPr>
          <w:b/>
          <w:bCs/>
        </w:rPr>
        <w:t>systematization debt</w:t>
      </w:r>
      <w:r>
        <w:t>;</w:t>
      </w:r>
    </w:p>
    <w:p w14:paraId="528CF050" w14:textId="77777777" w:rsidR="001F0D49" w:rsidRDefault="00000000">
      <w:pPr>
        <w:numPr>
          <w:ilvl w:val="0"/>
          <w:numId w:val="70"/>
        </w:numPr>
      </w:pPr>
      <w:r>
        <w:t>subsequent corpus documents use ATD as the document about environmental pressure and translate its conclusions into project, normative, and governance layers without needing to unpack the entire closed synthetic contour.</w:t>
      </w:r>
    </w:p>
    <w:p w14:paraId="03EC101F" w14:textId="77777777" w:rsidR="001F0D49" w:rsidRDefault="00000000">
      <w:r>
        <w:t>A key limitation follows from this: ATD should not attempt to “reinvent” the model of thinking, and CDI should not be presented as a concept suspended in empty space. Its meaning is defined by the relation between the environment and the cognitive carrying capacity already described in THM.</w:t>
      </w:r>
    </w:p>
    <w:p w14:paraId="12332DB0" w14:textId="77777777" w:rsidR="001F0D49" w:rsidRDefault="00000000">
      <w:pPr>
        <w:pStyle w:val="af"/>
      </w:pPr>
      <w:r>
        <w:t>This part is therefore not a continuation of the “proofs,” but a scenario-analytical superstructure. Its role is to pose the question of scale and to register claims that in the present document are formulated as working hypotheses. Here they are kept within the limits of analytical reconstruction, proxy modeling, and hypothesis setting.</w:t>
      </w:r>
    </w:p>
    <w:p w14:paraId="506C63CC" w14:textId="77777777" w:rsidR="001F0D49" w:rsidRDefault="00000000">
      <w:pPr>
        <w:pStyle w:val="4"/>
      </w:pPr>
      <w:bookmarkStart w:id="53" w:name="X585bba74bbe187294ea1988098767c32ccace70"/>
      <w:bookmarkEnd w:id="52"/>
      <w:r>
        <w:t>4.1.1. Hypothesis of a downward civilizational drift (conditional inevitability)</w:t>
      </w:r>
    </w:p>
    <w:p w14:paraId="693D5F0D" w14:textId="77777777" w:rsidR="001F0D49" w:rsidRDefault="00000000">
      <w:r>
        <w:t>If the mechanics of the loop remain in place and no compensatory systematization appears, the system may enter a long regime of accumulated adaptation deficit. This is not a prediction of a date and not a thesis of inevitable collapse, but a working hypothesis of directional deterioration in resilience under a prolonged divergence between environmental complexity and the speed of its systematization.</w:t>
      </w:r>
    </w:p>
    <w:p w14:paraId="72745CAC" w14:textId="77777777" w:rsidR="001F0D49" w:rsidRDefault="00000000">
      <w:pPr>
        <w:pStyle w:val="4"/>
      </w:pPr>
      <w:bookmarkStart w:id="54" w:name="Xf6c4760fa5b7fae571fade3de3d34c3070b5d96"/>
      <w:bookmarkEnd w:id="53"/>
      <w:r>
        <w:t>4.1.2. AI as two possible compensatory paths: augmentation and substitution of cognition</w:t>
      </w:r>
    </w:p>
    <w:p w14:paraId="75142259" w14:textId="77777777" w:rsidR="001F0D49" w:rsidRDefault="00000000">
      <w:r>
        <w:t>If CDI grows faster than adaptive carrying capacity, the system will search for compensatory mechanisms. One such mechanism may be AI-mediated filtering of information flows, external memory/context, external packaging of material, and the partial automation of micro-decisions.</w:t>
      </w:r>
    </w:p>
    <w:p w14:paraId="2076B7E1" w14:textId="77777777" w:rsidR="001F0D49" w:rsidRDefault="00000000">
      <w:pPr>
        <w:pStyle w:val="af"/>
      </w:pPr>
      <w:r>
        <w:t xml:space="preserve">At this level, the key distinction is not simply “using AI,” but </w:t>
      </w:r>
      <w:r>
        <w:rPr>
          <w:b/>
          <w:bCs/>
        </w:rPr>
        <w:t>two different modes of integration</w:t>
      </w:r>
      <w:r>
        <w:t xml:space="preserve">. In the mode of </w:t>
      </w:r>
      <w:r>
        <w:rPr>
          <w:b/>
          <w:bCs/>
        </w:rPr>
        <w:t>AI cognitive augmentation</w:t>
      </w:r>
      <w:r>
        <w:t xml:space="preserve">, the external layer temporarily increases working capacity: it helps to gather material faster, return to context more cheaply, filter noise better, and sustain a longer chain of reasoning. In the mode of </w:t>
      </w:r>
      <w:r>
        <w:rPr>
          <w:b/>
          <w:bCs/>
        </w:rPr>
        <w:t>AI cognitive substitution</w:t>
      </w:r>
      <w:r>
        <w:t>, the same external layer begins to replace the assembly, discrimination, holding, and local authorship of the decision. Short-term stabilization is then achieved at the cost of growing hidden dependency.</w:t>
      </w:r>
    </w:p>
    <w:p w14:paraId="0578FCD9" w14:textId="77777777" w:rsidR="001F0D49" w:rsidRDefault="00000000">
      <w:pPr>
        <w:pStyle w:val="af"/>
      </w:pPr>
      <w:r>
        <w:t xml:space="preserve">There are empirical grounds for expecting greater dependence on algorithmic advice: decision studies repeatedly show that people often follow algorithmic recommendations more strongly than human ones, especially in complex tasks; at the same time, there are well-known effects of automation bias, cognitive offloading, and difficulties in calibrating trust even when explanations are available. These observations are supported by a large human-factors literature developed over more than 30 years (Mosier &amp; Skitka, 1996; Parasuraman &amp; Manzey, 2010). Recent AI literature increasingly distinguishes augmentative/complementary use from </w:t>
      </w:r>
      <w:r>
        <w:lastRenderedPageBreak/>
        <w:t>substitutive/offloading use; the review commentary by Hermann (2025) additionally raises the issue of “psychological ownership” over decisions made with generative AI.</w:t>
      </w:r>
    </w:p>
    <w:p w14:paraId="0D88B699" w14:textId="77777777" w:rsidR="001F0D49" w:rsidRDefault="00000000">
      <w:pPr>
        <w:pStyle w:val="af"/>
      </w:pPr>
      <w:r>
        <w:t>The new retrospective layer shows that AI interventions should not be read with a single sign. They can reduce part of local cognitive cost — accelerate draft preparation, remove part of clerical load, help with initial sorting or with finding structure. Yet the same interventions can simultaneously raise the burden of verification, conceal errors behind smooth output, reduce the depth of one’s own holding, and over prolonged use create dependency or deskilling effects. In ATD, AI should therefore be read as a particularly unstable class of compensatory loops that requires separate checking with respect to quality, autonomy, and lagged consequences.</w:t>
      </w:r>
    </w:p>
    <w:p w14:paraId="50D1D409" w14:textId="77777777" w:rsidR="001F0D49" w:rsidRDefault="00000000">
      <w:pPr>
        <w:pStyle w:val="af"/>
      </w:pPr>
      <w:r>
        <w:t xml:space="preserve">The key feature of this scenario is that the transition to AI cognitive substitution may be </w:t>
      </w:r>
      <w:r>
        <w:rPr>
          <w:b/>
          <w:bCs/>
        </w:rPr>
        <w:t>neither catastrophic nor obvious</w:t>
      </w:r>
      <w:r>
        <w:t>. There will be no “day of the apocalypse.” There will be a “quiet transfer of agency” — step by step, until part of cognitive work is externalized as infrastructure.</w:t>
      </w:r>
    </w:p>
    <w:p w14:paraId="1CC04FEA" w14:textId="77777777" w:rsidR="001F0D49" w:rsidRDefault="00000000">
      <w:pPr>
        <w:pStyle w:val="af"/>
      </w:pPr>
      <w:r>
        <w:t>Within the present analytical document, AI is registered as one possible compensatory mechanism, but with a principled bifurcation by mode. One path temporarily supports adaptive carrying capacity. The other path increases fragility because it reduces the subject’s and organization’s own cognitive carrying capacity precisely where, on the surface, the problem appears already compensated.</w:t>
      </w:r>
    </w:p>
    <w:p w14:paraId="18C6740A" w14:textId="77777777" w:rsidR="001F0D49" w:rsidRDefault="00000000">
      <w:pPr>
        <w:pStyle w:val="4"/>
      </w:pPr>
      <w:bookmarkStart w:id="55" w:name="X747fa0bc10514d6a141c9e1c5826f04145ec520"/>
      <w:bookmarkEnd w:id="54"/>
      <w:r>
        <w:t>4.1.3. Intergenerational risk window for human agency (working hypothesis with external proxies)</w:t>
      </w:r>
    </w:p>
    <w:p w14:paraId="105E67AC" w14:textId="77777777" w:rsidR="001F0D49" w:rsidRDefault="00000000">
      <w:r>
        <w:t xml:space="preserve">Alongside the growth of environmental cognitive density and the external AI layer, there is another possible factor capable of reshaping long-term adaptation trajectories: </w:t>
      </w:r>
      <w:r>
        <w:rPr>
          <w:b/>
          <w:bCs/>
        </w:rPr>
        <w:t>an intergenerational shift toward younger cohorts combined with proxy signals of a more vulnerable profile of functional agency in specific domains</w:t>
      </w:r>
      <w:r>
        <w:t>.</w:t>
      </w:r>
    </w:p>
    <w:p w14:paraId="10BBE244" w14:textId="77777777" w:rsidR="001F0D49" w:rsidRDefault="00000000">
      <w:pPr>
        <w:pStyle w:val="af"/>
      </w:pPr>
      <w:r>
        <w:t xml:space="preserve">At the level of open sources, it is crucial to distinguish </w:t>
      </w:r>
      <w:r>
        <w:rPr>
          <w:b/>
          <w:bCs/>
        </w:rPr>
        <w:t>three layers</w:t>
      </w:r>
      <w:r>
        <w:t>.</w:t>
      </w:r>
    </w:p>
    <w:p w14:paraId="12E407B3" w14:textId="77777777" w:rsidR="001F0D49" w:rsidRDefault="00000000">
      <w:pPr>
        <w:pStyle w:val="af"/>
      </w:pPr>
      <w:r>
        <w:rPr>
          <w:b/>
          <w:bCs/>
        </w:rPr>
        <w:t>First, the demographic layer.</w:t>
      </w:r>
      <w:r>
        <w:br/>
        <w:t xml:space="preserve">The transition of younger cohorts to demographic majority within the active-age window is a calculable event that can be estimated from open age-structure projections. After tightening this layer, it is more accurate to speak not of ~2033 as a default, but of the </w:t>
      </w:r>
      <w:r>
        <w:rPr>
          <w:b/>
          <w:bCs/>
        </w:rPr>
        <w:t>mid-2030s</w:t>
      </w:r>
      <w:r>
        <w:t xml:space="preserve"> as the working global window. For the world 15–64 range, a reasonable anchor is around 2034–2035, whereas for OECD / high-income and narrower active-age definitions the window shifts later. This is not a “magic date,” but a range sensitive to geography, age band, and generation-boundary definitions.</w:t>
      </w:r>
    </w:p>
    <w:p w14:paraId="51080BF5" w14:textId="77777777" w:rsidR="001F0D49" w:rsidRDefault="00000000">
      <w:pPr>
        <w:pStyle w:val="af"/>
      </w:pPr>
      <w:r>
        <w:rPr>
          <w:b/>
          <w:bCs/>
        </w:rPr>
        <w:t>Second, the proxy layer of autonomy and agency.</w:t>
      </w:r>
      <w:r>
        <w:br/>
        <w:t>This is not a direct measurement of “human agency,” but a set of proxy signals that may include:</w:t>
      </w:r>
    </w:p>
    <w:p w14:paraId="3CBF9D1B" w14:textId="77777777" w:rsidR="001F0D49" w:rsidRDefault="00000000">
      <w:pPr>
        <w:numPr>
          <w:ilvl w:val="0"/>
          <w:numId w:val="71"/>
        </w:numPr>
      </w:pPr>
      <w:r>
        <w:t>external or internal locus of control;</w:t>
      </w:r>
    </w:p>
    <w:p w14:paraId="1DFAEC41" w14:textId="77777777" w:rsidR="001F0D49" w:rsidRDefault="00000000">
      <w:pPr>
        <w:numPr>
          <w:ilvl w:val="0"/>
          <w:numId w:val="71"/>
        </w:numPr>
      </w:pPr>
      <w:r>
        <w:t>later autonomization;</w:t>
      </w:r>
    </w:p>
    <w:p w14:paraId="3E462C1E" w14:textId="77777777" w:rsidR="001F0D49" w:rsidRDefault="00000000">
      <w:pPr>
        <w:numPr>
          <w:ilvl w:val="0"/>
          <w:numId w:val="71"/>
        </w:numPr>
      </w:pPr>
      <w:r>
        <w:t>delayed transition to adulthood;</w:t>
      </w:r>
    </w:p>
    <w:p w14:paraId="25173EB6" w14:textId="77777777" w:rsidR="001F0D49" w:rsidRDefault="00000000">
      <w:pPr>
        <w:numPr>
          <w:ilvl w:val="0"/>
          <w:numId w:val="71"/>
        </w:numPr>
      </w:pPr>
      <w:r>
        <w:t>living with parents / delayed adult milestones;</w:t>
      </w:r>
    </w:p>
    <w:p w14:paraId="07CD8E5C" w14:textId="77777777" w:rsidR="001F0D49" w:rsidRDefault="00000000">
      <w:pPr>
        <w:numPr>
          <w:ilvl w:val="0"/>
          <w:numId w:val="71"/>
        </w:numPr>
      </w:pPr>
      <w:r>
        <w:t>a higher mental-health burden as an indirect indicator of a more vulnerable adaptive profile.</w:t>
      </w:r>
    </w:p>
    <w:p w14:paraId="73DB0269" w14:textId="77777777" w:rsidR="001F0D49" w:rsidRDefault="00000000">
      <w:r>
        <w:t xml:space="preserve">This layer remains </w:t>
      </w:r>
      <w:r>
        <w:rPr>
          <w:b/>
          <w:bCs/>
        </w:rPr>
        <w:t>methodologically contested</w:t>
      </w:r>
      <w:r>
        <w:t>. The strongest signals here concern mental-health burden and delayed milestones, but even these do not provide a direct measurement of human agency. Some psychometric claims are contested, and some observed shifts may be driven not by agency as such, but by economic constraints, changing social norms, and age-period effects.</w:t>
      </w:r>
    </w:p>
    <w:p w14:paraId="33F86FAE" w14:textId="77777777" w:rsidR="001F0D49" w:rsidRDefault="00000000">
      <w:pPr>
        <w:pStyle w:val="af"/>
      </w:pPr>
      <w:r>
        <w:rPr>
          <w:b/>
          <w:bCs/>
        </w:rPr>
        <w:lastRenderedPageBreak/>
        <w:t>Third, the interpretive layer.</w:t>
      </w:r>
      <w:r>
        <w:br/>
        <w:t xml:space="preserve">If the demographic shift toward younger cohorts coincides with proxy signals compatible with a more vulnerable profile of functional agency, this can be interpreted as an </w:t>
      </w:r>
      <w:r>
        <w:rPr>
          <w:b/>
          <w:bCs/>
        </w:rPr>
        <w:t>intergenerational risk window for human agency</w:t>
      </w:r>
      <w:r>
        <w:t xml:space="preserve">. Within ATD, this layer should be understood not as an autonomous causal mechanism and not as a validated prediction, but as a </w:t>
      </w:r>
      <w:r>
        <w:rPr>
          <w:b/>
          <w:bCs/>
        </w:rPr>
        <w:t>model-theoretic construct</w:t>
      </w:r>
      <w:r>
        <w:t xml:space="preserve"> — an additional conditional modifier of pressure within the general logic of the adaptation threshold.</w:t>
      </w:r>
    </w:p>
    <w:p w14:paraId="5CE131AA" w14:textId="77777777" w:rsidR="001F0D49" w:rsidRDefault="00000000">
      <w:pPr>
        <w:pStyle w:val="af"/>
      </w:pPr>
      <w:r>
        <w:t>This implies an important methodological boundary. In the present document it would be incorrect to:</w:t>
      </w:r>
    </w:p>
    <w:p w14:paraId="463B1D3A" w14:textId="77777777" w:rsidR="001F0D49" w:rsidRDefault="00000000">
      <w:pPr>
        <w:numPr>
          <w:ilvl w:val="0"/>
          <w:numId w:val="72"/>
        </w:numPr>
      </w:pPr>
      <w:r>
        <w:t>claim a direct “rise of infantilization” across generations;</w:t>
      </w:r>
    </w:p>
    <w:p w14:paraId="64DD0512" w14:textId="77777777" w:rsidR="001F0D49" w:rsidRDefault="00000000">
      <w:pPr>
        <w:numPr>
          <w:ilvl w:val="0"/>
          <w:numId w:val="72"/>
        </w:numPr>
      </w:pPr>
      <w:r>
        <w:t>treat younger cohorts as homogeneously less agentic;</w:t>
      </w:r>
    </w:p>
    <w:p w14:paraId="0E187CED" w14:textId="77777777" w:rsidR="001F0D49" w:rsidRDefault="00000000">
      <w:pPr>
        <w:numPr>
          <w:ilvl w:val="0"/>
          <w:numId w:val="72"/>
        </w:numPr>
      </w:pPr>
      <w:r>
        <w:t>present a literature-assembled set of proxy signals as a single measured index of human agency;</w:t>
      </w:r>
    </w:p>
    <w:p w14:paraId="5C7D4D76" w14:textId="77777777" w:rsidR="001F0D49" w:rsidRDefault="00000000">
      <w:pPr>
        <w:numPr>
          <w:ilvl w:val="0"/>
          <w:numId w:val="72"/>
        </w:numPr>
      </w:pPr>
      <w:r>
        <w:t>ignore the age-period-cohort problem and the contested nature of generational categories;</w:t>
      </w:r>
    </w:p>
    <w:p w14:paraId="4E119F01" w14:textId="77777777" w:rsidR="001F0D49" w:rsidRDefault="00000000">
      <w:pPr>
        <w:numPr>
          <w:ilvl w:val="0"/>
          <w:numId w:val="72"/>
        </w:numPr>
      </w:pPr>
      <w:r>
        <w:t>substitute a domain-specific risk signal for a generalized claim of “declining agency of a generation.”</w:t>
      </w:r>
    </w:p>
    <w:p w14:paraId="150DBBDD" w14:textId="77777777" w:rsidR="001F0D49" w:rsidRDefault="00000000">
      <w:r>
        <w:t>A more correct formulation is the following:</w:t>
      </w:r>
      <w:r>
        <w:br/>
      </w:r>
      <w:r>
        <w:rPr>
          <w:b/>
          <w:bCs/>
        </w:rPr>
        <w:t>under a certain intergenerational shift, younger cohorts for whom part of the external literature reports a more vulnerable profile across selected proxy signals of autonomy, mental burden, and delayed milestones may become the demographic majority within the active-age window. This creates not a proven defect of human agency, but an intergenerational risk window as an additional conditional modifier of pressure within the wider logic of ATD.</w:t>
      </w:r>
    </w:p>
    <w:p w14:paraId="4AECC03C" w14:textId="77777777" w:rsidR="001F0D49" w:rsidRDefault="00000000">
      <w:pPr>
        <w:pStyle w:val="af"/>
      </w:pPr>
      <w:r>
        <w:t xml:space="preserve">In the present document this line is held as a </w:t>
      </w:r>
      <w:r>
        <w:rPr>
          <w:b/>
          <w:bCs/>
        </w:rPr>
        <w:t>moderately supported and methodologically bounded interpretive layer</w:t>
      </w:r>
      <w:r>
        <w:t>. Its final operationalization, sensitivity to geography and age window, and the disentangling of cohort / period / economic effects require separate empirical development.</w:t>
      </w:r>
    </w:p>
    <w:p w14:paraId="7797AB6A" w14:textId="77777777" w:rsidR="001F0D49" w:rsidRDefault="00000000">
      <w:pPr>
        <w:pStyle w:val="4"/>
      </w:pPr>
      <w:bookmarkStart w:id="56" w:name="X0a140e7aaef0a9b8c563cc66e34359d5f7b631c"/>
      <w:bookmarkEnd w:id="55"/>
      <w:r>
        <w:t>4.1.4. The main stake: human agency under AI-mediated thinking</w:t>
      </w:r>
    </w:p>
    <w:p w14:paraId="1097F7BF" w14:textId="77777777" w:rsidR="001F0D49" w:rsidRDefault="00000000">
      <w:r>
        <w:t>Descartes’ “I think, therefore I am” poses a future-oriented question: if part of thinking is distributed between the brain and an external AI layer, where does the boundary of the “I” lie?</w:t>
      </w:r>
    </w:p>
    <w:p w14:paraId="31082624" w14:textId="77777777" w:rsidR="001F0D49" w:rsidRDefault="00000000">
      <w:pPr>
        <w:pStyle w:val="af"/>
      </w:pPr>
      <w:r>
        <w:t>For engineering thinking, the applied formulation is extremely simple:</w:t>
      </w:r>
    </w:p>
    <w:p w14:paraId="20ABFF0F" w14:textId="77777777" w:rsidR="001F0D49" w:rsidRDefault="00000000">
      <w:pPr>
        <w:numPr>
          <w:ilvl w:val="0"/>
          <w:numId w:val="73"/>
        </w:numPr>
      </w:pPr>
      <w:r>
        <w:t xml:space="preserve">human agency is preserved where </w:t>
      </w:r>
      <w:r>
        <w:rPr>
          <w:b/>
          <w:bCs/>
        </w:rPr>
        <w:t>intention, responsibility, self-regulation, and final decision</w:t>
      </w:r>
      <w:r>
        <w:t xml:space="preserve"> remain;</w:t>
      </w:r>
    </w:p>
    <w:p w14:paraId="01649CF9" w14:textId="77777777" w:rsidR="001F0D49" w:rsidRDefault="00000000">
      <w:pPr>
        <w:numPr>
          <w:ilvl w:val="0"/>
          <w:numId w:val="73"/>
        </w:numPr>
      </w:pPr>
      <w:r>
        <w:t>human agency is strengthened where AI helps holding and discrimination but does not take away the center of decision from the person;</w:t>
      </w:r>
    </w:p>
    <w:p w14:paraId="0BE6AA9E" w14:textId="77777777" w:rsidR="001F0D49" w:rsidRDefault="00000000">
      <w:pPr>
        <w:numPr>
          <w:ilvl w:val="0"/>
          <w:numId w:val="73"/>
        </w:numPr>
      </w:pPr>
      <w:r>
        <w:t>human agency is eroded where AI becomes the source of intention, direction, and ready-made assembly, while the human becomes an interface of execution.</w:t>
      </w:r>
    </w:p>
    <w:p w14:paraId="2B2C1EAE" w14:textId="77777777" w:rsidR="001F0D49" w:rsidRDefault="00000000">
      <w:r>
        <w:t xml:space="preserve">Therefore, for the present document the critical bifurcation runs not between “use AI” and “do not use AI,” but between </w:t>
      </w:r>
      <w:r>
        <w:rPr>
          <w:b/>
          <w:bCs/>
        </w:rPr>
        <w:t>AI cognitive augmentation</w:t>
      </w:r>
      <w:r>
        <w:t xml:space="preserve"> and </w:t>
      </w:r>
      <w:r>
        <w:rPr>
          <w:b/>
          <w:bCs/>
        </w:rPr>
        <w:t>AI cognitive substitution</w:t>
      </w:r>
      <w:r>
        <w:t>. In the first case, the external layer helps withstand the density of the environment. In the second, the same environment is stabilized temporarily at the cost of eroding human agency.</w:t>
      </w:r>
    </w:p>
    <w:p w14:paraId="56A1CFCA" w14:textId="77777777" w:rsidR="001F0D49" w:rsidRDefault="00000000">
      <w:pPr>
        <w:pStyle w:val="af"/>
      </w:pPr>
      <w:r>
        <w:t>This is not philosophy for its own sake. It is a design criterion: how to build an AI layer that compensates for density without displacing the human as the acting subject.</w:t>
      </w:r>
    </w:p>
    <w:p w14:paraId="18AD6106" w14:textId="77777777" w:rsidR="001F0D49" w:rsidRDefault="00000000">
      <w:pPr>
        <w:pStyle w:val="4"/>
      </w:pPr>
      <w:bookmarkStart w:id="57" w:name="X0601ec4ccef6b2aa39819d55db2090cd99dd460"/>
      <w:bookmarkEnd w:id="56"/>
      <w:r>
        <w:lastRenderedPageBreak/>
        <w:t>4.1.5. Alternative interpretations, counterarguments, and criteria of differentiation</w:t>
      </w:r>
    </w:p>
    <w:p w14:paraId="4E6FDCE0" w14:textId="77777777" w:rsidR="001F0D49" w:rsidRDefault="00000000">
      <w:r>
        <w:t>The review in this document is deliberately built as a directional narrative: complexity rises → adaptation fails to keep up → the system enters a regime of cognitive turbulence. But for an analytical document this is not enough: a strong hypothesis must pass through serious alternative interpretations.</w:t>
      </w:r>
    </w:p>
    <w:p w14:paraId="347951F8" w14:textId="77777777" w:rsidR="001F0D49" w:rsidRDefault="00000000">
      <w:pPr>
        <w:pStyle w:val="af"/>
      </w:pPr>
      <w:r>
        <w:t>What follows are not straw men, but genuinely strong lines of objection. Some of them do not refute the proposed frame entirely, but shift the explanation to another level: from the cognitive mechanism to filter design, from the internal limits of the psyche to distributed cognition, from a cognitive limit to the economics of complexity or innovation stagnation. The purpose of this section is therefore not to “fight off” objections, but to show where explanatory regimes diverge.</w:t>
      </w:r>
    </w:p>
    <w:p w14:paraId="2D4A73B5" w14:textId="77777777" w:rsidR="001F0D49" w:rsidRDefault="00000000">
      <w:pPr>
        <w:pStyle w:val="af"/>
      </w:pPr>
      <w:r>
        <w:rPr>
          <w:b/>
          <w:bCs/>
        </w:rPr>
        <w:t>Caveat about historical regime.</w:t>
      </w:r>
      <w:r>
        <w:t xml:space="preserve"> Many counterarguments were formulated on data from epochs in which adaptation mechanisms still coped, on average, with growing complexity. This does not mean they are automatically inapplicable today. On the contrary, it raises the bar for the present hypothesis: if this article claims the regime has changed, it must show that current connectivity, switching speed, context-restoration cost, and the density of micro-decisions differ not only quantitatively, but also in their effect on the system’s interpretive capacity.</w:t>
      </w:r>
    </w:p>
    <w:p w14:paraId="1C45ADB7" w14:textId="77777777" w:rsidR="001F0D49" w:rsidRDefault="00000000">
      <w:pPr>
        <w:pStyle w:val="af"/>
      </w:pPr>
      <w:r>
        <w:rPr>
          <w:b/>
          <w:bCs/>
        </w:rPr>
        <w:t>a) “Not overload, but filter failure” (Shirky, 2008).</w:t>
      </w:r>
    </w:p>
    <w:p w14:paraId="3825F97B" w14:textId="77777777" w:rsidR="001F0D49" w:rsidRDefault="00000000">
      <w:pPr>
        <w:pStyle w:val="af"/>
      </w:pPr>
      <w:r>
        <w:rPr>
          <w:i/>
          <w:iCs/>
        </w:rPr>
        <w:t>Counterargument:</w:t>
      </w:r>
      <w:r>
        <w:t xml:space="preserve"> the problem is not the volume of information as such, but insufficiently good filters. Overload is a failure of organization and interfaces, not a sign of a civilizational limit.</w:t>
      </w:r>
    </w:p>
    <w:p w14:paraId="23E0BFC6" w14:textId="77777777" w:rsidR="001F0D49" w:rsidRDefault="00000000">
      <w:pPr>
        <w:pStyle w:val="af"/>
      </w:pPr>
      <w:r>
        <w:rPr>
          <w:i/>
          <w:iCs/>
        </w:rPr>
        <w:t>Within the present framework:</w:t>
      </w:r>
      <w:r>
        <w:t xml:space="preserve"> this is the strongest counterargument and one that partly supports the proposed frame. If the problem lies largely in filtering, then a significant part of the answer lies in </w:t>
      </w:r>
      <w:r>
        <w:rPr>
          <w:b/>
          <w:bCs/>
        </w:rPr>
        <w:t>cognitive ergonomics, design standards, and reducing the cost of interpretation</w:t>
      </w:r>
      <w:r>
        <w:t>, not only in individual resilience. But this is exactly where the article’s thesis appears: in the current regime, the speed at which complexity increases outpaces the speed at which adequate filters emerge and are deployed at scale. Shirky’s argument therefore does not remove the problem; it helps localize one of its key leverage points more precisely.</w:t>
      </w:r>
    </w:p>
    <w:p w14:paraId="0029CB7A" w14:textId="77777777" w:rsidR="001F0D49" w:rsidRDefault="00000000">
      <w:pPr>
        <w:pStyle w:val="af"/>
      </w:pPr>
      <w:r>
        <w:rPr>
          <w:b/>
          <w:bCs/>
        </w:rPr>
        <w:t>b) The cognitive niche and historical progress (Pinker).</w:t>
      </w:r>
    </w:p>
    <w:p w14:paraId="5E6FB1CE" w14:textId="77777777" w:rsidR="001F0D49" w:rsidRDefault="00000000">
      <w:pPr>
        <w:pStyle w:val="af"/>
      </w:pPr>
      <w:r>
        <w:rPr>
          <w:i/>
          <w:iCs/>
        </w:rPr>
        <w:t>Counterargument:</w:t>
      </w:r>
      <w:r>
        <w:t xml:space="preserve"> humans evolved precisely to work with complexity; the long historical record shows growth in safety, prosperity, education, and cognitive performance. The thesis that we are “approaching a limit” may therefore be just another form of cultural pessimism.</w:t>
      </w:r>
    </w:p>
    <w:p w14:paraId="7E05054C" w14:textId="77777777" w:rsidR="001F0D49" w:rsidRDefault="00000000">
      <w:pPr>
        <w:pStyle w:val="af"/>
      </w:pPr>
      <w:r>
        <w:rPr>
          <w:i/>
          <w:iCs/>
        </w:rPr>
        <w:t>On this account,</w:t>
      </w:r>
      <w:r>
        <w:t xml:space="preserve"> this argument rightly reminds us that humanity has a substantial adaptive reserve, and it would be mistaken to deny it. The article’s hypothesis is not that humans are “too weak” for complexity in general, but that a </w:t>
      </w:r>
      <w:r>
        <w:rPr>
          <w:b/>
          <w:bCs/>
        </w:rPr>
        <w:t>particular environmental regime</w:t>
      </w:r>
      <w:r>
        <w:t xml:space="preserve"> may temporarily make human potential poorly realizable. The cognitive niche requires time for interpretation, stable context, cheap cooperation, and the possibility of building models of the world. When those buffers are systemically compressed, high potential does not guarantee its actual realization. In that sense, Pinker remains an important counterweight to apocalyptic tone, but he does not remove the question of the quality of the present regime.</w:t>
      </w:r>
    </w:p>
    <w:p w14:paraId="21A93E8E" w14:textId="77777777" w:rsidR="001F0D49" w:rsidRDefault="00000000">
      <w:pPr>
        <w:pStyle w:val="af"/>
      </w:pPr>
      <w:r>
        <w:rPr>
          <w:b/>
          <w:bCs/>
        </w:rPr>
        <w:t>c) The extended mind and distributed cognition (Clark &amp; Chalmers, 1998).</w:t>
      </w:r>
    </w:p>
    <w:p w14:paraId="74D1907E" w14:textId="77777777" w:rsidR="001F0D49" w:rsidRDefault="00000000">
      <w:pPr>
        <w:pStyle w:val="af"/>
      </w:pPr>
      <w:r>
        <w:rPr>
          <w:i/>
          <w:iCs/>
        </w:rPr>
        <w:t>Counterargument:</w:t>
      </w:r>
      <w:r>
        <w:t xml:space="preserve"> the very frame “the biological brain is overloaded” may be wrongly posed. Cognition is distributed from the outset between the brain, artifacts, notes, devices, and social systems. The growth of external cognitive supports is therefore not necessarily a symptom of crisis, but may be the normal path of expanding human capability.</w:t>
      </w:r>
    </w:p>
    <w:p w14:paraId="26A139D8" w14:textId="77777777" w:rsidR="001F0D49" w:rsidRDefault="00000000">
      <w:pPr>
        <w:pStyle w:val="af"/>
      </w:pPr>
      <w:r>
        <w:rPr>
          <w:i/>
          <w:iCs/>
        </w:rPr>
        <w:lastRenderedPageBreak/>
        <w:t>Within the present framework,</w:t>
      </w:r>
      <w:r>
        <w:t xml:space="preserve"> this argument is accepted in part, and this is precisely why AI and external tools are not treated automatically as evil. Moreover, the line of </w:t>
      </w:r>
      <w:r>
        <w:rPr>
          <w:b/>
          <w:bCs/>
        </w:rPr>
        <w:t>AI cognitive augmentation</w:t>
      </w:r>
      <w:r>
        <w:t xml:space="preserve"> is logically compatible with the proposed frame, while </w:t>
      </w:r>
      <w:r>
        <w:rPr>
          <w:i/>
          <w:iCs/>
        </w:rPr>
        <w:t>cognitive offloading</w:t>
      </w:r>
      <w:r>
        <w:t xml:space="preserve"> describes one of the mechanisms of transition toward </w:t>
      </w:r>
      <w:r>
        <w:rPr>
          <w:b/>
          <w:bCs/>
        </w:rPr>
        <w:t>AI cognitive substitution</w:t>
      </w:r>
      <w:r>
        <w:t xml:space="preserve">. However, the article adds a criterion that is barely articulated in the classical formulation of the extended mind: </w:t>
      </w:r>
      <w:r>
        <w:rPr>
          <w:b/>
          <w:bCs/>
        </w:rPr>
        <w:t>where does the source of intention, final choice, and responsibility remain?</w:t>
      </w:r>
      <w:r>
        <w:t xml:space="preserve"> If external supports reduce transactional cognitive costs while preserving human agency, that is a stabilizing pathway. If they begin to replace intention and direction of action, what appears is no longer mere extension, but a drift of agency into the external layer.</w:t>
      </w:r>
    </w:p>
    <w:p w14:paraId="1234E7EB" w14:textId="77777777" w:rsidR="001F0D49" w:rsidRDefault="00000000">
      <w:pPr>
        <w:pStyle w:val="af"/>
      </w:pPr>
      <w:r>
        <w:rPr>
          <w:b/>
          <w:bCs/>
        </w:rPr>
        <w:t>d) The historical recurrence of fears of overload (Ann Blair and others).</w:t>
      </w:r>
    </w:p>
    <w:p w14:paraId="12B1CAB0" w14:textId="77777777" w:rsidR="001F0D49" w:rsidRDefault="00000000">
      <w:pPr>
        <w:pStyle w:val="af"/>
      </w:pPr>
      <w:r>
        <w:rPr>
          <w:i/>
          <w:iCs/>
        </w:rPr>
        <w:t>Counterargument:</w:t>
      </w:r>
      <w:r>
        <w:t xml:space="preserve"> complaints about “too much information” have accompanied culture for centuries. Hence the conclusion: current anxiety may be not a new regime, but another version of an old cultural motif.</w:t>
      </w:r>
    </w:p>
    <w:p w14:paraId="49B96AC6" w14:textId="77777777" w:rsidR="001F0D49" w:rsidRDefault="00000000">
      <w:pPr>
        <w:pStyle w:val="af"/>
      </w:pPr>
      <w:r>
        <w:rPr>
          <w:i/>
          <w:iCs/>
        </w:rPr>
        <w:t>On this account,</w:t>
      </w:r>
      <w:r>
        <w:t xml:space="preserve"> this argument is very useful because it protects against false novelty. Indeed, earlier waves of overload matter precisely because they often ended not only in complaints, but in the creation of new mechanisms for the external structuring of knowledge: writing, archives, libraries, educational institutions, and canon-forming institutions. But this argument works only if the current wave is really comparable to previous ones in the density of switching, the number of obligatory micro-decisions, the speed of context change, and the cost of errors. The article’s position is that today we are dealing not with the repetition of an old complaint in new packaging, but with a </w:t>
      </w:r>
      <w:r>
        <w:rPr>
          <w:b/>
          <w:bCs/>
        </w:rPr>
        <w:t>qualitatively denser and faster-changing environment</w:t>
      </w:r>
      <w:r>
        <w:t xml:space="preserve"> in which overload appears not only in subjective narratives, but also in macro-proxies: DALYs, lost working days, rising uncertainty, the cost of breakdowns, and declining cognitive workforce capacity. The question therefore shifts from “is this new or not?” to the more precise one: do existing mechanisms of systematization still manage to convert the growing flow of fragments into a stable and transferable structure? Even so, this counterargument remains an important disciplining constraint: it requires us not to confuse cultural rhetoric with a regime shift.</w:t>
      </w:r>
    </w:p>
    <w:p w14:paraId="6942078B" w14:textId="77777777" w:rsidR="001F0D49" w:rsidRDefault="00000000">
      <w:pPr>
        <w:pStyle w:val="af"/>
      </w:pPr>
      <w:r>
        <w:rPr>
          <w:b/>
          <w:bCs/>
        </w:rPr>
        <w:t>e) Collapse as an economic-energy problem of complexity (Tainter).</w:t>
      </w:r>
    </w:p>
    <w:p w14:paraId="252842A1" w14:textId="77777777" w:rsidR="001F0D49" w:rsidRDefault="00000000">
      <w:pPr>
        <w:pStyle w:val="af"/>
      </w:pPr>
      <w:r>
        <w:rPr>
          <w:i/>
          <w:iCs/>
        </w:rPr>
        <w:t>Counterargument:</w:t>
      </w:r>
      <w:r>
        <w:t xml:space="preserve"> societies do not break down because “the brain can no longer cope,” but because the returns on investment in complexity decline. This is an economic-energy, organizational, and infrastructural logic, not primarily a cognitive one.</w:t>
      </w:r>
    </w:p>
    <w:p w14:paraId="1490D9E1" w14:textId="77777777" w:rsidR="001F0D49" w:rsidRDefault="00000000">
      <w:pPr>
        <w:pStyle w:val="af"/>
      </w:pPr>
      <w:r>
        <w:rPr>
          <w:i/>
          <w:iCs/>
        </w:rPr>
        <w:t>Within the present framework,</w:t>
      </w:r>
      <w:r>
        <w:t xml:space="preserve"> this counterargument is treated not as hostile, but as competing at a different explanatory level. Tainter shows convincingly that complexity has a cost and that systems may enter a regime of diminishing returns. The specificity of the proposed interpretation lies in the claim that part of those diminishing returns may be understood as a </w:t>
      </w:r>
      <w:r>
        <w:rPr>
          <w:b/>
          <w:bCs/>
        </w:rPr>
        <w:t>projection of a cognitive constraint</w:t>
      </w:r>
      <w:r>
        <w:t>: the higher the cost of interpretation, coordination, and cheap context retrieval, the harder it becomes to turn additional complexity into meaningful advantage. In other words, Tainter may describe an upper layer of the mechanism, while ATD attempts to describe a deeper one. But that requires further testing and cannot be regarded as proven by definition.</w:t>
      </w:r>
    </w:p>
    <w:p w14:paraId="140359D8" w14:textId="77777777" w:rsidR="001F0D49" w:rsidRDefault="00000000">
      <w:pPr>
        <w:pStyle w:val="af"/>
      </w:pPr>
      <w:r>
        <w:rPr>
          <w:b/>
          <w:bCs/>
        </w:rPr>
        <w:t>f) “The Great Stagnation”: the problem is not overload, but the exhaustion of easy gains (Cowen).</w:t>
      </w:r>
    </w:p>
    <w:p w14:paraId="5F9A636C" w14:textId="77777777" w:rsidR="001F0D49" w:rsidRDefault="00000000">
      <w:pPr>
        <w:pStyle w:val="af"/>
      </w:pPr>
      <w:r>
        <w:rPr>
          <w:i/>
          <w:iCs/>
        </w:rPr>
        <w:t>Counterargument:</w:t>
      </w:r>
      <w:r>
        <w:t xml:space="preserve"> the contemporary world may appear overloaded simply because the fast and cheap sources of growth have already been exhausted. Slower breakthroughs, rising bureaucracy, and a sense of viscosity would then be explained not by cognitive turbulence, but by the fact that the “low-hanging fruit” is gone and new breakthroughs are objectively more expensive.</w:t>
      </w:r>
    </w:p>
    <w:p w14:paraId="40E509AA" w14:textId="77777777" w:rsidR="001F0D49" w:rsidRDefault="00000000">
      <w:pPr>
        <w:pStyle w:val="af"/>
      </w:pPr>
      <w:r>
        <w:rPr>
          <w:i/>
          <w:iCs/>
        </w:rPr>
        <w:lastRenderedPageBreak/>
        <w:t>On this account,</w:t>
      </w:r>
      <w:r>
        <w:t xml:space="preserve"> this is a serious alternative explanation and cannot be dismissed rhetorically. Indeed, part of the observed viscosity may stem not from overload, but from the structural maturity of techno-systems, institutional saturation, and the exhaustion of easy growth trajectories. However, the article’s hypothesis is that </w:t>
      </w:r>
      <w:r>
        <w:rPr>
          <w:b/>
          <w:bCs/>
        </w:rPr>
        <w:t>growth in cognitive density itself amplifies the effect of stagnation</w:t>
      </w:r>
      <w:r>
        <w:t>: the more expensive interpretation, systematization, and interdisciplinary knowledge assembly become, the harder it is to find and realize new trajectories. “Stagnation” and “overload,” then, are not mutually exclusive explanations, but mutually reinforcing layers of one regime.</w:t>
      </w:r>
    </w:p>
    <w:p w14:paraId="2DB09A06" w14:textId="77777777" w:rsidR="001F0D49" w:rsidRDefault="00000000">
      <w:pPr>
        <w:pStyle w:val="4"/>
      </w:pPr>
      <w:bookmarkStart w:id="58" w:name="Xcb01236597746ed22f3d86ef9beda4db6ffc1c5"/>
      <w:bookmarkEnd w:id="57"/>
      <w:r>
        <w:t>4.1.5.1. What could weaken or refute the proposed interpretation</w:t>
      </w:r>
    </w:p>
    <w:p w14:paraId="6B1194CB" w14:textId="77777777" w:rsidR="001F0D49" w:rsidRDefault="00000000">
      <w:r>
        <w:t xml:space="preserve">To prevent the hypothesis from becoming a self-protective narrative, it is important to state in advance what observations would work </w:t>
      </w:r>
      <w:r>
        <w:rPr>
          <w:b/>
          <w:bCs/>
        </w:rPr>
        <w:t>against</w:t>
      </w:r>
      <w:r>
        <w:t xml:space="preserve"> it.</w:t>
      </w:r>
    </w:p>
    <w:p w14:paraId="1C862DEE" w14:textId="77777777" w:rsidR="001F0D49" w:rsidRDefault="00000000">
      <w:pPr>
        <w:pStyle w:val="af"/>
      </w:pPr>
      <w:r>
        <w:t>The proposed frame would be substantially weakened if the data were to stably show the following:</w:t>
      </w:r>
    </w:p>
    <w:p w14:paraId="629CB270" w14:textId="77777777" w:rsidR="001F0D49" w:rsidRDefault="00000000">
      <w:pPr>
        <w:numPr>
          <w:ilvl w:val="0"/>
          <w:numId w:val="74"/>
        </w:numPr>
      </w:pPr>
      <w:r>
        <w:rPr>
          <w:b/>
          <w:bCs/>
        </w:rPr>
        <w:t>Growth in CDI is not accompanied by a deterioration of interpretive capacity.</w:t>
      </w:r>
      <w:r>
        <w:t xml:space="preserve"> If, as the number of contexts, switches, and signal flows increases, indicators of decision quality, attentional stability, causal modeling ability, and macro-proxies of cognitive workforce capacity do not deteriorate, but remain stable or improve, the central ATD mechanism would need revision.</w:t>
      </w:r>
    </w:p>
    <w:p w14:paraId="30766E9F" w14:textId="77777777" w:rsidR="001F0D49" w:rsidRDefault="00000000">
      <w:pPr>
        <w:numPr>
          <w:ilvl w:val="0"/>
          <w:numId w:val="74"/>
        </w:numPr>
      </w:pPr>
      <w:r>
        <w:rPr>
          <w:b/>
          <w:bCs/>
        </w:rPr>
        <w:t>New tools systematically increase human agency without a hidden price.</w:t>
      </w:r>
      <w:r>
        <w:t xml:space="preserve"> If AI cognitive augmentation and external cognitive supports sustainably reduce cognitive costs, improve decision quality, and do not lead to a drift of intention, responsibility, and independent navigation capacity, then the negative scenario of human-agency erosion is overstated.</w:t>
      </w:r>
    </w:p>
    <w:p w14:paraId="4A7E8DDF" w14:textId="77777777" w:rsidR="001F0D49" w:rsidRDefault="00000000">
      <w:pPr>
        <w:numPr>
          <w:ilvl w:val="0"/>
          <w:numId w:val="74"/>
        </w:numPr>
      </w:pPr>
      <w:r>
        <w:rPr>
          <w:b/>
          <w:bCs/>
        </w:rPr>
        <w:t>Growth in SDI_obs is explained almost entirely by external factors unrelated to decision quality.</w:t>
      </w:r>
      <w:r>
        <w:t xml:space="preserve"> If environmental turbulence is statistically almost unrelated to reactivity, interpretive errors, and internal coordination failures, then the proposed causal chain “CDI → reactivity → SDI_obs” overestimates the internal contribution of the cognitive mechanism.</w:t>
      </w:r>
    </w:p>
    <w:p w14:paraId="7415821E" w14:textId="77777777" w:rsidR="001F0D49" w:rsidRDefault="00000000">
      <w:pPr>
        <w:numPr>
          <w:ilvl w:val="0"/>
          <w:numId w:val="74"/>
        </w:numPr>
      </w:pPr>
      <w:r>
        <w:rPr>
          <w:b/>
          <w:bCs/>
        </w:rPr>
        <w:t>Historical and cross-country comparisons show rapid and cheap adaptation to new densities.</w:t>
      </w:r>
      <w:r>
        <w:t xml:space="preserve"> If institutions and cultures turn out to develop new norms, filters, and forms of cooperation without noticeable delay, successfully compensating for the growth of environmental density, then the thesis of approaching the adaptation threshold is too strong.</w:t>
      </w:r>
    </w:p>
    <w:p w14:paraId="782DBE7E" w14:textId="77777777" w:rsidR="001F0D49" w:rsidRDefault="00000000">
      <w:pPr>
        <w:numPr>
          <w:ilvl w:val="0"/>
          <w:numId w:val="74"/>
        </w:numPr>
      </w:pPr>
      <w:r>
        <w:rPr>
          <w:b/>
          <w:bCs/>
        </w:rPr>
        <w:t>The problem is better described by other variables.</w:t>
      </w:r>
      <w:r>
        <w:t xml:space="preserve"> If alternative models — for example, through energy constraints, institutional rent, monopolization, demography, or innovation stagnation — explain the observed data better and with fewer assumptions than the cognitive frame of ATD, priority should be given to them.</w:t>
      </w:r>
    </w:p>
    <w:p w14:paraId="0DF1E2E2" w14:textId="77777777" w:rsidR="001F0D49" w:rsidRDefault="00000000">
      <w:r>
        <w:t>This section is methodologically important: ATD does not claim to provide the final proof of a single correct causal model. It offers a working interdisciplinary assembly that should prevail not by rhetoric, but by explanatory power, design usefulness, and the ability to withstand comparison with competing frames.</w:t>
      </w:r>
    </w:p>
    <w:p w14:paraId="1399BC5D" w14:textId="77777777" w:rsidR="001F0D49" w:rsidRDefault="00000000">
      <w:pPr>
        <w:pStyle w:val="31"/>
      </w:pPr>
      <w:bookmarkStart w:id="59" w:name="what-this-means-in-practice"/>
      <w:bookmarkEnd w:id="51"/>
      <w:bookmarkEnd w:id="58"/>
      <w:r>
        <w:t>4.2. What this means in practice</w:t>
      </w:r>
    </w:p>
    <w:p w14:paraId="0BDC0179" w14:textId="77777777" w:rsidR="001F0D49" w:rsidRDefault="00000000">
      <w:r>
        <w:t>This review yields a diagnosis — but a diagnosis from which a concrete action frame follows.</w:t>
      </w:r>
    </w:p>
    <w:p w14:paraId="12312F97" w14:textId="77777777" w:rsidR="001F0D49" w:rsidRDefault="00000000">
      <w:pPr>
        <w:pStyle w:val="af"/>
      </w:pPr>
      <w:r>
        <w:rPr>
          <w:b/>
          <w:bCs/>
        </w:rPr>
        <w:lastRenderedPageBreak/>
        <w:t>First:</w:t>
      </w:r>
      <w:r>
        <w:t xml:space="preserve"> CDI/SDI/CWCI should be measured on representative proxies and compared across regions/sectors, so that the invisible trend becomes visible.</w:t>
      </w:r>
    </w:p>
    <w:p w14:paraId="03FB62EA" w14:textId="77777777" w:rsidR="001F0D49" w:rsidRDefault="00000000">
      <w:pPr>
        <w:pStyle w:val="af"/>
      </w:pPr>
      <w:r>
        <w:rPr>
          <w:b/>
          <w:bCs/>
        </w:rPr>
        <w:t>Second:</w:t>
      </w:r>
      <w:r>
        <w:t xml:space="preserve"> technologies and processes should be designed so as to reduce cognitive density, the structuring deficit, and the accumulation of systematization debt, rather than merely to “accelerate.” Here the literature already points in a direction: the problem of information overload is to a significant extent a problem of </w:t>
      </w:r>
      <w:r>
        <w:rPr>
          <w:i/>
          <w:iCs/>
        </w:rPr>
        <w:t>filter design</w:t>
      </w:r>
      <w:r>
        <w:t>, not an unavoidable limit (cf. Shirky’s argument about “filter failure”). Standards of cognitive ergonomics (ISO 10075, NASA TLX) provide instruments for measuring mental load; the task is to transfer them from aviation and industrial safety into the design of digital products and work processes.</w:t>
      </w:r>
    </w:p>
    <w:p w14:paraId="5E0E612E" w14:textId="77777777" w:rsidR="001F0D49" w:rsidRDefault="00000000">
      <w:pPr>
        <w:pStyle w:val="af"/>
      </w:pPr>
      <w:r>
        <w:rPr>
          <w:b/>
          <w:bCs/>
        </w:rPr>
        <w:t>Third:</w:t>
      </w:r>
      <w:r>
        <w:t xml:space="preserve"> individual and organizational adaptation should be developed — self-regulation, systems thinking, practices for reducing cognitive transaction costs, and external packaging that does not replace internal holding. These are not “productivity tips,” but the cultivation of cognitive capacity: the ability to sustain complexity without overheating and not to lose the working horizon under environmental pressure. The literature on </w:t>
      </w:r>
      <w:r>
        <w:rPr>
          <w:i/>
          <w:iCs/>
        </w:rPr>
        <w:t>cognitive offloading</w:t>
      </w:r>
      <w:r>
        <w:t xml:space="preserve"> (Risko &amp; Gilbert, 2016), metacognition, and self-regulated learning suggests that this capacity is </w:t>
      </w:r>
      <w:r>
        <w:rPr>
          <w:i/>
          <w:iCs/>
        </w:rPr>
        <w:t>trainable</w:t>
      </w:r>
      <w:r>
        <w:t xml:space="preserve"> — but only through deliberate practice, not passive delegation.</w:t>
      </w:r>
    </w:p>
    <w:p w14:paraId="68B30810" w14:textId="77777777" w:rsidR="001F0D49" w:rsidRDefault="00000000">
      <w:pPr>
        <w:pStyle w:val="af"/>
      </w:pPr>
      <w:r>
        <w:rPr>
          <w:b/>
          <w:bCs/>
        </w:rPr>
        <w:t>Fourth:</w:t>
      </w:r>
      <w:r>
        <w:t xml:space="preserve"> AI layers should be introduced as </w:t>
      </w:r>
      <w:r>
        <w:rPr>
          <w:b/>
          <w:bCs/>
        </w:rPr>
        <w:t>AI cognitive augmentation</w:t>
      </w:r>
      <w:r>
        <w:t xml:space="preserve">, not as </w:t>
      </w:r>
      <w:r>
        <w:rPr>
          <w:b/>
          <w:bCs/>
        </w:rPr>
        <w:t>AI cognitive substitution</w:t>
      </w:r>
      <w:r>
        <w:t xml:space="preserve"> — otherwise stabilization may turn into the erosion of human agency and autonomy.</w:t>
      </w:r>
    </w:p>
    <w:p w14:paraId="37492C4C" w14:textId="77777777" w:rsidR="001F0D49" w:rsidRDefault="00000000">
      <w:pPr>
        <w:pStyle w:val="af"/>
      </w:pPr>
      <w:r>
        <w:t xml:space="preserve">The problem described in this review is solved in at least two directions at once: </w:t>
      </w:r>
      <w:r>
        <w:rPr>
          <w:i/>
          <w:iCs/>
        </w:rPr>
        <w:t>redesign of the environment</w:t>
      </w:r>
      <w:r>
        <w:t xml:space="preserve"> (design, standards, cognitive ergonomics) and </w:t>
      </w:r>
      <w:r>
        <w:rPr>
          <w:i/>
          <w:iCs/>
        </w:rPr>
        <w:t>development of the human being</w:t>
      </w:r>
      <w:r>
        <w:t xml:space="preserve"> (self-regulation, thinking, cooperation practices). Neither is sufficient on its own. Both are concrete engineering and pedagogical tasks, not calls for caution.</w:t>
      </w:r>
    </w:p>
    <w:p w14:paraId="0D353B53" w14:textId="77777777" w:rsidR="001F0D49" w:rsidRDefault="00000000">
      <w:pPr>
        <w:pStyle w:val="af"/>
      </w:pPr>
      <w:r>
        <w:t xml:space="preserve">For governmental, institutional, and managerial reading, one more external bridge matters: the ATD problem appears not only as a cognitive and organizational issue, but also as an </w:t>
      </w:r>
      <w:r>
        <w:rPr>
          <w:b/>
          <w:bCs/>
        </w:rPr>
        <w:t>economically significant layer of systemic coordination and context losses</w:t>
      </w:r>
      <w:r>
        <w:t xml:space="preserve">. This should not be read as a precise global accounting metric, but as a </w:t>
      </w:r>
      <w:r>
        <w:rPr>
          <w:b/>
          <w:bCs/>
        </w:rPr>
        <w:t>preliminary order-of-magnitude estimate</w:t>
      </w:r>
      <w:r>
        <w:t xml:space="preserve"> grounded in a convergent layer of independent data and proxy signals. At the current state of the evidence layer, the systemic coordination and context losses described in ATD can already be </w:t>
      </w:r>
      <w:r>
        <w:rPr>
          <w:b/>
          <w:bCs/>
        </w:rPr>
        <w:t>conservatively estimated at no less than $2+ trillion per year</w:t>
      </w:r>
      <w:r>
        <w:t xml:space="preserve"> on a global level. With a broader inclusion of loss channels, the </w:t>
      </w:r>
      <w:r>
        <w:rPr>
          <w:b/>
          <w:bCs/>
        </w:rPr>
        <w:t>extended plausibility range</w:t>
      </w:r>
      <w:r>
        <w:t xml:space="preserve"> reaches </w:t>
      </w:r>
      <w:r>
        <w:rPr>
          <w:b/>
          <w:bCs/>
        </w:rPr>
        <w:t>up to $5+ trillion per year</w:t>
      </w:r>
      <w:r>
        <w:t xml:space="preserve">. The detailed logic, assumptions, and limitations are provided in </w:t>
      </w:r>
      <w:r>
        <w:rPr>
          <w:b/>
          <w:bCs/>
        </w:rPr>
        <w:t>Appendix D</w:t>
      </w:r>
      <w:r>
        <w:t>.</w:t>
      </w:r>
    </w:p>
    <w:p w14:paraId="4E319F37" w14:textId="77777777" w:rsidR="001F0D49" w:rsidRDefault="00000000">
      <w:pPr>
        <w:pStyle w:val="af"/>
      </w:pPr>
      <w:r>
        <w:t xml:space="preserve">At the same time, the present document deliberately remains at the level of </w:t>
      </w:r>
      <w:r>
        <w:rPr>
          <w:b/>
          <w:bCs/>
        </w:rPr>
        <w:t>analytical registration of trends, indicators, and working hypotheses</w:t>
      </w:r>
      <w:r>
        <w:t>. A more systematic assembly of these theses — including types of stabilization, drift of human agency, the temporal sensitivity of trajectory reversal, and broader civilizational conclusions — lies beyond the scope of the present article.</w:t>
      </w:r>
    </w:p>
    <w:p w14:paraId="60B5E66F" w14:textId="77777777" w:rsidR="001F0D49" w:rsidRDefault="00000000">
      <w:pPr>
        <w:pStyle w:val="31"/>
      </w:pPr>
      <w:bookmarkStart w:id="60" w:name="applicability-and-limits-note"/>
      <w:bookmarkEnd w:id="59"/>
      <w:r>
        <w:t>4.3. Applicability and limits note</w:t>
      </w:r>
    </w:p>
    <w:p w14:paraId="3D5607EA" w14:textId="77777777" w:rsidR="001F0D49" w:rsidRDefault="00000000">
      <w:pPr>
        <w:pStyle w:val="4"/>
      </w:pPr>
      <w:bookmarkStart w:id="61" w:name="where-atd-is-already-applicable"/>
      <w:r>
        <w:t>4.3.1. Where ATD is already applicable</w:t>
      </w:r>
    </w:p>
    <w:p w14:paraId="287A82D0" w14:textId="77777777" w:rsidR="001F0D49" w:rsidRDefault="00000000">
      <w:r>
        <w:t>ATD is already appropriate as:</w:t>
      </w:r>
    </w:p>
    <w:p w14:paraId="7EF92121" w14:textId="77777777" w:rsidR="001F0D49" w:rsidRDefault="00000000">
      <w:pPr>
        <w:numPr>
          <w:ilvl w:val="0"/>
          <w:numId w:val="75"/>
        </w:numPr>
      </w:pPr>
      <w:r>
        <w:t>an analytical framework for reading the risk of adaptive overload;</w:t>
      </w:r>
    </w:p>
    <w:p w14:paraId="3678D857" w14:textId="77777777" w:rsidR="001F0D49" w:rsidRDefault="00000000">
      <w:pPr>
        <w:numPr>
          <w:ilvl w:val="0"/>
          <w:numId w:val="75"/>
        </w:numPr>
      </w:pPr>
      <w:r>
        <w:t>a bridge between fragmentation / overload environments and downstream design;</w:t>
      </w:r>
    </w:p>
    <w:p w14:paraId="55104411" w14:textId="77777777" w:rsidR="001F0D49" w:rsidRDefault="00000000">
      <w:pPr>
        <w:numPr>
          <w:ilvl w:val="0"/>
          <w:numId w:val="75"/>
        </w:numPr>
      </w:pPr>
      <w:r>
        <w:t>a source of pilot logic for Human-Native interventions and measurement design;</w:t>
      </w:r>
    </w:p>
    <w:p w14:paraId="6C101E6F" w14:textId="77777777" w:rsidR="001F0D49" w:rsidRDefault="00000000">
      <w:pPr>
        <w:numPr>
          <w:ilvl w:val="0"/>
          <w:numId w:val="75"/>
        </w:numPr>
      </w:pPr>
      <w:r>
        <w:t>a language for discussing CDI, SysDebt, context fracture, and related proxy mechanisms.</w:t>
      </w:r>
    </w:p>
    <w:p w14:paraId="416C757F" w14:textId="77777777" w:rsidR="001F0D49" w:rsidRDefault="00000000">
      <w:pPr>
        <w:pStyle w:val="4"/>
      </w:pPr>
      <w:bookmarkStart w:id="62" w:name="where-atd-should-not-be-overstated"/>
      <w:bookmarkEnd w:id="61"/>
      <w:r>
        <w:lastRenderedPageBreak/>
        <w:t>4.3.2. Where ATD should not be overstated</w:t>
      </w:r>
    </w:p>
    <w:p w14:paraId="78E455A3" w14:textId="77777777" w:rsidR="001F0D49" w:rsidRDefault="00000000">
      <w:r>
        <w:t>ATD should not be read as:</w:t>
      </w:r>
    </w:p>
    <w:p w14:paraId="6AB63983" w14:textId="77777777" w:rsidR="001F0D49" w:rsidRDefault="00000000">
      <w:pPr>
        <w:numPr>
          <w:ilvl w:val="0"/>
          <w:numId w:val="76"/>
        </w:numPr>
      </w:pPr>
      <w:r>
        <w:t>a closed quantitative theory;</w:t>
      </w:r>
    </w:p>
    <w:p w14:paraId="6BC9349F" w14:textId="77777777" w:rsidR="001F0D49" w:rsidRDefault="00000000">
      <w:pPr>
        <w:numPr>
          <w:ilvl w:val="0"/>
          <w:numId w:val="76"/>
        </w:numPr>
      </w:pPr>
      <w:r>
        <w:t>an already calibrated macro-model;</w:t>
      </w:r>
    </w:p>
    <w:p w14:paraId="20F4B665" w14:textId="77777777" w:rsidR="001F0D49" w:rsidRDefault="00000000">
      <w:pPr>
        <w:numPr>
          <w:ilvl w:val="0"/>
          <w:numId w:val="76"/>
        </w:numPr>
      </w:pPr>
      <w:r>
        <w:t>a finished validated index for CDI;</w:t>
      </w:r>
    </w:p>
    <w:p w14:paraId="6705F344" w14:textId="77777777" w:rsidR="001F0D49" w:rsidRDefault="00000000">
      <w:pPr>
        <w:numPr>
          <w:ilvl w:val="0"/>
          <w:numId w:val="76"/>
        </w:numPr>
      </w:pPr>
      <w:r>
        <w:t>a finished metric system for SysDebt;</w:t>
      </w:r>
    </w:p>
    <w:p w14:paraId="6A5268D8" w14:textId="77777777" w:rsidR="001F0D49" w:rsidRDefault="00000000">
      <w:pPr>
        <w:numPr>
          <w:ilvl w:val="0"/>
          <w:numId w:val="76"/>
        </w:numPr>
      </w:pPr>
      <w:r>
        <w:t>proof that all downstream cascades are equally established;</w:t>
      </w:r>
    </w:p>
    <w:p w14:paraId="768D0AF2" w14:textId="77777777" w:rsidR="001F0D49" w:rsidRDefault="00000000">
      <w:pPr>
        <w:numPr>
          <w:ilvl w:val="0"/>
          <w:numId w:val="76"/>
        </w:numPr>
      </w:pPr>
      <w:r>
        <w:t>a direct measurement of human agency or “agency decline” through a single proxy layer;</w:t>
      </w:r>
    </w:p>
    <w:p w14:paraId="1BE9D602" w14:textId="77777777" w:rsidR="001F0D49" w:rsidRDefault="00000000">
      <w:pPr>
        <w:numPr>
          <w:ilvl w:val="0"/>
          <w:numId w:val="76"/>
        </w:numPr>
      </w:pPr>
      <w:r>
        <w:t>an already validated measurement system for the ATD model as a whole.</w:t>
      </w:r>
    </w:p>
    <w:p w14:paraId="74C3DA5F" w14:textId="77777777" w:rsidR="001F0D49" w:rsidRDefault="00000000">
      <w:pPr>
        <w:pStyle w:val="4"/>
      </w:pPr>
      <w:bookmarkStart w:id="63" w:name="practical-reading-mode"/>
      <w:bookmarkEnd w:id="62"/>
      <w:r>
        <w:t>4.3.3. Practical reading mode</w:t>
      </w:r>
    </w:p>
    <w:p w14:paraId="189D71F0" w14:textId="77777777" w:rsidR="001F0D49" w:rsidRDefault="00000000">
      <w:r>
        <w:t xml:space="preserve">At the current stage, ATD should be read as a </w:t>
      </w:r>
      <w:r>
        <w:rPr>
          <w:b/>
          <w:bCs/>
        </w:rPr>
        <w:t>disciplined analytical research framework</w:t>
      </w:r>
      <w:r>
        <w:t>:</w:t>
      </w:r>
    </w:p>
    <w:p w14:paraId="6B28CEBD" w14:textId="77777777" w:rsidR="001F0D49" w:rsidRDefault="00000000">
      <w:pPr>
        <w:numPr>
          <w:ilvl w:val="0"/>
          <w:numId w:val="77"/>
        </w:numPr>
      </w:pPr>
      <w:r>
        <w:t>with strong local evidence for parts of the mechanism;</w:t>
      </w:r>
    </w:p>
    <w:p w14:paraId="17901E9A" w14:textId="77777777" w:rsidR="001F0D49" w:rsidRDefault="00000000">
      <w:pPr>
        <w:numPr>
          <w:ilvl w:val="0"/>
          <w:numId w:val="77"/>
        </w:numPr>
      </w:pPr>
      <w:r>
        <w:t>with proxy logic and interpretive synthesis at higher levels;</w:t>
      </w:r>
    </w:p>
    <w:p w14:paraId="0EF2A9D4" w14:textId="77777777" w:rsidR="001F0D49" w:rsidRDefault="00000000">
      <w:pPr>
        <w:numPr>
          <w:ilvl w:val="0"/>
          <w:numId w:val="77"/>
        </w:numPr>
      </w:pPr>
      <w:r>
        <w:t>with legitimate downstream value for pilots and design, but without the status of a finished closed causal model;</w:t>
      </w:r>
    </w:p>
    <w:p w14:paraId="0E69E01E" w14:textId="77777777" w:rsidR="001F0D49" w:rsidRDefault="00000000">
      <w:pPr>
        <w:numPr>
          <w:ilvl w:val="0"/>
          <w:numId w:val="77"/>
        </w:numPr>
      </w:pPr>
      <w:r>
        <w:t xml:space="preserve">with an explicit distinction between </w:t>
      </w:r>
      <w:r>
        <w:rPr>
          <w:b/>
          <w:bCs/>
        </w:rPr>
        <w:t>demographic anchors</w:t>
      </w:r>
      <w:r>
        <w:t xml:space="preserve">, </w:t>
      </w:r>
      <w:r>
        <w:rPr>
          <w:b/>
          <w:bCs/>
        </w:rPr>
        <w:t>proxy bundles</w:t>
      </w:r>
      <w:r>
        <w:t xml:space="preserve">, and </w:t>
      </w:r>
      <w:r>
        <w:rPr>
          <w:b/>
          <w:bCs/>
        </w:rPr>
        <w:t>model-theoretic synthesis</w:t>
      </w:r>
      <w:r>
        <w:t xml:space="preserve"> whenever the document moves into its most sensitive interpretive layers.</w:t>
      </w:r>
    </w:p>
    <w:p w14:paraId="0EC797EC" w14:textId="77777777" w:rsidR="001F0D49" w:rsidRDefault="00000000">
      <w:pPr>
        <w:pStyle w:val="21"/>
      </w:pPr>
      <w:bookmarkStart w:id="64" w:name="conclusions"/>
      <w:bookmarkStart w:id="65" w:name="_Toc226514445"/>
      <w:bookmarkEnd w:id="49"/>
      <w:bookmarkEnd w:id="60"/>
      <w:bookmarkEnd w:id="63"/>
      <w:r>
        <w:t>5. Conclusions</w:t>
      </w:r>
      <w:bookmarkEnd w:id="65"/>
    </w:p>
    <w:p w14:paraId="1A1BF4FB" w14:textId="77777777" w:rsidR="001F0D49" w:rsidRDefault="00000000">
      <w:r>
        <w:t xml:space="preserve">The central position advanced by this analytical document is the following: the shocks, overload, burnout, fragmentation, and growing dependence on external cognitive supports observed today can be understood as different projections of a single regime shift in which </w:t>
      </w:r>
      <w:r>
        <w:rPr>
          <w:b/>
          <w:bCs/>
        </w:rPr>
        <w:t>the cognitive density of the environment is growing faster than the available adaptive cognitive capacity of people and institutions</w:t>
      </w:r>
      <w:r>
        <w:t>.</w:t>
      </w:r>
    </w:p>
    <w:p w14:paraId="3D91F629" w14:textId="77777777" w:rsidR="001F0D49" w:rsidRDefault="00000000">
      <w:pPr>
        <w:pStyle w:val="af"/>
      </w:pPr>
      <w:r>
        <w:t xml:space="preserve">At the level of currently available data, the document does not prove a single final causal model. However, it shows that the linkage </w:t>
      </w:r>
      <w:r>
        <w:rPr>
          <w:b/>
          <w:bCs/>
        </w:rPr>
        <w:t>CDI → structuring deficit → systematization debt → compression of the working horizon / reactivity / decline in cognitive workforce capacity → growth of fragility</w:t>
      </w:r>
      <w:r>
        <w:t xml:space="preserve"> is a sufficiently strong working frame for further empirical assembly. The practical implication is that the response lies simultaneously in two planes: </w:t>
      </w:r>
      <w:r>
        <w:rPr>
          <w:b/>
          <w:bCs/>
        </w:rPr>
        <w:t>redesign of the environment and processes</w:t>
      </w:r>
      <w:r>
        <w:t xml:space="preserve"> and </w:t>
      </w:r>
      <w:r>
        <w:rPr>
          <w:b/>
          <w:bCs/>
        </w:rPr>
        <w:t>development of human agency and cognitive capacity</w:t>
      </w:r>
      <w:r>
        <w:t>.</w:t>
      </w:r>
    </w:p>
    <w:p w14:paraId="239D467B" w14:textId="77777777" w:rsidR="001F0D49" w:rsidRDefault="00000000">
      <w:pPr>
        <w:pStyle w:val="af"/>
      </w:pPr>
      <w:r>
        <w:t xml:space="preserve">Within the corpus cascade, this document performs a strictly defined function: it links the cognitive model </w:t>
      </w:r>
      <w:r>
        <w:rPr>
          <w:b/>
          <w:bCs/>
        </w:rPr>
        <w:t>THM</w:t>
      </w:r>
      <w:r>
        <w:t xml:space="preserve"> with observable environmental turbulence and in this way prepares the ground for the subsequent applied, verification, and design layers of the corpus.</w:t>
      </w:r>
    </w:p>
    <w:p w14:paraId="63A5B060" w14:textId="77777777" w:rsidR="001F0D49" w:rsidRDefault="00000000">
      <w:pPr>
        <w:pStyle w:val="21"/>
      </w:pPr>
      <w:bookmarkStart w:id="66" w:name="author-contributions"/>
      <w:bookmarkStart w:id="67" w:name="_Toc226514446"/>
      <w:bookmarkEnd w:id="64"/>
      <w:r>
        <w:t>Author contributions</w:t>
      </w:r>
      <w:bookmarkEnd w:id="67"/>
    </w:p>
    <w:p w14:paraId="666C4EF4" w14:textId="77777777" w:rsidR="001F0D49" w:rsidRDefault="00000000">
      <w:r>
        <w:t xml:space="preserve">Conceptualization, methodology, formal analysis, source investigation, synthesis of the causal model, visual logic, drafting of the original text, editing, and final verification: </w:t>
      </w:r>
      <w:r>
        <w:rPr>
          <w:b/>
          <w:bCs/>
        </w:rPr>
        <w:t>A. Y.</w:t>
      </w:r>
      <w:r>
        <w:t xml:space="preserve"> The author read and approved the final manuscript.</w:t>
      </w:r>
    </w:p>
    <w:p w14:paraId="641DDF0C" w14:textId="77777777" w:rsidR="001F0D49" w:rsidRDefault="00000000">
      <w:pPr>
        <w:pStyle w:val="21"/>
      </w:pPr>
      <w:bookmarkStart w:id="68" w:name="funding"/>
      <w:bookmarkStart w:id="69" w:name="_Toc226514447"/>
      <w:bookmarkEnd w:id="66"/>
      <w:r>
        <w:lastRenderedPageBreak/>
        <w:t>Funding</w:t>
      </w:r>
      <w:bookmarkEnd w:id="69"/>
    </w:p>
    <w:p w14:paraId="6902CB97" w14:textId="77777777" w:rsidR="001F0D49" w:rsidRDefault="00000000">
      <w:r>
        <w:t>This research received no external funding.</w:t>
      </w:r>
    </w:p>
    <w:p w14:paraId="2B493FD7" w14:textId="77777777" w:rsidR="001F0D49" w:rsidRDefault="00000000">
      <w:pPr>
        <w:pStyle w:val="21"/>
      </w:pPr>
      <w:bookmarkStart w:id="70" w:name="institutional-review-board-statement"/>
      <w:bookmarkStart w:id="71" w:name="_Toc226514448"/>
      <w:bookmarkEnd w:id="68"/>
      <w:r>
        <w:t>Institutional Review Board Statement</w:t>
      </w:r>
      <w:bookmarkEnd w:id="71"/>
    </w:p>
    <w:p w14:paraId="3422E8BB" w14:textId="77777777" w:rsidR="001F0D49" w:rsidRDefault="00000000">
      <w:r>
        <w:t>Not applicable. The work does not involve research with human participants, animals, or interventions requiring ethics review.</w:t>
      </w:r>
    </w:p>
    <w:p w14:paraId="3A472EAB" w14:textId="77777777" w:rsidR="001F0D49" w:rsidRDefault="00000000">
      <w:pPr>
        <w:pStyle w:val="21"/>
      </w:pPr>
      <w:bookmarkStart w:id="72" w:name="informed-consent-statement"/>
      <w:bookmarkStart w:id="73" w:name="_Toc226514449"/>
      <w:bookmarkEnd w:id="70"/>
      <w:r>
        <w:t>Informed Consent Statement</w:t>
      </w:r>
      <w:bookmarkEnd w:id="73"/>
    </w:p>
    <w:p w14:paraId="57D61CB4" w14:textId="77777777" w:rsidR="001F0D49" w:rsidRDefault="00000000">
      <w:r>
        <w:t>Not applicable.</w:t>
      </w:r>
    </w:p>
    <w:p w14:paraId="4C180346" w14:textId="77777777" w:rsidR="001F0D49" w:rsidRDefault="00000000">
      <w:pPr>
        <w:pStyle w:val="21"/>
      </w:pPr>
      <w:bookmarkStart w:id="74" w:name="data-availability-statement"/>
      <w:bookmarkStart w:id="75" w:name="_Toc226514450"/>
      <w:bookmarkEnd w:id="72"/>
      <w:r>
        <w:t>Data Availability Statement</w:t>
      </w:r>
      <w:bookmarkEnd w:id="75"/>
    </w:p>
    <w:p w14:paraId="5042851F" w14:textId="77777777" w:rsidR="001F0D49" w:rsidRDefault="00000000">
      <w:r>
        <w:t>No new experimental data were created for this article. In the current public release of ATD, the reference and evidentiary layer is organized through the appendices and the related machine-readable files. This version is an assembled publication build prepared for convenience of reading and verification: within it, the main text and the appendices function together as parts of one material, while the appendices, registers, and CSV files may also be used separately as independent supporting materials.</w:t>
      </w:r>
    </w:p>
    <w:p w14:paraId="22F9D74C" w14:textId="77777777" w:rsidR="001F0D49" w:rsidRDefault="00000000">
      <w:pPr>
        <w:pStyle w:val="21"/>
      </w:pPr>
      <w:bookmarkStart w:id="76" w:name="use-of-ai-tools"/>
      <w:bookmarkStart w:id="77" w:name="_Toc226514451"/>
      <w:bookmarkEnd w:id="74"/>
      <w:r>
        <w:t>Use of AI tools</w:t>
      </w:r>
      <w:bookmarkEnd w:id="77"/>
    </w:p>
    <w:p w14:paraId="65C53AB3" w14:textId="77777777" w:rsidR="001F0D49" w:rsidRDefault="00000000">
      <w:r>
        <w:t>AI-supported tools were used during the preparation and editing of the manuscript for structural, linguistic, and editorial refinement. The author performed the substantive verification, selected the formulations, checked the logic of the argument, and bears full responsibility for the final text of the manuscript.</w:t>
      </w:r>
    </w:p>
    <w:p w14:paraId="5A69D8CA" w14:textId="77777777" w:rsidR="001F0D49" w:rsidRDefault="00000000">
      <w:pPr>
        <w:pStyle w:val="21"/>
      </w:pPr>
      <w:bookmarkStart w:id="78" w:name="acknowledgements"/>
      <w:bookmarkStart w:id="79" w:name="_Toc226514452"/>
      <w:bookmarkEnd w:id="76"/>
      <w:r>
        <w:t>Acknowledgements</w:t>
      </w:r>
      <w:bookmarkEnd w:id="79"/>
    </w:p>
    <w:p w14:paraId="29AEAF93" w14:textId="77777777" w:rsidR="001F0D49" w:rsidRDefault="00000000">
      <w:r>
        <w:t>The author thanks Sergey N. Shestirublev, independent economist-auditor and YuLab researcher, for expert consultations on macroeconomic indicators; Ksenia A. Savina, marketer, business psychologist, and lead expert at the “Different Meanings” consulting center, for systematic feedback on the early drafts; Andrey A. Shirokov, analyst at YuLab, for participating in the verification of the bibliography and sources for the evidence registry; Nikolai A. Lukyanov, academic coordinator at YuLab, for assistance with final proofreading, academic formatting, and editorial review; and Polina S. Yudina, General Director of CoLaba42 LLC, and Oleg A. Kovalenko, Director of ANO “Digital Region. Lipetsk”, for infrastructural support during the work.</w:t>
      </w:r>
    </w:p>
    <w:p w14:paraId="2D926D59" w14:textId="77777777" w:rsidR="001F0D49" w:rsidRDefault="00000000">
      <w:pPr>
        <w:pStyle w:val="af"/>
      </w:pPr>
      <w:r>
        <w:t>The consultations, editorial assistance, and infrastructural support mentioned above do not imply co-authorship and do not automatically mean that the persons named agree with all of the document’s theses.</w:t>
      </w:r>
    </w:p>
    <w:p w14:paraId="6579CC17" w14:textId="77777777" w:rsidR="001F0D49" w:rsidRDefault="00000000">
      <w:pPr>
        <w:pStyle w:val="21"/>
      </w:pPr>
      <w:bookmarkStart w:id="80" w:name="conflicts-of-interest"/>
      <w:bookmarkStart w:id="81" w:name="_Toc226514453"/>
      <w:bookmarkEnd w:id="78"/>
      <w:r>
        <w:t>Conflicts of interest</w:t>
      </w:r>
      <w:bookmarkEnd w:id="81"/>
    </w:p>
    <w:p w14:paraId="0C97899E" w14:textId="77777777" w:rsidR="001F0D49" w:rsidRDefault="00000000">
      <w:r>
        <w:t>The author declares no conflict of interest.</w:t>
      </w:r>
    </w:p>
    <w:p w14:paraId="2C871E28" w14:textId="77777777" w:rsidR="001F0D49" w:rsidRDefault="00000000">
      <w:r>
        <w:pict w14:anchorId="30D9A0EA">
          <v:rect id="_x0000_i1025" style="width:0;height:1.5pt" o:hralign="center" o:hrstd="t" o:hr="t"/>
        </w:pict>
      </w:r>
    </w:p>
    <w:p w14:paraId="569CC15E" w14:textId="77777777" w:rsidR="001F0D49" w:rsidRDefault="00000000">
      <w:pPr>
        <w:pStyle w:val="1"/>
      </w:pPr>
      <w:bookmarkStart w:id="82" w:name="appendices"/>
      <w:bookmarkStart w:id="83" w:name="_Toc226514454"/>
      <w:bookmarkEnd w:id="0"/>
      <w:bookmarkEnd w:id="80"/>
      <w:r>
        <w:lastRenderedPageBreak/>
        <w:t>Appendices</w:t>
      </w:r>
      <w:bookmarkEnd w:id="83"/>
    </w:p>
    <w:p w14:paraId="56B30F02" w14:textId="77777777" w:rsidR="001F0D49" w:rsidRDefault="00000000">
      <w:pPr>
        <w:pStyle w:val="21"/>
      </w:pPr>
      <w:bookmarkStart w:id="84" w:name="Xcd45b292f164534f5dcc97fc0dd87b91296877d"/>
      <w:bookmarkStart w:id="85" w:name="_Toc226514455"/>
      <w:r>
        <w:t>Appendix A. Limitations and honest caveats</w:t>
      </w:r>
      <w:bookmarkEnd w:id="85"/>
    </w:p>
    <w:p w14:paraId="2E53B417" w14:textId="77777777" w:rsidR="001F0D49" w:rsidRDefault="00000000">
      <w:pPr>
        <w:numPr>
          <w:ilvl w:val="0"/>
          <w:numId w:val="78"/>
        </w:numPr>
      </w:pPr>
      <w:r>
        <w:t>CDI is difficult to reduce to a single global time series reaching back to the 1970s: reliable fragments exist (work-intensity indicators, human–computer interaction metrics, telemetry), but a unified index requires careful methodology and separate work.</w:t>
      </w:r>
    </w:p>
    <w:p w14:paraId="5C30B391" w14:textId="77777777" w:rsidR="001F0D49" w:rsidRDefault="00000000">
      <w:pPr>
        <w:numPr>
          <w:ilvl w:val="0"/>
          <w:numId w:val="78"/>
        </w:numPr>
      </w:pPr>
      <w:r>
        <w:t>SDI does not “prove the cause”: it shows the dynamics of uncertainty and shocks. In this article, SDI_obs is interpreted as a symptom of fragility drawing on complex-systems theory.</w:t>
      </w:r>
    </w:p>
    <w:p w14:paraId="53659A04" w14:textId="77777777" w:rsidR="001F0D49" w:rsidRDefault="00000000">
      <w:pPr>
        <w:numPr>
          <w:ilvl w:val="0"/>
          <w:numId w:val="78"/>
        </w:numPr>
      </w:pPr>
      <w:r>
        <w:t>CWCI depends on reporting quality and access to care; regional comparisons require careful explanation.</w:t>
      </w:r>
    </w:p>
    <w:p w14:paraId="7BD26B35" w14:textId="77777777" w:rsidR="001F0D49" w:rsidRDefault="00000000">
      <w:pPr>
        <w:numPr>
          <w:ilvl w:val="0"/>
          <w:numId w:val="78"/>
        </w:numPr>
      </w:pPr>
      <w:r>
        <w:t>The feedback loop described above in Section 3.5.1, including the predictive channel (the shift into a reactive mode), is a working model assembled from separate links. Each link is supported by the literature, but integral verification of the cascade as a whole remains a task for future research.</w:t>
      </w:r>
    </w:p>
    <w:p w14:paraId="5267D5B3" w14:textId="77777777" w:rsidR="001F0D49" w:rsidRDefault="00000000">
      <w:pPr>
        <w:numPr>
          <w:ilvl w:val="0"/>
          <w:numId w:val="78"/>
        </w:numPr>
      </w:pPr>
      <w:r>
        <w:t>The adaptation threshold is a conceptual frame with candidate indicators (see Section 2.3.2.1), not a precisely measured quantity at the current stage.</w:t>
      </w:r>
    </w:p>
    <w:p w14:paraId="747E2132" w14:textId="77777777" w:rsidR="001F0D49" w:rsidRDefault="00000000">
      <w:pPr>
        <w:numPr>
          <w:ilvl w:val="0"/>
          <w:numId w:val="78"/>
        </w:numPr>
      </w:pPr>
      <w:r>
        <w:t xml:space="preserve">The intergenerational layer in ATD should be read as </w:t>
      </w:r>
      <w:r>
        <w:rPr>
          <w:b/>
          <w:bCs/>
        </w:rPr>
        <w:t>split into three levels</w:t>
      </w:r>
      <w:r>
        <w:t>: a demographic fact, a contested proxy bundle, and an interpretive model-theoretic synthesis. It does not authorize claims about a direct measurement of human agency or about a generalized decline in agency.</w:t>
      </w:r>
    </w:p>
    <w:p w14:paraId="25CC6DF5" w14:textId="77777777" w:rsidR="001F0D49" w:rsidRDefault="00000000">
      <w:pPr>
        <w:numPr>
          <w:ilvl w:val="0"/>
          <w:numId w:val="78"/>
        </w:numPr>
      </w:pPr>
      <w:r>
        <w:t>Long-horizon civilizational and philosophical interpretations do not belong to the evidentiary core of ATD. What is evidentiary here are mechanisms, proxies, and observable trends; scenario-level limit conclusions remain outside the academic core of the document.</w:t>
      </w:r>
    </w:p>
    <w:p w14:paraId="2EA30DF9" w14:textId="77777777" w:rsidR="001F0D49" w:rsidRDefault="00000000">
      <w:pPr>
        <w:pStyle w:val="31"/>
      </w:pPr>
      <w:bookmarkStart w:id="86" w:name="reference-and-evidentiary-layer"/>
      <w:r>
        <w:t>Reference and evidentiary layer</w:t>
      </w:r>
    </w:p>
    <w:p w14:paraId="405BC540" w14:textId="77777777" w:rsidR="001F0D49" w:rsidRDefault="00000000">
      <w:r>
        <w:t xml:space="preserve">In the current public release, the referential and evidentiary layer of ATD is organized through the appendices and related machine-readable files. This version is a </w:t>
      </w:r>
      <w:r>
        <w:rPr>
          <w:b/>
          <w:bCs/>
        </w:rPr>
        <w:t>publication build assembled for convenience of reading and verification</w:t>
      </w:r>
      <w:r>
        <w:t>: within it, the main text and the appendices function together as parts of one assembled material, while the appendices, registers, and CSV files may also be used separately as independent supporting documents.</w:t>
      </w:r>
    </w:p>
    <w:p w14:paraId="1BAB0025" w14:textId="77777777" w:rsidR="001F0D49" w:rsidRDefault="00000000">
      <w:pPr>
        <w:pStyle w:val="21"/>
      </w:pPr>
      <w:bookmarkStart w:id="87" w:name="X03006689a6933a3af7d40926811f84e5049d262"/>
      <w:bookmarkStart w:id="88" w:name="_Toc226514456"/>
      <w:bookmarkEnd w:id="84"/>
      <w:bookmarkEnd w:id="86"/>
      <w:r>
        <w:t>Appendix B. ATD evidentiary layer: data register, proxy layer, and interpretation levels</w:t>
      </w:r>
      <w:bookmarkEnd w:id="88"/>
    </w:p>
    <w:p w14:paraId="0A314165" w14:textId="77777777" w:rsidR="001F0D49" w:rsidRDefault="00000000">
      <w:pPr>
        <w:pStyle w:val="31"/>
      </w:pPr>
      <w:bookmarkStart w:id="89" w:name="b.1.-purpose-of-the-appendix"/>
      <w:r>
        <w:t>B.1. Purpose of the appendix</w:t>
      </w:r>
    </w:p>
    <w:p w14:paraId="1EA66AC7" w14:textId="77777777" w:rsidR="001F0D49" w:rsidRDefault="00000000">
      <w:r>
        <w:t xml:space="preserve">This appendix replaces the earlier short note on evidence status and gathers its substance into a more transparent and reproducible form. Its role is not to “strengthen the text by adding more tables,” but to show </w:t>
      </w:r>
      <w:r>
        <w:rPr>
          <w:b/>
          <w:bCs/>
        </w:rPr>
        <w:t>which sources support which ATD claims, where the boundaries of interpretation lie, and how a reader can re-check the document’s evidentiary basis</w:t>
      </w:r>
      <w:r>
        <w:t>. Within the current publication build, it functions as part of the assembled document while retaining its own status as a standalone evidence material.</w:t>
      </w:r>
    </w:p>
    <w:p w14:paraId="715B18C6" w14:textId="77777777" w:rsidR="001F0D49" w:rsidRDefault="00000000">
      <w:pPr>
        <w:pStyle w:val="af"/>
      </w:pPr>
      <w:r>
        <w:t xml:space="preserve">ATD is not measured by one indicator and does not rest on one “main” source. The evidentiary layer is organized here as a </w:t>
      </w:r>
      <w:r>
        <w:rPr>
          <w:b/>
          <w:bCs/>
        </w:rPr>
        <w:t>convergence of several families of sources</w:t>
      </w:r>
      <w:r>
        <w:t>:</w:t>
      </w:r>
    </w:p>
    <w:p w14:paraId="4ED264E1" w14:textId="77777777" w:rsidR="001F0D49" w:rsidRDefault="00000000">
      <w:pPr>
        <w:numPr>
          <w:ilvl w:val="0"/>
          <w:numId w:val="79"/>
        </w:numPr>
      </w:pPr>
      <w:r>
        <w:lastRenderedPageBreak/>
        <w:t>the core bibliographic anchor layer;</w:t>
      </w:r>
    </w:p>
    <w:p w14:paraId="7874FCCD" w14:textId="77777777" w:rsidR="001F0D49" w:rsidRDefault="00000000">
      <w:pPr>
        <w:numPr>
          <w:ilvl w:val="0"/>
          <w:numId w:val="79"/>
        </w:numPr>
      </w:pPr>
      <w:r>
        <w:t>the register of datasets, monitoring dashboards, and report-with-data sources;</w:t>
      </w:r>
    </w:p>
    <w:p w14:paraId="3B134859" w14:textId="77777777" w:rsidR="001F0D49" w:rsidRDefault="00000000">
      <w:pPr>
        <w:numPr>
          <w:ilvl w:val="0"/>
          <w:numId w:val="79"/>
        </w:numPr>
      </w:pPr>
      <w:r>
        <w:t>the proxy and product/process signal layer;</w:t>
      </w:r>
    </w:p>
    <w:p w14:paraId="6DCB4C2E" w14:textId="77777777" w:rsidR="001F0D49" w:rsidRDefault="00000000">
      <w:pPr>
        <w:numPr>
          <w:ilvl w:val="0"/>
          <w:numId w:val="79"/>
        </w:numPr>
      </w:pPr>
      <w:r>
        <w:t>the map of claims, confidence levels, and formulation limits.</w:t>
      </w:r>
    </w:p>
    <w:p w14:paraId="2B36765A" w14:textId="77777777" w:rsidR="001F0D49" w:rsidRDefault="00000000">
      <w:r>
        <w:t>The CSV files included in the package are the machine-readable version of this same layer. In the current build they are linked to Appendix B, but they can also be used independently as verification registers. The text of the appendix retains a condensed but already sufficient structure for external reading and checking.</w:t>
      </w:r>
    </w:p>
    <w:p w14:paraId="63671510" w14:textId="77777777" w:rsidR="001F0D49" w:rsidRDefault="00000000">
      <w:pPr>
        <w:pStyle w:val="31"/>
      </w:pPr>
      <w:bookmarkStart w:id="90" w:name="Xec66b4963115cb57d9bfd07861fdffab89f72e4"/>
      <w:bookmarkEnd w:id="89"/>
      <w:r>
        <w:t>B.2. How to read the ATD evidentiary layer</w:t>
      </w:r>
    </w:p>
    <w:p w14:paraId="049FF3C3" w14:textId="77777777" w:rsidR="001F0D49" w:rsidRDefault="00000000">
      <w:r>
        <w:t>For correct reading, ATD should be understood at no fewer than four levels.</w:t>
      </w:r>
    </w:p>
    <w:p w14:paraId="0757375E" w14:textId="77777777" w:rsidR="001F0D49" w:rsidRDefault="00000000">
      <w:pPr>
        <w:pStyle w:val="af"/>
      </w:pPr>
      <w:r>
        <w:rPr>
          <w:b/>
          <w:bCs/>
        </w:rPr>
        <w:t>Level 1. Direct empirical support.</w:t>
      </w:r>
      <w:r>
        <w:br/>
        <w:t>This is the layer where observational, quasi-experimental, or experimental data exist for local mechanisms: interruptions, context breaks, attention residue, switching cost, the effects of structured context transfer, guided entry, and other strong interventions.</w:t>
      </w:r>
    </w:p>
    <w:p w14:paraId="37F3B51D" w14:textId="77777777" w:rsidR="001F0D49" w:rsidRDefault="00000000">
      <w:pPr>
        <w:pStyle w:val="af"/>
      </w:pPr>
      <w:r>
        <w:rPr>
          <w:b/>
          <w:bCs/>
        </w:rPr>
        <w:t>Level 2. Dataset register and proxy operationalization.</w:t>
      </w:r>
      <w:r>
        <w:br/>
        <w:t>This layer uses open datasets, official statistical series, research arrays, and product/process proxy signals. A source matters here not by itself, but as a way to operationalize one link of the cascade: environmental pressure, context degradation, coordination losses, or adaptive erosion.</w:t>
      </w:r>
    </w:p>
    <w:p w14:paraId="1B77FA92" w14:textId="77777777" w:rsidR="001F0D49" w:rsidRDefault="00000000">
      <w:pPr>
        <w:pStyle w:val="af"/>
      </w:pPr>
      <w:r>
        <w:rPr>
          <w:b/>
          <w:bCs/>
        </w:rPr>
        <w:t>Level 3. Interpretive synthesis.</w:t>
      </w:r>
      <w:r>
        <w:br/>
        <w:t>At this level ATD connects heterogeneous families of data and studies into one cascade model. This is precisely where explanatory synthesis must not be confused with an already proven closed causal theory.</w:t>
      </w:r>
    </w:p>
    <w:p w14:paraId="64D46F21" w14:textId="77777777" w:rsidR="001F0D49" w:rsidRDefault="00000000">
      <w:pPr>
        <w:pStyle w:val="af"/>
      </w:pPr>
      <w:r>
        <w:rPr>
          <w:b/>
          <w:bCs/>
        </w:rPr>
        <w:t>Level 4. Practical and project conclusion.</w:t>
      </w:r>
      <w:r>
        <w:br/>
        <w:t>From the analytical frame follow requirements for pilots, measurement, Human-Native design, and later corpus layers. This conclusion is admissible, but it should not be read as the direct consequence of a completely closed quantitative theory.</w:t>
      </w:r>
    </w:p>
    <w:p w14:paraId="44B838C1" w14:textId="77777777" w:rsidR="001F0D49" w:rsidRDefault="00000000">
      <w:pPr>
        <w:pStyle w:val="31"/>
      </w:pPr>
      <w:bookmarkStart w:id="91" w:name="b.3.-summary-of-the-evidentiary-layer"/>
      <w:bookmarkEnd w:id="90"/>
      <w:r>
        <w:t>B.3. Summary of the evidentiary layer</w:t>
      </w:r>
    </w:p>
    <w:tbl>
      <w:tblPr>
        <w:tblW w:w="5000" w:type="pct"/>
        <w:tblLayout w:type="fixed"/>
        <w:tblLook w:val="0020" w:firstRow="1" w:lastRow="0" w:firstColumn="0" w:lastColumn="0" w:noHBand="0" w:noVBand="0"/>
      </w:tblPr>
      <w:tblGrid>
        <w:gridCol w:w="6700"/>
        <w:gridCol w:w="2814"/>
      </w:tblGrid>
      <w:tr w:rsidR="001F0D49" w14:paraId="53BBDBE6" w14:textId="77777777">
        <w:trPr>
          <w:cantSplit/>
          <w:tblHeader/>
        </w:trPr>
        <w:tc>
          <w:tcPr>
            <w:tcW w:w="5577" w:type="dxa"/>
            <w:tcBorders>
              <w:bottom w:val="single" w:sz="6" w:space="0" w:color="000000"/>
            </w:tcBorders>
          </w:tcPr>
          <w:p w14:paraId="6A660FF0" w14:textId="77777777" w:rsidR="001F0D49" w:rsidRDefault="00000000">
            <w:pPr>
              <w:keepLines/>
            </w:pPr>
            <w:r>
              <w:rPr>
                <w:b/>
              </w:rPr>
              <w:t>Layer</w:t>
            </w:r>
          </w:p>
        </w:tc>
        <w:tc>
          <w:tcPr>
            <w:tcW w:w="2342" w:type="dxa"/>
            <w:tcBorders>
              <w:bottom w:val="single" w:sz="6" w:space="0" w:color="000000"/>
            </w:tcBorders>
          </w:tcPr>
          <w:p w14:paraId="687E637F" w14:textId="77777777" w:rsidR="001F0D49" w:rsidRDefault="00000000">
            <w:pPr>
              <w:keepLines/>
            </w:pPr>
            <w:r>
              <w:rPr>
                <w:b/>
              </w:rPr>
              <w:t>Number of entries</w:t>
            </w:r>
          </w:p>
        </w:tc>
      </w:tr>
      <w:tr w:rsidR="001F0D49" w14:paraId="490A0064" w14:textId="77777777">
        <w:trPr>
          <w:cantSplit/>
        </w:trPr>
        <w:tc>
          <w:tcPr>
            <w:tcW w:w="5577" w:type="dxa"/>
            <w:tcBorders>
              <w:bottom w:val="single" w:sz="6" w:space="0" w:color="000000"/>
            </w:tcBorders>
          </w:tcPr>
          <w:p w14:paraId="68EFDB72" w14:textId="77777777" w:rsidR="001F0D49" w:rsidRDefault="00000000">
            <w:pPr>
              <w:keepLines/>
            </w:pPr>
            <w:r>
              <w:t>Core bibliographic anchor layer</w:t>
            </w:r>
          </w:p>
        </w:tc>
        <w:tc>
          <w:tcPr>
            <w:tcW w:w="2342" w:type="dxa"/>
            <w:tcBorders>
              <w:bottom w:val="single" w:sz="6" w:space="0" w:color="000000"/>
            </w:tcBorders>
          </w:tcPr>
          <w:p w14:paraId="54C29CE6" w14:textId="77777777" w:rsidR="001F0D49" w:rsidRDefault="00000000">
            <w:pPr>
              <w:keepLines/>
            </w:pPr>
            <w:r>
              <w:t>32</w:t>
            </w:r>
          </w:p>
        </w:tc>
      </w:tr>
      <w:tr w:rsidR="001F0D49" w14:paraId="2B819EAF" w14:textId="77777777">
        <w:trPr>
          <w:cantSplit/>
        </w:trPr>
        <w:tc>
          <w:tcPr>
            <w:tcW w:w="5577" w:type="dxa"/>
            <w:tcBorders>
              <w:bottom w:val="single" w:sz="6" w:space="0" w:color="000000"/>
            </w:tcBorders>
          </w:tcPr>
          <w:p w14:paraId="1FBDD831" w14:textId="77777777" w:rsidR="001F0D49" w:rsidRDefault="00000000">
            <w:pPr>
              <w:keepLines/>
            </w:pPr>
            <w:r>
              <w:t>Datasets / dashboards / report-with-data sources</w:t>
            </w:r>
          </w:p>
        </w:tc>
        <w:tc>
          <w:tcPr>
            <w:tcW w:w="2342" w:type="dxa"/>
            <w:tcBorders>
              <w:bottom w:val="single" w:sz="6" w:space="0" w:color="000000"/>
            </w:tcBorders>
          </w:tcPr>
          <w:p w14:paraId="511B9DCD" w14:textId="77777777" w:rsidR="001F0D49" w:rsidRDefault="00000000">
            <w:pPr>
              <w:keepLines/>
            </w:pPr>
            <w:r>
              <w:t>32</w:t>
            </w:r>
          </w:p>
        </w:tc>
      </w:tr>
      <w:tr w:rsidR="001F0D49" w14:paraId="4865DD49" w14:textId="77777777">
        <w:trPr>
          <w:cantSplit/>
        </w:trPr>
        <w:tc>
          <w:tcPr>
            <w:tcW w:w="5577" w:type="dxa"/>
            <w:tcBorders>
              <w:bottom w:val="single" w:sz="6" w:space="0" w:color="000000"/>
            </w:tcBorders>
          </w:tcPr>
          <w:p w14:paraId="26B177EB" w14:textId="77777777" w:rsidR="001F0D49" w:rsidRDefault="00000000">
            <w:pPr>
              <w:keepLines/>
            </w:pPr>
            <w:r>
              <w:t>Proxy and product/process signal layer</w:t>
            </w:r>
          </w:p>
        </w:tc>
        <w:tc>
          <w:tcPr>
            <w:tcW w:w="2342" w:type="dxa"/>
            <w:tcBorders>
              <w:bottom w:val="single" w:sz="6" w:space="0" w:color="000000"/>
            </w:tcBorders>
          </w:tcPr>
          <w:p w14:paraId="01522BC5" w14:textId="77777777" w:rsidR="001F0D49" w:rsidRDefault="00000000">
            <w:pPr>
              <w:keepLines/>
            </w:pPr>
            <w:r>
              <w:t>20</w:t>
            </w:r>
          </w:p>
        </w:tc>
      </w:tr>
      <w:tr w:rsidR="001F0D49" w14:paraId="4E99C639" w14:textId="77777777">
        <w:trPr>
          <w:cantSplit/>
        </w:trPr>
        <w:tc>
          <w:tcPr>
            <w:tcW w:w="5577" w:type="dxa"/>
            <w:tcBorders>
              <w:bottom w:val="single" w:sz="6" w:space="0" w:color="000000"/>
            </w:tcBorders>
          </w:tcPr>
          <w:p w14:paraId="06E7269F" w14:textId="77777777" w:rsidR="001F0D49" w:rsidRDefault="00000000">
            <w:pPr>
              <w:keepLines/>
            </w:pPr>
            <w:r>
              <w:t>Claim and interpretation map</w:t>
            </w:r>
          </w:p>
        </w:tc>
        <w:tc>
          <w:tcPr>
            <w:tcW w:w="2342" w:type="dxa"/>
            <w:tcBorders>
              <w:bottom w:val="single" w:sz="6" w:space="0" w:color="000000"/>
            </w:tcBorders>
          </w:tcPr>
          <w:p w14:paraId="6CC14C52" w14:textId="77777777" w:rsidR="001F0D49" w:rsidRDefault="00000000">
            <w:pPr>
              <w:keepLines/>
            </w:pPr>
            <w:r>
              <w:t>12</w:t>
            </w:r>
          </w:p>
        </w:tc>
      </w:tr>
      <w:tr w:rsidR="001F0D49" w14:paraId="0B18BDA2" w14:textId="77777777">
        <w:trPr>
          <w:cantSplit/>
        </w:trPr>
        <w:tc>
          <w:tcPr>
            <w:tcW w:w="5577" w:type="dxa"/>
          </w:tcPr>
          <w:p w14:paraId="7C5649DA" w14:textId="77777777" w:rsidR="001F0D49" w:rsidRDefault="00000000">
            <w:pPr>
              <w:keepLines/>
            </w:pPr>
            <w:r>
              <w:rPr>
                <w:b/>
                <w:bCs/>
              </w:rPr>
              <w:t>Transparent evidentiary layer total</w:t>
            </w:r>
          </w:p>
        </w:tc>
        <w:tc>
          <w:tcPr>
            <w:tcW w:w="2342" w:type="dxa"/>
          </w:tcPr>
          <w:p w14:paraId="155C2589" w14:textId="77777777" w:rsidR="001F0D49" w:rsidRDefault="00000000">
            <w:pPr>
              <w:keepLines/>
            </w:pPr>
            <w:r>
              <w:rPr>
                <w:b/>
                <w:bCs/>
              </w:rPr>
              <w:t>96</w:t>
            </w:r>
          </w:p>
        </w:tc>
      </w:tr>
    </w:tbl>
    <w:p w14:paraId="4F2FA08E" w14:textId="77777777" w:rsidR="001F0D49" w:rsidRDefault="00000000">
      <w:pPr>
        <w:pStyle w:val="af"/>
      </w:pPr>
      <w:r>
        <w:t>This summary shows the central point: the transparency of ATD is built not on one “magic table,” but on the separation of source roles. The main text rests on the bibliographic anchor core; datasets provide operationalization; the proxy layer contributes convergent practice signals; and the claim map keeps the wording discipline intact.</w:t>
      </w:r>
    </w:p>
    <w:p w14:paraId="712F43F8" w14:textId="77777777" w:rsidR="001F0D49" w:rsidRDefault="00000000">
      <w:pPr>
        <w:pStyle w:val="31"/>
      </w:pPr>
      <w:bookmarkStart w:id="92" w:name="b.4.-core-bibliographic-anchor-layer"/>
      <w:bookmarkEnd w:id="91"/>
      <w:r>
        <w:lastRenderedPageBreak/>
        <w:t>B.4. Core bibliographic anchor layer</w:t>
      </w:r>
    </w:p>
    <w:p w14:paraId="3D4F7FDF" w14:textId="77777777" w:rsidR="001F0D49" w:rsidRDefault="00000000">
      <w:r>
        <w:t>This layer does not replace the dataset register, but it shows which works and official anchors hold up the main text: local mechanisms of fragmentation and switching, anchors for complexity and uncertainty pressure, anchors for productivity and mental health, demographic anchors, and mandatory methodological caveats.</w:t>
      </w:r>
    </w:p>
    <w:tbl>
      <w:tblPr>
        <w:tblW w:w="5495" w:type="pct"/>
        <w:tblLayout w:type="fixed"/>
        <w:tblLook w:val="0020" w:firstRow="1" w:lastRow="0" w:firstColumn="0" w:lastColumn="0" w:noHBand="0" w:noVBand="0"/>
      </w:tblPr>
      <w:tblGrid>
        <w:gridCol w:w="817"/>
        <w:gridCol w:w="2693"/>
        <w:gridCol w:w="1560"/>
        <w:gridCol w:w="4161"/>
        <w:gridCol w:w="1225"/>
      </w:tblGrid>
      <w:tr w:rsidR="001F0D49" w14:paraId="49DC8FA0" w14:textId="77777777" w:rsidTr="00980660">
        <w:trPr>
          <w:cantSplit/>
          <w:tblHeader/>
        </w:trPr>
        <w:tc>
          <w:tcPr>
            <w:tcW w:w="817" w:type="dxa"/>
            <w:tcBorders>
              <w:bottom w:val="single" w:sz="6" w:space="0" w:color="000000"/>
            </w:tcBorders>
          </w:tcPr>
          <w:p w14:paraId="2DE974BD" w14:textId="77777777" w:rsidR="001F0D49" w:rsidRDefault="00000000">
            <w:pPr>
              <w:keepLines/>
            </w:pPr>
            <w:r>
              <w:rPr>
                <w:b/>
              </w:rPr>
              <w:t>Code</w:t>
            </w:r>
          </w:p>
        </w:tc>
        <w:tc>
          <w:tcPr>
            <w:tcW w:w="2693" w:type="dxa"/>
            <w:tcBorders>
              <w:bottom w:val="single" w:sz="6" w:space="0" w:color="000000"/>
            </w:tcBorders>
          </w:tcPr>
          <w:p w14:paraId="7030519F" w14:textId="77777777" w:rsidR="001F0D49" w:rsidRDefault="00000000">
            <w:pPr>
              <w:keepLines/>
            </w:pPr>
            <w:r>
              <w:rPr>
                <w:b/>
              </w:rPr>
              <w:t>Short title</w:t>
            </w:r>
          </w:p>
        </w:tc>
        <w:tc>
          <w:tcPr>
            <w:tcW w:w="1560" w:type="dxa"/>
            <w:tcBorders>
              <w:bottom w:val="single" w:sz="6" w:space="0" w:color="000000"/>
            </w:tcBorders>
          </w:tcPr>
          <w:p w14:paraId="08B82E3C" w14:textId="77777777" w:rsidR="001F0D49" w:rsidRDefault="00000000">
            <w:pPr>
              <w:keepLines/>
            </w:pPr>
            <w:r>
              <w:rPr>
                <w:b/>
              </w:rPr>
              <w:t>ATD layer</w:t>
            </w:r>
          </w:p>
        </w:tc>
        <w:tc>
          <w:tcPr>
            <w:tcW w:w="4161" w:type="dxa"/>
            <w:tcBorders>
              <w:bottom w:val="single" w:sz="6" w:space="0" w:color="000000"/>
            </w:tcBorders>
          </w:tcPr>
          <w:p w14:paraId="1CD275D0" w14:textId="77777777" w:rsidR="001F0D49" w:rsidRDefault="00000000">
            <w:pPr>
              <w:keepLines/>
            </w:pPr>
            <w:r>
              <w:rPr>
                <w:b/>
              </w:rPr>
              <w:t>Role in the document</w:t>
            </w:r>
          </w:p>
        </w:tc>
        <w:tc>
          <w:tcPr>
            <w:tcW w:w="1225" w:type="dxa"/>
            <w:tcBorders>
              <w:bottom w:val="single" w:sz="6" w:space="0" w:color="000000"/>
            </w:tcBorders>
          </w:tcPr>
          <w:p w14:paraId="50FE6103" w14:textId="77777777" w:rsidR="001F0D49" w:rsidRDefault="00000000">
            <w:pPr>
              <w:keepLines/>
            </w:pPr>
            <w:r>
              <w:rPr>
                <w:b/>
              </w:rPr>
              <w:t>Status</w:t>
            </w:r>
          </w:p>
        </w:tc>
      </w:tr>
      <w:tr w:rsidR="001F0D49" w14:paraId="6D3CEC39" w14:textId="77777777" w:rsidTr="00980660">
        <w:trPr>
          <w:cantSplit/>
        </w:trPr>
        <w:tc>
          <w:tcPr>
            <w:tcW w:w="817" w:type="dxa"/>
            <w:tcBorders>
              <w:bottom w:val="single" w:sz="6" w:space="0" w:color="000000"/>
            </w:tcBorders>
          </w:tcPr>
          <w:p w14:paraId="2D7EB74E" w14:textId="77777777" w:rsidR="001F0D49" w:rsidRDefault="00000000">
            <w:pPr>
              <w:keepLines/>
            </w:pPr>
            <w:r>
              <w:t>ATD-BIB-001</w:t>
            </w:r>
          </w:p>
        </w:tc>
        <w:tc>
          <w:tcPr>
            <w:tcW w:w="2693" w:type="dxa"/>
            <w:tcBorders>
              <w:bottom w:val="single" w:sz="6" w:space="0" w:color="000000"/>
            </w:tcBorders>
          </w:tcPr>
          <w:p w14:paraId="714AFE6E" w14:textId="77777777" w:rsidR="001F0D49" w:rsidRDefault="00000000">
            <w:pPr>
              <w:keepLines/>
            </w:pPr>
            <w:r>
              <w:t>Mark et al. (CHI 2005) — interrupted work</w:t>
            </w:r>
          </w:p>
        </w:tc>
        <w:tc>
          <w:tcPr>
            <w:tcW w:w="1560" w:type="dxa"/>
            <w:tcBorders>
              <w:bottom w:val="single" w:sz="6" w:space="0" w:color="000000"/>
            </w:tcBorders>
          </w:tcPr>
          <w:p w14:paraId="650FACA8" w14:textId="77777777" w:rsidR="001F0D49" w:rsidRDefault="00000000">
            <w:pPr>
              <w:keepLines/>
            </w:pPr>
            <w:r>
              <w:t>context degradation</w:t>
            </w:r>
          </w:p>
        </w:tc>
        <w:tc>
          <w:tcPr>
            <w:tcW w:w="4161" w:type="dxa"/>
            <w:tcBorders>
              <w:bottom w:val="single" w:sz="6" w:space="0" w:color="000000"/>
            </w:tcBorders>
          </w:tcPr>
          <w:p w14:paraId="255F9C0C" w14:textId="77777777" w:rsidR="001F0D49" w:rsidRDefault="00000000">
            <w:pPr>
              <w:keepLines/>
            </w:pPr>
            <w:r>
              <w:t>Anchor for fragmented work, broken activity loops, and the cost of context restoration.</w:t>
            </w:r>
          </w:p>
        </w:tc>
        <w:tc>
          <w:tcPr>
            <w:tcW w:w="1225" w:type="dxa"/>
            <w:tcBorders>
              <w:bottom w:val="single" w:sz="6" w:space="0" w:color="000000"/>
            </w:tcBorders>
          </w:tcPr>
          <w:p w14:paraId="5FF24B3A" w14:textId="77777777" w:rsidR="001F0D49" w:rsidRDefault="00000000">
            <w:pPr>
              <w:keepLines/>
            </w:pPr>
            <w:r>
              <w:t>core</w:t>
            </w:r>
          </w:p>
        </w:tc>
      </w:tr>
      <w:tr w:rsidR="001F0D49" w14:paraId="5C89AA85" w14:textId="77777777" w:rsidTr="00980660">
        <w:trPr>
          <w:cantSplit/>
        </w:trPr>
        <w:tc>
          <w:tcPr>
            <w:tcW w:w="817" w:type="dxa"/>
            <w:tcBorders>
              <w:bottom w:val="single" w:sz="6" w:space="0" w:color="000000"/>
            </w:tcBorders>
          </w:tcPr>
          <w:p w14:paraId="553F4616" w14:textId="77777777" w:rsidR="001F0D49" w:rsidRDefault="00000000">
            <w:pPr>
              <w:keepLines/>
            </w:pPr>
            <w:r>
              <w:t>ATD-BIB-002</w:t>
            </w:r>
          </w:p>
        </w:tc>
        <w:tc>
          <w:tcPr>
            <w:tcW w:w="2693" w:type="dxa"/>
            <w:tcBorders>
              <w:bottom w:val="single" w:sz="6" w:space="0" w:color="000000"/>
            </w:tcBorders>
          </w:tcPr>
          <w:p w14:paraId="77708BBC" w14:textId="77777777" w:rsidR="001F0D49" w:rsidRDefault="00000000">
            <w:pPr>
              <w:keepLines/>
            </w:pPr>
            <w:r>
              <w:t>Mark et al. (CHI 2008) — speed/stress trade-off</w:t>
            </w:r>
          </w:p>
        </w:tc>
        <w:tc>
          <w:tcPr>
            <w:tcW w:w="1560" w:type="dxa"/>
            <w:tcBorders>
              <w:bottom w:val="single" w:sz="6" w:space="0" w:color="000000"/>
            </w:tcBorders>
          </w:tcPr>
          <w:p w14:paraId="33ADB205" w14:textId="77777777" w:rsidR="001F0D49" w:rsidRDefault="00000000">
            <w:pPr>
              <w:keepLines/>
            </w:pPr>
            <w:r>
              <w:t>context degradation</w:t>
            </w:r>
          </w:p>
        </w:tc>
        <w:tc>
          <w:tcPr>
            <w:tcW w:w="4161" w:type="dxa"/>
            <w:tcBorders>
              <w:bottom w:val="single" w:sz="6" w:space="0" w:color="000000"/>
            </w:tcBorders>
          </w:tcPr>
          <w:p w14:paraId="29933412" w14:textId="77777777" w:rsidR="001F0D49" w:rsidRDefault="00000000">
            <w:pPr>
              <w:keepLines/>
            </w:pPr>
            <w:r>
              <w:t>Anchor for the speed–stress trade-off under fragmented work.</w:t>
            </w:r>
          </w:p>
        </w:tc>
        <w:tc>
          <w:tcPr>
            <w:tcW w:w="1225" w:type="dxa"/>
            <w:tcBorders>
              <w:bottom w:val="single" w:sz="6" w:space="0" w:color="000000"/>
            </w:tcBorders>
          </w:tcPr>
          <w:p w14:paraId="0F41709B" w14:textId="77777777" w:rsidR="001F0D49" w:rsidRDefault="00000000">
            <w:pPr>
              <w:keepLines/>
            </w:pPr>
            <w:r>
              <w:t>core</w:t>
            </w:r>
          </w:p>
        </w:tc>
      </w:tr>
      <w:tr w:rsidR="001F0D49" w14:paraId="43382EEA" w14:textId="77777777" w:rsidTr="00980660">
        <w:trPr>
          <w:cantSplit/>
        </w:trPr>
        <w:tc>
          <w:tcPr>
            <w:tcW w:w="817" w:type="dxa"/>
            <w:tcBorders>
              <w:bottom w:val="single" w:sz="6" w:space="0" w:color="000000"/>
            </w:tcBorders>
          </w:tcPr>
          <w:p w14:paraId="285FA3B5" w14:textId="77777777" w:rsidR="001F0D49" w:rsidRDefault="00000000">
            <w:pPr>
              <w:keepLines/>
            </w:pPr>
            <w:r>
              <w:t>ATD-BIB-003</w:t>
            </w:r>
          </w:p>
        </w:tc>
        <w:tc>
          <w:tcPr>
            <w:tcW w:w="2693" w:type="dxa"/>
            <w:tcBorders>
              <w:bottom w:val="single" w:sz="6" w:space="0" w:color="000000"/>
            </w:tcBorders>
          </w:tcPr>
          <w:p w14:paraId="7818261A" w14:textId="77777777" w:rsidR="001F0D49" w:rsidRDefault="00000000">
            <w:pPr>
              <w:keepLines/>
            </w:pPr>
            <w:r>
              <w:t>Mark et al. (CSCW 2016) — email, stress, productivity</w:t>
            </w:r>
          </w:p>
        </w:tc>
        <w:tc>
          <w:tcPr>
            <w:tcW w:w="1560" w:type="dxa"/>
            <w:tcBorders>
              <w:bottom w:val="single" w:sz="6" w:space="0" w:color="000000"/>
            </w:tcBorders>
          </w:tcPr>
          <w:p w14:paraId="517A9AFF" w14:textId="77777777" w:rsidR="001F0D49" w:rsidRDefault="00000000">
            <w:pPr>
              <w:keepLines/>
            </w:pPr>
            <w:r>
              <w:t>context degradation</w:t>
            </w:r>
          </w:p>
        </w:tc>
        <w:tc>
          <w:tcPr>
            <w:tcW w:w="4161" w:type="dxa"/>
            <w:tcBorders>
              <w:bottom w:val="single" w:sz="6" w:space="0" w:color="000000"/>
            </w:tcBorders>
          </w:tcPr>
          <w:p w14:paraId="679903AC" w14:textId="77777777" w:rsidR="001F0D49" w:rsidRDefault="00000000">
            <w:pPr>
              <w:keepLines/>
            </w:pPr>
            <w:r>
              <w:t>Anchor for interruption load, self-interruption, and the link between communication noise, stress, and productivity.</w:t>
            </w:r>
          </w:p>
        </w:tc>
        <w:tc>
          <w:tcPr>
            <w:tcW w:w="1225" w:type="dxa"/>
            <w:tcBorders>
              <w:bottom w:val="single" w:sz="6" w:space="0" w:color="000000"/>
            </w:tcBorders>
          </w:tcPr>
          <w:p w14:paraId="742ED1EC" w14:textId="77777777" w:rsidR="001F0D49" w:rsidRDefault="00000000">
            <w:pPr>
              <w:keepLines/>
            </w:pPr>
            <w:r>
              <w:t>core</w:t>
            </w:r>
          </w:p>
        </w:tc>
      </w:tr>
      <w:tr w:rsidR="001F0D49" w14:paraId="1FFAE2D3" w14:textId="77777777" w:rsidTr="00980660">
        <w:trPr>
          <w:cantSplit/>
        </w:trPr>
        <w:tc>
          <w:tcPr>
            <w:tcW w:w="817" w:type="dxa"/>
            <w:tcBorders>
              <w:bottom w:val="single" w:sz="6" w:space="0" w:color="000000"/>
            </w:tcBorders>
          </w:tcPr>
          <w:p w14:paraId="5D6C9B4D" w14:textId="77777777" w:rsidR="001F0D49" w:rsidRDefault="00000000">
            <w:pPr>
              <w:keepLines/>
            </w:pPr>
            <w:r>
              <w:t>ATD-BIB-004</w:t>
            </w:r>
          </w:p>
        </w:tc>
        <w:tc>
          <w:tcPr>
            <w:tcW w:w="2693" w:type="dxa"/>
            <w:tcBorders>
              <w:bottom w:val="single" w:sz="6" w:space="0" w:color="000000"/>
            </w:tcBorders>
          </w:tcPr>
          <w:p w14:paraId="2A8EC013" w14:textId="77777777" w:rsidR="001F0D49" w:rsidRDefault="00000000">
            <w:pPr>
              <w:keepLines/>
            </w:pPr>
            <w:r>
              <w:t>Leroy (2009) — attention residue</w:t>
            </w:r>
          </w:p>
        </w:tc>
        <w:tc>
          <w:tcPr>
            <w:tcW w:w="1560" w:type="dxa"/>
            <w:tcBorders>
              <w:bottom w:val="single" w:sz="6" w:space="0" w:color="000000"/>
            </w:tcBorders>
          </w:tcPr>
          <w:p w14:paraId="416B7058" w14:textId="77777777" w:rsidR="001F0D49" w:rsidRDefault="00000000">
            <w:pPr>
              <w:keepLines/>
            </w:pPr>
            <w:r>
              <w:t>context degradation</w:t>
            </w:r>
          </w:p>
        </w:tc>
        <w:tc>
          <w:tcPr>
            <w:tcW w:w="4161" w:type="dxa"/>
            <w:tcBorders>
              <w:bottom w:val="single" w:sz="6" w:space="0" w:color="000000"/>
            </w:tcBorders>
          </w:tcPr>
          <w:p w14:paraId="51C1B8D5" w14:textId="77777777" w:rsidR="001F0D49" w:rsidRDefault="00000000">
            <w:pPr>
              <w:keepLines/>
            </w:pPr>
            <w:r>
              <w:t>Anchor for attention residue and the cost of switching between tasks.</w:t>
            </w:r>
          </w:p>
        </w:tc>
        <w:tc>
          <w:tcPr>
            <w:tcW w:w="1225" w:type="dxa"/>
            <w:tcBorders>
              <w:bottom w:val="single" w:sz="6" w:space="0" w:color="000000"/>
            </w:tcBorders>
          </w:tcPr>
          <w:p w14:paraId="0FDCAD8E" w14:textId="77777777" w:rsidR="001F0D49" w:rsidRDefault="00000000">
            <w:pPr>
              <w:keepLines/>
            </w:pPr>
            <w:r>
              <w:t>core</w:t>
            </w:r>
          </w:p>
        </w:tc>
      </w:tr>
      <w:tr w:rsidR="001F0D49" w14:paraId="4184FC62" w14:textId="77777777" w:rsidTr="00980660">
        <w:trPr>
          <w:cantSplit/>
        </w:trPr>
        <w:tc>
          <w:tcPr>
            <w:tcW w:w="817" w:type="dxa"/>
            <w:tcBorders>
              <w:bottom w:val="single" w:sz="6" w:space="0" w:color="000000"/>
            </w:tcBorders>
          </w:tcPr>
          <w:p w14:paraId="76DC8201" w14:textId="77777777" w:rsidR="001F0D49" w:rsidRDefault="00000000">
            <w:pPr>
              <w:keepLines/>
            </w:pPr>
            <w:r>
              <w:t>ATD-BIB-005</w:t>
            </w:r>
          </w:p>
        </w:tc>
        <w:tc>
          <w:tcPr>
            <w:tcW w:w="2693" w:type="dxa"/>
            <w:tcBorders>
              <w:bottom w:val="single" w:sz="6" w:space="0" w:color="000000"/>
            </w:tcBorders>
          </w:tcPr>
          <w:p w14:paraId="047459E7" w14:textId="77777777" w:rsidR="001F0D49" w:rsidRDefault="00000000">
            <w:pPr>
              <w:keepLines/>
            </w:pPr>
            <w:r>
              <w:t>Rubinstein, Meyer &amp; Evans (2001) — multitasking cost</w:t>
            </w:r>
          </w:p>
        </w:tc>
        <w:tc>
          <w:tcPr>
            <w:tcW w:w="1560" w:type="dxa"/>
            <w:tcBorders>
              <w:bottom w:val="single" w:sz="6" w:space="0" w:color="000000"/>
            </w:tcBorders>
          </w:tcPr>
          <w:p w14:paraId="7EA99801" w14:textId="77777777" w:rsidR="001F0D49" w:rsidRDefault="00000000">
            <w:pPr>
              <w:keepLines/>
            </w:pPr>
            <w:r>
              <w:t>context degradation</w:t>
            </w:r>
          </w:p>
        </w:tc>
        <w:tc>
          <w:tcPr>
            <w:tcW w:w="4161" w:type="dxa"/>
            <w:tcBorders>
              <w:bottom w:val="single" w:sz="6" w:space="0" w:color="000000"/>
            </w:tcBorders>
          </w:tcPr>
          <w:p w14:paraId="4B395B32" w14:textId="77777777" w:rsidR="001F0D49" w:rsidRDefault="00000000">
            <w:pPr>
              <w:keepLines/>
            </w:pPr>
            <w:r>
              <w:t>Baseline anchor for task-switching costs and losses created by switching.</w:t>
            </w:r>
          </w:p>
        </w:tc>
        <w:tc>
          <w:tcPr>
            <w:tcW w:w="1225" w:type="dxa"/>
            <w:tcBorders>
              <w:bottom w:val="single" w:sz="6" w:space="0" w:color="000000"/>
            </w:tcBorders>
          </w:tcPr>
          <w:p w14:paraId="726C5850" w14:textId="77777777" w:rsidR="001F0D49" w:rsidRDefault="00000000">
            <w:pPr>
              <w:keepLines/>
            </w:pPr>
            <w:r>
              <w:t>core</w:t>
            </w:r>
          </w:p>
        </w:tc>
      </w:tr>
      <w:tr w:rsidR="001F0D49" w14:paraId="72EA105F" w14:textId="77777777" w:rsidTr="00980660">
        <w:trPr>
          <w:cantSplit/>
        </w:trPr>
        <w:tc>
          <w:tcPr>
            <w:tcW w:w="817" w:type="dxa"/>
            <w:tcBorders>
              <w:bottom w:val="single" w:sz="6" w:space="0" w:color="000000"/>
            </w:tcBorders>
          </w:tcPr>
          <w:p w14:paraId="25D3173E" w14:textId="77777777" w:rsidR="001F0D49" w:rsidRDefault="00000000">
            <w:pPr>
              <w:keepLines/>
            </w:pPr>
            <w:r>
              <w:t>ATD-BIB-006</w:t>
            </w:r>
          </w:p>
        </w:tc>
        <w:tc>
          <w:tcPr>
            <w:tcW w:w="2693" w:type="dxa"/>
            <w:tcBorders>
              <w:bottom w:val="single" w:sz="6" w:space="0" w:color="000000"/>
            </w:tcBorders>
          </w:tcPr>
          <w:p w14:paraId="2E2F5E9F" w14:textId="77777777" w:rsidR="001F0D49" w:rsidRDefault="00000000">
            <w:pPr>
              <w:keepLines/>
            </w:pPr>
            <w:r>
              <w:t>Eppler &amp; Mengis (2004) — information overload</w:t>
            </w:r>
          </w:p>
        </w:tc>
        <w:tc>
          <w:tcPr>
            <w:tcW w:w="1560" w:type="dxa"/>
            <w:tcBorders>
              <w:bottom w:val="single" w:sz="6" w:space="0" w:color="000000"/>
            </w:tcBorders>
          </w:tcPr>
          <w:p w14:paraId="6A4DBCF8" w14:textId="77777777" w:rsidR="001F0D49" w:rsidRDefault="00000000">
            <w:pPr>
              <w:keepLines/>
            </w:pPr>
            <w:r>
              <w:t>context degradation</w:t>
            </w:r>
          </w:p>
        </w:tc>
        <w:tc>
          <w:tcPr>
            <w:tcW w:w="4161" w:type="dxa"/>
            <w:tcBorders>
              <w:bottom w:val="single" w:sz="6" w:space="0" w:color="000000"/>
            </w:tcBorders>
          </w:tcPr>
          <w:p w14:paraId="435773AC" w14:textId="77777777" w:rsidR="001F0D49" w:rsidRDefault="00000000">
            <w:pPr>
              <w:keepLines/>
            </w:pPr>
            <w:r>
              <w:t>Review foundation for information overload as a mechanism that degrades context processing.</w:t>
            </w:r>
          </w:p>
        </w:tc>
        <w:tc>
          <w:tcPr>
            <w:tcW w:w="1225" w:type="dxa"/>
            <w:tcBorders>
              <w:bottom w:val="single" w:sz="6" w:space="0" w:color="000000"/>
            </w:tcBorders>
          </w:tcPr>
          <w:p w14:paraId="0CFD77D0" w14:textId="77777777" w:rsidR="001F0D49" w:rsidRDefault="00000000">
            <w:pPr>
              <w:keepLines/>
            </w:pPr>
            <w:r>
              <w:t>core</w:t>
            </w:r>
          </w:p>
        </w:tc>
      </w:tr>
      <w:tr w:rsidR="001F0D49" w14:paraId="1A35B6D2" w14:textId="77777777" w:rsidTr="00980660">
        <w:trPr>
          <w:cantSplit/>
        </w:trPr>
        <w:tc>
          <w:tcPr>
            <w:tcW w:w="817" w:type="dxa"/>
            <w:tcBorders>
              <w:bottom w:val="single" w:sz="6" w:space="0" w:color="000000"/>
            </w:tcBorders>
          </w:tcPr>
          <w:p w14:paraId="1882F3FE" w14:textId="77777777" w:rsidR="001F0D49" w:rsidRDefault="00000000">
            <w:pPr>
              <w:keepLines/>
            </w:pPr>
            <w:r>
              <w:t>ATD-BIB-007</w:t>
            </w:r>
          </w:p>
        </w:tc>
        <w:tc>
          <w:tcPr>
            <w:tcW w:w="2693" w:type="dxa"/>
            <w:tcBorders>
              <w:bottom w:val="single" w:sz="6" w:space="0" w:color="000000"/>
            </w:tcBorders>
          </w:tcPr>
          <w:p w14:paraId="72D704E7" w14:textId="77777777" w:rsidR="001F0D49" w:rsidRDefault="00000000">
            <w:pPr>
              <w:keepLines/>
            </w:pPr>
            <w:r>
              <w:t>Parnin &amp; Rugaber (2011) — context reconstruction</w:t>
            </w:r>
          </w:p>
        </w:tc>
        <w:tc>
          <w:tcPr>
            <w:tcW w:w="1560" w:type="dxa"/>
            <w:tcBorders>
              <w:bottom w:val="single" w:sz="6" w:space="0" w:color="000000"/>
            </w:tcBorders>
          </w:tcPr>
          <w:p w14:paraId="3DE40382" w14:textId="77777777" w:rsidR="001F0D49" w:rsidRDefault="00000000">
            <w:pPr>
              <w:keepLines/>
            </w:pPr>
            <w:r>
              <w:t>context degradation</w:t>
            </w:r>
          </w:p>
        </w:tc>
        <w:tc>
          <w:tcPr>
            <w:tcW w:w="4161" w:type="dxa"/>
            <w:tcBorders>
              <w:bottom w:val="single" w:sz="6" w:space="0" w:color="000000"/>
            </w:tcBorders>
          </w:tcPr>
          <w:p w14:paraId="6F677A26" w14:textId="77777777" w:rsidR="001F0D49" w:rsidRDefault="00000000">
            <w:pPr>
              <w:keepLines/>
            </w:pPr>
            <w:r>
              <w:t>Direct anchor for the cost of context reconstruction after interruptions.</w:t>
            </w:r>
          </w:p>
        </w:tc>
        <w:tc>
          <w:tcPr>
            <w:tcW w:w="1225" w:type="dxa"/>
            <w:tcBorders>
              <w:bottom w:val="single" w:sz="6" w:space="0" w:color="000000"/>
            </w:tcBorders>
          </w:tcPr>
          <w:p w14:paraId="6FC60188" w14:textId="77777777" w:rsidR="001F0D49" w:rsidRDefault="00000000">
            <w:pPr>
              <w:keepLines/>
            </w:pPr>
            <w:r>
              <w:t>core</w:t>
            </w:r>
          </w:p>
        </w:tc>
      </w:tr>
      <w:tr w:rsidR="001F0D49" w14:paraId="04F59854" w14:textId="77777777" w:rsidTr="00980660">
        <w:trPr>
          <w:cantSplit/>
        </w:trPr>
        <w:tc>
          <w:tcPr>
            <w:tcW w:w="817" w:type="dxa"/>
            <w:tcBorders>
              <w:bottom w:val="single" w:sz="6" w:space="0" w:color="000000"/>
            </w:tcBorders>
          </w:tcPr>
          <w:p w14:paraId="19B345DF" w14:textId="77777777" w:rsidR="001F0D49" w:rsidRDefault="00000000">
            <w:pPr>
              <w:keepLines/>
            </w:pPr>
            <w:r>
              <w:t>ATD-BIB-008</w:t>
            </w:r>
          </w:p>
        </w:tc>
        <w:tc>
          <w:tcPr>
            <w:tcW w:w="2693" w:type="dxa"/>
            <w:tcBorders>
              <w:bottom w:val="single" w:sz="6" w:space="0" w:color="000000"/>
            </w:tcBorders>
          </w:tcPr>
          <w:p w14:paraId="0D8C3C9A" w14:textId="77777777" w:rsidR="001F0D49" w:rsidRDefault="00000000">
            <w:pPr>
              <w:keepLines/>
            </w:pPr>
            <w:r>
              <w:t>Baker, Bloom &amp; Davis (2016) — EPU</w:t>
            </w:r>
          </w:p>
        </w:tc>
        <w:tc>
          <w:tcPr>
            <w:tcW w:w="1560" w:type="dxa"/>
            <w:tcBorders>
              <w:bottom w:val="single" w:sz="6" w:space="0" w:color="000000"/>
            </w:tcBorders>
          </w:tcPr>
          <w:p w14:paraId="57FDA973" w14:textId="77777777" w:rsidR="001F0D49" w:rsidRDefault="00000000">
            <w:pPr>
              <w:keepLines/>
            </w:pPr>
            <w:r>
              <w:t>complexity pressure</w:t>
            </w:r>
          </w:p>
        </w:tc>
        <w:tc>
          <w:tcPr>
            <w:tcW w:w="4161" w:type="dxa"/>
            <w:tcBorders>
              <w:bottom w:val="single" w:sz="6" w:space="0" w:color="000000"/>
            </w:tcBorders>
          </w:tcPr>
          <w:p w14:paraId="395A81E3" w14:textId="77777777" w:rsidR="001F0D49" w:rsidRDefault="00000000">
            <w:pPr>
              <w:keepLines/>
            </w:pPr>
            <w:r>
              <w:t>Key data-producing anchor for policy uncertainty as a pressure-layer signal.</w:t>
            </w:r>
          </w:p>
        </w:tc>
        <w:tc>
          <w:tcPr>
            <w:tcW w:w="1225" w:type="dxa"/>
            <w:tcBorders>
              <w:bottom w:val="single" w:sz="6" w:space="0" w:color="000000"/>
            </w:tcBorders>
          </w:tcPr>
          <w:p w14:paraId="6035A486" w14:textId="77777777" w:rsidR="001F0D49" w:rsidRDefault="00000000">
            <w:pPr>
              <w:keepLines/>
            </w:pPr>
            <w:r>
              <w:t>core</w:t>
            </w:r>
          </w:p>
        </w:tc>
      </w:tr>
      <w:tr w:rsidR="001F0D49" w14:paraId="5588442E" w14:textId="77777777" w:rsidTr="00980660">
        <w:trPr>
          <w:cantSplit/>
        </w:trPr>
        <w:tc>
          <w:tcPr>
            <w:tcW w:w="817" w:type="dxa"/>
            <w:tcBorders>
              <w:bottom w:val="single" w:sz="6" w:space="0" w:color="000000"/>
            </w:tcBorders>
          </w:tcPr>
          <w:p w14:paraId="5CE1745A" w14:textId="77777777" w:rsidR="001F0D49" w:rsidRDefault="00000000">
            <w:pPr>
              <w:keepLines/>
            </w:pPr>
            <w:r>
              <w:t>ATD-BIB-009</w:t>
            </w:r>
          </w:p>
        </w:tc>
        <w:tc>
          <w:tcPr>
            <w:tcW w:w="2693" w:type="dxa"/>
            <w:tcBorders>
              <w:bottom w:val="single" w:sz="6" w:space="0" w:color="000000"/>
            </w:tcBorders>
          </w:tcPr>
          <w:p w14:paraId="5039967B" w14:textId="77777777" w:rsidR="001F0D49" w:rsidRDefault="00000000">
            <w:pPr>
              <w:keepLines/>
            </w:pPr>
            <w:r>
              <w:t>Ahir, Bloom &amp; Furceri — World Uncertainty Index</w:t>
            </w:r>
          </w:p>
        </w:tc>
        <w:tc>
          <w:tcPr>
            <w:tcW w:w="1560" w:type="dxa"/>
            <w:tcBorders>
              <w:bottom w:val="single" w:sz="6" w:space="0" w:color="000000"/>
            </w:tcBorders>
          </w:tcPr>
          <w:p w14:paraId="4C4EDB34" w14:textId="77777777" w:rsidR="001F0D49" w:rsidRDefault="00000000">
            <w:pPr>
              <w:keepLines/>
            </w:pPr>
            <w:r>
              <w:t>complexity pressure</w:t>
            </w:r>
          </w:p>
        </w:tc>
        <w:tc>
          <w:tcPr>
            <w:tcW w:w="4161" w:type="dxa"/>
            <w:tcBorders>
              <w:bottom w:val="single" w:sz="6" w:space="0" w:color="000000"/>
            </w:tcBorders>
          </w:tcPr>
          <w:p w14:paraId="083C30A9" w14:textId="77777777" w:rsidR="001F0D49" w:rsidRDefault="00000000">
            <w:pPr>
              <w:keepLines/>
            </w:pPr>
            <w:r>
              <w:t>Global anchor for the uncertainty layer and cross-country pressure trends.</w:t>
            </w:r>
          </w:p>
        </w:tc>
        <w:tc>
          <w:tcPr>
            <w:tcW w:w="1225" w:type="dxa"/>
            <w:tcBorders>
              <w:bottom w:val="single" w:sz="6" w:space="0" w:color="000000"/>
            </w:tcBorders>
          </w:tcPr>
          <w:p w14:paraId="082383E9" w14:textId="77777777" w:rsidR="001F0D49" w:rsidRDefault="00000000">
            <w:pPr>
              <w:keepLines/>
            </w:pPr>
            <w:r>
              <w:t>core</w:t>
            </w:r>
          </w:p>
        </w:tc>
      </w:tr>
      <w:tr w:rsidR="001F0D49" w14:paraId="21AF4752" w14:textId="77777777" w:rsidTr="00980660">
        <w:trPr>
          <w:cantSplit/>
        </w:trPr>
        <w:tc>
          <w:tcPr>
            <w:tcW w:w="817" w:type="dxa"/>
            <w:tcBorders>
              <w:bottom w:val="single" w:sz="6" w:space="0" w:color="000000"/>
            </w:tcBorders>
          </w:tcPr>
          <w:p w14:paraId="67AC7DF0" w14:textId="77777777" w:rsidR="001F0D49" w:rsidRDefault="00000000">
            <w:pPr>
              <w:keepLines/>
            </w:pPr>
            <w:r>
              <w:t>ATD-BIB-010</w:t>
            </w:r>
          </w:p>
        </w:tc>
        <w:tc>
          <w:tcPr>
            <w:tcW w:w="2693" w:type="dxa"/>
            <w:tcBorders>
              <w:bottom w:val="single" w:sz="6" w:space="0" w:color="000000"/>
            </w:tcBorders>
          </w:tcPr>
          <w:p w14:paraId="5F68493C" w14:textId="77777777" w:rsidR="001F0D49" w:rsidRDefault="00000000">
            <w:pPr>
              <w:keepLines/>
            </w:pPr>
            <w:r>
              <w:t>Caldara &amp; Iacoviello (2022) — Geopolitical Risk</w:t>
            </w:r>
          </w:p>
        </w:tc>
        <w:tc>
          <w:tcPr>
            <w:tcW w:w="1560" w:type="dxa"/>
            <w:tcBorders>
              <w:bottom w:val="single" w:sz="6" w:space="0" w:color="000000"/>
            </w:tcBorders>
          </w:tcPr>
          <w:p w14:paraId="3ECE75F6" w14:textId="77777777" w:rsidR="001F0D49" w:rsidRDefault="00000000">
            <w:pPr>
              <w:keepLines/>
            </w:pPr>
            <w:r>
              <w:t>complexity pressure</w:t>
            </w:r>
          </w:p>
        </w:tc>
        <w:tc>
          <w:tcPr>
            <w:tcW w:w="4161" w:type="dxa"/>
            <w:tcBorders>
              <w:bottom w:val="single" w:sz="6" w:space="0" w:color="000000"/>
            </w:tcBorders>
          </w:tcPr>
          <w:p w14:paraId="11903F2D" w14:textId="77777777" w:rsidR="001F0D49" w:rsidRDefault="00000000">
            <w:pPr>
              <w:keepLines/>
            </w:pPr>
            <w:r>
              <w:t>Extends the pressure layer through geopolitical instability.</w:t>
            </w:r>
          </w:p>
        </w:tc>
        <w:tc>
          <w:tcPr>
            <w:tcW w:w="1225" w:type="dxa"/>
            <w:tcBorders>
              <w:bottom w:val="single" w:sz="6" w:space="0" w:color="000000"/>
            </w:tcBorders>
          </w:tcPr>
          <w:p w14:paraId="65D46EE5" w14:textId="77777777" w:rsidR="001F0D49" w:rsidRDefault="00000000">
            <w:pPr>
              <w:keepLines/>
            </w:pPr>
            <w:r>
              <w:t>core</w:t>
            </w:r>
          </w:p>
        </w:tc>
      </w:tr>
      <w:tr w:rsidR="001F0D49" w14:paraId="66A09AB7" w14:textId="77777777" w:rsidTr="00980660">
        <w:trPr>
          <w:cantSplit/>
        </w:trPr>
        <w:tc>
          <w:tcPr>
            <w:tcW w:w="817" w:type="dxa"/>
            <w:tcBorders>
              <w:bottom w:val="single" w:sz="6" w:space="0" w:color="000000"/>
            </w:tcBorders>
          </w:tcPr>
          <w:p w14:paraId="5C4FDF7E" w14:textId="77777777" w:rsidR="001F0D49" w:rsidRDefault="00000000">
            <w:pPr>
              <w:keepLines/>
            </w:pPr>
            <w:r>
              <w:t>ATD-BIB-011</w:t>
            </w:r>
          </w:p>
        </w:tc>
        <w:tc>
          <w:tcPr>
            <w:tcW w:w="2693" w:type="dxa"/>
            <w:tcBorders>
              <w:bottom w:val="single" w:sz="6" w:space="0" w:color="000000"/>
            </w:tcBorders>
          </w:tcPr>
          <w:p w14:paraId="7F3DC248" w14:textId="77777777" w:rsidR="001F0D49" w:rsidRDefault="00000000">
            <w:pPr>
              <w:keepLines/>
            </w:pPr>
            <w:r>
              <w:t>Mercatus RegData / QuantGov</w:t>
            </w:r>
          </w:p>
        </w:tc>
        <w:tc>
          <w:tcPr>
            <w:tcW w:w="1560" w:type="dxa"/>
            <w:tcBorders>
              <w:bottom w:val="single" w:sz="6" w:space="0" w:color="000000"/>
            </w:tcBorders>
          </w:tcPr>
          <w:p w14:paraId="7F53385E" w14:textId="77777777" w:rsidR="001F0D49" w:rsidRDefault="00000000">
            <w:pPr>
              <w:keepLines/>
            </w:pPr>
            <w:r>
              <w:t>complexity pressure</w:t>
            </w:r>
          </w:p>
        </w:tc>
        <w:tc>
          <w:tcPr>
            <w:tcW w:w="4161" w:type="dxa"/>
            <w:tcBorders>
              <w:bottom w:val="single" w:sz="6" w:space="0" w:color="000000"/>
            </w:tcBorders>
          </w:tcPr>
          <w:p w14:paraId="36A663DD" w14:textId="77777777" w:rsidR="001F0D49" w:rsidRDefault="00000000">
            <w:pPr>
              <w:keepLines/>
            </w:pPr>
            <w:r>
              <w:t>Key anchor for the accumulation of regulatory complexity and normative pressure.</w:t>
            </w:r>
          </w:p>
        </w:tc>
        <w:tc>
          <w:tcPr>
            <w:tcW w:w="1225" w:type="dxa"/>
            <w:tcBorders>
              <w:bottom w:val="single" w:sz="6" w:space="0" w:color="000000"/>
            </w:tcBorders>
          </w:tcPr>
          <w:p w14:paraId="2851D68D" w14:textId="77777777" w:rsidR="001F0D49" w:rsidRDefault="00000000">
            <w:pPr>
              <w:keepLines/>
            </w:pPr>
            <w:r>
              <w:t>core</w:t>
            </w:r>
          </w:p>
        </w:tc>
      </w:tr>
      <w:tr w:rsidR="001F0D49" w14:paraId="7786036B" w14:textId="77777777" w:rsidTr="00980660">
        <w:trPr>
          <w:cantSplit/>
        </w:trPr>
        <w:tc>
          <w:tcPr>
            <w:tcW w:w="817" w:type="dxa"/>
            <w:tcBorders>
              <w:bottom w:val="single" w:sz="6" w:space="0" w:color="000000"/>
            </w:tcBorders>
          </w:tcPr>
          <w:p w14:paraId="3A5C40DD" w14:textId="77777777" w:rsidR="001F0D49" w:rsidRDefault="00000000">
            <w:pPr>
              <w:keepLines/>
            </w:pPr>
            <w:r>
              <w:lastRenderedPageBreak/>
              <w:t>ATD-BIB-012</w:t>
            </w:r>
          </w:p>
        </w:tc>
        <w:tc>
          <w:tcPr>
            <w:tcW w:w="2693" w:type="dxa"/>
            <w:tcBorders>
              <w:bottom w:val="single" w:sz="6" w:space="0" w:color="000000"/>
            </w:tcBorders>
          </w:tcPr>
          <w:p w14:paraId="003124B9" w14:textId="77777777" w:rsidR="001F0D49" w:rsidRDefault="00000000">
            <w:pPr>
              <w:keepLines/>
            </w:pPr>
            <w:r>
              <w:t>OECD Productivity Database</w:t>
            </w:r>
          </w:p>
        </w:tc>
        <w:tc>
          <w:tcPr>
            <w:tcW w:w="1560" w:type="dxa"/>
            <w:tcBorders>
              <w:bottom w:val="single" w:sz="6" w:space="0" w:color="000000"/>
            </w:tcBorders>
          </w:tcPr>
          <w:p w14:paraId="785A76CA" w14:textId="77777777" w:rsidR="001F0D49" w:rsidRDefault="00000000">
            <w:pPr>
              <w:keepLines/>
            </w:pPr>
            <w:r>
              <w:t>adaptive erosion</w:t>
            </w:r>
          </w:p>
        </w:tc>
        <w:tc>
          <w:tcPr>
            <w:tcW w:w="4161" w:type="dxa"/>
            <w:tcBorders>
              <w:bottom w:val="single" w:sz="6" w:space="0" w:color="000000"/>
            </w:tcBorders>
          </w:tcPr>
          <w:p w14:paraId="418C1C52" w14:textId="77777777" w:rsidR="001F0D49" w:rsidRDefault="00000000">
            <w:pPr>
              <w:keepLines/>
            </w:pPr>
            <w:r>
              <w:t>Official anchor for productivity and erosion-side measurement.</w:t>
            </w:r>
          </w:p>
        </w:tc>
        <w:tc>
          <w:tcPr>
            <w:tcW w:w="1225" w:type="dxa"/>
            <w:tcBorders>
              <w:bottom w:val="single" w:sz="6" w:space="0" w:color="000000"/>
            </w:tcBorders>
          </w:tcPr>
          <w:p w14:paraId="37273E19" w14:textId="77777777" w:rsidR="001F0D49" w:rsidRDefault="00000000">
            <w:pPr>
              <w:keepLines/>
            </w:pPr>
            <w:r>
              <w:t>core</w:t>
            </w:r>
          </w:p>
        </w:tc>
      </w:tr>
      <w:tr w:rsidR="001F0D49" w14:paraId="08D57C2F" w14:textId="77777777" w:rsidTr="00980660">
        <w:trPr>
          <w:cantSplit/>
        </w:trPr>
        <w:tc>
          <w:tcPr>
            <w:tcW w:w="817" w:type="dxa"/>
            <w:tcBorders>
              <w:bottom w:val="single" w:sz="6" w:space="0" w:color="000000"/>
            </w:tcBorders>
          </w:tcPr>
          <w:p w14:paraId="6B3E24DE" w14:textId="77777777" w:rsidR="001F0D49" w:rsidRDefault="00000000">
            <w:pPr>
              <w:keepLines/>
            </w:pPr>
            <w:r>
              <w:t>ATD-BIB-013</w:t>
            </w:r>
          </w:p>
        </w:tc>
        <w:tc>
          <w:tcPr>
            <w:tcW w:w="2693" w:type="dxa"/>
            <w:tcBorders>
              <w:bottom w:val="single" w:sz="6" w:space="0" w:color="000000"/>
            </w:tcBorders>
          </w:tcPr>
          <w:p w14:paraId="4A19425F" w14:textId="77777777" w:rsidR="001F0D49" w:rsidRDefault="00000000">
            <w:pPr>
              <w:keepLines/>
            </w:pPr>
            <w:r>
              <w:t>Feenstra, Inklaar &amp; Timmer (2015) — The Next Generation of the Penn World Table</w:t>
            </w:r>
          </w:p>
        </w:tc>
        <w:tc>
          <w:tcPr>
            <w:tcW w:w="1560" w:type="dxa"/>
            <w:tcBorders>
              <w:bottom w:val="single" w:sz="6" w:space="0" w:color="000000"/>
            </w:tcBorders>
          </w:tcPr>
          <w:p w14:paraId="46141BBD" w14:textId="77777777" w:rsidR="001F0D49" w:rsidRDefault="00000000">
            <w:pPr>
              <w:keepLines/>
            </w:pPr>
            <w:r>
              <w:t>adaptive erosion</w:t>
            </w:r>
          </w:p>
        </w:tc>
        <w:tc>
          <w:tcPr>
            <w:tcW w:w="4161" w:type="dxa"/>
            <w:tcBorders>
              <w:bottom w:val="single" w:sz="6" w:space="0" w:color="000000"/>
            </w:tcBorders>
          </w:tcPr>
          <w:p w14:paraId="0C790AB7" w14:textId="77777777" w:rsidR="001F0D49" w:rsidRDefault="00000000">
            <w:pPr>
              <w:keepLines/>
            </w:pPr>
            <w:r>
              <w:t>Foundational methodological article for the use of Penn World Table; the PWT 11.0 release itself is listed separately in the dataset register.</w:t>
            </w:r>
          </w:p>
        </w:tc>
        <w:tc>
          <w:tcPr>
            <w:tcW w:w="1225" w:type="dxa"/>
            <w:tcBorders>
              <w:bottom w:val="single" w:sz="6" w:space="0" w:color="000000"/>
            </w:tcBorders>
          </w:tcPr>
          <w:p w14:paraId="1A9CB4EC" w14:textId="77777777" w:rsidR="001F0D49" w:rsidRDefault="00000000">
            <w:pPr>
              <w:keepLines/>
            </w:pPr>
            <w:r>
              <w:t>core</w:t>
            </w:r>
          </w:p>
        </w:tc>
      </w:tr>
      <w:tr w:rsidR="001F0D49" w14:paraId="60214616" w14:textId="77777777" w:rsidTr="00980660">
        <w:trPr>
          <w:cantSplit/>
        </w:trPr>
        <w:tc>
          <w:tcPr>
            <w:tcW w:w="817" w:type="dxa"/>
            <w:tcBorders>
              <w:bottom w:val="single" w:sz="6" w:space="0" w:color="000000"/>
            </w:tcBorders>
          </w:tcPr>
          <w:p w14:paraId="0109BE44" w14:textId="77777777" w:rsidR="001F0D49" w:rsidRDefault="00000000">
            <w:pPr>
              <w:keepLines/>
            </w:pPr>
            <w:r>
              <w:t>ATD-BIB-014</w:t>
            </w:r>
          </w:p>
        </w:tc>
        <w:tc>
          <w:tcPr>
            <w:tcW w:w="2693" w:type="dxa"/>
            <w:tcBorders>
              <w:bottom w:val="single" w:sz="6" w:space="0" w:color="000000"/>
            </w:tcBorders>
          </w:tcPr>
          <w:p w14:paraId="6DD4EA1A" w14:textId="77777777" w:rsidR="001F0D49" w:rsidRDefault="00000000">
            <w:pPr>
              <w:keepLines/>
            </w:pPr>
            <w:r>
              <w:t>IHME GBD — mental disorders</w:t>
            </w:r>
          </w:p>
        </w:tc>
        <w:tc>
          <w:tcPr>
            <w:tcW w:w="1560" w:type="dxa"/>
            <w:tcBorders>
              <w:bottom w:val="single" w:sz="6" w:space="0" w:color="000000"/>
            </w:tcBorders>
          </w:tcPr>
          <w:p w14:paraId="1C25D884" w14:textId="77777777" w:rsidR="001F0D49" w:rsidRDefault="00000000">
            <w:pPr>
              <w:keepLines/>
            </w:pPr>
            <w:r>
              <w:t>adaptive erosion</w:t>
            </w:r>
          </w:p>
        </w:tc>
        <w:tc>
          <w:tcPr>
            <w:tcW w:w="4161" w:type="dxa"/>
            <w:tcBorders>
              <w:bottom w:val="single" w:sz="6" w:space="0" w:color="000000"/>
            </w:tcBorders>
          </w:tcPr>
          <w:p w14:paraId="72F002B6" w14:textId="77777777" w:rsidR="001F0D49" w:rsidRDefault="00000000">
            <w:pPr>
              <w:keepLines/>
            </w:pPr>
            <w:r>
              <w:t>Official global anchor for the burden of anxiety and depression as a proxy for adaptive erosion.</w:t>
            </w:r>
          </w:p>
        </w:tc>
        <w:tc>
          <w:tcPr>
            <w:tcW w:w="1225" w:type="dxa"/>
            <w:tcBorders>
              <w:bottom w:val="single" w:sz="6" w:space="0" w:color="000000"/>
            </w:tcBorders>
          </w:tcPr>
          <w:p w14:paraId="7CA4FA3F" w14:textId="77777777" w:rsidR="001F0D49" w:rsidRDefault="00000000">
            <w:pPr>
              <w:keepLines/>
            </w:pPr>
            <w:r>
              <w:t>core</w:t>
            </w:r>
          </w:p>
        </w:tc>
      </w:tr>
      <w:tr w:rsidR="001F0D49" w14:paraId="4EC52EFB" w14:textId="77777777" w:rsidTr="00980660">
        <w:trPr>
          <w:cantSplit/>
        </w:trPr>
        <w:tc>
          <w:tcPr>
            <w:tcW w:w="817" w:type="dxa"/>
            <w:tcBorders>
              <w:bottom w:val="single" w:sz="6" w:space="0" w:color="000000"/>
            </w:tcBorders>
          </w:tcPr>
          <w:p w14:paraId="778A95ED" w14:textId="77777777" w:rsidR="001F0D49" w:rsidRDefault="00000000">
            <w:pPr>
              <w:keepLines/>
            </w:pPr>
            <w:r>
              <w:t>ATD-BIB-015</w:t>
            </w:r>
          </w:p>
        </w:tc>
        <w:tc>
          <w:tcPr>
            <w:tcW w:w="2693" w:type="dxa"/>
            <w:tcBorders>
              <w:bottom w:val="single" w:sz="6" w:space="0" w:color="000000"/>
            </w:tcBorders>
          </w:tcPr>
          <w:p w14:paraId="1AA6A06F" w14:textId="77777777" w:rsidR="001F0D49" w:rsidRDefault="00000000">
            <w:pPr>
              <w:keepLines/>
            </w:pPr>
            <w:r>
              <w:t>Santomauro et al. (2021) — COVID mental health burden</w:t>
            </w:r>
          </w:p>
        </w:tc>
        <w:tc>
          <w:tcPr>
            <w:tcW w:w="1560" w:type="dxa"/>
            <w:tcBorders>
              <w:bottom w:val="single" w:sz="6" w:space="0" w:color="000000"/>
            </w:tcBorders>
          </w:tcPr>
          <w:p w14:paraId="05657534" w14:textId="77777777" w:rsidR="001F0D49" w:rsidRDefault="00000000">
            <w:pPr>
              <w:keepLines/>
            </w:pPr>
            <w:r>
              <w:t>adaptive erosion</w:t>
            </w:r>
          </w:p>
        </w:tc>
        <w:tc>
          <w:tcPr>
            <w:tcW w:w="4161" w:type="dxa"/>
            <w:tcBorders>
              <w:bottom w:val="single" w:sz="6" w:space="0" w:color="000000"/>
            </w:tcBorders>
          </w:tcPr>
          <w:p w14:paraId="204E0C2E" w14:textId="77777777" w:rsidR="001F0D49" w:rsidRDefault="00000000">
            <w:pPr>
              <w:keepLines/>
            </w:pPr>
            <w:r>
              <w:t>Strong anchor for the growth of mental-health burden under shock conditions.</w:t>
            </w:r>
          </w:p>
        </w:tc>
        <w:tc>
          <w:tcPr>
            <w:tcW w:w="1225" w:type="dxa"/>
            <w:tcBorders>
              <w:bottom w:val="single" w:sz="6" w:space="0" w:color="000000"/>
            </w:tcBorders>
          </w:tcPr>
          <w:p w14:paraId="6D3614B4" w14:textId="77777777" w:rsidR="001F0D49" w:rsidRDefault="00000000">
            <w:pPr>
              <w:keepLines/>
            </w:pPr>
            <w:r>
              <w:t>core</w:t>
            </w:r>
          </w:p>
        </w:tc>
      </w:tr>
      <w:tr w:rsidR="001F0D49" w14:paraId="04E3CE74" w14:textId="77777777" w:rsidTr="00980660">
        <w:trPr>
          <w:cantSplit/>
        </w:trPr>
        <w:tc>
          <w:tcPr>
            <w:tcW w:w="817" w:type="dxa"/>
            <w:tcBorders>
              <w:bottom w:val="single" w:sz="6" w:space="0" w:color="000000"/>
            </w:tcBorders>
          </w:tcPr>
          <w:p w14:paraId="7DA83B1B" w14:textId="77777777" w:rsidR="001F0D49" w:rsidRDefault="00000000">
            <w:pPr>
              <w:keepLines/>
            </w:pPr>
            <w:r>
              <w:t>ATD-BIB-016</w:t>
            </w:r>
          </w:p>
        </w:tc>
        <w:tc>
          <w:tcPr>
            <w:tcW w:w="2693" w:type="dxa"/>
            <w:tcBorders>
              <w:bottom w:val="single" w:sz="6" w:space="0" w:color="000000"/>
            </w:tcBorders>
          </w:tcPr>
          <w:p w14:paraId="39F0788A" w14:textId="77777777" w:rsidR="001F0D49" w:rsidRDefault="00000000">
            <w:pPr>
              <w:keepLines/>
            </w:pPr>
            <w:r>
              <w:t>Duffy, Twenge &amp; Joiner (2019) — mood/anxiety trends</w:t>
            </w:r>
          </w:p>
        </w:tc>
        <w:tc>
          <w:tcPr>
            <w:tcW w:w="1560" w:type="dxa"/>
            <w:tcBorders>
              <w:bottom w:val="single" w:sz="6" w:space="0" w:color="000000"/>
            </w:tcBorders>
          </w:tcPr>
          <w:p w14:paraId="594D182E" w14:textId="77777777" w:rsidR="001F0D49" w:rsidRDefault="00000000">
            <w:pPr>
              <w:keepLines/>
            </w:pPr>
            <w:r>
              <w:t>adaptive erosion</w:t>
            </w:r>
          </w:p>
        </w:tc>
        <w:tc>
          <w:tcPr>
            <w:tcW w:w="4161" w:type="dxa"/>
            <w:tcBorders>
              <w:bottom w:val="single" w:sz="6" w:space="0" w:color="000000"/>
            </w:tcBorders>
          </w:tcPr>
          <w:p w14:paraId="7DA57293" w14:textId="77777777" w:rsidR="001F0D49" w:rsidRDefault="00000000">
            <w:pPr>
              <w:keepLines/>
            </w:pPr>
            <w:r>
              <w:t>Anchor for cohort-level growth in anxiety and depressive symptom burden among students.</w:t>
            </w:r>
          </w:p>
        </w:tc>
        <w:tc>
          <w:tcPr>
            <w:tcW w:w="1225" w:type="dxa"/>
            <w:tcBorders>
              <w:bottom w:val="single" w:sz="6" w:space="0" w:color="000000"/>
            </w:tcBorders>
          </w:tcPr>
          <w:p w14:paraId="4F2977C0" w14:textId="77777777" w:rsidR="001F0D49" w:rsidRDefault="00000000">
            <w:pPr>
              <w:keepLines/>
            </w:pPr>
            <w:r>
              <w:t>core</w:t>
            </w:r>
          </w:p>
        </w:tc>
      </w:tr>
      <w:tr w:rsidR="001F0D49" w14:paraId="48FF77F8" w14:textId="77777777" w:rsidTr="00980660">
        <w:trPr>
          <w:cantSplit/>
        </w:trPr>
        <w:tc>
          <w:tcPr>
            <w:tcW w:w="817" w:type="dxa"/>
            <w:tcBorders>
              <w:bottom w:val="single" w:sz="6" w:space="0" w:color="000000"/>
            </w:tcBorders>
          </w:tcPr>
          <w:p w14:paraId="3273F97B" w14:textId="77777777" w:rsidR="001F0D49" w:rsidRDefault="00000000">
            <w:pPr>
              <w:keepLines/>
            </w:pPr>
            <w:r>
              <w:t>ATD-BIB-017</w:t>
            </w:r>
          </w:p>
        </w:tc>
        <w:tc>
          <w:tcPr>
            <w:tcW w:w="2693" w:type="dxa"/>
            <w:tcBorders>
              <w:bottom w:val="single" w:sz="6" w:space="0" w:color="000000"/>
            </w:tcBorders>
          </w:tcPr>
          <w:p w14:paraId="2636A626" w14:textId="77777777" w:rsidR="001F0D49" w:rsidRDefault="00000000">
            <w:pPr>
              <w:keepLines/>
            </w:pPr>
            <w:r>
              <w:t>Krokstad et al. (2022) — Divergent decennial trends in mental health according to age reveal poorer mental health for young people</w:t>
            </w:r>
          </w:p>
        </w:tc>
        <w:tc>
          <w:tcPr>
            <w:tcW w:w="1560" w:type="dxa"/>
            <w:tcBorders>
              <w:bottom w:val="single" w:sz="6" w:space="0" w:color="000000"/>
            </w:tcBorders>
          </w:tcPr>
          <w:p w14:paraId="1990B7B4" w14:textId="77777777" w:rsidR="001F0D49" w:rsidRDefault="00000000">
            <w:pPr>
              <w:keepLines/>
            </w:pPr>
            <w:r>
              <w:t>adaptive erosion</w:t>
            </w:r>
          </w:p>
        </w:tc>
        <w:tc>
          <w:tcPr>
            <w:tcW w:w="4161" w:type="dxa"/>
            <w:tcBorders>
              <w:bottom w:val="single" w:sz="6" w:space="0" w:color="000000"/>
            </w:tcBorders>
          </w:tcPr>
          <w:p w14:paraId="5FE43B32" w14:textId="77777777" w:rsidR="001F0D49" w:rsidRDefault="00000000">
            <w:pPr>
              <w:keepLines/>
            </w:pPr>
            <w:r>
              <w:t>International support for age and cohort differences in mental-distress dynamics beyond US-only data.</w:t>
            </w:r>
          </w:p>
        </w:tc>
        <w:tc>
          <w:tcPr>
            <w:tcW w:w="1225" w:type="dxa"/>
            <w:tcBorders>
              <w:bottom w:val="single" w:sz="6" w:space="0" w:color="000000"/>
            </w:tcBorders>
          </w:tcPr>
          <w:p w14:paraId="51BFDFF4" w14:textId="77777777" w:rsidR="001F0D49" w:rsidRDefault="00000000">
            <w:pPr>
              <w:keepLines/>
            </w:pPr>
            <w:r>
              <w:t>core</w:t>
            </w:r>
          </w:p>
        </w:tc>
      </w:tr>
      <w:tr w:rsidR="001F0D49" w14:paraId="09F8BEE3" w14:textId="77777777" w:rsidTr="00980660">
        <w:trPr>
          <w:cantSplit/>
        </w:trPr>
        <w:tc>
          <w:tcPr>
            <w:tcW w:w="817" w:type="dxa"/>
            <w:tcBorders>
              <w:bottom w:val="single" w:sz="6" w:space="0" w:color="000000"/>
            </w:tcBorders>
          </w:tcPr>
          <w:p w14:paraId="0BAA4741" w14:textId="77777777" w:rsidR="001F0D49" w:rsidRDefault="00000000">
            <w:pPr>
              <w:keepLines/>
            </w:pPr>
            <w:r>
              <w:t>ATD-BIB-018</w:t>
            </w:r>
          </w:p>
        </w:tc>
        <w:tc>
          <w:tcPr>
            <w:tcW w:w="2693" w:type="dxa"/>
            <w:tcBorders>
              <w:bottom w:val="single" w:sz="6" w:space="0" w:color="000000"/>
            </w:tcBorders>
          </w:tcPr>
          <w:p w14:paraId="1E7C3A25" w14:textId="77777777" w:rsidR="001F0D49" w:rsidRDefault="00000000">
            <w:pPr>
              <w:keepLines/>
            </w:pPr>
            <w:r>
              <w:t>Twenge &amp; Haidt et al. (2021) — loneliness trends</w:t>
            </w:r>
          </w:p>
        </w:tc>
        <w:tc>
          <w:tcPr>
            <w:tcW w:w="1560" w:type="dxa"/>
            <w:tcBorders>
              <w:bottom w:val="single" w:sz="6" w:space="0" w:color="000000"/>
            </w:tcBorders>
          </w:tcPr>
          <w:p w14:paraId="1ECF5364" w14:textId="77777777" w:rsidR="001F0D49" w:rsidRDefault="00000000">
            <w:pPr>
              <w:keepLines/>
            </w:pPr>
            <w:r>
              <w:t>adaptive erosion</w:t>
            </w:r>
          </w:p>
        </w:tc>
        <w:tc>
          <w:tcPr>
            <w:tcW w:w="4161" w:type="dxa"/>
            <w:tcBorders>
              <w:bottom w:val="single" w:sz="6" w:space="0" w:color="000000"/>
            </w:tcBorders>
          </w:tcPr>
          <w:p w14:paraId="12BEF4C7" w14:textId="77777777" w:rsidR="001F0D49" w:rsidRDefault="00000000">
            <w:pPr>
              <w:keepLines/>
            </w:pPr>
            <w:r>
              <w:t>Supports the proxy bundle around psychosocial burden and adaptation stress in younger cohorts.</w:t>
            </w:r>
          </w:p>
        </w:tc>
        <w:tc>
          <w:tcPr>
            <w:tcW w:w="1225" w:type="dxa"/>
            <w:tcBorders>
              <w:bottom w:val="single" w:sz="6" w:space="0" w:color="000000"/>
            </w:tcBorders>
          </w:tcPr>
          <w:p w14:paraId="42C13AC7" w14:textId="77777777" w:rsidR="001F0D49" w:rsidRDefault="00000000">
            <w:pPr>
              <w:keepLines/>
            </w:pPr>
            <w:r>
              <w:t>core</w:t>
            </w:r>
          </w:p>
        </w:tc>
      </w:tr>
      <w:tr w:rsidR="001F0D49" w14:paraId="6E12BB1C" w14:textId="77777777" w:rsidTr="00980660">
        <w:trPr>
          <w:cantSplit/>
        </w:trPr>
        <w:tc>
          <w:tcPr>
            <w:tcW w:w="817" w:type="dxa"/>
            <w:tcBorders>
              <w:bottom w:val="single" w:sz="6" w:space="0" w:color="000000"/>
            </w:tcBorders>
          </w:tcPr>
          <w:p w14:paraId="26BFAEBB" w14:textId="77777777" w:rsidR="001F0D49" w:rsidRDefault="00000000">
            <w:pPr>
              <w:keepLines/>
            </w:pPr>
            <w:r>
              <w:t>ATD-BIB-019</w:t>
            </w:r>
          </w:p>
        </w:tc>
        <w:tc>
          <w:tcPr>
            <w:tcW w:w="2693" w:type="dxa"/>
            <w:tcBorders>
              <w:bottom w:val="single" w:sz="6" w:space="0" w:color="000000"/>
            </w:tcBorders>
          </w:tcPr>
          <w:p w14:paraId="229F127A" w14:textId="77777777" w:rsidR="001F0D49" w:rsidRDefault="00000000">
            <w:pPr>
              <w:keepLines/>
            </w:pPr>
            <w:r>
              <w:t>Twenge (2000) — age of anxiety</w:t>
            </w:r>
          </w:p>
        </w:tc>
        <w:tc>
          <w:tcPr>
            <w:tcW w:w="1560" w:type="dxa"/>
            <w:tcBorders>
              <w:bottom w:val="single" w:sz="6" w:space="0" w:color="000000"/>
            </w:tcBorders>
          </w:tcPr>
          <w:p w14:paraId="4B94A44B" w14:textId="77777777" w:rsidR="001F0D49" w:rsidRDefault="00000000">
            <w:pPr>
              <w:keepLines/>
            </w:pPr>
            <w:r>
              <w:t>adaptive erosion</w:t>
            </w:r>
          </w:p>
        </w:tc>
        <w:tc>
          <w:tcPr>
            <w:tcW w:w="4161" w:type="dxa"/>
            <w:tcBorders>
              <w:bottom w:val="single" w:sz="6" w:space="0" w:color="000000"/>
            </w:tcBorders>
          </w:tcPr>
          <w:p w14:paraId="206FA026" w14:textId="77777777" w:rsidR="001F0D49" w:rsidRDefault="00000000">
            <w:pPr>
              <w:keepLines/>
            </w:pPr>
            <w:r>
              <w:t>Historical anchor for the long-run rise of anxiety and neuroticism.</w:t>
            </w:r>
          </w:p>
        </w:tc>
        <w:tc>
          <w:tcPr>
            <w:tcW w:w="1225" w:type="dxa"/>
            <w:tcBorders>
              <w:bottom w:val="single" w:sz="6" w:space="0" w:color="000000"/>
            </w:tcBorders>
          </w:tcPr>
          <w:p w14:paraId="755F8F8B" w14:textId="77777777" w:rsidR="001F0D49" w:rsidRDefault="00000000">
            <w:pPr>
              <w:keepLines/>
            </w:pPr>
            <w:r>
              <w:t>core</w:t>
            </w:r>
          </w:p>
        </w:tc>
      </w:tr>
      <w:tr w:rsidR="001F0D49" w14:paraId="1B51F90E" w14:textId="77777777" w:rsidTr="00980660">
        <w:trPr>
          <w:cantSplit/>
        </w:trPr>
        <w:tc>
          <w:tcPr>
            <w:tcW w:w="817" w:type="dxa"/>
            <w:tcBorders>
              <w:bottom w:val="single" w:sz="6" w:space="0" w:color="000000"/>
            </w:tcBorders>
          </w:tcPr>
          <w:p w14:paraId="5FA10580" w14:textId="77777777" w:rsidR="001F0D49" w:rsidRDefault="00000000">
            <w:pPr>
              <w:keepLines/>
            </w:pPr>
            <w:r>
              <w:t>ATD-BIB-020</w:t>
            </w:r>
          </w:p>
        </w:tc>
        <w:tc>
          <w:tcPr>
            <w:tcW w:w="2693" w:type="dxa"/>
            <w:tcBorders>
              <w:bottom w:val="single" w:sz="6" w:space="0" w:color="000000"/>
            </w:tcBorders>
          </w:tcPr>
          <w:p w14:paraId="3F5CE1BB" w14:textId="77777777" w:rsidR="001F0D49" w:rsidRDefault="00000000">
            <w:pPr>
              <w:keepLines/>
            </w:pPr>
            <w:r>
              <w:t>Orben &amp; Przybylski (2019) — small digital effects</w:t>
            </w:r>
          </w:p>
        </w:tc>
        <w:tc>
          <w:tcPr>
            <w:tcW w:w="1560" w:type="dxa"/>
            <w:tcBorders>
              <w:bottom w:val="single" w:sz="6" w:space="0" w:color="000000"/>
            </w:tcBorders>
          </w:tcPr>
          <w:p w14:paraId="694CA1CA" w14:textId="77777777" w:rsidR="001F0D49" w:rsidRDefault="00000000">
            <w:pPr>
              <w:keepLines/>
            </w:pPr>
            <w:r>
              <w:t>adaptive erosion</w:t>
            </w:r>
          </w:p>
        </w:tc>
        <w:tc>
          <w:tcPr>
            <w:tcW w:w="4161" w:type="dxa"/>
            <w:tcBorders>
              <w:bottom w:val="single" w:sz="6" w:space="0" w:color="000000"/>
            </w:tcBorders>
          </w:tcPr>
          <w:p w14:paraId="3BE7C0F0" w14:textId="77777777" w:rsidR="001F0D49" w:rsidRDefault="00000000">
            <w:pPr>
              <w:keepLines/>
            </w:pPr>
            <w:r>
              <w:t>Key counter-anchor against overclaiming about digital harm.</w:t>
            </w:r>
          </w:p>
        </w:tc>
        <w:tc>
          <w:tcPr>
            <w:tcW w:w="1225" w:type="dxa"/>
            <w:tcBorders>
              <w:bottom w:val="single" w:sz="6" w:space="0" w:color="000000"/>
            </w:tcBorders>
          </w:tcPr>
          <w:p w14:paraId="44E18902" w14:textId="77777777" w:rsidR="001F0D49" w:rsidRDefault="00000000">
            <w:pPr>
              <w:keepLines/>
            </w:pPr>
            <w:r>
              <w:t>core</w:t>
            </w:r>
          </w:p>
        </w:tc>
      </w:tr>
      <w:tr w:rsidR="001F0D49" w14:paraId="5F24F535" w14:textId="77777777" w:rsidTr="00980660">
        <w:trPr>
          <w:cantSplit/>
        </w:trPr>
        <w:tc>
          <w:tcPr>
            <w:tcW w:w="817" w:type="dxa"/>
            <w:tcBorders>
              <w:bottom w:val="single" w:sz="6" w:space="0" w:color="000000"/>
            </w:tcBorders>
          </w:tcPr>
          <w:p w14:paraId="32CC5412" w14:textId="77777777" w:rsidR="001F0D49" w:rsidRDefault="00000000">
            <w:pPr>
              <w:keepLines/>
            </w:pPr>
            <w:r>
              <w:t>ATD-BIB-021</w:t>
            </w:r>
          </w:p>
        </w:tc>
        <w:tc>
          <w:tcPr>
            <w:tcW w:w="2693" w:type="dxa"/>
            <w:tcBorders>
              <w:bottom w:val="single" w:sz="6" w:space="0" w:color="000000"/>
            </w:tcBorders>
          </w:tcPr>
          <w:p w14:paraId="63C2030A" w14:textId="77777777" w:rsidR="001F0D49" w:rsidRDefault="00000000">
            <w:pPr>
              <w:keepLines/>
            </w:pPr>
            <w:r>
              <w:t>UN World Population Prospects 2024</w:t>
            </w:r>
          </w:p>
        </w:tc>
        <w:tc>
          <w:tcPr>
            <w:tcW w:w="1560" w:type="dxa"/>
            <w:tcBorders>
              <w:bottom w:val="single" w:sz="6" w:space="0" w:color="000000"/>
            </w:tcBorders>
          </w:tcPr>
          <w:p w14:paraId="24FB81EF" w14:textId="77777777" w:rsidR="001F0D49" w:rsidRDefault="00000000">
            <w:pPr>
              <w:keepLines/>
            </w:pPr>
            <w:r>
              <w:t>demographic anchor</w:t>
            </w:r>
          </w:p>
        </w:tc>
        <w:tc>
          <w:tcPr>
            <w:tcW w:w="4161" w:type="dxa"/>
            <w:tcBorders>
              <w:bottom w:val="single" w:sz="6" w:space="0" w:color="000000"/>
            </w:tcBorders>
          </w:tcPr>
          <w:p w14:paraId="5FB4657F" w14:textId="77777777" w:rsidR="001F0D49" w:rsidRDefault="00000000">
            <w:pPr>
              <w:keepLines/>
            </w:pPr>
            <w:r>
              <w:t>Primary official anchor for timing the intergenerational crossover.</w:t>
            </w:r>
          </w:p>
        </w:tc>
        <w:tc>
          <w:tcPr>
            <w:tcW w:w="1225" w:type="dxa"/>
            <w:tcBorders>
              <w:bottom w:val="single" w:sz="6" w:space="0" w:color="000000"/>
            </w:tcBorders>
          </w:tcPr>
          <w:p w14:paraId="26A69167" w14:textId="77777777" w:rsidR="001F0D49" w:rsidRDefault="00000000">
            <w:pPr>
              <w:keepLines/>
            </w:pPr>
            <w:r>
              <w:t>core</w:t>
            </w:r>
          </w:p>
        </w:tc>
      </w:tr>
      <w:tr w:rsidR="001F0D49" w14:paraId="4BAF1266" w14:textId="77777777" w:rsidTr="00980660">
        <w:trPr>
          <w:cantSplit/>
        </w:trPr>
        <w:tc>
          <w:tcPr>
            <w:tcW w:w="817" w:type="dxa"/>
            <w:tcBorders>
              <w:bottom w:val="single" w:sz="6" w:space="0" w:color="000000"/>
            </w:tcBorders>
          </w:tcPr>
          <w:p w14:paraId="27DFD576" w14:textId="77777777" w:rsidR="001F0D49" w:rsidRDefault="00000000">
            <w:pPr>
              <w:keepLines/>
            </w:pPr>
            <w:r>
              <w:t>ATD-BIB-022</w:t>
            </w:r>
          </w:p>
        </w:tc>
        <w:tc>
          <w:tcPr>
            <w:tcW w:w="2693" w:type="dxa"/>
            <w:tcBorders>
              <w:bottom w:val="single" w:sz="6" w:space="0" w:color="000000"/>
            </w:tcBorders>
          </w:tcPr>
          <w:p w14:paraId="510CD639" w14:textId="77777777" w:rsidR="001F0D49" w:rsidRDefault="00000000">
            <w:pPr>
              <w:keepLines/>
            </w:pPr>
            <w:r>
              <w:t>US Census population projections</w:t>
            </w:r>
          </w:p>
        </w:tc>
        <w:tc>
          <w:tcPr>
            <w:tcW w:w="1560" w:type="dxa"/>
            <w:tcBorders>
              <w:bottom w:val="single" w:sz="6" w:space="0" w:color="000000"/>
            </w:tcBorders>
          </w:tcPr>
          <w:p w14:paraId="7483380C" w14:textId="77777777" w:rsidR="001F0D49" w:rsidRDefault="00000000">
            <w:pPr>
              <w:keepLines/>
            </w:pPr>
            <w:r>
              <w:t>demographic anchor</w:t>
            </w:r>
          </w:p>
        </w:tc>
        <w:tc>
          <w:tcPr>
            <w:tcW w:w="4161" w:type="dxa"/>
            <w:tcBorders>
              <w:bottom w:val="single" w:sz="6" w:space="0" w:color="000000"/>
            </w:tcBorders>
          </w:tcPr>
          <w:p w14:paraId="690A216A" w14:textId="77777777" w:rsidR="001F0D49" w:rsidRDefault="00000000">
            <w:pPr>
              <w:keepLines/>
            </w:pPr>
            <w:r>
              <w:t>Regional anchor for time sensitivity and US calibration.</w:t>
            </w:r>
          </w:p>
        </w:tc>
        <w:tc>
          <w:tcPr>
            <w:tcW w:w="1225" w:type="dxa"/>
            <w:tcBorders>
              <w:bottom w:val="single" w:sz="6" w:space="0" w:color="000000"/>
            </w:tcBorders>
          </w:tcPr>
          <w:p w14:paraId="44B0BF7E" w14:textId="77777777" w:rsidR="001F0D49" w:rsidRDefault="00000000">
            <w:pPr>
              <w:keepLines/>
            </w:pPr>
            <w:r>
              <w:t>core</w:t>
            </w:r>
          </w:p>
        </w:tc>
      </w:tr>
      <w:tr w:rsidR="001F0D49" w14:paraId="7E273C66" w14:textId="77777777" w:rsidTr="00980660">
        <w:trPr>
          <w:cantSplit/>
        </w:trPr>
        <w:tc>
          <w:tcPr>
            <w:tcW w:w="817" w:type="dxa"/>
            <w:tcBorders>
              <w:bottom w:val="single" w:sz="6" w:space="0" w:color="000000"/>
            </w:tcBorders>
          </w:tcPr>
          <w:p w14:paraId="1661B3CA" w14:textId="77777777" w:rsidR="001F0D49" w:rsidRDefault="00000000">
            <w:pPr>
              <w:keepLines/>
            </w:pPr>
            <w:r>
              <w:t>ATD-BIB-023</w:t>
            </w:r>
          </w:p>
        </w:tc>
        <w:tc>
          <w:tcPr>
            <w:tcW w:w="2693" w:type="dxa"/>
            <w:tcBorders>
              <w:bottom w:val="single" w:sz="6" w:space="0" w:color="000000"/>
            </w:tcBorders>
          </w:tcPr>
          <w:p w14:paraId="3D3B12F7" w14:textId="77777777" w:rsidR="001F0D49" w:rsidRDefault="00000000">
            <w:pPr>
              <w:keepLines/>
            </w:pPr>
            <w:r>
              <w:t>Eurostat EUROPOP2023</w:t>
            </w:r>
          </w:p>
        </w:tc>
        <w:tc>
          <w:tcPr>
            <w:tcW w:w="1560" w:type="dxa"/>
            <w:tcBorders>
              <w:bottom w:val="single" w:sz="6" w:space="0" w:color="000000"/>
            </w:tcBorders>
          </w:tcPr>
          <w:p w14:paraId="1E536B9E" w14:textId="77777777" w:rsidR="001F0D49" w:rsidRDefault="00000000">
            <w:pPr>
              <w:keepLines/>
            </w:pPr>
            <w:r>
              <w:t>demographic anchor</w:t>
            </w:r>
          </w:p>
        </w:tc>
        <w:tc>
          <w:tcPr>
            <w:tcW w:w="4161" w:type="dxa"/>
            <w:tcBorders>
              <w:bottom w:val="single" w:sz="6" w:space="0" w:color="000000"/>
            </w:tcBorders>
          </w:tcPr>
          <w:p w14:paraId="015456BB" w14:textId="77777777" w:rsidR="001F0D49" w:rsidRDefault="00000000">
            <w:pPr>
              <w:keepLines/>
            </w:pPr>
            <w:r>
              <w:t>Regional anchor for timing variation in the EU.</w:t>
            </w:r>
          </w:p>
        </w:tc>
        <w:tc>
          <w:tcPr>
            <w:tcW w:w="1225" w:type="dxa"/>
            <w:tcBorders>
              <w:bottom w:val="single" w:sz="6" w:space="0" w:color="000000"/>
            </w:tcBorders>
          </w:tcPr>
          <w:p w14:paraId="1B8FFE9B" w14:textId="77777777" w:rsidR="001F0D49" w:rsidRDefault="00000000">
            <w:pPr>
              <w:keepLines/>
            </w:pPr>
            <w:r>
              <w:t>core</w:t>
            </w:r>
          </w:p>
        </w:tc>
      </w:tr>
      <w:tr w:rsidR="001F0D49" w14:paraId="28BC19FB" w14:textId="77777777" w:rsidTr="00980660">
        <w:trPr>
          <w:cantSplit/>
        </w:trPr>
        <w:tc>
          <w:tcPr>
            <w:tcW w:w="817" w:type="dxa"/>
            <w:tcBorders>
              <w:bottom w:val="single" w:sz="6" w:space="0" w:color="000000"/>
            </w:tcBorders>
          </w:tcPr>
          <w:p w14:paraId="42451452" w14:textId="77777777" w:rsidR="001F0D49" w:rsidRDefault="00000000">
            <w:pPr>
              <w:keepLines/>
            </w:pPr>
            <w:r>
              <w:lastRenderedPageBreak/>
              <w:t>ATD-BIB-024</w:t>
            </w:r>
          </w:p>
        </w:tc>
        <w:tc>
          <w:tcPr>
            <w:tcW w:w="2693" w:type="dxa"/>
            <w:tcBorders>
              <w:bottom w:val="single" w:sz="6" w:space="0" w:color="000000"/>
            </w:tcBorders>
          </w:tcPr>
          <w:p w14:paraId="6F296860" w14:textId="77777777" w:rsidR="001F0D49" w:rsidRDefault="00000000">
            <w:pPr>
              <w:keepLines/>
            </w:pPr>
            <w:r>
              <w:t>Twenge, Zhang &amp; Im (2004) — locus of control</w:t>
            </w:r>
          </w:p>
        </w:tc>
        <w:tc>
          <w:tcPr>
            <w:tcW w:w="1560" w:type="dxa"/>
            <w:tcBorders>
              <w:bottom w:val="single" w:sz="6" w:space="0" w:color="000000"/>
            </w:tcBorders>
          </w:tcPr>
          <w:p w14:paraId="22961BDE" w14:textId="77777777" w:rsidR="001F0D49" w:rsidRDefault="00000000">
            <w:pPr>
              <w:keepLines/>
            </w:pPr>
            <w:r>
              <w:t>agency-proxy bundle</w:t>
            </w:r>
          </w:p>
        </w:tc>
        <w:tc>
          <w:tcPr>
            <w:tcW w:w="4161" w:type="dxa"/>
            <w:tcBorders>
              <w:bottom w:val="single" w:sz="6" w:space="0" w:color="000000"/>
            </w:tcBorders>
          </w:tcPr>
          <w:p w14:paraId="73B7EA30" w14:textId="77777777" w:rsidR="001F0D49" w:rsidRDefault="00000000">
            <w:pPr>
              <w:keepLines/>
            </w:pPr>
            <w:r>
              <w:t>Main support for the rise of external locus of control, but only with explicit contested-status marking.</w:t>
            </w:r>
          </w:p>
        </w:tc>
        <w:tc>
          <w:tcPr>
            <w:tcW w:w="1225" w:type="dxa"/>
            <w:tcBorders>
              <w:bottom w:val="single" w:sz="6" w:space="0" w:color="000000"/>
            </w:tcBorders>
          </w:tcPr>
          <w:p w14:paraId="71A02BC5" w14:textId="77777777" w:rsidR="001F0D49" w:rsidRDefault="00000000">
            <w:pPr>
              <w:keepLines/>
            </w:pPr>
            <w:r>
              <w:t>core</w:t>
            </w:r>
          </w:p>
        </w:tc>
      </w:tr>
      <w:tr w:rsidR="001F0D49" w14:paraId="156C460B" w14:textId="77777777" w:rsidTr="00980660">
        <w:trPr>
          <w:cantSplit/>
        </w:trPr>
        <w:tc>
          <w:tcPr>
            <w:tcW w:w="817" w:type="dxa"/>
            <w:tcBorders>
              <w:bottom w:val="single" w:sz="6" w:space="0" w:color="000000"/>
            </w:tcBorders>
          </w:tcPr>
          <w:p w14:paraId="533D7DEF" w14:textId="77777777" w:rsidR="001F0D49" w:rsidRDefault="00000000">
            <w:pPr>
              <w:keepLines/>
            </w:pPr>
            <w:r>
              <w:t>ATD-BIB-025</w:t>
            </w:r>
          </w:p>
        </w:tc>
        <w:tc>
          <w:tcPr>
            <w:tcW w:w="2693" w:type="dxa"/>
            <w:tcBorders>
              <w:bottom w:val="single" w:sz="6" w:space="0" w:color="000000"/>
            </w:tcBorders>
          </w:tcPr>
          <w:p w14:paraId="79152C29" w14:textId="77777777" w:rsidR="001F0D49" w:rsidRDefault="00000000">
            <w:pPr>
              <w:keepLines/>
            </w:pPr>
            <w:r>
              <w:t>Trzesniewski &amp; Donnellan (2010) — Rethinking Generation Me</w:t>
            </w:r>
          </w:p>
        </w:tc>
        <w:tc>
          <w:tcPr>
            <w:tcW w:w="1560" w:type="dxa"/>
            <w:tcBorders>
              <w:bottom w:val="single" w:sz="6" w:space="0" w:color="000000"/>
            </w:tcBorders>
          </w:tcPr>
          <w:p w14:paraId="3C4C2824" w14:textId="77777777" w:rsidR="001F0D49" w:rsidRDefault="00000000">
            <w:pPr>
              <w:keepLines/>
            </w:pPr>
            <w:r>
              <w:t>agency-proxy bundle</w:t>
            </w:r>
          </w:p>
        </w:tc>
        <w:tc>
          <w:tcPr>
            <w:tcW w:w="4161" w:type="dxa"/>
            <w:tcBorders>
              <w:bottom w:val="single" w:sz="6" w:space="0" w:color="000000"/>
            </w:tcBorders>
          </w:tcPr>
          <w:p w14:paraId="50ACC1AC" w14:textId="77777777" w:rsidR="001F0D49" w:rsidRDefault="00000000">
            <w:pPr>
              <w:keepLines/>
            </w:pPr>
            <w:r>
              <w:t>Main counter-anchor against overstated claims about cohort declines in locus of control and self-esteem.</w:t>
            </w:r>
          </w:p>
        </w:tc>
        <w:tc>
          <w:tcPr>
            <w:tcW w:w="1225" w:type="dxa"/>
            <w:tcBorders>
              <w:bottom w:val="single" w:sz="6" w:space="0" w:color="000000"/>
            </w:tcBorders>
          </w:tcPr>
          <w:p w14:paraId="0E8EC019" w14:textId="77777777" w:rsidR="001F0D49" w:rsidRDefault="00000000">
            <w:pPr>
              <w:keepLines/>
            </w:pPr>
            <w:r>
              <w:t>core</w:t>
            </w:r>
          </w:p>
        </w:tc>
      </w:tr>
      <w:tr w:rsidR="001F0D49" w14:paraId="6922B793" w14:textId="77777777" w:rsidTr="00980660">
        <w:trPr>
          <w:cantSplit/>
        </w:trPr>
        <w:tc>
          <w:tcPr>
            <w:tcW w:w="817" w:type="dxa"/>
            <w:tcBorders>
              <w:bottom w:val="single" w:sz="6" w:space="0" w:color="000000"/>
            </w:tcBorders>
          </w:tcPr>
          <w:p w14:paraId="75C7C7FE" w14:textId="77777777" w:rsidR="001F0D49" w:rsidRDefault="00000000">
            <w:pPr>
              <w:keepLines/>
            </w:pPr>
            <w:r>
              <w:t>ATD-BIB-026</w:t>
            </w:r>
          </w:p>
        </w:tc>
        <w:tc>
          <w:tcPr>
            <w:tcW w:w="2693" w:type="dxa"/>
            <w:tcBorders>
              <w:bottom w:val="single" w:sz="6" w:space="0" w:color="000000"/>
            </w:tcBorders>
          </w:tcPr>
          <w:p w14:paraId="0C505DBA" w14:textId="77777777" w:rsidR="001F0D49" w:rsidRDefault="00000000">
            <w:pPr>
              <w:keepLines/>
            </w:pPr>
            <w:r>
              <w:t>Costanza, Rudolph &amp; Zacher (2023) — Are generations a useful concept?</w:t>
            </w:r>
          </w:p>
        </w:tc>
        <w:tc>
          <w:tcPr>
            <w:tcW w:w="1560" w:type="dxa"/>
            <w:tcBorders>
              <w:bottom w:val="single" w:sz="6" w:space="0" w:color="000000"/>
            </w:tcBorders>
          </w:tcPr>
          <w:p w14:paraId="02286531" w14:textId="77777777" w:rsidR="001F0D49" w:rsidRDefault="00000000">
            <w:pPr>
              <w:keepLines/>
            </w:pPr>
            <w:r>
              <w:t>agency-proxy bundle</w:t>
            </w:r>
          </w:p>
        </w:tc>
        <w:tc>
          <w:tcPr>
            <w:tcW w:w="4161" w:type="dxa"/>
            <w:tcBorders>
              <w:bottom w:val="single" w:sz="6" w:space="0" w:color="000000"/>
            </w:tcBorders>
          </w:tcPr>
          <w:p w14:paraId="62BEBA40" w14:textId="77777777" w:rsidR="001F0D49" w:rsidRDefault="00000000">
            <w:pPr>
              <w:keepLines/>
            </w:pPr>
            <w:r>
              <w:t>Methodological anchor on the contested status of generational categories as an analytical unit.</w:t>
            </w:r>
          </w:p>
        </w:tc>
        <w:tc>
          <w:tcPr>
            <w:tcW w:w="1225" w:type="dxa"/>
            <w:tcBorders>
              <w:bottom w:val="single" w:sz="6" w:space="0" w:color="000000"/>
            </w:tcBorders>
          </w:tcPr>
          <w:p w14:paraId="49FC24F5" w14:textId="77777777" w:rsidR="001F0D49" w:rsidRDefault="00000000">
            <w:pPr>
              <w:keepLines/>
            </w:pPr>
            <w:r>
              <w:t>core</w:t>
            </w:r>
          </w:p>
        </w:tc>
      </w:tr>
      <w:tr w:rsidR="001F0D49" w14:paraId="0FEC9829" w14:textId="77777777" w:rsidTr="00980660">
        <w:trPr>
          <w:cantSplit/>
        </w:trPr>
        <w:tc>
          <w:tcPr>
            <w:tcW w:w="817" w:type="dxa"/>
            <w:tcBorders>
              <w:bottom w:val="single" w:sz="6" w:space="0" w:color="000000"/>
            </w:tcBorders>
          </w:tcPr>
          <w:p w14:paraId="73E963CE" w14:textId="77777777" w:rsidR="001F0D49" w:rsidRDefault="00000000">
            <w:pPr>
              <w:keepLines/>
            </w:pPr>
            <w:r>
              <w:t>ATD-BIB-027</w:t>
            </w:r>
          </w:p>
        </w:tc>
        <w:tc>
          <w:tcPr>
            <w:tcW w:w="2693" w:type="dxa"/>
            <w:tcBorders>
              <w:bottom w:val="single" w:sz="6" w:space="0" w:color="000000"/>
            </w:tcBorders>
          </w:tcPr>
          <w:p w14:paraId="5BA6DB22" w14:textId="77777777" w:rsidR="001F0D49" w:rsidRDefault="00000000">
            <w:pPr>
              <w:keepLines/>
            </w:pPr>
            <w:r>
              <w:t>Rudolph, Costanza, Wright &amp; Zacher (2020) — Cross-Temporal Meta-Analysis: A Conceptual and Empirical Critique</w:t>
            </w:r>
          </w:p>
        </w:tc>
        <w:tc>
          <w:tcPr>
            <w:tcW w:w="1560" w:type="dxa"/>
            <w:tcBorders>
              <w:bottom w:val="single" w:sz="6" w:space="0" w:color="000000"/>
            </w:tcBorders>
          </w:tcPr>
          <w:p w14:paraId="2B318696" w14:textId="77777777" w:rsidR="001F0D49" w:rsidRDefault="00000000">
            <w:pPr>
              <w:keepLines/>
            </w:pPr>
            <w:r>
              <w:t>agency-proxy bundle</w:t>
            </w:r>
          </w:p>
        </w:tc>
        <w:tc>
          <w:tcPr>
            <w:tcW w:w="4161" w:type="dxa"/>
            <w:tcBorders>
              <w:bottom w:val="single" w:sz="6" w:space="0" w:color="000000"/>
            </w:tcBorders>
          </w:tcPr>
          <w:p w14:paraId="2604FD2A" w14:textId="77777777" w:rsidR="001F0D49" w:rsidRDefault="00000000">
            <w:pPr>
              <w:keepLines/>
            </w:pPr>
            <w:r>
              <w:t>Anchor for the limits of cross-temporal meta-analysis and the risk of systematic distortion in cohort-effect estimates.</w:t>
            </w:r>
          </w:p>
        </w:tc>
        <w:tc>
          <w:tcPr>
            <w:tcW w:w="1225" w:type="dxa"/>
            <w:tcBorders>
              <w:bottom w:val="single" w:sz="6" w:space="0" w:color="000000"/>
            </w:tcBorders>
          </w:tcPr>
          <w:p w14:paraId="2870F17A" w14:textId="77777777" w:rsidR="001F0D49" w:rsidRDefault="00000000">
            <w:pPr>
              <w:keepLines/>
            </w:pPr>
            <w:r>
              <w:t>core</w:t>
            </w:r>
          </w:p>
        </w:tc>
      </w:tr>
      <w:tr w:rsidR="001F0D49" w14:paraId="591D0043" w14:textId="77777777" w:rsidTr="00980660">
        <w:trPr>
          <w:cantSplit/>
        </w:trPr>
        <w:tc>
          <w:tcPr>
            <w:tcW w:w="817" w:type="dxa"/>
            <w:tcBorders>
              <w:bottom w:val="single" w:sz="6" w:space="0" w:color="000000"/>
            </w:tcBorders>
          </w:tcPr>
          <w:p w14:paraId="02961146" w14:textId="77777777" w:rsidR="001F0D49" w:rsidRDefault="00000000">
            <w:pPr>
              <w:keepLines/>
            </w:pPr>
            <w:r>
              <w:t>ATD-BIB-028</w:t>
            </w:r>
          </w:p>
        </w:tc>
        <w:tc>
          <w:tcPr>
            <w:tcW w:w="2693" w:type="dxa"/>
            <w:tcBorders>
              <w:bottom w:val="single" w:sz="6" w:space="0" w:color="000000"/>
            </w:tcBorders>
          </w:tcPr>
          <w:p w14:paraId="52215CA2" w14:textId="77777777" w:rsidR="001F0D49" w:rsidRDefault="00000000">
            <w:pPr>
              <w:keepLines/>
            </w:pPr>
            <w:r>
              <w:t>Rohrer (2025) — Thinking Clearly About Age, Period, and Cohort Effects</w:t>
            </w:r>
          </w:p>
        </w:tc>
        <w:tc>
          <w:tcPr>
            <w:tcW w:w="1560" w:type="dxa"/>
            <w:tcBorders>
              <w:bottom w:val="single" w:sz="6" w:space="0" w:color="000000"/>
            </w:tcBorders>
          </w:tcPr>
          <w:p w14:paraId="64EB8127" w14:textId="77777777" w:rsidR="001F0D49" w:rsidRDefault="00000000">
            <w:pPr>
              <w:keepLines/>
            </w:pPr>
            <w:r>
              <w:t>agency-proxy bundle</w:t>
            </w:r>
          </w:p>
        </w:tc>
        <w:tc>
          <w:tcPr>
            <w:tcW w:w="4161" w:type="dxa"/>
            <w:tcBorders>
              <w:bottom w:val="single" w:sz="6" w:space="0" w:color="000000"/>
            </w:tcBorders>
          </w:tcPr>
          <w:p w14:paraId="39C69EE4" w14:textId="77777777" w:rsidR="001F0D49" w:rsidRDefault="00000000">
            <w:pPr>
              <w:keepLines/>
            </w:pPr>
            <w:r>
              <w:t>Anchor for cautions around the age–period–cohort problem in the intergenerational section.</w:t>
            </w:r>
          </w:p>
        </w:tc>
        <w:tc>
          <w:tcPr>
            <w:tcW w:w="1225" w:type="dxa"/>
            <w:tcBorders>
              <w:bottom w:val="single" w:sz="6" w:space="0" w:color="000000"/>
            </w:tcBorders>
          </w:tcPr>
          <w:p w14:paraId="13CA75FC" w14:textId="77777777" w:rsidR="001F0D49" w:rsidRDefault="00000000">
            <w:pPr>
              <w:keepLines/>
            </w:pPr>
            <w:r>
              <w:t>core</w:t>
            </w:r>
          </w:p>
        </w:tc>
      </w:tr>
      <w:tr w:rsidR="001F0D49" w14:paraId="6F34B1D2" w14:textId="77777777" w:rsidTr="00980660">
        <w:trPr>
          <w:cantSplit/>
        </w:trPr>
        <w:tc>
          <w:tcPr>
            <w:tcW w:w="817" w:type="dxa"/>
            <w:tcBorders>
              <w:bottom w:val="single" w:sz="6" w:space="0" w:color="000000"/>
            </w:tcBorders>
          </w:tcPr>
          <w:p w14:paraId="48A001A0" w14:textId="77777777" w:rsidR="001F0D49" w:rsidRDefault="00000000">
            <w:pPr>
              <w:keepLines/>
            </w:pPr>
            <w:r>
              <w:t>ATD-BIB-029</w:t>
            </w:r>
          </w:p>
        </w:tc>
        <w:tc>
          <w:tcPr>
            <w:tcW w:w="2693" w:type="dxa"/>
            <w:tcBorders>
              <w:bottom w:val="single" w:sz="6" w:space="0" w:color="000000"/>
            </w:tcBorders>
          </w:tcPr>
          <w:p w14:paraId="3D6B378F" w14:textId="77777777" w:rsidR="001F0D49" w:rsidRDefault="00000000">
            <w:pPr>
              <w:keepLines/>
            </w:pPr>
            <w:r>
              <w:t>Arnett (2000) — emerging adulthood</w:t>
            </w:r>
          </w:p>
        </w:tc>
        <w:tc>
          <w:tcPr>
            <w:tcW w:w="1560" w:type="dxa"/>
            <w:tcBorders>
              <w:bottom w:val="single" w:sz="6" w:space="0" w:color="000000"/>
            </w:tcBorders>
          </w:tcPr>
          <w:p w14:paraId="553F3A05" w14:textId="77777777" w:rsidR="001F0D49" w:rsidRDefault="00000000">
            <w:pPr>
              <w:keepLines/>
            </w:pPr>
            <w:r>
              <w:t>agency-proxy bundle</w:t>
            </w:r>
          </w:p>
        </w:tc>
        <w:tc>
          <w:tcPr>
            <w:tcW w:w="4161" w:type="dxa"/>
            <w:tcBorders>
              <w:bottom w:val="single" w:sz="6" w:space="0" w:color="000000"/>
            </w:tcBorders>
          </w:tcPr>
          <w:p w14:paraId="75A1C02F" w14:textId="77777777" w:rsidR="001F0D49" w:rsidRDefault="00000000">
            <w:pPr>
              <w:keepLines/>
            </w:pPr>
            <w:r>
              <w:t>Canonical theoretical anchor for delayed autonomy and the transition to adulthood.</w:t>
            </w:r>
          </w:p>
        </w:tc>
        <w:tc>
          <w:tcPr>
            <w:tcW w:w="1225" w:type="dxa"/>
            <w:tcBorders>
              <w:bottom w:val="single" w:sz="6" w:space="0" w:color="000000"/>
            </w:tcBorders>
          </w:tcPr>
          <w:p w14:paraId="5956BA44" w14:textId="77777777" w:rsidR="001F0D49" w:rsidRDefault="00000000">
            <w:pPr>
              <w:keepLines/>
            </w:pPr>
            <w:r>
              <w:t>core</w:t>
            </w:r>
          </w:p>
        </w:tc>
      </w:tr>
      <w:tr w:rsidR="001F0D49" w14:paraId="77A51C6C" w14:textId="77777777" w:rsidTr="00980660">
        <w:trPr>
          <w:cantSplit/>
        </w:trPr>
        <w:tc>
          <w:tcPr>
            <w:tcW w:w="817" w:type="dxa"/>
            <w:tcBorders>
              <w:bottom w:val="single" w:sz="6" w:space="0" w:color="000000"/>
            </w:tcBorders>
          </w:tcPr>
          <w:p w14:paraId="5396AD70" w14:textId="77777777" w:rsidR="001F0D49" w:rsidRDefault="00000000">
            <w:pPr>
              <w:keepLines/>
            </w:pPr>
            <w:r>
              <w:t>ATD-BIB-030</w:t>
            </w:r>
          </w:p>
        </w:tc>
        <w:tc>
          <w:tcPr>
            <w:tcW w:w="2693" w:type="dxa"/>
            <w:tcBorders>
              <w:bottom w:val="single" w:sz="6" w:space="0" w:color="000000"/>
            </w:tcBorders>
          </w:tcPr>
          <w:p w14:paraId="56888E1C" w14:textId="77777777" w:rsidR="001F0D49" w:rsidRDefault="00000000">
            <w:pPr>
              <w:keepLines/>
            </w:pPr>
            <w:r>
              <w:t>Côté (2014) — critique of emerging adulthood</w:t>
            </w:r>
          </w:p>
        </w:tc>
        <w:tc>
          <w:tcPr>
            <w:tcW w:w="1560" w:type="dxa"/>
            <w:tcBorders>
              <w:bottom w:val="single" w:sz="6" w:space="0" w:color="000000"/>
            </w:tcBorders>
          </w:tcPr>
          <w:p w14:paraId="4FC09BA4" w14:textId="77777777" w:rsidR="001F0D49" w:rsidRDefault="00000000">
            <w:pPr>
              <w:keepLines/>
            </w:pPr>
            <w:r>
              <w:t>agency-proxy bundle</w:t>
            </w:r>
          </w:p>
        </w:tc>
        <w:tc>
          <w:tcPr>
            <w:tcW w:w="4161" w:type="dxa"/>
            <w:tcBorders>
              <w:bottom w:val="single" w:sz="6" w:space="0" w:color="000000"/>
            </w:tcBorders>
          </w:tcPr>
          <w:p w14:paraId="2B1FC9C2" w14:textId="77777777" w:rsidR="001F0D49" w:rsidRDefault="00000000">
            <w:pPr>
              <w:keepLines/>
            </w:pPr>
            <w:r>
              <w:t>Counterweight to romanticized readings of delayed autonomy; useful for a more honest interpretive frame.</w:t>
            </w:r>
          </w:p>
        </w:tc>
        <w:tc>
          <w:tcPr>
            <w:tcW w:w="1225" w:type="dxa"/>
            <w:tcBorders>
              <w:bottom w:val="single" w:sz="6" w:space="0" w:color="000000"/>
            </w:tcBorders>
          </w:tcPr>
          <w:p w14:paraId="7D8BCF85" w14:textId="77777777" w:rsidR="001F0D49" w:rsidRDefault="00000000">
            <w:pPr>
              <w:keepLines/>
            </w:pPr>
            <w:r>
              <w:t>core</w:t>
            </w:r>
          </w:p>
        </w:tc>
      </w:tr>
      <w:tr w:rsidR="001F0D49" w14:paraId="0B85AA1F" w14:textId="77777777" w:rsidTr="00980660">
        <w:trPr>
          <w:cantSplit/>
        </w:trPr>
        <w:tc>
          <w:tcPr>
            <w:tcW w:w="817" w:type="dxa"/>
            <w:tcBorders>
              <w:bottom w:val="single" w:sz="6" w:space="0" w:color="000000"/>
            </w:tcBorders>
          </w:tcPr>
          <w:p w14:paraId="144045DC" w14:textId="77777777" w:rsidR="001F0D49" w:rsidRDefault="00000000">
            <w:pPr>
              <w:keepLines/>
            </w:pPr>
            <w:r>
              <w:t>ATD-BIB-031</w:t>
            </w:r>
          </w:p>
        </w:tc>
        <w:tc>
          <w:tcPr>
            <w:tcW w:w="2693" w:type="dxa"/>
            <w:tcBorders>
              <w:bottom w:val="single" w:sz="6" w:space="0" w:color="000000"/>
            </w:tcBorders>
          </w:tcPr>
          <w:p w14:paraId="00C4CEAF" w14:textId="77777777" w:rsidR="001F0D49" w:rsidRDefault="00000000">
            <w:pPr>
              <w:keepLines/>
            </w:pPr>
            <w:r>
              <w:t>Risko &amp; Gilbert (2016) — cognitive offloading</w:t>
            </w:r>
          </w:p>
        </w:tc>
        <w:tc>
          <w:tcPr>
            <w:tcW w:w="1560" w:type="dxa"/>
            <w:tcBorders>
              <w:bottom w:val="single" w:sz="6" w:space="0" w:color="000000"/>
            </w:tcBorders>
          </w:tcPr>
          <w:p w14:paraId="1939C72C" w14:textId="77777777" w:rsidR="001F0D49" w:rsidRDefault="00000000">
            <w:pPr>
              <w:keepLines/>
            </w:pPr>
            <w:r>
              <w:t>context degradation / adaptive erosion bridge</w:t>
            </w:r>
          </w:p>
        </w:tc>
        <w:tc>
          <w:tcPr>
            <w:tcW w:w="4161" w:type="dxa"/>
            <w:tcBorders>
              <w:bottom w:val="single" w:sz="6" w:space="0" w:color="000000"/>
            </w:tcBorders>
          </w:tcPr>
          <w:p w14:paraId="589AB448" w14:textId="77777777" w:rsidR="001F0D49" w:rsidRDefault="00000000">
            <w:pPr>
              <w:keepLines/>
            </w:pPr>
            <w:r>
              <w:t>Anchor for the cognitive-offloading line and the external transfer of cognitive functions.</w:t>
            </w:r>
          </w:p>
        </w:tc>
        <w:tc>
          <w:tcPr>
            <w:tcW w:w="1225" w:type="dxa"/>
            <w:tcBorders>
              <w:bottom w:val="single" w:sz="6" w:space="0" w:color="000000"/>
            </w:tcBorders>
          </w:tcPr>
          <w:p w14:paraId="42031692" w14:textId="77777777" w:rsidR="001F0D49" w:rsidRDefault="00000000">
            <w:pPr>
              <w:keepLines/>
            </w:pPr>
            <w:r>
              <w:t>core</w:t>
            </w:r>
          </w:p>
        </w:tc>
      </w:tr>
      <w:tr w:rsidR="001F0D49" w14:paraId="140BC789" w14:textId="77777777" w:rsidTr="00980660">
        <w:trPr>
          <w:cantSplit/>
        </w:trPr>
        <w:tc>
          <w:tcPr>
            <w:tcW w:w="817" w:type="dxa"/>
          </w:tcPr>
          <w:p w14:paraId="21DC1AE4" w14:textId="77777777" w:rsidR="001F0D49" w:rsidRDefault="00000000">
            <w:pPr>
              <w:keepLines/>
            </w:pPr>
            <w:r>
              <w:t>ATD-BIB-032</w:t>
            </w:r>
          </w:p>
        </w:tc>
        <w:tc>
          <w:tcPr>
            <w:tcW w:w="2693" w:type="dxa"/>
          </w:tcPr>
          <w:p w14:paraId="14005614" w14:textId="77777777" w:rsidR="001F0D49" w:rsidRDefault="00000000">
            <w:pPr>
              <w:keepLines/>
            </w:pPr>
            <w:r>
              <w:t>Eurofound EWCS</w:t>
            </w:r>
          </w:p>
        </w:tc>
        <w:tc>
          <w:tcPr>
            <w:tcW w:w="1560" w:type="dxa"/>
          </w:tcPr>
          <w:p w14:paraId="6BF2E80C" w14:textId="77777777" w:rsidR="001F0D49" w:rsidRDefault="00000000">
            <w:pPr>
              <w:keepLines/>
            </w:pPr>
            <w:r>
              <w:t>context degradation / adaptive erosion</w:t>
            </w:r>
          </w:p>
        </w:tc>
        <w:tc>
          <w:tcPr>
            <w:tcW w:w="4161" w:type="dxa"/>
          </w:tcPr>
          <w:p w14:paraId="60BD09B2" w14:textId="77777777" w:rsidR="001F0D49" w:rsidRDefault="00000000">
            <w:pPr>
              <w:keepLines/>
            </w:pPr>
            <w:r>
              <w:t>Official European anchor for work intensity, psychosocial risks, and job strain.</w:t>
            </w:r>
          </w:p>
        </w:tc>
        <w:tc>
          <w:tcPr>
            <w:tcW w:w="1225" w:type="dxa"/>
          </w:tcPr>
          <w:p w14:paraId="4F29DCE3" w14:textId="77777777" w:rsidR="001F0D49" w:rsidRDefault="00000000">
            <w:pPr>
              <w:keepLines/>
            </w:pPr>
            <w:r>
              <w:t>core</w:t>
            </w:r>
          </w:p>
        </w:tc>
      </w:tr>
    </w:tbl>
    <w:p w14:paraId="22F288CC" w14:textId="77777777" w:rsidR="001F0D49" w:rsidRDefault="00000000">
      <w:pPr>
        <w:pStyle w:val="31"/>
      </w:pPr>
      <w:bookmarkStart w:id="93" w:name="X5c3d6b196ef91981539d76515848da6260027b9"/>
      <w:bookmarkEnd w:id="92"/>
      <w:r>
        <w:t>B.5. Dataset register: datasets, monitoring dashboards, and sources with reproducible series</w:t>
      </w:r>
    </w:p>
    <w:p w14:paraId="4D76AC29" w14:textId="77777777" w:rsidR="001F0D49" w:rsidRDefault="00000000">
      <w:r>
        <w:t>This layer is the main bridge from the ATD mechanism to operationalization. It makes it possible to test the pressure layer, context degradation, coordination tax, adaptive erosion, and selected applied domains without pretending that any one dataset directly “measures ATD as a whole.”</w:t>
      </w:r>
    </w:p>
    <w:tbl>
      <w:tblPr>
        <w:tblW w:w="5495" w:type="pct"/>
        <w:tblLayout w:type="fixed"/>
        <w:tblLook w:val="0020" w:firstRow="1" w:lastRow="0" w:firstColumn="0" w:lastColumn="0" w:noHBand="0" w:noVBand="0"/>
      </w:tblPr>
      <w:tblGrid>
        <w:gridCol w:w="959"/>
        <w:gridCol w:w="1731"/>
        <w:gridCol w:w="1246"/>
        <w:gridCol w:w="1275"/>
        <w:gridCol w:w="1418"/>
        <w:gridCol w:w="2550"/>
        <w:gridCol w:w="1277"/>
      </w:tblGrid>
      <w:tr w:rsidR="001F0D49" w14:paraId="7C6B3157" w14:textId="77777777" w:rsidTr="00980660">
        <w:trPr>
          <w:cantSplit/>
          <w:tblHeader/>
        </w:trPr>
        <w:tc>
          <w:tcPr>
            <w:tcW w:w="959" w:type="dxa"/>
            <w:tcBorders>
              <w:bottom w:val="single" w:sz="6" w:space="0" w:color="000000"/>
            </w:tcBorders>
          </w:tcPr>
          <w:p w14:paraId="5CB7879F" w14:textId="77777777" w:rsidR="001F0D49" w:rsidRDefault="00000000">
            <w:pPr>
              <w:keepLines/>
            </w:pPr>
            <w:r>
              <w:rPr>
                <w:b/>
              </w:rPr>
              <w:t>Code</w:t>
            </w:r>
          </w:p>
        </w:tc>
        <w:tc>
          <w:tcPr>
            <w:tcW w:w="1731" w:type="dxa"/>
            <w:tcBorders>
              <w:bottom w:val="single" w:sz="6" w:space="0" w:color="000000"/>
            </w:tcBorders>
          </w:tcPr>
          <w:p w14:paraId="07DAB9BA" w14:textId="77777777" w:rsidR="001F0D49" w:rsidRDefault="00000000">
            <w:pPr>
              <w:keepLines/>
            </w:pPr>
            <w:r>
              <w:rPr>
                <w:b/>
              </w:rPr>
              <w:t>Dataset / source</w:t>
            </w:r>
          </w:p>
        </w:tc>
        <w:tc>
          <w:tcPr>
            <w:tcW w:w="1246" w:type="dxa"/>
            <w:tcBorders>
              <w:bottom w:val="single" w:sz="6" w:space="0" w:color="000000"/>
            </w:tcBorders>
          </w:tcPr>
          <w:p w14:paraId="6D13DBAD" w14:textId="77777777" w:rsidR="001F0D49" w:rsidRDefault="00000000">
            <w:pPr>
              <w:keepLines/>
            </w:pPr>
            <w:r>
              <w:rPr>
                <w:b/>
              </w:rPr>
              <w:t>ATD layer</w:t>
            </w:r>
          </w:p>
        </w:tc>
        <w:tc>
          <w:tcPr>
            <w:tcW w:w="1275" w:type="dxa"/>
            <w:tcBorders>
              <w:bottom w:val="single" w:sz="6" w:space="0" w:color="000000"/>
            </w:tcBorders>
          </w:tcPr>
          <w:p w14:paraId="2DDF6426" w14:textId="77777777" w:rsidR="001F0D49" w:rsidRDefault="00000000">
            <w:pPr>
              <w:keepLines/>
            </w:pPr>
            <w:r>
              <w:rPr>
                <w:b/>
              </w:rPr>
              <w:t>Coverage</w:t>
            </w:r>
          </w:p>
        </w:tc>
        <w:tc>
          <w:tcPr>
            <w:tcW w:w="1418" w:type="dxa"/>
            <w:tcBorders>
              <w:bottom w:val="single" w:sz="6" w:space="0" w:color="000000"/>
            </w:tcBorders>
          </w:tcPr>
          <w:p w14:paraId="6E11D9A6" w14:textId="77777777" w:rsidR="001F0D49" w:rsidRDefault="00000000">
            <w:pPr>
              <w:keepLines/>
            </w:pPr>
            <w:r>
              <w:rPr>
                <w:b/>
              </w:rPr>
              <w:t>Access</w:t>
            </w:r>
          </w:p>
        </w:tc>
        <w:tc>
          <w:tcPr>
            <w:tcW w:w="2550" w:type="dxa"/>
            <w:tcBorders>
              <w:bottom w:val="single" w:sz="6" w:space="0" w:color="000000"/>
            </w:tcBorders>
          </w:tcPr>
          <w:p w14:paraId="3DD798F6" w14:textId="77777777" w:rsidR="001F0D49" w:rsidRDefault="00000000">
            <w:pPr>
              <w:keepLines/>
            </w:pPr>
            <w:r>
              <w:rPr>
                <w:b/>
              </w:rPr>
              <w:t>What it supports in ATD</w:t>
            </w:r>
          </w:p>
        </w:tc>
        <w:tc>
          <w:tcPr>
            <w:tcW w:w="1277" w:type="dxa"/>
            <w:tcBorders>
              <w:bottom w:val="single" w:sz="6" w:space="0" w:color="000000"/>
            </w:tcBorders>
          </w:tcPr>
          <w:p w14:paraId="1313DF53" w14:textId="77777777" w:rsidR="001F0D49" w:rsidRDefault="00000000">
            <w:pPr>
              <w:keepLines/>
            </w:pPr>
            <w:r>
              <w:rPr>
                <w:b/>
              </w:rPr>
              <w:t>Status</w:t>
            </w:r>
          </w:p>
        </w:tc>
      </w:tr>
      <w:tr w:rsidR="001F0D49" w14:paraId="19F804ED" w14:textId="77777777" w:rsidTr="00980660">
        <w:trPr>
          <w:cantSplit/>
        </w:trPr>
        <w:tc>
          <w:tcPr>
            <w:tcW w:w="959" w:type="dxa"/>
            <w:tcBorders>
              <w:bottom w:val="single" w:sz="6" w:space="0" w:color="000000"/>
            </w:tcBorders>
          </w:tcPr>
          <w:p w14:paraId="3750CDAB" w14:textId="77777777" w:rsidR="001F0D49" w:rsidRDefault="00000000">
            <w:pPr>
              <w:keepLines/>
            </w:pPr>
            <w:r>
              <w:lastRenderedPageBreak/>
              <w:t>ATD-DATA-001</w:t>
            </w:r>
          </w:p>
        </w:tc>
        <w:tc>
          <w:tcPr>
            <w:tcW w:w="1731" w:type="dxa"/>
            <w:tcBorders>
              <w:bottom w:val="single" w:sz="6" w:space="0" w:color="000000"/>
            </w:tcBorders>
          </w:tcPr>
          <w:p w14:paraId="31EEE4BA" w14:textId="77777777" w:rsidR="001F0D49" w:rsidRDefault="00000000">
            <w:pPr>
              <w:keepLines/>
            </w:pPr>
            <w:r>
              <w:t>Economic Policy Uncertainty Index (EPU)</w:t>
            </w:r>
          </w:p>
        </w:tc>
        <w:tc>
          <w:tcPr>
            <w:tcW w:w="1246" w:type="dxa"/>
            <w:tcBorders>
              <w:bottom w:val="single" w:sz="6" w:space="0" w:color="000000"/>
            </w:tcBorders>
          </w:tcPr>
          <w:p w14:paraId="34C9719D" w14:textId="77777777" w:rsidR="001F0D49" w:rsidRDefault="00000000">
            <w:pPr>
              <w:keepLines/>
            </w:pPr>
            <w:r>
              <w:t>complexity pressure</w:t>
            </w:r>
          </w:p>
        </w:tc>
        <w:tc>
          <w:tcPr>
            <w:tcW w:w="1275" w:type="dxa"/>
            <w:tcBorders>
              <w:bottom w:val="single" w:sz="6" w:space="0" w:color="000000"/>
            </w:tcBorders>
          </w:tcPr>
          <w:p w14:paraId="2F1856CC" w14:textId="77777777" w:rsidR="001F0D49" w:rsidRDefault="00000000">
            <w:pPr>
              <w:keepLines/>
            </w:pPr>
            <w:r>
              <w:t>1985–present</w:t>
            </w:r>
          </w:p>
        </w:tc>
        <w:tc>
          <w:tcPr>
            <w:tcW w:w="1418" w:type="dxa"/>
            <w:tcBorders>
              <w:bottom w:val="single" w:sz="6" w:space="0" w:color="000000"/>
            </w:tcBorders>
          </w:tcPr>
          <w:p w14:paraId="53C6A3E1" w14:textId="77777777" w:rsidR="001F0D49" w:rsidRDefault="00000000">
            <w:pPr>
              <w:keepLines/>
            </w:pPr>
            <w:r>
              <w:t>Open CSV</w:t>
            </w:r>
          </w:p>
        </w:tc>
        <w:tc>
          <w:tcPr>
            <w:tcW w:w="2550" w:type="dxa"/>
            <w:tcBorders>
              <w:bottom w:val="single" w:sz="6" w:space="0" w:color="000000"/>
            </w:tcBorders>
          </w:tcPr>
          <w:p w14:paraId="0689CB6E" w14:textId="77777777" w:rsidR="001F0D49" w:rsidRDefault="00000000">
            <w:pPr>
              <w:keepLines/>
            </w:pPr>
            <w:r>
              <w:t>Primary pressure-layer anchor for policy uncertainty and abrupt environmental shifts.</w:t>
            </w:r>
          </w:p>
        </w:tc>
        <w:tc>
          <w:tcPr>
            <w:tcW w:w="1277" w:type="dxa"/>
            <w:tcBorders>
              <w:bottom w:val="single" w:sz="6" w:space="0" w:color="000000"/>
            </w:tcBorders>
          </w:tcPr>
          <w:p w14:paraId="6F4DE285" w14:textId="77777777" w:rsidR="001F0D49" w:rsidRDefault="00000000">
            <w:pPr>
              <w:keepLines/>
            </w:pPr>
            <w:r>
              <w:t>core</w:t>
            </w:r>
          </w:p>
        </w:tc>
      </w:tr>
      <w:tr w:rsidR="001F0D49" w14:paraId="5519EEB2" w14:textId="77777777" w:rsidTr="00980660">
        <w:trPr>
          <w:cantSplit/>
        </w:trPr>
        <w:tc>
          <w:tcPr>
            <w:tcW w:w="959" w:type="dxa"/>
            <w:tcBorders>
              <w:bottom w:val="single" w:sz="6" w:space="0" w:color="000000"/>
            </w:tcBorders>
          </w:tcPr>
          <w:p w14:paraId="5AE1AE45" w14:textId="77777777" w:rsidR="001F0D49" w:rsidRDefault="00000000">
            <w:pPr>
              <w:keepLines/>
            </w:pPr>
            <w:r>
              <w:t>ATD-DATA-002</w:t>
            </w:r>
          </w:p>
        </w:tc>
        <w:tc>
          <w:tcPr>
            <w:tcW w:w="1731" w:type="dxa"/>
            <w:tcBorders>
              <w:bottom w:val="single" w:sz="6" w:space="0" w:color="000000"/>
            </w:tcBorders>
          </w:tcPr>
          <w:p w14:paraId="1EE7736C" w14:textId="77777777" w:rsidR="001F0D49" w:rsidRDefault="00000000">
            <w:pPr>
              <w:keepLines/>
            </w:pPr>
            <w:r>
              <w:t>World Uncertainty Index (WUI)</w:t>
            </w:r>
          </w:p>
        </w:tc>
        <w:tc>
          <w:tcPr>
            <w:tcW w:w="1246" w:type="dxa"/>
            <w:tcBorders>
              <w:bottom w:val="single" w:sz="6" w:space="0" w:color="000000"/>
            </w:tcBorders>
          </w:tcPr>
          <w:p w14:paraId="3043AE5B" w14:textId="77777777" w:rsidR="001F0D49" w:rsidRDefault="00000000">
            <w:pPr>
              <w:keepLines/>
            </w:pPr>
            <w:r>
              <w:t>complexity pressure</w:t>
            </w:r>
          </w:p>
        </w:tc>
        <w:tc>
          <w:tcPr>
            <w:tcW w:w="1275" w:type="dxa"/>
            <w:tcBorders>
              <w:bottom w:val="single" w:sz="6" w:space="0" w:color="000000"/>
            </w:tcBorders>
          </w:tcPr>
          <w:p w14:paraId="2F84B4C6" w14:textId="77777777" w:rsidR="001F0D49" w:rsidRDefault="00000000">
            <w:pPr>
              <w:keepLines/>
            </w:pPr>
            <w:r>
              <w:t>1952–2025</w:t>
            </w:r>
          </w:p>
        </w:tc>
        <w:tc>
          <w:tcPr>
            <w:tcW w:w="1418" w:type="dxa"/>
            <w:tcBorders>
              <w:bottom w:val="single" w:sz="6" w:space="0" w:color="000000"/>
            </w:tcBorders>
          </w:tcPr>
          <w:p w14:paraId="1117CFFF" w14:textId="77777777" w:rsidR="001F0D49" w:rsidRDefault="00000000">
            <w:pPr>
              <w:keepLines/>
            </w:pPr>
            <w:r>
              <w:t>Open Excel</w:t>
            </w:r>
          </w:p>
        </w:tc>
        <w:tc>
          <w:tcPr>
            <w:tcW w:w="2550" w:type="dxa"/>
            <w:tcBorders>
              <w:bottom w:val="single" w:sz="6" w:space="0" w:color="000000"/>
            </w:tcBorders>
          </w:tcPr>
          <w:p w14:paraId="599328BA" w14:textId="77777777" w:rsidR="001F0D49" w:rsidRDefault="00000000">
            <w:pPr>
              <w:keepLines/>
            </w:pPr>
            <w:r>
              <w:t>Global long-run pressure signal for cross-country analysis.</w:t>
            </w:r>
          </w:p>
        </w:tc>
        <w:tc>
          <w:tcPr>
            <w:tcW w:w="1277" w:type="dxa"/>
            <w:tcBorders>
              <w:bottom w:val="single" w:sz="6" w:space="0" w:color="000000"/>
            </w:tcBorders>
          </w:tcPr>
          <w:p w14:paraId="7D8E3F28" w14:textId="77777777" w:rsidR="001F0D49" w:rsidRDefault="00000000">
            <w:pPr>
              <w:keepLines/>
            </w:pPr>
            <w:r>
              <w:t>core</w:t>
            </w:r>
          </w:p>
        </w:tc>
      </w:tr>
      <w:tr w:rsidR="001F0D49" w14:paraId="7EEBA6AE" w14:textId="77777777" w:rsidTr="00980660">
        <w:trPr>
          <w:cantSplit/>
        </w:trPr>
        <w:tc>
          <w:tcPr>
            <w:tcW w:w="959" w:type="dxa"/>
            <w:tcBorders>
              <w:bottom w:val="single" w:sz="6" w:space="0" w:color="000000"/>
            </w:tcBorders>
          </w:tcPr>
          <w:p w14:paraId="5EE70498" w14:textId="77777777" w:rsidR="001F0D49" w:rsidRDefault="00000000">
            <w:pPr>
              <w:keepLines/>
            </w:pPr>
            <w:r>
              <w:t>ATD-DATA-003</w:t>
            </w:r>
          </w:p>
        </w:tc>
        <w:tc>
          <w:tcPr>
            <w:tcW w:w="1731" w:type="dxa"/>
            <w:tcBorders>
              <w:bottom w:val="single" w:sz="6" w:space="0" w:color="000000"/>
            </w:tcBorders>
          </w:tcPr>
          <w:p w14:paraId="5FA82491" w14:textId="77777777" w:rsidR="001F0D49" w:rsidRDefault="00000000">
            <w:pPr>
              <w:keepLines/>
            </w:pPr>
            <w:r>
              <w:t>Geopolitical Risk Index (GPR)</w:t>
            </w:r>
          </w:p>
        </w:tc>
        <w:tc>
          <w:tcPr>
            <w:tcW w:w="1246" w:type="dxa"/>
            <w:tcBorders>
              <w:bottom w:val="single" w:sz="6" w:space="0" w:color="000000"/>
            </w:tcBorders>
          </w:tcPr>
          <w:p w14:paraId="508FB75A" w14:textId="77777777" w:rsidR="001F0D49" w:rsidRDefault="00000000">
            <w:pPr>
              <w:keepLines/>
            </w:pPr>
            <w:r>
              <w:t>complexity pressure</w:t>
            </w:r>
          </w:p>
        </w:tc>
        <w:tc>
          <w:tcPr>
            <w:tcW w:w="1275" w:type="dxa"/>
            <w:tcBorders>
              <w:bottom w:val="single" w:sz="6" w:space="0" w:color="000000"/>
            </w:tcBorders>
          </w:tcPr>
          <w:p w14:paraId="3479C805" w14:textId="77777777" w:rsidR="001F0D49" w:rsidRDefault="00000000">
            <w:pPr>
              <w:keepLines/>
            </w:pPr>
            <w:r>
              <w:t>1985–present</w:t>
            </w:r>
          </w:p>
        </w:tc>
        <w:tc>
          <w:tcPr>
            <w:tcW w:w="1418" w:type="dxa"/>
            <w:tcBorders>
              <w:bottom w:val="single" w:sz="6" w:space="0" w:color="000000"/>
            </w:tcBorders>
          </w:tcPr>
          <w:p w14:paraId="3EFB36DE" w14:textId="77777777" w:rsidR="001F0D49" w:rsidRDefault="00000000">
            <w:pPr>
              <w:keepLines/>
            </w:pPr>
            <w:r>
              <w:t>Open Excel</w:t>
            </w:r>
          </w:p>
        </w:tc>
        <w:tc>
          <w:tcPr>
            <w:tcW w:w="2550" w:type="dxa"/>
            <w:tcBorders>
              <w:bottom w:val="single" w:sz="6" w:space="0" w:color="000000"/>
            </w:tcBorders>
          </w:tcPr>
          <w:p w14:paraId="4674AE53" w14:textId="77777777" w:rsidR="001F0D49" w:rsidRDefault="00000000">
            <w:pPr>
              <w:keepLines/>
            </w:pPr>
            <w:r>
              <w:t>A distinct instability signal that should not be collapsed into policy uncertainty.</w:t>
            </w:r>
          </w:p>
        </w:tc>
        <w:tc>
          <w:tcPr>
            <w:tcW w:w="1277" w:type="dxa"/>
            <w:tcBorders>
              <w:bottom w:val="single" w:sz="6" w:space="0" w:color="000000"/>
            </w:tcBorders>
          </w:tcPr>
          <w:p w14:paraId="05509187" w14:textId="77777777" w:rsidR="001F0D49" w:rsidRDefault="00000000">
            <w:pPr>
              <w:keepLines/>
            </w:pPr>
            <w:r>
              <w:t>core</w:t>
            </w:r>
          </w:p>
        </w:tc>
      </w:tr>
      <w:tr w:rsidR="001F0D49" w14:paraId="60D34B3F" w14:textId="77777777" w:rsidTr="00980660">
        <w:trPr>
          <w:cantSplit/>
        </w:trPr>
        <w:tc>
          <w:tcPr>
            <w:tcW w:w="959" w:type="dxa"/>
            <w:tcBorders>
              <w:bottom w:val="single" w:sz="6" w:space="0" w:color="000000"/>
            </w:tcBorders>
          </w:tcPr>
          <w:p w14:paraId="31665BB8" w14:textId="77777777" w:rsidR="001F0D49" w:rsidRDefault="00000000">
            <w:pPr>
              <w:keepLines/>
            </w:pPr>
            <w:r>
              <w:t>ATD-DATA-004</w:t>
            </w:r>
          </w:p>
        </w:tc>
        <w:tc>
          <w:tcPr>
            <w:tcW w:w="1731" w:type="dxa"/>
            <w:tcBorders>
              <w:bottom w:val="single" w:sz="6" w:space="0" w:color="000000"/>
            </w:tcBorders>
          </w:tcPr>
          <w:p w14:paraId="3ED97B15" w14:textId="77777777" w:rsidR="001F0D49" w:rsidRDefault="00000000">
            <w:pPr>
              <w:keepLines/>
            </w:pPr>
            <w:r>
              <w:t>Mercatus RegData / QuantGov</w:t>
            </w:r>
          </w:p>
        </w:tc>
        <w:tc>
          <w:tcPr>
            <w:tcW w:w="1246" w:type="dxa"/>
            <w:tcBorders>
              <w:bottom w:val="single" w:sz="6" w:space="0" w:color="000000"/>
            </w:tcBorders>
          </w:tcPr>
          <w:p w14:paraId="3853BB48" w14:textId="77777777" w:rsidR="001F0D49" w:rsidRDefault="00000000">
            <w:pPr>
              <w:keepLines/>
            </w:pPr>
            <w:r>
              <w:t>complexity pressure</w:t>
            </w:r>
          </w:p>
        </w:tc>
        <w:tc>
          <w:tcPr>
            <w:tcW w:w="1275" w:type="dxa"/>
            <w:tcBorders>
              <w:bottom w:val="single" w:sz="6" w:space="0" w:color="000000"/>
            </w:tcBorders>
          </w:tcPr>
          <w:p w14:paraId="7F448D26" w14:textId="77777777" w:rsidR="001F0D49" w:rsidRDefault="00000000">
            <w:pPr>
              <w:keepLines/>
            </w:pPr>
            <w:r>
              <w:t>1975–present</w:t>
            </w:r>
          </w:p>
        </w:tc>
        <w:tc>
          <w:tcPr>
            <w:tcW w:w="1418" w:type="dxa"/>
            <w:tcBorders>
              <w:bottom w:val="single" w:sz="6" w:space="0" w:color="000000"/>
            </w:tcBorders>
          </w:tcPr>
          <w:p w14:paraId="03E7DC66" w14:textId="77777777" w:rsidR="001F0D49" w:rsidRDefault="00000000">
            <w:pPr>
              <w:keepLines/>
            </w:pPr>
            <w:r>
              <w:t>Open download</w:t>
            </w:r>
          </w:p>
        </w:tc>
        <w:tc>
          <w:tcPr>
            <w:tcW w:w="2550" w:type="dxa"/>
            <w:tcBorders>
              <w:bottom w:val="single" w:sz="6" w:space="0" w:color="000000"/>
            </w:tcBorders>
          </w:tcPr>
          <w:p w14:paraId="70FEF69D" w14:textId="77777777" w:rsidR="001F0D49" w:rsidRDefault="00000000">
            <w:pPr>
              <w:keepLines/>
            </w:pPr>
            <w:r>
              <w:t>Strong anchor for the accumulation of regulatory complexity and complexity burden.</w:t>
            </w:r>
          </w:p>
        </w:tc>
        <w:tc>
          <w:tcPr>
            <w:tcW w:w="1277" w:type="dxa"/>
            <w:tcBorders>
              <w:bottom w:val="single" w:sz="6" w:space="0" w:color="000000"/>
            </w:tcBorders>
          </w:tcPr>
          <w:p w14:paraId="0047E2C5" w14:textId="77777777" w:rsidR="001F0D49" w:rsidRDefault="00000000">
            <w:pPr>
              <w:keepLines/>
            </w:pPr>
            <w:r>
              <w:t>core</w:t>
            </w:r>
          </w:p>
        </w:tc>
      </w:tr>
      <w:tr w:rsidR="001F0D49" w14:paraId="41FB18F8" w14:textId="77777777" w:rsidTr="00980660">
        <w:trPr>
          <w:cantSplit/>
        </w:trPr>
        <w:tc>
          <w:tcPr>
            <w:tcW w:w="959" w:type="dxa"/>
            <w:tcBorders>
              <w:bottom w:val="single" w:sz="6" w:space="0" w:color="000000"/>
            </w:tcBorders>
          </w:tcPr>
          <w:p w14:paraId="24FAAC1F" w14:textId="77777777" w:rsidR="001F0D49" w:rsidRDefault="00000000">
            <w:pPr>
              <w:keepLines/>
            </w:pPr>
            <w:r>
              <w:t>ATD-DATA-005</w:t>
            </w:r>
          </w:p>
        </w:tc>
        <w:tc>
          <w:tcPr>
            <w:tcW w:w="1731" w:type="dxa"/>
            <w:tcBorders>
              <w:bottom w:val="single" w:sz="6" w:space="0" w:color="000000"/>
            </w:tcBorders>
          </w:tcPr>
          <w:p w14:paraId="3FA9E945" w14:textId="77777777" w:rsidR="001F0D49" w:rsidRDefault="00000000">
            <w:pPr>
              <w:keepLines/>
            </w:pPr>
            <w:r>
              <w:t>Federal Register statistics / CFR page counts</w:t>
            </w:r>
          </w:p>
        </w:tc>
        <w:tc>
          <w:tcPr>
            <w:tcW w:w="1246" w:type="dxa"/>
            <w:tcBorders>
              <w:bottom w:val="single" w:sz="6" w:space="0" w:color="000000"/>
            </w:tcBorders>
          </w:tcPr>
          <w:p w14:paraId="7466C4E5" w14:textId="77777777" w:rsidR="001F0D49" w:rsidRDefault="00000000">
            <w:pPr>
              <w:keepLines/>
            </w:pPr>
            <w:r>
              <w:t>complexity pressure</w:t>
            </w:r>
          </w:p>
        </w:tc>
        <w:tc>
          <w:tcPr>
            <w:tcW w:w="1275" w:type="dxa"/>
            <w:tcBorders>
              <w:bottom w:val="single" w:sz="6" w:space="0" w:color="000000"/>
            </w:tcBorders>
          </w:tcPr>
          <w:p w14:paraId="259C7450" w14:textId="77777777" w:rsidR="001F0D49" w:rsidRDefault="00000000">
            <w:pPr>
              <w:keepLines/>
            </w:pPr>
            <w:r>
              <w:t>1936–present</w:t>
            </w:r>
          </w:p>
        </w:tc>
        <w:tc>
          <w:tcPr>
            <w:tcW w:w="1418" w:type="dxa"/>
            <w:tcBorders>
              <w:bottom w:val="single" w:sz="6" w:space="0" w:color="000000"/>
            </w:tcBorders>
          </w:tcPr>
          <w:p w14:paraId="7E26E2EC" w14:textId="77777777" w:rsidR="001F0D49" w:rsidRDefault="00000000">
            <w:pPr>
              <w:keepLines/>
            </w:pPr>
            <w:r>
              <w:t>Open web / tables</w:t>
            </w:r>
          </w:p>
        </w:tc>
        <w:tc>
          <w:tcPr>
            <w:tcW w:w="2550" w:type="dxa"/>
            <w:tcBorders>
              <w:bottom w:val="single" w:sz="6" w:space="0" w:color="000000"/>
            </w:tcBorders>
          </w:tcPr>
          <w:p w14:paraId="34DC6AFA" w14:textId="77777777" w:rsidR="001F0D49" w:rsidRDefault="00000000">
            <w:pPr>
              <w:keepLines/>
            </w:pPr>
            <w:r>
              <w:t>A rough but objective proxy for the growth of regulatory mass.</w:t>
            </w:r>
          </w:p>
        </w:tc>
        <w:tc>
          <w:tcPr>
            <w:tcW w:w="1277" w:type="dxa"/>
            <w:tcBorders>
              <w:bottom w:val="single" w:sz="6" w:space="0" w:color="000000"/>
            </w:tcBorders>
          </w:tcPr>
          <w:p w14:paraId="0700BA63" w14:textId="77777777" w:rsidR="001F0D49" w:rsidRDefault="00000000">
            <w:pPr>
              <w:keepLines/>
            </w:pPr>
            <w:r>
              <w:t>support</w:t>
            </w:r>
          </w:p>
        </w:tc>
      </w:tr>
      <w:tr w:rsidR="001F0D49" w14:paraId="680E9688" w14:textId="77777777" w:rsidTr="00980660">
        <w:trPr>
          <w:cantSplit/>
        </w:trPr>
        <w:tc>
          <w:tcPr>
            <w:tcW w:w="959" w:type="dxa"/>
            <w:tcBorders>
              <w:bottom w:val="single" w:sz="6" w:space="0" w:color="000000"/>
            </w:tcBorders>
          </w:tcPr>
          <w:p w14:paraId="58F9B3FD" w14:textId="77777777" w:rsidR="001F0D49" w:rsidRDefault="00000000">
            <w:pPr>
              <w:keepLines/>
            </w:pPr>
            <w:r>
              <w:t>ATD-DATA-006</w:t>
            </w:r>
          </w:p>
        </w:tc>
        <w:tc>
          <w:tcPr>
            <w:tcW w:w="1731" w:type="dxa"/>
            <w:tcBorders>
              <w:bottom w:val="single" w:sz="6" w:space="0" w:color="000000"/>
            </w:tcBorders>
          </w:tcPr>
          <w:p w14:paraId="7E7ADF33" w14:textId="77777777" w:rsidR="001F0D49" w:rsidRDefault="00000000">
            <w:pPr>
              <w:keepLines/>
            </w:pPr>
            <w:r>
              <w:t>OECD Product Market Regulation (PMR)</w:t>
            </w:r>
          </w:p>
        </w:tc>
        <w:tc>
          <w:tcPr>
            <w:tcW w:w="1246" w:type="dxa"/>
            <w:tcBorders>
              <w:bottom w:val="single" w:sz="6" w:space="0" w:color="000000"/>
            </w:tcBorders>
          </w:tcPr>
          <w:p w14:paraId="4AD1B61E" w14:textId="77777777" w:rsidR="001F0D49" w:rsidRDefault="00000000">
            <w:pPr>
              <w:keepLines/>
            </w:pPr>
            <w:r>
              <w:t>complexity pressure</w:t>
            </w:r>
          </w:p>
        </w:tc>
        <w:tc>
          <w:tcPr>
            <w:tcW w:w="1275" w:type="dxa"/>
            <w:tcBorders>
              <w:bottom w:val="single" w:sz="6" w:space="0" w:color="000000"/>
            </w:tcBorders>
          </w:tcPr>
          <w:p w14:paraId="6A4469D9" w14:textId="77777777" w:rsidR="001F0D49" w:rsidRDefault="00000000">
            <w:pPr>
              <w:keepLines/>
            </w:pPr>
            <w:r>
              <w:t>1998–present</w:t>
            </w:r>
          </w:p>
        </w:tc>
        <w:tc>
          <w:tcPr>
            <w:tcW w:w="1418" w:type="dxa"/>
            <w:tcBorders>
              <w:bottom w:val="single" w:sz="6" w:space="0" w:color="000000"/>
            </w:tcBorders>
          </w:tcPr>
          <w:p w14:paraId="5D9D9893" w14:textId="77777777" w:rsidR="001F0D49" w:rsidRDefault="00000000">
            <w:pPr>
              <w:keepLines/>
            </w:pPr>
            <w:r>
              <w:t>Open Excel/download</w:t>
            </w:r>
          </w:p>
        </w:tc>
        <w:tc>
          <w:tcPr>
            <w:tcW w:w="2550" w:type="dxa"/>
            <w:tcBorders>
              <w:bottom w:val="single" w:sz="6" w:space="0" w:color="000000"/>
            </w:tcBorders>
          </w:tcPr>
          <w:p w14:paraId="01F32B14" w14:textId="77777777" w:rsidR="001F0D49" w:rsidRDefault="00000000">
            <w:pPr>
              <w:keepLines/>
            </w:pPr>
            <w:r>
              <w:t>Comparative de jure complexity signal across countries.</w:t>
            </w:r>
          </w:p>
        </w:tc>
        <w:tc>
          <w:tcPr>
            <w:tcW w:w="1277" w:type="dxa"/>
            <w:tcBorders>
              <w:bottom w:val="single" w:sz="6" w:space="0" w:color="000000"/>
            </w:tcBorders>
          </w:tcPr>
          <w:p w14:paraId="68C8526A" w14:textId="77777777" w:rsidR="001F0D49" w:rsidRDefault="00000000">
            <w:pPr>
              <w:keepLines/>
            </w:pPr>
            <w:r>
              <w:t>support</w:t>
            </w:r>
          </w:p>
        </w:tc>
      </w:tr>
      <w:tr w:rsidR="001F0D49" w14:paraId="2EA79E1F" w14:textId="77777777" w:rsidTr="00980660">
        <w:trPr>
          <w:cantSplit/>
        </w:trPr>
        <w:tc>
          <w:tcPr>
            <w:tcW w:w="959" w:type="dxa"/>
            <w:tcBorders>
              <w:bottom w:val="single" w:sz="6" w:space="0" w:color="000000"/>
            </w:tcBorders>
          </w:tcPr>
          <w:p w14:paraId="12B1D113" w14:textId="77777777" w:rsidR="001F0D49" w:rsidRDefault="00000000">
            <w:pPr>
              <w:keepLines/>
            </w:pPr>
            <w:r>
              <w:t>ATD-DATA-007</w:t>
            </w:r>
          </w:p>
        </w:tc>
        <w:tc>
          <w:tcPr>
            <w:tcW w:w="1731" w:type="dxa"/>
            <w:tcBorders>
              <w:bottom w:val="single" w:sz="6" w:space="0" w:color="000000"/>
            </w:tcBorders>
          </w:tcPr>
          <w:p w14:paraId="4AAE8E6F" w14:textId="77777777" w:rsidR="001F0D49" w:rsidRDefault="00000000">
            <w:pPr>
              <w:keepLines/>
            </w:pPr>
            <w:r>
              <w:t>OECD Services Trade Restrictiveness Index (STRI)</w:t>
            </w:r>
          </w:p>
        </w:tc>
        <w:tc>
          <w:tcPr>
            <w:tcW w:w="1246" w:type="dxa"/>
            <w:tcBorders>
              <w:bottom w:val="single" w:sz="6" w:space="0" w:color="000000"/>
            </w:tcBorders>
          </w:tcPr>
          <w:p w14:paraId="259B0B92" w14:textId="77777777" w:rsidR="001F0D49" w:rsidRDefault="00000000">
            <w:pPr>
              <w:keepLines/>
            </w:pPr>
            <w:r>
              <w:t>complexity pressure</w:t>
            </w:r>
          </w:p>
        </w:tc>
        <w:tc>
          <w:tcPr>
            <w:tcW w:w="1275" w:type="dxa"/>
            <w:tcBorders>
              <w:bottom w:val="single" w:sz="6" w:space="0" w:color="000000"/>
            </w:tcBorders>
          </w:tcPr>
          <w:p w14:paraId="4817B24F" w14:textId="77777777" w:rsidR="001F0D49" w:rsidRDefault="00000000">
            <w:pPr>
              <w:keepLines/>
            </w:pPr>
            <w:r>
              <w:t>2014–2025</w:t>
            </w:r>
          </w:p>
        </w:tc>
        <w:tc>
          <w:tcPr>
            <w:tcW w:w="1418" w:type="dxa"/>
            <w:tcBorders>
              <w:bottom w:val="single" w:sz="6" w:space="0" w:color="000000"/>
            </w:tcBorders>
          </w:tcPr>
          <w:p w14:paraId="50206B79" w14:textId="77777777" w:rsidR="001F0D49" w:rsidRDefault="00000000">
            <w:pPr>
              <w:keepLines/>
            </w:pPr>
            <w:r>
              <w:t>Open download</w:t>
            </w:r>
          </w:p>
        </w:tc>
        <w:tc>
          <w:tcPr>
            <w:tcW w:w="2550" w:type="dxa"/>
            <w:tcBorders>
              <w:bottom w:val="single" w:sz="6" w:space="0" w:color="000000"/>
            </w:tcBorders>
          </w:tcPr>
          <w:p w14:paraId="06C7D495" w14:textId="77777777" w:rsidR="001F0D49" w:rsidRDefault="00000000">
            <w:pPr>
              <w:keepLines/>
            </w:pPr>
            <w:r>
              <w:t>Sectoral institutional complexity layer, especially for services.</w:t>
            </w:r>
          </w:p>
        </w:tc>
        <w:tc>
          <w:tcPr>
            <w:tcW w:w="1277" w:type="dxa"/>
            <w:tcBorders>
              <w:bottom w:val="single" w:sz="6" w:space="0" w:color="000000"/>
            </w:tcBorders>
          </w:tcPr>
          <w:p w14:paraId="3B330084" w14:textId="77777777" w:rsidR="001F0D49" w:rsidRDefault="00000000">
            <w:pPr>
              <w:keepLines/>
            </w:pPr>
            <w:r>
              <w:t>support</w:t>
            </w:r>
          </w:p>
        </w:tc>
      </w:tr>
      <w:tr w:rsidR="001F0D49" w14:paraId="675E7167" w14:textId="77777777" w:rsidTr="00980660">
        <w:trPr>
          <w:cantSplit/>
        </w:trPr>
        <w:tc>
          <w:tcPr>
            <w:tcW w:w="959" w:type="dxa"/>
            <w:tcBorders>
              <w:bottom w:val="single" w:sz="6" w:space="0" w:color="000000"/>
            </w:tcBorders>
          </w:tcPr>
          <w:p w14:paraId="6F69E0C1" w14:textId="77777777" w:rsidR="001F0D49" w:rsidRDefault="00000000">
            <w:pPr>
              <w:keepLines/>
            </w:pPr>
            <w:r>
              <w:t>ATD-DATA-008</w:t>
            </w:r>
          </w:p>
        </w:tc>
        <w:tc>
          <w:tcPr>
            <w:tcW w:w="1731" w:type="dxa"/>
            <w:tcBorders>
              <w:bottom w:val="single" w:sz="6" w:space="0" w:color="000000"/>
            </w:tcBorders>
          </w:tcPr>
          <w:p w14:paraId="4BE02F9E" w14:textId="77777777" w:rsidR="001F0D49" w:rsidRDefault="00000000">
            <w:pPr>
              <w:keepLines/>
            </w:pPr>
            <w:r>
              <w:t>Fraser Institute Economic Freedom of the World (regulation area)</w:t>
            </w:r>
          </w:p>
        </w:tc>
        <w:tc>
          <w:tcPr>
            <w:tcW w:w="1246" w:type="dxa"/>
            <w:tcBorders>
              <w:bottom w:val="single" w:sz="6" w:space="0" w:color="000000"/>
            </w:tcBorders>
          </w:tcPr>
          <w:p w14:paraId="728FA2A0" w14:textId="77777777" w:rsidR="001F0D49" w:rsidRDefault="00000000">
            <w:pPr>
              <w:keepLines/>
            </w:pPr>
            <w:r>
              <w:t>complexity pressure</w:t>
            </w:r>
          </w:p>
        </w:tc>
        <w:tc>
          <w:tcPr>
            <w:tcW w:w="1275" w:type="dxa"/>
            <w:tcBorders>
              <w:bottom w:val="single" w:sz="6" w:space="0" w:color="000000"/>
            </w:tcBorders>
          </w:tcPr>
          <w:p w14:paraId="0B5ED95A" w14:textId="77777777" w:rsidR="001F0D49" w:rsidRDefault="00000000">
            <w:pPr>
              <w:keepLines/>
            </w:pPr>
            <w:r>
              <w:t>1970–present</w:t>
            </w:r>
          </w:p>
        </w:tc>
        <w:tc>
          <w:tcPr>
            <w:tcW w:w="1418" w:type="dxa"/>
            <w:tcBorders>
              <w:bottom w:val="single" w:sz="6" w:space="0" w:color="000000"/>
            </w:tcBorders>
          </w:tcPr>
          <w:p w14:paraId="50C503AC" w14:textId="77777777" w:rsidR="001F0D49" w:rsidRDefault="00000000">
            <w:pPr>
              <w:keepLines/>
            </w:pPr>
            <w:r>
              <w:t>Open dataset</w:t>
            </w:r>
          </w:p>
        </w:tc>
        <w:tc>
          <w:tcPr>
            <w:tcW w:w="2550" w:type="dxa"/>
            <w:tcBorders>
              <w:bottom w:val="single" w:sz="6" w:space="0" w:color="000000"/>
            </w:tcBorders>
          </w:tcPr>
          <w:p w14:paraId="312ABD3E" w14:textId="77777777" w:rsidR="001F0D49" w:rsidRDefault="00000000">
            <w:pPr>
              <w:keepLines/>
            </w:pPr>
            <w:r>
              <w:t>Long regulatory-burden series, but with an ideologically loaded framing.</w:t>
            </w:r>
          </w:p>
        </w:tc>
        <w:tc>
          <w:tcPr>
            <w:tcW w:w="1277" w:type="dxa"/>
            <w:tcBorders>
              <w:bottom w:val="single" w:sz="6" w:space="0" w:color="000000"/>
            </w:tcBorders>
          </w:tcPr>
          <w:p w14:paraId="4FAAD29B" w14:textId="77777777" w:rsidR="001F0D49" w:rsidRDefault="00000000">
            <w:pPr>
              <w:keepLines/>
            </w:pPr>
            <w:r>
              <w:t>support</w:t>
            </w:r>
          </w:p>
        </w:tc>
      </w:tr>
      <w:tr w:rsidR="001F0D49" w14:paraId="5A4CBC5D" w14:textId="77777777" w:rsidTr="00980660">
        <w:trPr>
          <w:cantSplit/>
        </w:trPr>
        <w:tc>
          <w:tcPr>
            <w:tcW w:w="959" w:type="dxa"/>
            <w:tcBorders>
              <w:bottom w:val="single" w:sz="6" w:space="0" w:color="000000"/>
            </w:tcBorders>
          </w:tcPr>
          <w:p w14:paraId="2D31683E" w14:textId="77777777" w:rsidR="001F0D49" w:rsidRDefault="00000000">
            <w:pPr>
              <w:keepLines/>
            </w:pPr>
            <w:r>
              <w:t>ATD-DATA-009</w:t>
            </w:r>
          </w:p>
        </w:tc>
        <w:tc>
          <w:tcPr>
            <w:tcW w:w="1731" w:type="dxa"/>
            <w:tcBorders>
              <w:bottom w:val="single" w:sz="6" w:space="0" w:color="000000"/>
            </w:tcBorders>
          </w:tcPr>
          <w:p w14:paraId="5B78D49C" w14:textId="77777777" w:rsidR="001F0D49" w:rsidRDefault="00000000">
            <w:pPr>
              <w:keepLines/>
            </w:pPr>
            <w:r>
              <w:t>Gloria Mark attention fragmentation studies</w:t>
            </w:r>
          </w:p>
        </w:tc>
        <w:tc>
          <w:tcPr>
            <w:tcW w:w="1246" w:type="dxa"/>
            <w:tcBorders>
              <w:bottom w:val="single" w:sz="6" w:space="0" w:color="000000"/>
            </w:tcBorders>
          </w:tcPr>
          <w:p w14:paraId="45814674" w14:textId="77777777" w:rsidR="001F0D49" w:rsidRDefault="00000000">
            <w:pPr>
              <w:keepLines/>
            </w:pPr>
            <w:r>
              <w:t>context degradation</w:t>
            </w:r>
          </w:p>
        </w:tc>
        <w:tc>
          <w:tcPr>
            <w:tcW w:w="1275" w:type="dxa"/>
            <w:tcBorders>
              <w:bottom w:val="single" w:sz="6" w:space="0" w:color="000000"/>
            </w:tcBorders>
          </w:tcPr>
          <w:p w14:paraId="0B78AB8F" w14:textId="77777777" w:rsidR="001F0D49" w:rsidRDefault="00000000">
            <w:pPr>
              <w:keepLines/>
            </w:pPr>
            <w:r>
              <w:t>2004–2023</w:t>
            </w:r>
          </w:p>
        </w:tc>
        <w:tc>
          <w:tcPr>
            <w:tcW w:w="1418" w:type="dxa"/>
            <w:tcBorders>
              <w:bottom w:val="single" w:sz="6" w:space="0" w:color="000000"/>
            </w:tcBorders>
          </w:tcPr>
          <w:p w14:paraId="2F5A3124" w14:textId="77777777" w:rsidR="001F0D49" w:rsidRDefault="00000000">
            <w:pPr>
              <w:keepLines/>
            </w:pPr>
            <w:r>
              <w:t>Published studies</w:t>
            </w:r>
          </w:p>
        </w:tc>
        <w:tc>
          <w:tcPr>
            <w:tcW w:w="2550" w:type="dxa"/>
            <w:tcBorders>
              <w:bottom w:val="single" w:sz="6" w:space="0" w:color="000000"/>
            </w:tcBorders>
          </w:tcPr>
          <w:p w14:paraId="321C01A7" w14:textId="77777777" w:rsidR="001F0D49" w:rsidRDefault="00000000">
            <w:pPr>
              <w:keepLines/>
            </w:pPr>
            <w:r>
              <w:t>Primary empirical anchor for fragmentation, interruption burden, and attention collapse.</w:t>
            </w:r>
          </w:p>
        </w:tc>
        <w:tc>
          <w:tcPr>
            <w:tcW w:w="1277" w:type="dxa"/>
            <w:tcBorders>
              <w:bottom w:val="single" w:sz="6" w:space="0" w:color="000000"/>
            </w:tcBorders>
          </w:tcPr>
          <w:p w14:paraId="777839C2" w14:textId="77777777" w:rsidR="001F0D49" w:rsidRDefault="00000000">
            <w:pPr>
              <w:keepLines/>
            </w:pPr>
            <w:r>
              <w:t>core</w:t>
            </w:r>
          </w:p>
        </w:tc>
      </w:tr>
      <w:tr w:rsidR="001F0D49" w14:paraId="0DC80747" w14:textId="77777777" w:rsidTr="00980660">
        <w:trPr>
          <w:cantSplit/>
        </w:trPr>
        <w:tc>
          <w:tcPr>
            <w:tcW w:w="959" w:type="dxa"/>
            <w:tcBorders>
              <w:bottom w:val="single" w:sz="6" w:space="0" w:color="000000"/>
            </w:tcBorders>
          </w:tcPr>
          <w:p w14:paraId="4CE32369" w14:textId="77777777" w:rsidR="001F0D49" w:rsidRDefault="00000000">
            <w:pPr>
              <w:keepLines/>
            </w:pPr>
            <w:r>
              <w:lastRenderedPageBreak/>
              <w:t>ATD-DATA-010</w:t>
            </w:r>
          </w:p>
        </w:tc>
        <w:tc>
          <w:tcPr>
            <w:tcW w:w="1731" w:type="dxa"/>
            <w:tcBorders>
              <w:bottom w:val="single" w:sz="6" w:space="0" w:color="000000"/>
            </w:tcBorders>
          </w:tcPr>
          <w:p w14:paraId="40D25500" w14:textId="77777777" w:rsidR="001F0D49" w:rsidRDefault="00000000">
            <w:pPr>
              <w:keepLines/>
            </w:pPr>
            <w:r>
              <w:t>Eurofound European Working Conditions Survey (EWCS)</w:t>
            </w:r>
          </w:p>
        </w:tc>
        <w:tc>
          <w:tcPr>
            <w:tcW w:w="1246" w:type="dxa"/>
            <w:tcBorders>
              <w:bottom w:val="single" w:sz="6" w:space="0" w:color="000000"/>
            </w:tcBorders>
          </w:tcPr>
          <w:p w14:paraId="6013C361" w14:textId="77777777" w:rsidR="001F0D49" w:rsidRDefault="00000000">
            <w:pPr>
              <w:keepLines/>
            </w:pPr>
            <w:r>
              <w:t>context degradation</w:t>
            </w:r>
          </w:p>
        </w:tc>
        <w:tc>
          <w:tcPr>
            <w:tcW w:w="1275" w:type="dxa"/>
            <w:tcBorders>
              <w:bottom w:val="single" w:sz="6" w:space="0" w:color="000000"/>
            </w:tcBorders>
          </w:tcPr>
          <w:p w14:paraId="713B4D08" w14:textId="77777777" w:rsidR="001F0D49" w:rsidRDefault="00000000">
            <w:pPr>
              <w:keepLines/>
            </w:pPr>
            <w:r>
              <w:t>1991–2024</w:t>
            </w:r>
          </w:p>
        </w:tc>
        <w:tc>
          <w:tcPr>
            <w:tcW w:w="1418" w:type="dxa"/>
            <w:tcBorders>
              <w:bottom w:val="single" w:sz="6" w:space="0" w:color="000000"/>
            </w:tcBorders>
          </w:tcPr>
          <w:p w14:paraId="0B072239" w14:textId="77777777" w:rsidR="001F0D49" w:rsidRDefault="00000000">
            <w:pPr>
              <w:keepLines/>
            </w:pPr>
            <w:r>
              <w:t>Open microdata (registration)</w:t>
            </w:r>
          </w:p>
        </w:tc>
        <w:tc>
          <w:tcPr>
            <w:tcW w:w="2550" w:type="dxa"/>
            <w:tcBorders>
              <w:bottom w:val="single" w:sz="6" w:space="0" w:color="000000"/>
            </w:tcBorders>
          </w:tcPr>
          <w:p w14:paraId="2BB890FE" w14:textId="77777777" w:rsidR="001F0D49" w:rsidRDefault="00000000">
            <w:pPr>
              <w:keepLines/>
            </w:pPr>
            <w:r>
              <w:t>Best European institutional source for work strain and context burden.</w:t>
            </w:r>
          </w:p>
        </w:tc>
        <w:tc>
          <w:tcPr>
            <w:tcW w:w="1277" w:type="dxa"/>
            <w:tcBorders>
              <w:bottom w:val="single" w:sz="6" w:space="0" w:color="000000"/>
            </w:tcBorders>
          </w:tcPr>
          <w:p w14:paraId="629F2129" w14:textId="77777777" w:rsidR="001F0D49" w:rsidRDefault="00000000">
            <w:pPr>
              <w:keepLines/>
            </w:pPr>
            <w:r>
              <w:t>core</w:t>
            </w:r>
          </w:p>
        </w:tc>
      </w:tr>
      <w:tr w:rsidR="001F0D49" w14:paraId="4574F286" w14:textId="77777777" w:rsidTr="00980660">
        <w:trPr>
          <w:cantSplit/>
        </w:trPr>
        <w:tc>
          <w:tcPr>
            <w:tcW w:w="959" w:type="dxa"/>
            <w:tcBorders>
              <w:bottom w:val="single" w:sz="6" w:space="0" w:color="000000"/>
            </w:tcBorders>
          </w:tcPr>
          <w:p w14:paraId="4DCBD90D" w14:textId="77777777" w:rsidR="001F0D49" w:rsidRDefault="00000000">
            <w:pPr>
              <w:keepLines/>
            </w:pPr>
            <w:r>
              <w:t>ATD-DATA-011</w:t>
            </w:r>
          </w:p>
        </w:tc>
        <w:tc>
          <w:tcPr>
            <w:tcW w:w="1731" w:type="dxa"/>
            <w:tcBorders>
              <w:bottom w:val="single" w:sz="6" w:space="0" w:color="000000"/>
            </w:tcBorders>
          </w:tcPr>
          <w:p w14:paraId="2052B2A6" w14:textId="77777777" w:rsidR="001F0D49" w:rsidRDefault="00000000">
            <w:pPr>
              <w:keepLines/>
            </w:pPr>
            <w:r>
              <w:t>Common Sense Media Census</w:t>
            </w:r>
          </w:p>
        </w:tc>
        <w:tc>
          <w:tcPr>
            <w:tcW w:w="1246" w:type="dxa"/>
            <w:tcBorders>
              <w:bottom w:val="single" w:sz="6" w:space="0" w:color="000000"/>
            </w:tcBorders>
          </w:tcPr>
          <w:p w14:paraId="1F9C4580" w14:textId="77777777" w:rsidR="001F0D49" w:rsidRDefault="00000000">
            <w:pPr>
              <w:keepLines/>
            </w:pPr>
            <w:r>
              <w:t>context degradation</w:t>
            </w:r>
          </w:p>
        </w:tc>
        <w:tc>
          <w:tcPr>
            <w:tcW w:w="1275" w:type="dxa"/>
            <w:tcBorders>
              <w:bottom w:val="single" w:sz="6" w:space="0" w:color="000000"/>
            </w:tcBorders>
          </w:tcPr>
          <w:p w14:paraId="49230602" w14:textId="77777777" w:rsidR="001F0D49" w:rsidRDefault="00000000">
            <w:pPr>
              <w:keepLines/>
            </w:pPr>
            <w:r>
              <w:t>2015, 2019, 2021, 2025</w:t>
            </w:r>
          </w:p>
        </w:tc>
        <w:tc>
          <w:tcPr>
            <w:tcW w:w="1418" w:type="dxa"/>
            <w:tcBorders>
              <w:bottom w:val="single" w:sz="6" w:space="0" w:color="000000"/>
            </w:tcBorders>
          </w:tcPr>
          <w:p w14:paraId="5FAA51A4" w14:textId="77777777" w:rsidR="001F0D49" w:rsidRDefault="00000000">
            <w:pPr>
              <w:keepLines/>
            </w:pPr>
            <w:r>
              <w:t>Reports + ICPSR microdata</w:t>
            </w:r>
          </w:p>
        </w:tc>
        <w:tc>
          <w:tcPr>
            <w:tcW w:w="2550" w:type="dxa"/>
            <w:tcBorders>
              <w:bottom w:val="single" w:sz="6" w:space="0" w:color="000000"/>
            </w:tcBorders>
          </w:tcPr>
          <w:p w14:paraId="240AF565" w14:textId="77777777" w:rsidR="001F0D49" w:rsidRDefault="00000000">
            <w:pPr>
              <w:keepLines/>
            </w:pPr>
            <w:r>
              <w:t>Strong youth digital-environment input for applied-domain analysis.</w:t>
            </w:r>
          </w:p>
        </w:tc>
        <w:tc>
          <w:tcPr>
            <w:tcW w:w="1277" w:type="dxa"/>
            <w:tcBorders>
              <w:bottom w:val="single" w:sz="6" w:space="0" w:color="000000"/>
            </w:tcBorders>
          </w:tcPr>
          <w:p w14:paraId="5374DDFC" w14:textId="77777777" w:rsidR="001F0D49" w:rsidRDefault="00000000">
            <w:pPr>
              <w:keepLines/>
            </w:pPr>
            <w:r>
              <w:t>support</w:t>
            </w:r>
          </w:p>
        </w:tc>
      </w:tr>
      <w:tr w:rsidR="001F0D49" w14:paraId="3F279BEF" w14:textId="77777777" w:rsidTr="00980660">
        <w:trPr>
          <w:cantSplit/>
        </w:trPr>
        <w:tc>
          <w:tcPr>
            <w:tcW w:w="959" w:type="dxa"/>
            <w:tcBorders>
              <w:bottom w:val="single" w:sz="6" w:space="0" w:color="000000"/>
            </w:tcBorders>
          </w:tcPr>
          <w:p w14:paraId="3288E0B0" w14:textId="77777777" w:rsidR="001F0D49" w:rsidRDefault="00000000">
            <w:pPr>
              <w:keepLines/>
            </w:pPr>
            <w:r>
              <w:t>ATD-DATA-012</w:t>
            </w:r>
          </w:p>
        </w:tc>
        <w:tc>
          <w:tcPr>
            <w:tcW w:w="1731" w:type="dxa"/>
            <w:tcBorders>
              <w:bottom w:val="single" w:sz="6" w:space="0" w:color="000000"/>
            </w:tcBorders>
          </w:tcPr>
          <w:p w14:paraId="482089E4" w14:textId="77777777" w:rsidR="001F0D49" w:rsidRDefault="00000000">
            <w:pPr>
              <w:keepLines/>
            </w:pPr>
            <w:r>
              <w:t>Pew Research Internet &amp; Technology Surveys</w:t>
            </w:r>
          </w:p>
        </w:tc>
        <w:tc>
          <w:tcPr>
            <w:tcW w:w="1246" w:type="dxa"/>
            <w:tcBorders>
              <w:bottom w:val="single" w:sz="6" w:space="0" w:color="000000"/>
            </w:tcBorders>
          </w:tcPr>
          <w:p w14:paraId="2356D462" w14:textId="77777777" w:rsidR="001F0D49" w:rsidRDefault="00000000">
            <w:pPr>
              <w:keepLines/>
            </w:pPr>
            <w:r>
              <w:t>context degradation</w:t>
            </w:r>
          </w:p>
        </w:tc>
        <w:tc>
          <w:tcPr>
            <w:tcW w:w="1275" w:type="dxa"/>
            <w:tcBorders>
              <w:bottom w:val="single" w:sz="6" w:space="0" w:color="000000"/>
            </w:tcBorders>
          </w:tcPr>
          <w:p w14:paraId="551E844C" w14:textId="77777777" w:rsidR="001F0D49" w:rsidRDefault="00000000">
            <w:pPr>
              <w:keepLines/>
            </w:pPr>
            <w:r>
              <w:t>2000–2025</w:t>
            </w:r>
          </w:p>
        </w:tc>
        <w:tc>
          <w:tcPr>
            <w:tcW w:w="1418" w:type="dxa"/>
            <w:tcBorders>
              <w:bottom w:val="single" w:sz="6" w:space="0" w:color="000000"/>
            </w:tcBorders>
          </w:tcPr>
          <w:p w14:paraId="0EC64981" w14:textId="77777777" w:rsidR="001F0D49" w:rsidRDefault="00000000">
            <w:pPr>
              <w:keepLines/>
            </w:pPr>
            <w:r>
              <w:t>Open download (registration)</w:t>
            </w:r>
          </w:p>
        </w:tc>
        <w:tc>
          <w:tcPr>
            <w:tcW w:w="2550" w:type="dxa"/>
            <w:tcBorders>
              <w:bottom w:val="single" w:sz="6" w:space="0" w:color="000000"/>
            </w:tcBorders>
          </w:tcPr>
          <w:p w14:paraId="67FE90EF" w14:textId="77777777" w:rsidR="001F0D49" w:rsidRDefault="00000000">
            <w:pPr>
              <w:keepLines/>
            </w:pPr>
            <w:r>
              <w:t>Reliable survey layer on digital-context saturation.</w:t>
            </w:r>
          </w:p>
        </w:tc>
        <w:tc>
          <w:tcPr>
            <w:tcW w:w="1277" w:type="dxa"/>
            <w:tcBorders>
              <w:bottom w:val="single" w:sz="6" w:space="0" w:color="000000"/>
            </w:tcBorders>
          </w:tcPr>
          <w:p w14:paraId="2C0B0E12" w14:textId="77777777" w:rsidR="001F0D49" w:rsidRDefault="00000000">
            <w:pPr>
              <w:keepLines/>
            </w:pPr>
            <w:r>
              <w:t>support</w:t>
            </w:r>
          </w:p>
        </w:tc>
      </w:tr>
      <w:tr w:rsidR="001F0D49" w14:paraId="512A359C" w14:textId="77777777" w:rsidTr="00980660">
        <w:trPr>
          <w:cantSplit/>
        </w:trPr>
        <w:tc>
          <w:tcPr>
            <w:tcW w:w="959" w:type="dxa"/>
            <w:tcBorders>
              <w:bottom w:val="single" w:sz="6" w:space="0" w:color="000000"/>
            </w:tcBorders>
          </w:tcPr>
          <w:p w14:paraId="6D960008" w14:textId="77777777" w:rsidR="001F0D49" w:rsidRDefault="00000000">
            <w:pPr>
              <w:keepLines/>
            </w:pPr>
            <w:r>
              <w:t>ATD-DATA-013</w:t>
            </w:r>
          </w:p>
        </w:tc>
        <w:tc>
          <w:tcPr>
            <w:tcW w:w="1731" w:type="dxa"/>
            <w:tcBorders>
              <w:bottom w:val="single" w:sz="6" w:space="0" w:color="000000"/>
            </w:tcBorders>
          </w:tcPr>
          <w:p w14:paraId="2E8C1570" w14:textId="77777777" w:rsidR="001F0D49" w:rsidRDefault="00000000">
            <w:pPr>
              <w:keepLines/>
            </w:pPr>
            <w:r>
              <w:t>Ofcom Online Nation</w:t>
            </w:r>
          </w:p>
        </w:tc>
        <w:tc>
          <w:tcPr>
            <w:tcW w:w="1246" w:type="dxa"/>
            <w:tcBorders>
              <w:bottom w:val="single" w:sz="6" w:space="0" w:color="000000"/>
            </w:tcBorders>
          </w:tcPr>
          <w:p w14:paraId="4F1F3E22" w14:textId="77777777" w:rsidR="001F0D49" w:rsidRDefault="00000000">
            <w:pPr>
              <w:keepLines/>
            </w:pPr>
            <w:r>
              <w:t>context degradation</w:t>
            </w:r>
          </w:p>
        </w:tc>
        <w:tc>
          <w:tcPr>
            <w:tcW w:w="1275" w:type="dxa"/>
            <w:tcBorders>
              <w:bottom w:val="single" w:sz="6" w:space="0" w:color="000000"/>
            </w:tcBorders>
          </w:tcPr>
          <w:p w14:paraId="7C9F6D06" w14:textId="77777777" w:rsidR="001F0D49" w:rsidRDefault="00000000">
            <w:pPr>
              <w:keepLines/>
            </w:pPr>
            <w:r>
              <w:t>2020–2025</w:t>
            </w:r>
          </w:p>
        </w:tc>
        <w:tc>
          <w:tcPr>
            <w:tcW w:w="1418" w:type="dxa"/>
            <w:tcBorders>
              <w:bottom w:val="single" w:sz="6" w:space="0" w:color="000000"/>
            </w:tcBorders>
          </w:tcPr>
          <w:p w14:paraId="0B2674BF" w14:textId="77777777" w:rsidR="001F0D49" w:rsidRDefault="00000000">
            <w:pPr>
              <w:keepLines/>
            </w:pPr>
            <w:r>
              <w:t>Report + interactive data</w:t>
            </w:r>
          </w:p>
        </w:tc>
        <w:tc>
          <w:tcPr>
            <w:tcW w:w="2550" w:type="dxa"/>
            <w:tcBorders>
              <w:bottom w:val="single" w:sz="6" w:space="0" w:color="000000"/>
            </w:tcBorders>
          </w:tcPr>
          <w:p w14:paraId="5D5976B6" w14:textId="77777777" w:rsidR="001F0D49" w:rsidRDefault="00000000">
            <w:pPr>
              <w:keepLines/>
            </w:pPr>
            <w:r>
              <w:t>Regulatory source on online-environment load.</w:t>
            </w:r>
          </w:p>
        </w:tc>
        <w:tc>
          <w:tcPr>
            <w:tcW w:w="1277" w:type="dxa"/>
            <w:tcBorders>
              <w:bottom w:val="single" w:sz="6" w:space="0" w:color="000000"/>
            </w:tcBorders>
          </w:tcPr>
          <w:p w14:paraId="4C2C0E37" w14:textId="77777777" w:rsidR="001F0D49" w:rsidRDefault="00000000">
            <w:pPr>
              <w:keepLines/>
            </w:pPr>
            <w:r>
              <w:t>support</w:t>
            </w:r>
          </w:p>
        </w:tc>
      </w:tr>
      <w:tr w:rsidR="001F0D49" w14:paraId="51FA2078" w14:textId="77777777" w:rsidTr="00980660">
        <w:trPr>
          <w:cantSplit/>
        </w:trPr>
        <w:tc>
          <w:tcPr>
            <w:tcW w:w="959" w:type="dxa"/>
            <w:tcBorders>
              <w:bottom w:val="single" w:sz="6" w:space="0" w:color="000000"/>
            </w:tcBorders>
          </w:tcPr>
          <w:p w14:paraId="5B579582" w14:textId="77777777" w:rsidR="001F0D49" w:rsidRDefault="00000000">
            <w:pPr>
              <w:keepLines/>
            </w:pPr>
            <w:r>
              <w:t>ATD-DATA-014</w:t>
            </w:r>
          </w:p>
        </w:tc>
        <w:tc>
          <w:tcPr>
            <w:tcW w:w="1731" w:type="dxa"/>
            <w:tcBorders>
              <w:bottom w:val="single" w:sz="6" w:space="0" w:color="000000"/>
            </w:tcBorders>
          </w:tcPr>
          <w:p w14:paraId="4A0F9563" w14:textId="77777777" w:rsidR="001F0D49" w:rsidRDefault="00000000">
            <w:pPr>
              <w:keepLines/>
            </w:pPr>
            <w:r>
              <w:t>Parnin &amp; Rugaber interrupted programming sessions</w:t>
            </w:r>
          </w:p>
        </w:tc>
        <w:tc>
          <w:tcPr>
            <w:tcW w:w="1246" w:type="dxa"/>
            <w:tcBorders>
              <w:bottom w:val="single" w:sz="6" w:space="0" w:color="000000"/>
            </w:tcBorders>
          </w:tcPr>
          <w:p w14:paraId="52E2C5CA" w14:textId="77777777" w:rsidR="001F0D49" w:rsidRDefault="00000000">
            <w:pPr>
              <w:keepLines/>
            </w:pPr>
            <w:r>
              <w:t>context degradation</w:t>
            </w:r>
          </w:p>
        </w:tc>
        <w:tc>
          <w:tcPr>
            <w:tcW w:w="1275" w:type="dxa"/>
            <w:tcBorders>
              <w:bottom w:val="single" w:sz="6" w:space="0" w:color="000000"/>
            </w:tcBorders>
          </w:tcPr>
          <w:p w14:paraId="60CAB384" w14:textId="77777777" w:rsidR="001F0D49" w:rsidRDefault="00000000">
            <w:pPr>
              <w:keepLines/>
            </w:pPr>
            <w:r>
              <w:t>single study / 10,000 sessions</w:t>
            </w:r>
          </w:p>
        </w:tc>
        <w:tc>
          <w:tcPr>
            <w:tcW w:w="1418" w:type="dxa"/>
            <w:tcBorders>
              <w:bottom w:val="single" w:sz="6" w:space="0" w:color="000000"/>
            </w:tcBorders>
          </w:tcPr>
          <w:p w14:paraId="5B55C6B0" w14:textId="77777777" w:rsidR="001F0D49" w:rsidRDefault="00000000">
            <w:pPr>
              <w:keepLines/>
            </w:pPr>
            <w:r>
              <w:t>Published study</w:t>
            </w:r>
          </w:p>
        </w:tc>
        <w:tc>
          <w:tcPr>
            <w:tcW w:w="2550" w:type="dxa"/>
            <w:tcBorders>
              <w:bottom w:val="single" w:sz="6" w:space="0" w:color="000000"/>
            </w:tcBorders>
          </w:tcPr>
          <w:p w14:paraId="04B431D2" w14:textId="77777777" w:rsidR="001F0D49" w:rsidRDefault="00000000">
            <w:pPr>
              <w:keepLines/>
            </w:pPr>
            <w:r>
              <w:t>Direct anchor for context-reconstruction cost.</w:t>
            </w:r>
          </w:p>
        </w:tc>
        <w:tc>
          <w:tcPr>
            <w:tcW w:w="1277" w:type="dxa"/>
            <w:tcBorders>
              <w:bottom w:val="single" w:sz="6" w:space="0" w:color="000000"/>
            </w:tcBorders>
          </w:tcPr>
          <w:p w14:paraId="0FE7FDA3" w14:textId="77777777" w:rsidR="001F0D49" w:rsidRDefault="00000000">
            <w:pPr>
              <w:keepLines/>
            </w:pPr>
            <w:r>
              <w:t>core</w:t>
            </w:r>
          </w:p>
        </w:tc>
      </w:tr>
      <w:tr w:rsidR="001F0D49" w14:paraId="339E677C" w14:textId="77777777" w:rsidTr="00980660">
        <w:trPr>
          <w:cantSplit/>
        </w:trPr>
        <w:tc>
          <w:tcPr>
            <w:tcW w:w="959" w:type="dxa"/>
            <w:tcBorders>
              <w:bottom w:val="single" w:sz="6" w:space="0" w:color="000000"/>
            </w:tcBorders>
          </w:tcPr>
          <w:p w14:paraId="03BC75A9" w14:textId="77777777" w:rsidR="001F0D49" w:rsidRDefault="00000000">
            <w:pPr>
              <w:keepLines/>
            </w:pPr>
            <w:r>
              <w:t>ATD-DATA-015</w:t>
            </w:r>
          </w:p>
        </w:tc>
        <w:tc>
          <w:tcPr>
            <w:tcW w:w="1731" w:type="dxa"/>
            <w:tcBorders>
              <w:bottom w:val="single" w:sz="6" w:space="0" w:color="000000"/>
            </w:tcBorders>
          </w:tcPr>
          <w:p w14:paraId="6FFA949B" w14:textId="77777777" w:rsidR="001F0D49" w:rsidRDefault="00000000">
            <w:pPr>
              <w:keepLines/>
            </w:pPr>
            <w:r>
              <w:t>World Bank Doing Business (historical archive)</w:t>
            </w:r>
          </w:p>
        </w:tc>
        <w:tc>
          <w:tcPr>
            <w:tcW w:w="1246" w:type="dxa"/>
            <w:tcBorders>
              <w:bottom w:val="single" w:sz="6" w:space="0" w:color="000000"/>
            </w:tcBorders>
          </w:tcPr>
          <w:p w14:paraId="7B23F1B2" w14:textId="77777777" w:rsidR="001F0D49" w:rsidRDefault="00000000">
            <w:pPr>
              <w:keepLines/>
            </w:pPr>
            <w:r>
              <w:t>coordination tax</w:t>
            </w:r>
          </w:p>
        </w:tc>
        <w:tc>
          <w:tcPr>
            <w:tcW w:w="1275" w:type="dxa"/>
            <w:tcBorders>
              <w:bottom w:val="single" w:sz="6" w:space="0" w:color="000000"/>
            </w:tcBorders>
          </w:tcPr>
          <w:p w14:paraId="2CFC2F61" w14:textId="77777777" w:rsidR="001F0D49" w:rsidRDefault="00000000">
            <w:pPr>
              <w:keepLines/>
            </w:pPr>
            <w:r>
              <w:t>2003–2020</w:t>
            </w:r>
          </w:p>
        </w:tc>
        <w:tc>
          <w:tcPr>
            <w:tcW w:w="1418" w:type="dxa"/>
            <w:tcBorders>
              <w:bottom w:val="single" w:sz="6" w:space="0" w:color="000000"/>
            </w:tcBorders>
          </w:tcPr>
          <w:p w14:paraId="61B25D80" w14:textId="77777777" w:rsidR="001F0D49" w:rsidRDefault="00000000">
            <w:pPr>
              <w:keepLines/>
            </w:pPr>
            <w:r>
              <w:t>Open download</w:t>
            </w:r>
          </w:p>
        </w:tc>
        <w:tc>
          <w:tcPr>
            <w:tcW w:w="2550" w:type="dxa"/>
            <w:tcBorders>
              <w:bottom w:val="single" w:sz="6" w:space="0" w:color="000000"/>
            </w:tcBorders>
          </w:tcPr>
          <w:p w14:paraId="12B9D95C" w14:textId="77777777" w:rsidR="001F0D49" w:rsidRDefault="00000000">
            <w:pPr>
              <w:keepLines/>
            </w:pPr>
            <w:r>
              <w:t>Direct institutional proxy for coordination tax in administrative and economic processes.</w:t>
            </w:r>
          </w:p>
        </w:tc>
        <w:tc>
          <w:tcPr>
            <w:tcW w:w="1277" w:type="dxa"/>
            <w:tcBorders>
              <w:bottom w:val="single" w:sz="6" w:space="0" w:color="000000"/>
            </w:tcBorders>
          </w:tcPr>
          <w:p w14:paraId="7ED45A70" w14:textId="77777777" w:rsidR="001F0D49" w:rsidRDefault="00000000">
            <w:pPr>
              <w:keepLines/>
            </w:pPr>
            <w:r>
              <w:t>core</w:t>
            </w:r>
          </w:p>
        </w:tc>
      </w:tr>
      <w:tr w:rsidR="001F0D49" w14:paraId="55C13FEB" w14:textId="77777777" w:rsidTr="00980660">
        <w:trPr>
          <w:cantSplit/>
        </w:trPr>
        <w:tc>
          <w:tcPr>
            <w:tcW w:w="959" w:type="dxa"/>
            <w:tcBorders>
              <w:bottom w:val="single" w:sz="6" w:space="0" w:color="000000"/>
            </w:tcBorders>
          </w:tcPr>
          <w:p w14:paraId="5EF4CFFE" w14:textId="77777777" w:rsidR="001F0D49" w:rsidRDefault="00000000">
            <w:pPr>
              <w:keepLines/>
            </w:pPr>
            <w:r>
              <w:t>ATD-DATA-016</w:t>
            </w:r>
          </w:p>
        </w:tc>
        <w:tc>
          <w:tcPr>
            <w:tcW w:w="1731" w:type="dxa"/>
            <w:tcBorders>
              <w:bottom w:val="single" w:sz="6" w:space="0" w:color="000000"/>
            </w:tcBorders>
          </w:tcPr>
          <w:p w14:paraId="70DC3C34" w14:textId="77777777" w:rsidR="001F0D49" w:rsidRDefault="00000000">
            <w:pPr>
              <w:keepLines/>
            </w:pPr>
            <w:r>
              <w:t>World Bank B-READY</w:t>
            </w:r>
          </w:p>
        </w:tc>
        <w:tc>
          <w:tcPr>
            <w:tcW w:w="1246" w:type="dxa"/>
            <w:tcBorders>
              <w:bottom w:val="single" w:sz="6" w:space="0" w:color="000000"/>
            </w:tcBorders>
          </w:tcPr>
          <w:p w14:paraId="4BFE9D89" w14:textId="77777777" w:rsidR="001F0D49" w:rsidRDefault="00000000">
            <w:pPr>
              <w:keepLines/>
            </w:pPr>
            <w:r>
              <w:t>coordination tax</w:t>
            </w:r>
          </w:p>
        </w:tc>
        <w:tc>
          <w:tcPr>
            <w:tcW w:w="1275" w:type="dxa"/>
            <w:tcBorders>
              <w:bottom w:val="single" w:sz="6" w:space="0" w:color="000000"/>
            </w:tcBorders>
          </w:tcPr>
          <w:p w14:paraId="01EE7A59" w14:textId="77777777" w:rsidR="001F0D49" w:rsidRDefault="00000000">
            <w:pPr>
              <w:keepLines/>
            </w:pPr>
            <w:r>
              <w:t>2024–present</w:t>
            </w:r>
          </w:p>
        </w:tc>
        <w:tc>
          <w:tcPr>
            <w:tcW w:w="1418" w:type="dxa"/>
            <w:tcBorders>
              <w:bottom w:val="single" w:sz="6" w:space="0" w:color="000000"/>
            </w:tcBorders>
          </w:tcPr>
          <w:p w14:paraId="34D85930" w14:textId="77777777" w:rsidR="001F0D49" w:rsidRDefault="00000000">
            <w:pPr>
              <w:keepLines/>
            </w:pPr>
            <w:r>
              <w:t>Open dashboard/data</w:t>
            </w:r>
          </w:p>
        </w:tc>
        <w:tc>
          <w:tcPr>
            <w:tcW w:w="2550" w:type="dxa"/>
            <w:tcBorders>
              <w:bottom w:val="single" w:sz="6" w:space="0" w:color="000000"/>
            </w:tcBorders>
          </w:tcPr>
          <w:p w14:paraId="6AE24A66" w14:textId="77777777" w:rsidR="001F0D49" w:rsidRDefault="00000000">
            <w:pPr>
              <w:keepLines/>
            </w:pPr>
            <w:r>
              <w:t>Next-generation business and regulatory-friction metrics.</w:t>
            </w:r>
          </w:p>
        </w:tc>
        <w:tc>
          <w:tcPr>
            <w:tcW w:w="1277" w:type="dxa"/>
            <w:tcBorders>
              <w:bottom w:val="single" w:sz="6" w:space="0" w:color="000000"/>
            </w:tcBorders>
          </w:tcPr>
          <w:p w14:paraId="064D123C" w14:textId="77777777" w:rsidR="001F0D49" w:rsidRDefault="00000000">
            <w:pPr>
              <w:keepLines/>
            </w:pPr>
            <w:r>
              <w:t>support</w:t>
            </w:r>
          </w:p>
        </w:tc>
      </w:tr>
      <w:tr w:rsidR="001F0D49" w14:paraId="2AD005E5" w14:textId="77777777" w:rsidTr="00980660">
        <w:trPr>
          <w:cantSplit/>
        </w:trPr>
        <w:tc>
          <w:tcPr>
            <w:tcW w:w="959" w:type="dxa"/>
            <w:tcBorders>
              <w:bottom w:val="single" w:sz="6" w:space="0" w:color="000000"/>
            </w:tcBorders>
          </w:tcPr>
          <w:p w14:paraId="71BDF615" w14:textId="77777777" w:rsidR="001F0D49" w:rsidRDefault="00000000">
            <w:pPr>
              <w:keepLines/>
            </w:pPr>
            <w:r>
              <w:t>ATD-DATA-017</w:t>
            </w:r>
          </w:p>
        </w:tc>
        <w:tc>
          <w:tcPr>
            <w:tcW w:w="1731" w:type="dxa"/>
            <w:tcBorders>
              <w:bottom w:val="single" w:sz="6" w:space="0" w:color="000000"/>
            </w:tcBorders>
          </w:tcPr>
          <w:p w14:paraId="1F966A0F" w14:textId="77777777" w:rsidR="001F0D49" w:rsidRDefault="00000000">
            <w:pPr>
              <w:keepLines/>
            </w:pPr>
            <w:r>
              <w:t>OECD iREG</w:t>
            </w:r>
          </w:p>
        </w:tc>
        <w:tc>
          <w:tcPr>
            <w:tcW w:w="1246" w:type="dxa"/>
            <w:tcBorders>
              <w:bottom w:val="single" w:sz="6" w:space="0" w:color="000000"/>
            </w:tcBorders>
          </w:tcPr>
          <w:p w14:paraId="686F809D" w14:textId="77777777" w:rsidR="001F0D49" w:rsidRDefault="00000000">
            <w:pPr>
              <w:keepLines/>
            </w:pPr>
            <w:r>
              <w:t>coordination tax</w:t>
            </w:r>
          </w:p>
        </w:tc>
        <w:tc>
          <w:tcPr>
            <w:tcW w:w="1275" w:type="dxa"/>
            <w:tcBorders>
              <w:bottom w:val="single" w:sz="6" w:space="0" w:color="000000"/>
            </w:tcBorders>
          </w:tcPr>
          <w:p w14:paraId="18A5E599" w14:textId="77777777" w:rsidR="001F0D49" w:rsidRDefault="00000000">
            <w:pPr>
              <w:keepLines/>
            </w:pPr>
            <w:r>
              <w:t>2015, 2017, 2021, 2024</w:t>
            </w:r>
          </w:p>
        </w:tc>
        <w:tc>
          <w:tcPr>
            <w:tcW w:w="1418" w:type="dxa"/>
            <w:tcBorders>
              <w:bottom w:val="single" w:sz="6" w:space="0" w:color="000000"/>
            </w:tcBorders>
          </w:tcPr>
          <w:p w14:paraId="2F65DAE7" w14:textId="77777777" w:rsidR="001F0D49" w:rsidRDefault="00000000">
            <w:pPr>
              <w:keepLines/>
            </w:pPr>
            <w:r>
              <w:t>Open download</w:t>
            </w:r>
          </w:p>
        </w:tc>
        <w:tc>
          <w:tcPr>
            <w:tcW w:w="2550" w:type="dxa"/>
            <w:tcBorders>
              <w:bottom w:val="single" w:sz="6" w:space="0" w:color="000000"/>
            </w:tcBorders>
          </w:tcPr>
          <w:p w14:paraId="718B8BDC" w14:textId="77777777" w:rsidR="001F0D49" w:rsidRDefault="00000000">
            <w:pPr>
              <w:keepLines/>
            </w:pPr>
            <w:r>
              <w:t>Structured anchor for job strain and the working-environment layer.</w:t>
            </w:r>
          </w:p>
        </w:tc>
        <w:tc>
          <w:tcPr>
            <w:tcW w:w="1277" w:type="dxa"/>
            <w:tcBorders>
              <w:bottom w:val="single" w:sz="6" w:space="0" w:color="000000"/>
            </w:tcBorders>
          </w:tcPr>
          <w:p w14:paraId="11815CC1" w14:textId="77777777" w:rsidR="001F0D49" w:rsidRDefault="00000000">
            <w:pPr>
              <w:keepLines/>
            </w:pPr>
            <w:r>
              <w:t>core</w:t>
            </w:r>
          </w:p>
        </w:tc>
      </w:tr>
      <w:tr w:rsidR="001F0D49" w14:paraId="799454C1" w14:textId="77777777" w:rsidTr="00980660">
        <w:trPr>
          <w:cantSplit/>
        </w:trPr>
        <w:tc>
          <w:tcPr>
            <w:tcW w:w="959" w:type="dxa"/>
            <w:tcBorders>
              <w:bottom w:val="single" w:sz="6" w:space="0" w:color="000000"/>
            </w:tcBorders>
          </w:tcPr>
          <w:p w14:paraId="097EFB5C" w14:textId="77777777" w:rsidR="001F0D49" w:rsidRDefault="00000000">
            <w:pPr>
              <w:keepLines/>
            </w:pPr>
            <w:r>
              <w:t>ATD-DATA-018</w:t>
            </w:r>
          </w:p>
        </w:tc>
        <w:tc>
          <w:tcPr>
            <w:tcW w:w="1731" w:type="dxa"/>
            <w:tcBorders>
              <w:bottom w:val="single" w:sz="6" w:space="0" w:color="000000"/>
            </w:tcBorders>
          </w:tcPr>
          <w:p w14:paraId="677DB1BD" w14:textId="77777777" w:rsidR="001F0D49" w:rsidRDefault="00000000">
            <w:pPr>
              <w:keepLines/>
            </w:pPr>
            <w:r>
              <w:t>OECD Job Quality Indicators</w:t>
            </w:r>
          </w:p>
        </w:tc>
        <w:tc>
          <w:tcPr>
            <w:tcW w:w="1246" w:type="dxa"/>
            <w:tcBorders>
              <w:bottom w:val="single" w:sz="6" w:space="0" w:color="000000"/>
            </w:tcBorders>
          </w:tcPr>
          <w:p w14:paraId="5C189E23" w14:textId="77777777" w:rsidR="001F0D49" w:rsidRDefault="00000000">
            <w:pPr>
              <w:keepLines/>
            </w:pPr>
            <w:r>
              <w:t>coordination tax</w:t>
            </w:r>
          </w:p>
        </w:tc>
        <w:tc>
          <w:tcPr>
            <w:tcW w:w="1275" w:type="dxa"/>
            <w:tcBorders>
              <w:bottom w:val="single" w:sz="6" w:space="0" w:color="000000"/>
            </w:tcBorders>
          </w:tcPr>
          <w:p w14:paraId="377795EF" w14:textId="77777777" w:rsidR="001F0D49" w:rsidRDefault="00000000">
            <w:pPr>
              <w:keepLines/>
            </w:pPr>
            <w:r>
              <w:t>periodic</w:t>
            </w:r>
          </w:p>
        </w:tc>
        <w:tc>
          <w:tcPr>
            <w:tcW w:w="1418" w:type="dxa"/>
            <w:tcBorders>
              <w:bottom w:val="single" w:sz="6" w:space="0" w:color="000000"/>
            </w:tcBorders>
          </w:tcPr>
          <w:p w14:paraId="01BFB6EA" w14:textId="77777777" w:rsidR="001F0D49" w:rsidRDefault="00000000">
            <w:pPr>
              <w:keepLines/>
            </w:pPr>
            <w:r>
              <w:t>Open data explorer</w:t>
            </w:r>
          </w:p>
        </w:tc>
        <w:tc>
          <w:tcPr>
            <w:tcW w:w="2550" w:type="dxa"/>
            <w:tcBorders>
              <w:bottom w:val="single" w:sz="6" w:space="0" w:color="000000"/>
            </w:tcBorders>
          </w:tcPr>
          <w:p w14:paraId="32D8CE41" w14:textId="77777777" w:rsidR="001F0D49" w:rsidRDefault="00000000">
            <w:pPr>
              <w:keepLines/>
            </w:pPr>
            <w:r>
              <w:t>Open operational bridge for developer activity and delivery rhythm.</w:t>
            </w:r>
          </w:p>
        </w:tc>
        <w:tc>
          <w:tcPr>
            <w:tcW w:w="1277" w:type="dxa"/>
            <w:tcBorders>
              <w:bottom w:val="single" w:sz="6" w:space="0" w:color="000000"/>
            </w:tcBorders>
          </w:tcPr>
          <w:p w14:paraId="426D63A4" w14:textId="77777777" w:rsidR="001F0D49" w:rsidRDefault="00000000">
            <w:pPr>
              <w:keepLines/>
            </w:pPr>
            <w:r>
              <w:t>core</w:t>
            </w:r>
          </w:p>
        </w:tc>
      </w:tr>
      <w:tr w:rsidR="001F0D49" w14:paraId="0E885821" w14:textId="77777777" w:rsidTr="00980660">
        <w:trPr>
          <w:cantSplit/>
        </w:trPr>
        <w:tc>
          <w:tcPr>
            <w:tcW w:w="959" w:type="dxa"/>
            <w:tcBorders>
              <w:bottom w:val="single" w:sz="6" w:space="0" w:color="000000"/>
            </w:tcBorders>
          </w:tcPr>
          <w:p w14:paraId="4A846992" w14:textId="77777777" w:rsidR="001F0D49" w:rsidRDefault="00000000">
            <w:pPr>
              <w:keepLines/>
            </w:pPr>
            <w:r>
              <w:t>ATD-DATA-019</w:t>
            </w:r>
          </w:p>
        </w:tc>
        <w:tc>
          <w:tcPr>
            <w:tcW w:w="1731" w:type="dxa"/>
            <w:tcBorders>
              <w:bottom w:val="single" w:sz="6" w:space="0" w:color="000000"/>
            </w:tcBorders>
          </w:tcPr>
          <w:p w14:paraId="54D2F0D0" w14:textId="77777777" w:rsidR="001F0D49" w:rsidRDefault="00000000">
            <w:pPr>
              <w:keepLines/>
            </w:pPr>
            <w:r>
              <w:t>GitHub Innovation Graph</w:t>
            </w:r>
          </w:p>
        </w:tc>
        <w:tc>
          <w:tcPr>
            <w:tcW w:w="1246" w:type="dxa"/>
            <w:tcBorders>
              <w:bottom w:val="single" w:sz="6" w:space="0" w:color="000000"/>
            </w:tcBorders>
          </w:tcPr>
          <w:p w14:paraId="3B6D2F2F" w14:textId="77777777" w:rsidR="001F0D49" w:rsidRDefault="00000000">
            <w:pPr>
              <w:keepLines/>
            </w:pPr>
            <w:r>
              <w:t>coordination tax</w:t>
            </w:r>
          </w:p>
        </w:tc>
        <w:tc>
          <w:tcPr>
            <w:tcW w:w="1275" w:type="dxa"/>
            <w:tcBorders>
              <w:bottom w:val="single" w:sz="6" w:space="0" w:color="000000"/>
            </w:tcBorders>
          </w:tcPr>
          <w:p w14:paraId="66B7ECD2" w14:textId="77777777" w:rsidR="001F0D49" w:rsidRDefault="00000000">
            <w:pPr>
              <w:keepLines/>
            </w:pPr>
            <w:r>
              <w:t>Q1 2020–present</w:t>
            </w:r>
          </w:p>
        </w:tc>
        <w:tc>
          <w:tcPr>
            <w:tcW w:w="1418" w:type="dxa"/>
            <w:tcBorders>
              <w:bottom w:val="single" w:sz="6" w:space="0" w:color="000000"/>
            </w:tcBorders>
          </w:tcPr>
          <w:p w14:paraId="390530D2" w14:textId="77777777" w:rsidR="001F0D49" w:rsidRDefault="00000000">
            <w:pPr>
              <w:keepLines/>
            </w:pPr>
            <w:r>
              <w:t>Open CSV (CC0)</w:t>
            </w:r>
          </w:p>
        </w:tc>
        <w:tc>
          <w:tcPr>
            <w:tcW w:w="2550" w:type="dxa"/>
            <w:tcBorders>
              <w:bottom w:val="single" w:sz="6" w:space="0" w:color="000000"/>
            </w:tcBorders>
          </w:tcPr>
          <w:p w14:paraId="172EBDC9" w14:textId="77777777" w:rsidR="001F0D49" w:rsidRDefault="00000000">
            <w:pPr>
              <w:keepLines/>
            </w:pPr>
            <w:r>
              <w:t>Operational open survey layer for technical debt, search burden, and AI tooling.</w:t>
            </w:r>
          </w:p>
        </w:tc>
        <w:tc>
          <w:tcPr>
            <w:tcW w:w="1277" w:type="dxa"/>
            <w:tcBorders>
              <w:bottom w:val="single" w:sz="6" w:space="0" w:color="000000"/>
            </w:tcBorders>
          </w:tcPr>
          <w:p w14:paraId="77338528" w14:textId="77777777" w:rsidR="001F0D49" w:rsidRDefault="00000000">
            <w:pPr>
              <w:keepLines/>
            </w:pPr>
            <w:r>
              <w:t>core</w:t>
            </w:r>
          </w:p>
        </w:tc>
      </w:tr>
      <w:tr w:rsidR="001F0D49" w14:paraId="051BBFF1" w14:textId="77777777" w:rsidTr="00980660">
        <w:trPr>
          <w:cantSplit/>
        </w:trPr>
        <w:tc>
          <w:tcPr>
            <w:tcW w:w="959" w:type="dxa"/>
            <w:tcBorders>
              <w:bottom w:val="single" w:sz="6" w:space="0" w:color="000000"/>
            </w:tcBorders>
          </w:tcPr>
          <w:p w14:paraId="1FA9A290" w14:textId="77777777" w:rsidR="001F0D49" w:rsidRDefault="00000000">
            <w:pPr>
              <w:keepLines/>
            </w:pPr>
            <w:r>
              <w:lastRenderedPageBreak/>
              <w:t>ATD-DATA-020</w:t>
            </w:r>
          </w:p>
        </w:tc>
        <w:tc>
          <w:tcPr>
            <w:tcW w:w="1731" w:type="dxa"/>
            <w:tcBorders>
              <w:bottom w:val="single" w:sz="6" w:space="0" w:color="000000"/>
            </w:tcBorders>
          </w:tcPr>
          <w:p w14:paraId="49CE271C" w14:textId="77777777" w:rsidR="001F0D49" w:rsidRDefault="00000000">
            <w:pPr>
              <w:keepLines/>
            </w:pPr>
            <w:r>
              <w:t>Stack Overflow Developer Survey</w:t>
            </w:r>
          </w:p>
        </w:tc>
        <w:tc>
          <w:tcPr>
            <w:tcW w:w="1246" w:type="dxa"/>
            <w:tcBorders>
              <w:bottom w:val="single" w:sz="6" w:space="0" w:color="000000"/>
            </w:tcBorders>
          </w:tcPr>
          <w:p w14:paraId="04BF2AE0" w14:textId="77777777" w:rsidR="001F0D49" w:rsidRDefault="00000000">
            <w:pPr>
              <w:keepLines/>
            </w:pPr>
            <w:r>
              <w:t>coordination tax</w:t>
            </w:r>
          </w:p>
        </w:tc>
        <w:tc>
          <w:tcPr>
            <w:tcW w:w="1275" w:type="dxa"/>
            <w:tcBorders>
              <w:bottom w:val="single" w:sz="6" w:space="0" w:color="000000"/>
            </w:tcBorders>
          </w:tcPr>
          <w:p w14:paraId="34DC94B7" w14:textId="77777777" w:rsidR="001F0D49" w:rsidRDefault="00000000">
            <w:pPr>
              <w:keepLines/>
            </w:pPr>
            <w:r>
              <w:t>2011–2025</w:t>
            </w:r>
          </w:p>
        </w:tc>
        <w:tc>
          <w:tcPr>
            <w:tcW w:w="1418" w:type="dxa"/>
            <w:tcBorders>
              <w:bottom w:val="single" w:sz="6" w:space="0" w:color="000000"/>
            </w:tcBorders>
          </w:tcPr>
          <w:p w14:paraId="0D41F2F2" w14:textId="77777777" w:rsidR="001F0D49" w:rsidRDefault="00000000">
            <w:pPr>
              <w:keepLines/>
            </w:pPr>
            <w:r>
              <w:t>Open CSV/ODbL</w:t>
            </w:r>
          </w:p>
        </w:tc>
        <w:tc>
          <w:tcPr>
            <w:tcW w:w="2550" w:type="dxa"/>
            <w:tcBorders>
              <w:bottom w:val="single" w:sz="6" w:space="0" w:color="000000"/>
            </w:tcBorders>
          </w:tcPr>
          <w:p w14:paraId="3611E5D0" w14:textId="77777777" w:rsidR="001F0D49" w:rsidRDefault="00000000">
            <w:pPr>
              <w:keepLines/>
            </w:pPr>
            <w:r>
              <w:t>Applied operational benchmark for project and execution stress.</w:t>
            </w:r>
          </w:p>
        </w:tc>
        <w:tc>
          <w:tcPr>
            <w:tcW w:w="1277" w:type="dxa"/>
            <w:tcBorders>
              <w:bottom w:val="single" w:sz="6" w:space="0" w:color="000000"/>
            </w:tcBorders>
          </w:tcPr>
          <w:p w14:paraId="67AA235E" w14:textId="77777777" w:rsidR="001F0D49" w:rsidRDefault="00000000">
            <w:pPr>
              <w:keepLines/>
            </w:pPr>
            <w:r>
              <w:t>core</w:t>
            </w:r>
          </w:p>
        </w:tc>
      </w:tr>
      <w:tr w:rsidR="001F0D49" w14:paraId="5B202C37" w14:textId="77777777" w:rsidTr="00980660">
        <w:trPr>
          <w:cantSplit/>
        </w:trPr>
        <w:tc>
          <w:tcPr>
            <w:tcW w:w="959" w:type="dxa"/>
            <w:tcBorders>
              <w:bottom w:val="single" w:sz="6" w:space="0" w:color="000000"/>
            </w:tcBorders>
          </w:tcPr>
          <w:p w14:paraId="149F3E85" w14:textId="77777777" w:rsidR="001F0D49" w:rsidRDefault="00000000">
            <w:pPr>
              <w:keepLines/>
            </w:pPr>
            <w:r>
              <w:t>ATD-DATA-021</w:t>
            </w:r>
          </w:p>
        </w:tc>
        <w:tc>
          <w:tcPr>
            <w:tcW w:w="1731" w:type="dxa"/>
            <w:tcBorders>
              <w:bottom w:val="single" w:sz="6" w:space="0" w:color="000000"/>
            </w:tcBorders>
          </w:tcPr>
          <w:p w14:paraId="3C2E301C" w14:textId="77777777" w:rsidR="001F0D49" w:rsidRDefault="00000000">
            <w:pPr>
              <w:keepLines/>
            </w:pPr>
            <w:r>
              <w:t>PMI Pulse of the Profession</w:t>
            </w:r>
          </w:p>
        </w:tc>
        <w:tc>
          <w:tcPr>
            <w:tcW w:w="1246" w:type="dxa"/>
            <w:tcBorders>
              <w:bottom w:val="single" w:sz="6" w:space="0" w:color="000000"/>
            </w:tcBorders>
          </w:tcPr>
          <w:p w14:paraId="52F87A10" w14:textId="77777777" w:rsidR="001F0D49" w:rsidRDefault="00000000">
            <w:pPr>
              <w:keepLines/>
            </w:pPr>
            <w:r>
              <w:t>coordination tax</w:t>
            </w:r>
          </w:p>
        </w:tc>
        <w:tc>
          <w:tcPr>
            <w:tcW w:w="1275" w:type="dxa"/>
            <w:tcBorders>
              <w:bottom w:val="single" w:sz="6" w:space="0" w:color="000000"/>
            </w:tcBorders>
          </w:tcPr>
          <w:p w14:paraId="216F9420" w14:textId="77777777" w:rsidR="001F0D49" w:rsidRDefault="00000000">
            <w:pPr>
              <w:keepLines/>
            </w:pPr>
            <w:r>
              <w:t>2006–present</w:t>
            </w:r>
          </w:p>
        </w:tc>
        <w:tc>
          <w:tcPr>
            <w:tcW w:w="1418" w:type="dxa"/>
            <w:tcBorders>
              <w:bottom w:val="single" w:sz="6" w:space="0" w:color="000000"/>
            </w:tcBorders>
          </w:tcPr>
          <w:p w14:paraId="50926112" w14:textId="77777777" w:rsidR="001F0D49" w:rsidRDefault="00000000">
            <w:pPr>
              <w:keepLines/>
            </w:pPr>
            <w:r>
              <w:t>Free report (registration)</w:t>
            </w:r>
          </w:p>
        </w:tc>
        <w:tc>
          <w:tcPr>
            <w:tcW w:w="2550" w:type="dxa"/>
            <w:tcBorders>
              <w:bottom w:val="single" w:sz="6" w:space="0" w:color="000000"/>
            </w:tcBorders>
          </w:tcPr>
          <w:p w14:paraId="1AA2DA64" w14:textId="77777777" w:rsidR="001F0D49" w:rsidRDefault="00000000">
            <w:pPr>
              <w:keepLines/>
            </w:pPr>
            <w:r>
              <w:t>Project-management signal for hidden coordination costs and the cost of rebuilding context.</w:t>
            </w:r>
          </w:p>
        </w:tc>
        <w:tc>
          <w:tcPr>
            <w:tcW w:w="1277" w:type="dxa"/>
            <w:tcBorders>
              <w:bottom w:val="single" w:sz="6" w:space="0" w:color="000000"/>
            </w:tcBorders>
          </w:tcPr>
          <w:p w14:paraId="74A0E28D" w14:textId="77777777" w:rsidR="001F0D49" w:rsidRDefault="00000000">
            <w:pPr>
              <w:keepLines/>
            </w:pPr>
            <w:r>
              <w:t>support</w:t>
            </w:r>
          </w:p>
        </w:tc>
      </w:tr>
      <w:tr w:rsidR="001F0D49" w14:paraId="0A7B68E8" w14:textId="77777777" w:rsidTr="00980660">
        <w:trPr>
          <w:cantSplit/>
        </w:trPr>
        <w:tc>
          <w:tcPr>
            <w:tcW w:w="959" w:type="dxa"/>
            <w:tcBorders>
              <w:bottom w:val="single" w:sz="6" w:space="0" w:color="000000"/>
            </w:tcBorders>
          </w:tcPr>
          <w:p w14:paraId="7C4D1085" w14:textId="77777777" w:rsidR="001F0D49" w:rsidRDefault="00000000">
            <w:pPr>
              <w:keepLines/>
            </w:pPr>
            <w:r>
              <w:t>ATD-DATA-022</w:t>
            </w:r>
          </w:p>
        </w:tc>
        <w:tc>
          <w:tcPr>
            <w:tcW w:w="1731" w:type="dxa"/>
            <w:tcBorders>
              <w:bottom w:val="single" w:sz="6" w:space="0" w:color="000000"/>
            </w:tcBorders>
          </w:tcPr>
          <w:p w14:paraId="337FB6A7" w14:textId="77777777" w:rsidR="001F0D49" w:rsidRDefault="00000000">
            <w:pPr>
              <w:keepLines/>
            </w:pPr>
            <w:r>
              <w:t>OECD Productivity Database</w:t>
            </w:r>
          </w:p>
        </w:tc>
        <w:tc>
          <w:tcPr>
            <w:tcW w:w="1246" w:type="dxa"/>
            <w:tcBorders>
              <w:bottom w:val="single" w:sz="6" w:space="0" w:color="000000"/>
            </w:tcBorders>
          </w:tcPr>
          <w:p w14:paraId="458EF3B8" w14:textId="77777777" w:rsidR="001F0D49" w:rsidRDefault="00000000">
            <w:pPr>
              <w:keepLines/>
            </w:pPr>
            <w:r>
              <w:t>adaptive erosion</w:t>
            </w:r>
          </w:p>
        </w:tc>
        <w:tc>
          <w:tcPr>
            <w:tcW w:w="1275" w:type="dxa"/>
            <w:tcBorders>
              <w:bottom w:val="single" w:sz="6" w:space="0" w:color="000000"/>
            </w:tcBorders>
          </w:tcPr>
          <w:p w14:paraId="1828A586" w14:textId="77777777" w:rsidR="001F0D49" w:rsidRDefault="00000000">
            <w:pPr>
              <w:keepLines/>
            </w:pPr>
            <w:r>
              <w:t>2000–2023</w:t>
            </w:r>
          </w:p>
        </w:tc>
        <w:tc>
          <w:tcPr>
            <w:tcW w:w="1418" w:type="dxa"/>
            <w:tcBorders>
              <w:bottom w:val="single" w:sz="6" w:space="0" w:color="000000"/>
            </w:tcBorders>
          </w:tcPr>
          <w:p w14:paraId="6A62CAB0" w14:textId="77777777" w:rsidR="001F0D49" w:rsidRDefault="00000000">
            <w:pPr>
              <w:keepLines/>
            </w:pPr>
            <w:r>
              <w:t>Open API/download</w:t>
            </w:r>
          </w:p>
        </w:tc>
        <w:tc>
          <w:tcPr>
            <w:tcW w:w="2550" w:type="dxa"/>
            <w:tcBorders>
              <w:bottom w:val="single" w:sz="6" w:space="0" w:color="000000"/>
            </w:tcBorders>
          </w:tcPr>
          <w:p w14:paraId="6B06A6F0" w14:textId="77777777" w:rsidR="001F0D49" w:rsidRDefault="00000000">
            <w:pPr>
              <w:keepLines/>
            </w:pPr>
            <w:r>
              <w:t>Primary institutional output anchor for adaptive erosion.</w:t>
            </w:r>
          </w:p>
        </w:tc>
        <w:tc>
          <w:tcPr>
            <w:tcW w:w="1277" w:type="dxa"/>
            <w:tcBorders>
              <w:bottom w:val="single" w:sz="6" w:space="0" w:color="000000"/>
            </w:tcBorders>
          </w:tcPr>
          <w:p w14:paraId="793F3FB1" w14:textId="77777777" w:rsidR="001F0D49" w:rsidRDefault="00000000">
            <w:pPr>
              <w:keepLines/>
            </w:pPr>
            <w:r>
              <w:t>core</w:t>
            </w:r>
          </w:p>
        </w:tc>
      </w:tr>
      <w:tr w:rsidR="001F0D49" w14:paraId="02522C6A" w14:textId="77777777" w:rsidTr="00980660">
        <w:trPr>
          <w:cantSplit/>
        </w:trPr>
        <w:tc>
          <w:tcPr>
            <w:tcW w:w="959" w:type="dxa"/>
            <w:tcBorders>
              <w:bottom w:val="single" w:sz="6" w:space="0" w:color="000000"/>
            </w:tcBorders>
          </w:tcPr>
          <w:p w14:paraId="3B744CA5" w14:textId="77777777" w:rsidR="001F0D49" w:rsidRDefault="00000000">
            <w:pPr>
              <w:keepLines/>
            </w:pPr>
            <w:r>
              <w:t>ATD-DATA-023</w:t>
            </w:r>
          </w:p>
        </w:tc>
        <w:tc>
          <w:tcPr>
            <w:tcW w:w="1731" w:type="dxa"/>
            <w:tcBorders>
              <w:bottom w:val="single" w:sz="6" w:space="0" w:color="000000"/>
            </w:tcBorders>
          </w:tcPr>
          <w:p w14:paraId="77AD30E7" w14:textId="77777777" w:rsidR="001F0D49" w:rsidRDefault="00000000">
            <w:pPr>
              <w:keepLines/>
            </w:pPr>
            <w:r>
              <w:t>Penn World Table 11.0</w:t>
            </w:r>
          </w:p>
        </w:tc>
        <w:tc>
          <w:tcPr>
            <w:tcW w:w="1246" w:type="dxa"/>
            <w:tcBorders>
              <w:bottom w:val="single" w:sz="6" w:space="0" w:color="000000"/>
            </w:tcBorders>
          </w:tcPr>
          <w:p w14:paraId="4A39FB63" w14:textId="77777777" w:rsidR="001F0D49" w:rsidRDefault="00000000">
            <w:pPr>
              <w:keepLines/>
            </w:pPr>
            <w:r>
              <w:t>adaptive erosion</w:t>
            </w:r>
          </w:p>
        </w:tc>
        <w:tc>
          <w:tcPr>
            <w:tcW w:w="1275" w:type="dxa"/>
            <w:tcBorders>
              <w:bottom w:val="single" w:sz="6" w:space="0" w:color="000000"/>
            </w:tcBorders>
          </w:tcPr>
          <w:p w14:paraId="2D6DED57" w14:textId="77777777" w:rsidR="001F0D49" w:rsidRDefault="00000000">
            <w:pPr>
              <w:keepLines/>
            </w:pPr>
            <w:r>
              <w:t>1950–2023</w:t>
            </w:r>
          </w:p>
        </w:tc>
        <w:tc>
          <w:tcPr>
            <w:tcW w:w="1418" w:type="dxa"/>
            <w:tcBorders>
              <w:bottom w:val="single" w:sz="6" w:space="0" w:color="000000"/>
            </w:tcBorders>
          </w:tcPr>
          <w:p w14:paraId="6D36FD6B" w14:textId="77777777" w:rsidR="001F0D49" w:rsidRDefault="00000000">
            <w:pPr>
              <w:keepLines/>
            </w:pPr>
            <w:r>
              <w:t>Open Excel/Stata</w:t>
            </w:r>
          </w:p>
        </w:tc>
        <w:tc>
          <w:tcPr>
            <w:tcW w:w="2550" w:type="dxa"/>
            <w:tcBorders>
              <w:bottom w:val="single" w:sz="6" w:space="0" w:color="000000"/>
            </w:tcBorders>
          </w:tcPr>
          <w:p w14:paraId="71A4D167" w14:textId="77777777" w:rsidR="001F0D49" w:rsidRDefault="00000000">
            <w:pPr>
              <w:keepLines/>
            </w:pPr>
            <w:r>
              <w:t>Long-run cross-country support for analyzing the output side of ATD.</w:t>
            </w:r>
          </w:p>
        </w:tc>
        <w:tc>
          <w:tcPr>
            <w:tcW w:w="1277" w:type="dxa"/>
            <w:tcBorders>
              <w:bottom w:val="single" w:sz="6" w:space="0" w:color="000000"/>
            </w:tcBorders>
          </w:tcPr>
          <w:p w14:paraId="5B024D09" w14:textId="77777777" w:rsidR="001F0D49" w:rsidRDefault="00000000">
            <w:pPr>
              <w:keepLines/>
            </w:pPr>
            <w:r>
              <w:t>core</w:t>
            </w:r>
          </w:p>
        </w:tc>
      </w:tr>
      <w:tr w:rsidR="001F0D49" w14:paraId="1F5DE487" w14:textId="77777777" w:rsidTr="00980660">
        <w:trPr>
          <w:cantSplit/>
        </w:trPr>
        <w:tc>
          <w:tcPr>
            <w:tcW w:w="959" w:type="dxa"/>
            <w:tcBorders>
              <w:bottom w:val="single" w:sz="6" w:space="0" w:color="000000"/>
            </w:tcBorders>
          </w:tcPr>
          <w:p w14:paraId="257E7F54" w14:textId="77777777" w:rsidR="001F0D49" w:rsidRDefault="00000000">
            <w:pPr>
              <w:keepLines/>
            </w:pPr>
            <w:r>
              <w:t>ATD-DATA-024</w:t>
            </w:r>
          </w:p>
        </w:tc>
        <w:tc>
          <w:tcPr>
            <w:tcW w:w="1731" w:type="dxa"/>
            <w:tcBorders>
              <w:bottom w:val="single" w:sz="6" w:space="0" w:color="000000"/>
            </w:tcBorders>
          </w:tcPr>
          <w:p w14:paraId="00E7826D" w14:textId="77777777" w:rsidR="001F0D49" w:rsidRDefault="00000000">
            <w:pPr>
              <w:keepLines/>
            </w:pPr>
            <w:r>
              <w:t>Conference Board Total Economy Database (TED)</w:t>
            </w:r>
          </w:p>
        </w:tc>
        <w:tc>
          <w:tcPr>
            <w:tcW w:w="1246" w:type="dxa"/>
            <w:tcBorders>
              <w:bottom w:val="single" w:sz="6" w:space="0" w:color="000000"/>
            </w:tcBorders>
          </w:tcPr>
          <w:p w14:paraId="4C834FF6" w14:textId="77777777" w:rsidR="001F0D49" w:rsidRDefault="00000000">
            <w:pPr>
              <w:keepLines/>
            </w:pPr>
            <w:r>
              <w:t>adaptive erosion</w:t>
            </w:r>
          </w:p>
        </w:tc>
        <w:tc>
          <w:tcPr>
            <w:tcW w:w="1275" w:type="dxa"/>
            <w:tcBorders>
              <w:bottom w:val="single" w:sz="6" w:space="0" w:color="000000"/>
            </w:tcBorders>
          </w:tcPr>
          <w:p w14:paraId="649F6B54" w14:textId="77777777" w:rsidR="001F0D49" w:rsidRDefault="00000000">
            <w:pPr>
              <w:keepLines/>
            </w:pPr>
            <w:r>
              <w:t>1950–2025</w:t>
            </w:r>
          </w:p>
        </w:tc>
        <w:tc>
          <w:tcPr>
            <w:tcW w:w="1418" w:type="dxa"/>
            <w:tcBorders>
              <w:bottom w:val="single" w:sz="6" w:space="0" w:color="000000"/>
            </w:tcBorders>
          </w:tcPr>
          <w:p w14:paraId="52E56E73" w14:textId="77777777" w:rsidR="001F0D49" w:rsidRDefault="00000000">
            <w:pPr>
              <w:keepLines/>
            </w:pPr>
            <w:r>
              <w:t>Open download (registration)</w:t>
            </w:r>
          </w:p>
        </w:tc>
        <w:tc>
          <w:tcPr>
            <w:tcW w:w="2550" w:type="dxa"/>
            <w:tcBorders>
              <w:bottom w:val="single" w:sz="6" w:space="0" w:color="000000"/>
            </w:tcBorders>
          </w:tcPr>
          <w:p w14:paraId="46CB120F" w14:textId="77777777" w:rsidR="001F0D49" w:rsidRDefault="00000000">
            <w:pPr>
              <w:keepLines/>
            </w:pPr>
            <w:r>
              <w:t>Complements OECD/PWT with a global TFP-growth layer.</w:t>
            </w:r>
          </w:p>
        </w:tc>
        <w:tc>
          <w:tcPr>
            <w:tcW w:w="1277" w:type="dxa"/>
            <w:tcBorders>
              <w:bottom w:val="single" w:sz="6" w:space="0" w:color="000000"/>
            </w:tcBorders>
          </w:tcPr>
          <w:p w14:paraId="7780B2F2" w14:textId="77777777" w:rsidR="001F0D49" w:rsidRDefault="00000000">
            <w:pPr>
              <w:keepLines/>
            </w:pPr>
            <w:r>
              <w:t>core</w:t>
            </w:r>
          </w:p>
        </w:tc>
      </w:tr>
      <w:tr w:rsidR="001F0D49" w14:paraId="00DE21FC" w14:textId="77777777" w:rsidTr="00980660">
        <w:trPr>
          <w:cantSplit/>
        </w:trPr>
        <w:tc>
          <w:tcPr>
            <w:tcW w:w="959" w:type="dxa"/>
            <w:tcBorders>
              <w:bottom w:val="single" w:sz="6" w:space="0" w:color="000000"/>
            </w:tcBorders>
          </w:tcPr>
          <w:p w14:paraId="7014D732" w14:textId="77777777" w:rsidR="001F0D49" w:rsidRDefault="00000000">
            <w:pPr>
              <w:keepLines/>
            </w:pPr>
            <w:r>
              <w:t>ATD-DATA-025</w:t>
            </w:r>
          </w:p>
        </w:tc>
        <w:tc>
          <w:tcPr>
            <w:tcW w:w="1731" w:type="dxa"/>
            <w:tcBorders>
              <w:bottom w:val="single" w:sz="6" w:space="0" w:color="000000"/>
            </w:tcBorders>
          </w:tcPr>
          <w:p w14:paraId="6A90964B" w14:textId="77777777" w:rsidR="001F0D49" w:rsidRDefault="00000000">
            <w:pPr>
              <w:keepLines/>
            </w:pPr>
            <w:r>
              <w:t>EU KLEMS</w:t>
            </w:r>
          </w:p>
        </w:tc>
        <w:tc>
          <w:tcPr>
            <w:tcW w:w="1246" w:type="dxa"/>
            <w:tcBorders>
              <w:bottom w:val="single" w:sz="6" w:space="0" w:color="000000"/>
            </w:tcBorders>
          </w:tcPr>
          <w:p w14:paraId="47E2A246" w14:textId="77777777" w:rsidR="001F0D49" w:rsidRDefault="00000000">
            <w:pPr>
              <w:keepLines/>
            </w:pPr>
            <w:r>
              <w:t>adaptive erosion</w:t>
            </w:r>
          </w:p>
        </w:tc>
        <w:tc>
          <w:tcPr>
            <w:tcW w:w="1275" w:type="dxa"/>
            <w:tcBorders>
              <w:bottom w:val="single" w:sz="6" w:space="0" w:color="000000"/>
            </w:tcBorders>
          </w:tcPr>
          <w:p w14:paraId="5C7827E7" w14:textId="77777777" w:rsidR="001F0D49" w:rsidRDefault="00000000">
            <w:pPr>
              <w:keepLines/>
            </w:pPr>
            <w:r>
              <w:t>1995–2023</w:t>
            </w:r>
          </w:p>
        </w:tc>
        <w:tc>
          <w:tcPr>
            <w:tcW w:w="1418" w:type="dxa"/>
            <w:tcBorders>
              <w:bottom w:val="single" w:sz="6" w:space="0" w:color="000000"/>
            </w:tcBorders>
          </w:tcPr>
          <w:p w14:paraId="089FA5E8" w14:textId="77777777" w:rsidR="001F0D49" w:rsidRDefault="00000000">
            <w:pPr>
              <w:keepLines/>
            </w:pPr>
            <w:r>
              <w:t>Open download</w:t>
            </w:r>
          </w:p>
        </w:tc>
        <w:tc>
          <w:tcPr>
            <w:tcW w:w="2550" w:type="dxa"/>
            <w:tcBorders>
              <w:bottom w:val="single" w:sz="6" w:space="0" w:color="000000"/>
            </w:tcBorders>
          </w:tcPr>
          <w:p w14:paraId="6FAC78B7" w14:textId="77777777" w:rsidR="001F0D49" w:rsidRDefault="00000000">
            <w:pPr>
              <w:keepLines/>
            </w:pPr>
            <w:r>
              <w:t>Sectoral output-side layer, useful for Europe-focused decomposition.</w:t>
            </w:r>
          </w:p>
        </w:tc>
        <w:tc>
          <w:tcPr>
            <w:tcW w:w="1277" w:type="dxa"/>
            <w:tcBorders>
              <w:bottom w:val="single" w:sz="6" w:space="0" w:color="000000"/>
            </w:tcBorders>
          </w:tcPr>
          <w:p w14:paraId="469FF09A" w14:textId="77777777" w:rsidR="001F0D49" w:rsidRDefault="00000000">
            <w:pPr>
              <w:keepLines/>
            </w:pPr>
            <w:r>
              <w:t>support</w:t>
            </w:r>
          </w:p>
        </w:tc>
      </w:tr>
      <w:tr w:rsidR="001F0D49" w14:paraId="2E2E5933" w14:textId="77777777" w:rsidTr="00980660">
        <w:trPr>
          <w:cantSplit/>
        </w:trPr>
        <w:tc>
          <w:tcPr>
            <w:tcW w:w="959" w:type="dxa"/>
            <w:tcBorders>
              <w:bottom w:val="single" w:sz="6" w:space="0" w:color="000000"/>
            </w:tcBorders>
          </w:tcPr>
          <w:p w14:paraId="64CA7272" w14:textId="77777777" w:rsidR="001F0D49" w:rsidRDefault="00000000">
            <w:pPr>
              <w:keepLines/>
            </w:pPr>
            <w:r>
              <w:t>ATD-DATA-026</w:t>
            </w:r>
          </w:p>
        </w:tc>
        <w:tc>
          <w:tcPr>
            <w:tcW w:w="1731" w:type="dxa"/>
            <w:tcBorders>
              <w:bottom w:val="single" w:sz="6" w:space="0" w:color="000000"/>
            </w:tcBorders>
          </w:tcPr>
          <w:p w14:paraId="45957E92" w14:textId="77777777" w:rsidR="001F0D49" w:rsidRDefault="00000000">
            <w:pPr>
              <w:keepLines/>
            </w:pPr>
            <w:r>
              <w:t>IHME Global Burden of Disease — mental disorders</w:t>
            </w:r>
          </w:p>
        </w:tc>
        <w:tc>
          <w:tcPr>
            <w:tcW w:w="1246" w:type="dxa"/>
            <w:tcBorders>
              <w:bottom w:val="single" w:sz="6" w:space="0" w:color="000000"/>
            </w:tcBorders>
          </w:tcPr>
          <w:p w14:paraId="13256F59" w14:textId="77777777" w:rsidR="001F0D49" w:rsidRDefault="00000000">
            <w:pPr>
              <w:keepLines/>
            </w:pPr>
            <w:r>
              <w:t>adaptive erosion</w:t>
            </w:r>
          </w:p>
        </w:tc>
        <w:tc>
          <w:tcPr>
            <w:tcW w:w="1275" w:type="dxa"/>
            <w:tcBorders>
              <w:bottom w:val="single" w:sz="6" w:space="0" w:color="000000"/>
            </w:tcBorders>
          </w:tcPr>
          <w:p w14:paraId="1E2D67AD" w14:textId="77777777" w:rsidR="001F0D49" w:rsidRDefault="00000000">
            <w:pPr>
              <w:keepLines/>
            </w:pPr>
            <w:r>
              <w:t>1990–2023</w:t>
            </w:r>
          </w:p>
        </w:tc>
        <w:tc>
          <w:tcPr>
            <w:tcW w:w="1418" w:type="dxa"/>
            <w:tcBorders>
              <w:bottom w:val="single" w:sz="6" w:space="0" w:color="000000"/>
            </w:tcBorders>
          </w:tcPr>
          <w:p w14:paraId="4EEF101E" w14:textId="77777777" w:rsidR="001F0D49" w:rsidRDefault="00000000">
            <w:pPr>
              <w:keepLines/>
            </w:pPr>
            <w:r>
              <w:t>Open CSV/tool</w:t>
            </w:r>
          </w:p>
        </w:tc>
        <w:tc>
          <w:tcPr>
            <w:tcW w:w="2550" w:type="dxa"/>
            <w:tcBorders>
              <w:bottom w:val="single" w:sz="6" w:space="0" w:color="000000"/>
            </w:tcBorders>
          </w:tcPr>
          <w:p w14:paraId="444A388C" w14:textId="77777777" w:rsidR="001F0D49" w:rsidRDefault="00000000">
            <w:pPr>
              <w:keepLines/>
            </w:pPr>
            <w:r>
              <w:t>Primary global human-burden anchor for adaptive-capacity degradation proxies.</w:t>
            </w:r>
          </w:p>
        </w:tc>
        <w:tc>
          <w:tcPr>
            <w:tcW w:w="1277" w:type="dxa"/>
            <w:tcBorders>
              <w:bottom w:val="single" w:sz="6" w:space="0" w:color="000000"/>
            </w:tcBorders>
          </w:tcPr>
          <w:p w14:paraId="6E68310B" w14:textId="77777777" w:rsidR="001F0D49" w:rsidRDefault="00000000">
            <w:pPr>
              <w:keepLines/>
            </w:pPr>
            <w:r>
              <w:t>core</w:t>
            </w:r>
          </w:p>
        </w:tc>
      </w:tr>
      <w:tr w:rsidR="001F0D49" w14:paraId="5E43C3A7" w14:textId="77777777" w:rsidTr="00980660">
        <w:trPr>
          <w:cantSplit/>
        </w:trPr>
        <w:tc>
          <w:tcPr>
            <w:tcW w:w="959" w:type="dxa"/>
            <w:tcBorders>
              <w:bottom w:val="single" w:sz="6" w:space="0" w:color="000000"/>
            </w:tcBorders>
          </w:tcPr>
          <w:p w14:paraId="4320CA13" w14:textId="77777777" w:rsidR="001F0D49" w:rsidRDefault="00000000">
            <w:pPr>
              <w:keepLines/>
            </w:pPr>
            <w:r>
              <w:t>ATD-DATA-027</w:t>
            </w:r>
          </w:p>
        </w:tc>
        <w:tc>
          <w:tcPr>
            <w:tcW w:w="1731" w:type="dxa"/>
            <w:tcBorders>
              <w:bottom w:val="single" w:sz="6" w:space="0" w:color="000000"/>
            </w:tcBorders>
          </w:tcPr>
          <w:p w14:paraId="5BF51EDB" w14:textId="77777777" w:rsidR="001F0D49" w:rsidRDefault="00000000">
            <w:pPr>
              <w:keepLines/>
            </w:pPr>
            <w:r>
              <w:t>World Bank Worldwide Governance Indicators (WGI)</w:t>
            </w:r>
          </w:p>
        </w:tc>
        <w:tc>
          <w:tcPr>
            <w:tcW w:w="1246" w:type="dxa"/>
            <w:tcBorders>
              <w:bottom w:val="single" w:sz="6" w:space="0" w:color="000000"/>
            </w:tcBorders>
          </w:tcPr>
          <w:p w14:paraId="65AD9D3C" w14:textId="77777777" w:rsidR="001F0D49" w:rsidRDefault="00000000">
            <w:pPr>
              <w:keepLines/>
            </w:pPr>
            <w:r>
              <w:t>adaptive erosion</w:t>
            </w:r>
          </w:p>
        </w:tc>
        <w:tc>
          <w:tcPr>
            <w:tcW w:w="1275" w:type="dxa"/>
            <w:tcBorders>
              <w:bottom w:val="single" w:sz="6" w:space="0" w:color="000000"/>
            </w:tcBorders>
          </w:tcPr>
          <w:p w14:paraId="5075F34B" w14:textId="77777777" w:rsidR="001F0D49" w:rsidRDefault="00000000">
            <w:pPr>
              <w:keepLines/>
            </w:pPr>
            <w:r>
              <w:t>1996–2024</w:t>
            </w:r>
          </w:p>
        </w:tc>
        <w:tc>
          <w:tcPr>
            <w:tcW w:w="1418" w:type="dxa"/>
            <w:tcBorders>
              <w:bottom w:val="single" w:sz="6" w:space="0" w:color="000000"/>
            </w:tcBorders>
          </w:tcPr>
          <w:p w14:paraId="58035EAF" w14:textId="77777777" w:rsidR="001F0D49" w:rsidRDefault="00000000">
            <w:pPr>
              <w:keepLines/>
            </w:pPr>
            <w:r>
              <w:t>Open DataBank</w:t>
            </w:r>
          </w:p>
        </w:tc>
        <w:tc>
          <w:tcPr>
            <w:tcW w:w="2550" w:type="dxa"/>
            <w:tcBorders>
              <w:bottom w:val="single" w:sz="6" w:space="0" w:color="000000"/>
            </w:tcBorders>
          </w:tcPr>
          <w:p w14:paraId="145442A2" w14:textId="77777777" w:rsidR="001F0D49" w:rsidRDefault="00000000">
            <w:pPr>
              <w:keepLines/>
            </w:pPr>
            <w:r>
              <w:t>Governance mediator between pressure and erosion; useful in panel models.</w:t>
            </w:r>
          </w:p>
        </w:tc>
        <w:tc>
          <w:tcPr>
            <w:tcW w:w="1277" w:type="dxa"/>
            <w:tcBorders>
              <w:bottom w:val="single" w:sz="6" w:space="0" w:color="000000"/>
            </w:tcBorders>
          </w:tcPr>
          <w:p w14:paraId="7F8CF945" w14:textId="77777777" w:rsidR="001F0D49" w:rsidRDefault="00000000">
            <w:pPr>
              <w:keepLines/>
            </w:pPr>
            <w:r>
              <w:t>core</w:t>
            </w:r>
          </w:p>
        </w:tc>
      </w:tr>
      <w:tr w:rsidR="001F0D49" w14:paraId="584A3911" w14:textId="77777777" w:rsidTr="00980660">
        <w:trPr>
          <w:cantSplit/>
        </w:trPr>
        <w:tc>
          <w:tcPr>
            <w:tcW w:w="959" w:type="dxa"/>
            <w:tcBorders>
              <w:bottom w:val="single" w:sz="6" w:space="0" w:color="000000"/>
            </w:tcBorders>
          </w:tcPr>
          <w:p w14:paraId="68B5B39C" w14:textId="77777777" w:rsidR="001F0D49" w:rsidRDefault="00000000">
            <w:pPr>
              <w:keepLines/>
            </w:pPr>
            <w:r>
              <w:t>ATD-DATA-028</w:t>
            </w:r>
          </w:p>
        </w:tc>
        <w:tc>
          <w:tcPr>
            <w:tcW w:w="1731" w:type="dxa"/>
            <w:tcBorders>
              <w:bottom w:val="single" w:sz="6" w:space="0" w:color="000000"/>
            </w:tcBorders>
          </w:tcPr>
          <w:p w14:paraId="1DB84EA0" w14:textId="77777777" w:rsidR="001F0D49" w:rsidRDefault="00000000">
            <w:pPr>
              <w:keepLines/>
            </w:pPr>
            <w:r>
              <w:t>OECD TALIS</w:t>
            </w:r>
          </w:p>
        </w:tc>
        <w:tc>
          <w:tcPr>
            <w:tcW w:w="1246" w:type="dxa"/>
            <w:tcBorders>
              <w:bottom w:val="single" w:sz="6" w:space="0" w:color="000000"/>
            </w:tcBorders>
          </w:tcPr>
          <w:p w14:paraId="42AD19A1" w14:textId="77777777" w:rsidR="001F0D49" w:rsidRDefault="00000000">
            <w:pPr>
              <w:keepLines/>
            </w:pPr>
            <w:r>
              <w:t>adaptive erosion</w:t>
            </w:r>
          </w:p>
        </w:tc>
        <w:tc>
          <w:tcPr>
            <w:tcW w:w="1275" w:type="dxa"/>
            <w:tcBorders>
              <w:bottom w:val="single" w:sz="6" w:space="0" w:color="000000"/>
            </w:tcBorders>
          </w:tcPr>
          <w:p w14:paraId="05BD1699" w14:textId="77777777" w:rsidR="001F0D49" w:rsidRDefault="00000000">
            <w:pPr>
              <w:keepLines/>
            </w:pPr>
            <w:r>
              <w:t>2008, 2013, 2018, 2024</w:t>
            </w:r>
          </w:p>
        </w:tc>
        <w:tc>
          <w:tcPr>
            <w:tcW w:w="1418" w:type="dxa"/>
            <w:tcBorders>
              <w:bottom w:val="single" w:sz="6" w:space="0" w:color="000000"/>
            </w:tcBorders>
          </w:tcPr>
          <w:p w14:paraId="4218AEA5" w14:textId="77777777" w:rsidR="001F0D49" w:rsidRDefault="00000000">
            <w:pPr>
              <w:keepLines/>
            </w:pPr>
            <w:r>
              <w:t>Open microdata</w:t>
            </w:r>
          </w:p>
        </w:tc>
        <w:tc>
          <w:tcPr>
            <w:tcW w:w="2550" w:type="dxa"/>
            <w:tcBorders>
              <w:bottom w:val="single" w:sz="6" w:space="0" w:color="000000"/>
            </w:tcBorders>
          </w:tcPr>
          <w:p w14:paraId="47F0B939" w14:textId="77777777" w:rsidR="001F0D49" w:rsidRDefault="00000000">
            <w:pPr>
              <w:keepLines/>
            </w:pPr>
            <w:r>
              <w:t>Best international applied-domain source on pedagogy and teacher adaptive burden.</w:t>
            </w:r>
          </w:p>
        </w:tc>
        <w:tc>
          <w:tcPr>
            <w:tcW w:w="1277" w:type="dxa"/>
            <w:tcBorders>
              <w:bottom w:val="single" w:sz="6" w:space="0" w:color="000000"/>
            </w:tcBorders>
          </w:tcPr>
          <w:p w14:paraId="78FE8BE8" w14:textId="77777777" w:rsidR="001F0D49" w:rsidRDefault="00000000">
            <w:pPr>
              <w:keepLines/>
            </w:pPr>
            <w:r>
              <w:t>support</w:t>
            </w:r>
          </w:p>
        </w:tc>
      </w:tr>
      <w:tr w:rsidR="001F0D49" w14:paraId="5D5B0F82" w14:textId="77777777" w:rsidTr="00980660">
        <w:trPr>
          <w:cantSplit/>
        </w:trPr>
        <w:tc>
          <w:tcPr>
            <w:tcW w:w="959" w:type="dxa"/>
            <w:tcBorders>
              <w:bottom w:val="single" w:sz="6" w:space="0" w:color="000000"/>
            </w:tcBorders>
          </w:tcPr>
          <w:p w14:paraId="327C2FB2" w14:textId="77777777" w:rsidR="001F0D49" w:rsidRDefault="00000000">
            <w:pPr>
              <w:keepLines/>
            </w:pPr>
            <w:r>
              <w:t>ATD-DATA-029</w:t>
            </w:r>
          </w:p>
        </w:tc>
        <w:tc>
          <w:tcPr>
            <w:tcW w:w="1731" w:type="dxa"/>
            <w:tcBorders>
              <w:bottom w:val="single" w:sz="6" w:space="0" w:color="000000"/>
            </w:tcBorders>
          </w:tcPr>
          <w:p w14:paraId="613E966E" w14:textId="77777777" w:rsidR="001F0D49" w:rsidRDefault="00000000">
            <w:pPr>
              <w:keepLines/>
            </w:pPr>
            <w:r>
              <w:t>American Time Use Survey (ATUS)</w:t>
            </w:r>
          </w:p>
        </w:tc>
        <w:tc>
          <w:tcPr>
            <w:tcW w:w="1246" w:type="dxa"/>
            <w:tcBorders>
              <w:bottom w:val="single" w:sz="6" w:space="0" w:color="000000"/>
            </w:tcBorders>
          </w:tcPr>
          <w:p w14:paraId="391DE0D7" w14:textId="77777777" w:rsidR="001F0D49" w:rsidRDefault="00000000">
            <w:pPr>
              <w:keepLines/>
            </w:pPr>
            <w:r>
              <w:t>applied domains</w:t>
            </w:r>
          </w:p>
        </w:tc>
        <w:tc>
          <w:tcPr>
            <w:tcW w:w="1275" w:type="dxa"/>
            <w:tcBorders>
              <w:bottom w:val="single" w:sz="6" w:space="0" w:color="000000"/>
            </w:tcBorders>
          </w:tcPr>
          <w:p w14:paraId="4A475AA4" w14:textId="77777777" w:rsidR="001F0D49" w:rsidRDefault="00000000">
            <w:pPr>
              <w:keepLines/>
            </w:pPr>
            <w:r>
              <w:t>2003–2024</w:t>
            </w:r>
          </w:p>
        </w:tc>
        <w:tc>
          <w:tcPr>
            <w:tcW w:w="1418" w:type="dxa"/>
            <w:tcBorders>
              <w:bottom w:val="single" w:sz="6" w:space="0" w:color="000000"/>
            </w:tcBorders>
          </w:tcPr>
          <w:p w14:paraId="2E6D2ACF" w14:textId="77777777" w:rsidR="001F0D49" w:rsidRDefault="00000000">
            <w:pPr>
              <w:keepLines/>
            </w:pPr>
            <w:r>
              <w:t>Open microdata</w:t>
            </w:r>
          </w:p>
        </w:tc>
        <w:tc>
          <w:tcPr>
            <w:tcW w:w="2550" w:type="dxa"/>
            <w:tcBorders>
              <w:bottom w:val="single" w:sz="6" w:space="0" w:color="000000"/>
            </w:tcBorders>
          </w:tcPr>
          <w:p w14:paraId="2D1009E3" w14:textId="77777777" w:rsidR="001F0D49" w:rsidRDefault="00000000">
            <w:pPr>
              <w:keepLines/>
            </w:pPr>
            <w:r>
              <w:t>Key open source for the parenting domain, even though it does not measure cognitive load directly.</w:t>
            </w:r>
          </w:p>
        </w:tc>
        <w:tc>
          <w:tcPr>
            <w:tcW w:w="1277" w:type="dxa"/>
            <w:tcBorders>
              <w:bottom w:val="single" w:sz="6" w:space="0" w:color="000000"/>
            </w:tcBorders>
          </w:tcPr>
          <w:p w14:paraId="5B581644" w14:textId="77777777" w:rsidR="001F0D49" w:rsidRDefault="00000000">
            <w:pPr>
              <w:keepLines/>
            </w:pPr>
            <w:r>
              <w:t>support</w:t>
            </w:r>
          </w:p>
        </w:tc>
      </w:tr>
      <w:tr w:rsidR="001F0D49" w14:paraId="2133BE69" w14:textId="77777777" w:rsidTr="00980660">
        <w:trPr>
          <w:cantSplit/>
        </w:trPr>
        <w:tc>
          <w:tcPr>
            <w:tcW w:w="959" w:type="dxa"/>
            <w:tcBorders>
              <w:bottom w:val="single" w:sz="6" w:space="0" w:color="000000"/>
            </w:tcBorders>
          </w:tcPr>
          <w:p w14:paraId="096EE225" w14:textId="77777777" w:rsidR="001F0D49" w:rsidRDefault="00000000">
            <w:pPr>
              <w:keepLines/>
            </w:pPr>
            <w:r>
              <w:lastRenderedPageBreak/>
              <w:t>ATD-DATA-030</w:t>
            </w:r>
          </w:p>
        </w:tc>
        <w:tc>
          <w:tcPr>
            <w:tcW w:w="1731" w:type="dxa"/>
            <w:tcBorders>
              <w:bottom w:val="single" w:sz="6" w:space="0" w:color="000000"/>
            </w:tcBorders>
          </w:tcPr>
          <w:p w14:paraId="7DE658D7" w14:textId="77777777" w:rsidR="001F0D49" w:rsidRDefault="00000000">
            <w:pPr>
              <w:keepLines/>
            </w:pPr>
            <w:r>
              <w:t>Harmonised European Time Use Surveys (HETUS)</w:t>
            </w:r>
          </w:p>
        </w:tc>
        <w:tc>
          <w:tcPr>
            <w:tcW w:w="1246" w:type="dxa"/>
            <w:tcBorders>
              <w:bottom w:val="single" w:sz="6" w:space="0" w:color="000000"/>
            </w:tcBorders>
          </w:tcPr>
          <w:p w14:paraId="08EB212D" w14:textId="77777777" w:rsidR="001F0D49" w:rsidRDefault="00000000">
            <w:pPr>
              <w:keepLines/>
            </w:pPr>
            <w:r>
              <w:t>applied domains</w:t>
            </w:r>
          </w:p>
        </w:tc>
        <w:tc>
          <w:tcPr>
            <w:tcW w:w="1275" w:type="dxa"/>
            <w:tcBorders>
              <w:bottom w:val="single" w:sz="6" w:space="0" w:color="000000"/>
            </w:tcBorders>
          </w:tcPr>
          <w:p w14:paraId="3F647292" w14:textId="77777777" w:rsidR="001F0D49" w:rsidRDefault="00000000">
            <w:pPr>
              <w:keepLines/>
            </w:pPr>
            <w:r>
              <w:t>round-based</w:t>
            </w:r>
          </w:p>
        </w:tc>
        <w:tc>
          <w:tcPr>
            <w:tcW w:w="1418" w:type="dxa"/>
            <w:tcBorders>
              <w:bottom w:val="single" w:sz="6" w:space="0" w:color="000000"/>
            </w:tcBorders>
          </w:tcPr>
          <w:p w14:paraId="0B8C1FDD" w14:textId="77777777" w:rsidR="001F0D49" w:rsidRDefault="00000000">
            <w:pPr>
              <w:keepLines/>
            </w:pPr>
            <w:r>
              <w:t>Microdata / harmonized tables</w:t>
            </w:r>
          </w:p>
        </w:tc>
        <w:tc>
          <w:tcPr>
            <w:tcW w:w="2550" w:type="dxa"/>
            <w:tcBorders>
              <w:bottom w:val="single" w:sz="6" w:space="0" w:color="000000"/>
            </w:tcBorders>
          </w:tcPr>
          <w:p w14:paraId="19AF0614" w14:textId="77777777" w:rsidR="001F0D49" w:rsidRDefault="00000000">
            <w:pPr>
              <w:keepLines/>
            </w:pPr>
            <w:r>
              <w:t>Best EU cross-country parenting/time-use source.</w:t>
            </w:r>
          </w:p>
        </w:tc>
        <w:tc>
          <w:tcPr>
            <w:tcW w:w="1277" w:type="dxa"/>
            <w:tcBorders>
              <w:bottom w:val="single" w:sz="6" w:space="0" w:color="000000"/>
            </w:tcBorders>
          </w:tcPr>
          <w:p w14:paraId="6A88E7DB" w14:textId="77777777" w:rsidR="001F0D49" w:rsidRDefault="00000000">
            <w:pPr>
              <w:keepLines/>
            </w:pPr>
            <w:r>
              <w:t>support</w:t>
            </w:r>
          </w:p>
        </w:tc>
      </w:tr>
      <w:tr w:rsidR="001F0D49" w14:paraId="4B9FC2C3" w14:textId="77777777" w:rsidTr="00980660">
        <w:trPr>
          <w:cantSplit/>
        </w:trPr>
        <w:tc>
          <w:tcPr>
            <w:tcW w:w="959" w:type="dxa"/>
            <w:tcBorders>
              <w:bottom w:val="single" w:sz="6" w:space="0" w:color="000000"/>
            </w:tcBorders>
          </w:tcPr>
          <w:p w14:paraId="591C93AA" w14:textId="77777777" w:rsidR="001F0D49" w:rsidRDefault="00000000">
            <w:pPr>
              <w:keepLines/>
            </w:pPr>
            <w:r>
              <w:t>ATD-DATA-031</w:t>
            </w:r>
          </w:p>
        </w:tc>
        <w:tc>
          <w:tcPr>
            <w:tcW w:w="1731" w:type="dxa"/>
            <w:tcBorders>
              <w:bottom w:val="single" w:sz="6" w:space="0" w:color="000000"/>
            </w:tcBorders>
          </w:tcPr>
          <w:p w14:paraId="3859D293" w14:textId="77777777" w:rsidR="001F0D49" w:rsidRDefault="00000000">
            <w:pPr>
              <w:keepLines/>
            </w:pPr>
            <w:r>
              <w:t>OECD PISA</w:t>
            </w:r>
          </w:p>
        </w:tc>
        <w:tc>
          <w:tcPr>
            <w:tcW w:w="1246" w:type="dxa"/>
            <w:tcBorders>
              <w:bottom w:val="single" w:sz="6" w:space="0" w:color="000000"/>
            </w:tcBorders>
          </w:tcPr>
          <w:p w14:paraId="68F027DE" w14:textId="77777777" w:rsidR="001F0D49" w:rsidRDefault="00000000">
            <w:pPr>
              <w:keepLines/>
            </w:pPr>
            <w:r>
              <w:t>applied domains</w:t>
            </w:r>
          </w:p>
        </w:tc>
        <w:tc>
          <w:tcPr>
            <w:tcW w:w="1275" w:type="dxa"/>
            <w:tcBorders>
              <w:bottom w:val="single" w:sz="6" w:space="0" w:color="000000"/>
            </w:tcBorders>
          </w:tcPr>
          <w:p w14:paraId="60366103" w14:textId="77777777" w:rsidR="001F0D49" w:rsidRDefault="00000000">
            <w:pPr>
              <w:keepLines/>
            </w:pPr>
            <w:r>
              <w:t>2000–2022</w:t>
            </w:r>
          </w:p>
        </w:tc>
        <w:tc>
          <w:tcPr>
            <w:tcW w:w="1418" w:type="dxa"/>
            <w:tcBorders>
              <w:bottom w:val="single" w:sz="6" w:space="0" w:color="000000"/>
            </w:tcBorders>
          </w:tcPr>
          <w:p w14:paraId="2134A97A" w14:textId="77777777" w:rsidR="001F0D49" w:rsidRDefault="00000000">
            <w:pPr>
              <w:keepLines/>
            </w:pPr>
            <w:r>
              <w:t>Open microdata</w:t>
            </w:r>
          </w:p>
        </w:tc>
        <w:tc>
          <w:tcPr>
            <w:tcW w:w="2550" w:type="dxa"/>
            <w:tcBorders>
              <w:bottom w:val="single" w:sz="6" w:space="0" w:color="000000"/>
            </w:tcBorders>
          </w:tcPr>
          <w:p w14:paraId="7C566AAF" w14:textId="77777777" w:rsidR="001F0D49" w:rsidRDefault="00000000">
            <w:pPr>
              <w:keepLines/>
            </w:pPr>
            <w:r>
              <w:t>Strong education and digital-environment source, though it does not measure curriculum complexity directly.</w:t>
            </w:r>
          </w:p>
        </w:tc>
        <w:tc>
          <w:tcPr>
            <w:tcW w:w="1277" w:type="dxa"/>
            <w:tcBorders>
              <w:bottom w:val="single" w:sz="6" w:space="0" w:color="000000"/>
            </w:tcBorders>
          </w:tcPr>
          <w:p w14:paraId="1A47B2B6" w14:textId="77777777" w:rsidR="001F0D49" w:rsidRDefault="00000000">
            <w:pPr>
              <w:keepLines/>
            </w:pPr>
            <w:r>
              <w:t>support</w:t>
            </w:r>
          </w:p>
        </w:tc>
      </w:tr>
      <w:tr w:rsidR="001F0D49" w14:paraId="0E4652EB" w14:textId="77777777" w:rsidTr="00980660">
        <w:trPr>
          <w:cantSplit/>
        </w:trPr>
        <w:tc>
          <w:tcPr>
            <w:tcW w:w="959" w:type="dxa"/>
          </w:tcPr>
          <w:p w14:paraId="4AFF9A17" w14:textId="77777777" w:rsidR="001F0D49" w:rsidRDefault="00000000">
            <w:pPr>
              <w:keepLines/>
            </w:pPr>
            <w:r>
              <w:t>ATD-DATA-032</w:t>
            </w:r>
          </w:p>
        </w:tc>
        <w:tc>
          <w:tcPr>
            <w:tcW w:w="1731" w:type="dxa"/>
          </w:tcPr>
          <w:p w14:paraId="4AC749BC" w14:textId="77777777" w:rsidR="001F0D49" w:rsidRDefault="00000000">
            <w:pPr>
              <w:keepLines/>
            </w:pPr>
            <w:r>
              <w:t>IEA TIMSS</w:t>
            </w:r>
          </w:p>
        </w:tc>
        <w:tc>
          <w:tcPr>
            <w:tcW w:w="1246" w:type="dxa"/>
          </w:tcPr>
          <w:p w14:paraId="5A6481EB" w14:textId="77777777" w:rsidR="001F0D49" w:rsidRDefault="00000000">
            <w:pPr>
              <w:keepLines/>
            </w:pPr>
            <w:r>
              <w:t>applied domains</w:t>
            </w:r>
          </w:p>
        </w:tc>
        <w:tc>
          <w:tcPr>
            <w:tcW w:w="1275" w:type="dxa"/>
          </w:tcPr>
          <w:p w14:paraId="5CD8FF4B" w14:textId="77777777" w:rsidR="001F0D49" w:rsidRDefault="00000000">
            <w:pPr>
              <w:keepLines/>
            </w:pPr>
            <w:r>
              <w:t>1995–2023</w:t>
            </w:r>
          </w:p>
        </w:tc>
        <w:tc>
          <w:tcPr>
            <w:tcW w:w="1418" w:type="dxa"/>
          </w:tcPr>
          <w:p w14:paraId="0BC6C1CE" w14:textId="77777777" w:rsidR="001F0D49" w:rsidRDefault="00000000">
            <w:pPr>
              <w:keepLines/>
            </w:pPr>
            <w:r>
              <w:t>Open microdata</w:t>
            </w:r>
          </w:p>
        </w:tc>
        <w:tc>
          <w:tcPr>
            <w:tcW w:w="2550" w:type="dxa"/>
          </w:tcPr>
          <w:p w14:paraId="6305C257" w14:textId="77777777" w:rsidR="001F0D49" w:rsidRDefault="00000000">
            <w:pPr>
              <w:keepLines/>
            </w:pPr>
            <w:r>
              <w:t>Complements PISA on long-run education outcomes.</w:t>
            </w:r>
          </w:p>
        </w:tc>
        <w:tc>
          <w:tcPr>
            <w:tcW w:w="1277" w:type="dxa"/>
          </w:tcPr>
          <w:p w14:paraId="6EFD80E2" w14:textId="77777777" w:rsidR="001F0D49" w:rsidRDefault="00000000">
            <w:pPr>
              <w:keepLines/>
            </w:pPr>
            <w:r>
              <w:t>support</w:t>
            </w:r>
          </w:p>
        </w:tc>
      </w:tr>
    </w:tbl>
    <w:p w14:paraId="3AE7BBBE" w14:textId="77777777" w:rsidR="001F0D49" w:rsidRDefault="00000000">
      <w:pPr>
        <w:pStyle w:val="31"/>
      </w:pPr>
      <w:bookmarkStart w:id="94" w:name="X5719453da9a8daaa393c6792f496eff8b30e9cd"/>
      <w:bookmarkEnd w:id="93"/>
      <w:r>
        <w:t>B.6. Proxy layer and product/process signals</w:t>
      </w:r>
    </w:p>
    <w:p w14:paraId="671A2E9B" w14:textId="77777777" w:rsidR="001F0D49" w:rsidRDefault="00000000">
      <w:r>
        <w:t>This layer is separated explicitly so as not to collapse practical and corporate signals into the stricter institutional and academic core. It matters for ATD because this is where fragmentation, work about work, tool sprawl, rework, delivery friction, and coordination overload are often most visible. But the caveat remains essential: this layer strengthens plausibility; it does not replace the strongest anchor layer.</w:t>
      </w:r>
    </w:p>
    <w:tbl>
      <w:tblPr>
        <w:tblW w:w="5495" w:type="pct"/>
        <w:tblLayout w:type="fixed"/>
        <w:tblLook w:val="0020" w:firstRow="1" w:lastRow="0" w:firstColumn="0" w:lastColumn="0" w:noHBand="0" w:noVBand="0"/>
      </w:tblPr>
      <w:tblGrid>
        <w:gridCol w:w="959"/>
        <w:gridCol w:w="1134"/>
        <w:gridCol w:w="1559"/>
        <w:gridCol w:w="2410"/>
        <w:gridCol w:w="2126"/>
        <w:gridCol w:w="1043"/>
        <w:gridCol w:w="1225"/>
      </w:tblGrid>
      <w:tr w:rsidR="001F0D49" w14:paraId="2753CDBE" w14:textId="77777777" w:rsidTr="00980660">
        <w:trPr>
          <w:cantSplit/>
          <w:tblHeader/>
        </w:trPr>
        <w:tc>
          <w:tcPr>
            <w:tcW w:w="959" w:type="dxa"/>
            <w:tcBorders>
              <w:bottom w:val="single" w:sz="6" w:space="0" w:color="000000"/>
            </w:tcBorders>
          </w:tcPr>
          <w:p w14:paraId="727ACE31" w14:textId="77777777" w:rsidR="001F0D49" w:rsidRDefault="00000000">
            <w:pPr>
              <w:keepLines/>
            </w:pPr>
            <w:r>
              <w:rPr>
                <w:b/>
              </w:rPr>
              <w:t>Code</w:t>
            </w:r>
          </w:p>
        </w:tc>
        <w:tc>
          <w:tcPr>
            <w:tcW w:w="1134" w:type="dxa"/>
            <w:tcBorders>
              <w:bottom w:val="single" w:sz="6" w:space="0" w:color="000000"/>
            </w:tcBorders>
          </w:tcPr>
          <w:p w14:paraId="6C451E7E" w14:textId="77777777" w:rsidR="001F0D49" w:rsidRDefault="00000000">
            <w:pPr>
              <w:keepLines/>
            </w:pPr>
            <w:r>
              <w:rPr>
                <w:b/>
              </w:rPr>
              <w:t>Source</w:t>
            </w:r>
          </w:p>
        </w:tc>
        <w:tc>
          <w:tcPr>
            <w:tcW w:w="1559" w:type="dxa"/>
            <w:tcBorders>
              <w:bottom w:val="single" w:sz="6" w:space="0" w:color="000000"/>
            </w:tcBorders>
          </w:tcPr>
          <w:p w14:paraId="32AFA8CF" w14:textId="77777777" w:rsidR="001F0D49" w:rsidRDefault="00000000">
            <w:pPr>
              <w:keepLines/>
            </w:pPr>
            <w:r>
              <w:rPr>
                <w:b/>
              </w:rPr>
              <w:t>ATD layer</w:t>
            </w:r>
          </w:p>
        </w:tc>
        <w:tc>
          <w:tcPr>
            <w:tcW w:w="2410" w:type="dxa"/>
            <w:tcBorders>
              <w:bottom w:val="single" w:sz="6" w:space="0" w:color="000000"/>
            </w:tcBorders>
          </w:tcPr>
          <w:p w14:paraId="17EBC95F" w14:textId="77777777" w:rsidR="001F0D49" w:rsidRDefault="00000000">
            <w:pPr>
              <w:keepLines/>
            </w:pPr>
            <w:r>
              <w:rPr>
                <w:b/>
              </w:rPr>
              <w:t>Key signals</w:t>
            </w:r>
          </w:p>
        </w:tc>
        <w:tc>
          <w:tcPr>
            <w:tcW w:w="2126" w:type="dxa"/>
            <w:tcBorders>
              <w:bottom w:val="single" w:sz="6" w:space="0" w:color="000000"/>
            </w:tcBorders>
          </w:tcPr>
          <w:p w14:paraId="4B98EF84" w14:textId="77777777" w:rsidR="001F0D49" w:rsidRDefault="00000000">
            <w:pPr>
              <w:keepLines/>
            </w:pPr>
            <w:r>
              <w:rPr>
                <w:b/>
              </w:rPr>
              <w:t>What it supports in ATD</w:t>
            </w:r>
          </w:p>
        </w:tc>
        <w:tc>
          <w:tcPr>
            <w:tcW w:w="1043" w:type="dxa"/>
            <w:tcBorders>
              <w:bottom w:val="single" w:sz="6" w:space="0" w:color="000000"/>
            </w:tcBorders>
          </w:tcPr>
          <w:p w14:paraId="45298906" w14:textId="77777777" w:rsidR="001F0D49" w:rsidRDefault="00000000">
            <w:pPr>
              <w:keepLines/>
            </w:pPr>
            <w:r>
              <w:rPr>
                <w:b/>
              </w:rPr>
              <w:t>Proxy risk</w:t>
            </w:r>
          </w:p>
        </w:tc>
        <w:tc>
          <w:tcPr>
            <w:tcW w:w="1225" w:type="dxa"/>
            <w:tcBorders>
              <w:bottom w:val="single" w:sz="6" w:space="0" w:color="000000"/>
            </w:tcBorders>
          </w:tcPr>
          <w:p w14:paraId="657A7E7F" w14:textId="77777777" w:rsidR="001F0D49" w:rsidRDefault="00000000">
            <w:pPr>
              <w:keepLines/>
            </w:pPr>
            <w:r>
              <w:rPr>
                <w:b/>
              </w:rPr>
              <w:t>Status</w:t>
            </w:r>
          </w:p>
        </w:tc>
      </w:tr>
      <w:tr w:rsidR="001F0D49" w14:paraId="6230C2C1" w14:textId="77777777" w:rsidTr="00980660">
        <w:trPr>
          <w:cantSplit/>
        </w:trPr>
        <w:tc>
          <w:tcPr>
            <w:tcW w:w="959" w:type="dxa"/>
            <w:tcBorders>
              <w:bottom w:val="single" w:sz="6" w:space="0" w:color="000000"/>
            </w:tcBorders>
          </w:tcPr>
          <w:p w14:paraId="5508B250" w14:textId="77777777" w:rsidR="001F0D49" w:rsidRDefault="00000000">
            <w:pPr>
              <w:keepLines/>
            </w:pPr>
            <w:r>
              <w:t>ATD-PROXY-001</w:t>
            </w:r>
          </w:p>
        </w:tc>
        <w:tc>
          <w:tcPr>
            <w:tcW w:w="1134" w:type="dxa"/>
            <w:tcBorders>
              <w:bottom w:val="single" w:sz="6" w:space="0" w:color="000000"/>
            </w:tcBorders>
          </w:tcPr>
          <w:p w14:paraId="49AD7B0F" w14:textId="77777777" w:rsidR="001F0D49" w:rsidRDefault="00000000">
            <w:pPr>
              <w:keepLines/>
            </w:pPr>
            <w:r>
              <w:t>Microsoft Work Trend Index</w:t>
            </w:r>
          </w:p>
        </w:tc>
        <w:tc>
          <w:tcPr>
            <w:tcW w:w="1559" w:type="dxa"/>
            <w:tcBorders>
              <w:bottom w:val="single" w:sz="6" w:space="0" w:color="000000"/>
            </w:tcBorders>
          </w:tcPr>
          <w:p w14:paraId="1F56B9AE" w14:textId="77777777" w:rsidR="001F0D49" w:rsidRDefault="00000000">
            <w:pPr>
              <w:keepLines/>
            </w:pPr>
            <w:r>
              <w:t>coordination tax / context degradation</w:t>
            </w:r>
          </w:p>
        </w:tc>
        <w:tc>
          <w:tcPr>
            <w:tcW w:w="2410" w:type="dxa"/>
            <w:tcBorders>
              <w:bottom w:val="single" w:sz="6" w:space="0" w:color="000000"/>
            </w:tcBorders>
          </w:tcPr>
          <w:p w14:paraId="5D1E09C6" w14:textId="77777777" w:rsidR="001F0D49" w:rsidRDefault="00000000">
            <w:pPr>
              <w:keepLines/>
            </w:pPr>
            <w:r>
              <w:t>275 interruptions/day; work feels chaotic/fragmented; overload of communication</w:t>
            </w:r>
          </w:p>
        </w:tc>
        <w:tc>
          <w:tcPr>
            <w:tcW w:w="2126" w:type="dxa"/>
            <w:tcBorders>
              <w:bottom w:val="single" w:sz="6" w:space="0" w:color="000000"/>
            </w:tcBorders>
          </w:tcPr>
          <w:p w14:paraId="6469C84B" w14:textId="77777777" w:rsidR="001F0D49" w:rsidRDefault="00000000">
            <w:pPr>
              <w:keepLines/>
            </w:pPr>
            <w:r>
              <w:t>Strong convergent signal for fragmentation, interruption burden, and work about work.</w:t>
            </w:r>
          </w:p>
        </w:tc>
        <w:tc>
          <w:tcPr>
            <w:tcW w:w="1043" w:type="dxa"/>
            <w:tcBorders>
              <w:bottom w:val="single" w:sz="6" w:space="0" w:color="000000"/>
            </w:tcBorders>
          </w:tcPr>
          <w:p w14:paraId="4935DD81" w14:textId="77777777" w:rsidR="001F0D49" w:rsidRDefault="00000000">
            <w:pPr>
              <w:keepLines/>
            </w:pPr>
            <w:r>
              <w:t>medium</w:t>
            </w:r>
          </w:p>
        </w:tc>
        <w:tc>
          <w:tcPr>
            <w:tcW w:w="1225" w:type="dxa"/>
            <w:tcBorders>
              <w:bottom w:val="single" w:sz="6" w:space="0" w:color="000000"/>
            </w:tcBorders>
          </w:tcPr>
          <w:p w14:paraId="327F8C29" w14:textId="77777777" w:rsidR="001F0D49" w:rsidRDefault="00000000">
            <w:pPr>
              <w:keepLines/>
            </w:pPr>
            <w:r>
              <w:t>support</w:t>
            </w:r>
          </w:p>
        </w:tc>
      </w:tr>
      <w:tr w:rsidR="001F0D49" w14:paraId="1F1C8923" w14:textId="77777777" w:rsidTr="00980660">
        <w:trPr>
          <w:cantSplit/>
        </w:trPr>
        <w:tc>
          <w:tcPr>
            <w:tcW w:w="959" w:type="dxa"/>
            <w:tcBorders>
              <w:bottom w:val="single" w:sz="6" w:space="0" w:color="000000"/>
            </w:tcBorders>
          </w:tcPr>
          <w:p w14:paraId="03AC595B" w14:textId="77777777" w:rsidR="001F0D49" w:rsidRDefault="00000000">
            <w:pPr>
              <w:keepLines/>
            </w:pPr>
            <w:r>
              <w:t>ATD-PROXY-002</w:t>
            </w:r>
          </w:p>
        </w:tc>
        <w:tc>
          <w:tcPr>
            <w:tcW w:w="1134" w:type="dxa"/>
            <w:tcBorders>
              <w:bottom w:val="single" w:sz="6" w:space="0" w:color="000000"/>
            </w:tcBorders>
          </w:tcPr>
          <w:p w14:paraId="05ECB97A" w14:textId="77777777" w:rsidR="001F0D49" w:rsidRDefault="00000000">
            <w:pPr>
              <w:keepLines/>
            </w:pPr>
            <w:r>
              <w:t>Asana Anatomy of Work Index</w:t>
            </w:r>
          </w:p>
        </w:tc>
        <w:tc>
          <w:tcPr>
            <w:tcW w:w="1559" w:type="dxa"/>
            <w:tcBorders>
              <w:bottom w:val="single" w:sz="6" w:space="0" w:color="000000"/>
            </w:tcBorders>
          </w:tcPr>
          <w:p w14:paraId="65942063" w14:textId="77777777" w:rsidR="001F0D49" w:rsidRDefault="00000000">
            <w:pPr>
              <w:keepLines/>
            </w:pPr>
            <w:r>
              <w:t>coordination tax</w:t>
            </w:r>
          </w:p>
        </w:tc>
        <w:tc>
          <w:tcPr>
            <w:tcW w:w="2410" w:type="dxa"/>
            <w:tcBorders>
              <w:bottom w:val="single" w:sz="6" w:space="0" w:color="000000"/>
            </w:tcBorders>
          </w:tcPr>
          <w:p w14:paraId="7EAB501A" w14:textId="77777777" w:rsidR="001F0D49" w:rsidRDefault="00000000">
            <w:pPr>
              <w:keepLines/>
            </w:pPr>
            <w:r>
              <w:t>58% of workday on work about work; duplicated work; unnecessary meetings; burnout</w:t>
            </w:r>
          </w:p>
        </w:tc>
        <w:tc>
          <w:tcPr>
            <w:tcW w:w="2126" w:type="dxa"/>
            <w:tcBorders>
              <w:bottom w:val="single" w:sz="6" w:space="0" w:color="000000"/>
            </w:tcBorders>
          </w:tcPr>
          <w:p w14:paraId="0D2CE2FE" w14:textId="77777777" w:rsidR="001F0D49" w:rsidRDefault="00000000">
            <w:pPr>
              <w:keepLines/>
            </w:pPr>
            <w:r>
              <w:t>One of the strongest corporate anchors for coordination costs.</w:t>
            </w:r>
          </w:p>
        </w:tc>
        <w:tc>
          <w:tcPr>
            <w:tcW w:w="1043" w:type="dxa"/>
            <w:tcBorders>
              <w:bottom w:val="single" w:sz="6" w:space="0" w:color="000000"/>
            </w:tcBorders>
          </w:tcPr>
          <w:p w14:paraId="0E0CF355" w14:textId="77777777" w:rsidR="001F0D49" w:rsidRDefault="00000000">
            <w:pPr>
              <w:keepLines/>
            </w:pPr>
            <w:r>
              <w:t>medium</w:t>
            </w:r>
          </w:p>
        </w:tc>
        <w:tc>
          <w:tcPr>
            <w:tcW w:w="1225" w:type="dxa"/>
            <w:tcBorders>
              <w:bottom w:val="single" w:sz="6" w:space="0" w:color="000000"/>
            </w:tcBorders>
          </w:tcPr>
          <w:p w14:paraId="21DFBB2E" w14:textId="77777777" w:rsidR="001F0D49" w:rsidRDefault="00000000">
            <w:pPr>
              <w:keepLines/>
            </w:pPr>
            <w:r>
              <w:t>support</w:t>
            </w:r>
          </w:p>
        </w:tc>
      </w:tr>
      <w:tr w:rsidR="001F0D49" w14:paraId="5A2BA05B" w14:textId="77777777" w:rsidTr="00980660">
        <w:trPr>
          <w:cantSplit/>
        </w:trPr>
        <w:tc>
          <w:tcPr>
            <w:tcW w:w="959" w:type="dxa"/>
            <w:tcBorders>
              <w:bottom w:val="single" w:sz="6" w:space="0" w:color="000000"/>
            </w:tcBorders>
          </w:tcPr>
          <w:p w14:paraId="24C5CAC0" w14:textId="77777777" w:rsidR="001F0D49" w:rsidRDefault="00000000">
            <w:pPr>
              <w:keepLines/>
            </w:pPr>
            <w:r>
              <w:t>ATD-PROXY-003</w:t>
            </w:r>
          </w:p>
        </w:tc>
        <w:tc>
          <w:tcPr>
            <w:tcW w:w="1134" w:type="dxa"/>
            <w:tcBorders>
              <w:bottom w:val="single" w:sz="6" w:space="0" w:color="000000"/>
            </w:tcBorders>
          </w:tcPr>
          <w:p w14:paraId="52FFE2B8" w14:textId="77777777" w:rsidR="001F0D49" w:rsidRDefault="00000000">
            <w:pPr>
              <w:keepLines/>
            </w:pPr>
            <w:r>
              <w:t>Slack State of Work</w:t>
            </w:r>
          </w:p>
        </w:tc>
        <w:tc>
          <w:tcPr>
            <w:tcW w:w="1559" w:type="dxa"/>
            <w:tcBorders>
              <w:bottom w:val="single" w:sz="6" w:space="0" w:color="000000"/>
            </w:tcBorders>
          </w:tcPr>
          <w:p w14:paraId="3DA984CF" w14:textId="77777777" w:rsidR="001F0D49" w:rsidRDefault="00000000">
            <w:pPr>
              <w:keepLines/>
            </w:pPr>
            <w:r>
              <w:t>coordination tax</w:t>
            </w:r>
          </w:p>
        </w:tc>
        <w:tc>
          <w:tcPr>
            <w:tcW w:w="2410" w:type="dxa"/>
            <w:tcBorders>
              <w:bottom w:val="single" w:sz="6" w:space="0" w:color="000000"/>
            </w:tcBorders>
          </w:tcPr>
          <w:p w14:paraId="2B58DC7B" w14:textId="77777777" w:rsidR="001F0D49" w:rsidRDefault="00000000">
            <w:pPr>
              <w:keepLines/>
            </w:pPr>
            <w:r>
              <w:t>performative busyness; meeting-reduction potential; savings from automation</w:t>
            </w:r>
          </w:p>
        </w:tc>
        <w:tc>
          <w:tcPr>
            <w:tcW w:w="2126" w:type="dxa"/>
            <w:tcBorders>
              <w:bottom w:val="single" w:sz="6" w:space="0" w:color="000000"/>
            </w:tcBorders>
          </w:tcPr>
          <w:p w14:paraId="0B0F2803" w14:textId="77777777" w:rsidR="001F0D49" w:rsidRDefault="00000000">
            <w:pPr>
              <w:keepLines/>
            </w:pPr>
            <w:r>
              <w:t>Supports the line on performative busyness and the excess coordination layer.</w:t>
            </w:r>
          </w:p>
        </w:tc>
        <w:tc>
          <w:tcPr>
            <w:tcW w:w="1043" w:type="dxa"/>
            <w:tcBorders>
              <w:bottom w:val="single" w:sz="6" w:space="0" w:color="000000"/>
            </w:tcBorders>
          </w:tcPr>
          <w:p w14:paraId="5F7EBFF3" w14:textId="77777777" w:rsidR="001F0D49" w:rsidRDefault="00000000">
            <w:pPr>
              <w:keepLines/>
            </w:pPr>
            <w:r>
              <w:t>medium</w:t>
            </w:r>
          </w:p>
        </w:tc>
        <w:tc>
          <w:tcPr>
            <w:tcW w:w="1225" w:type="dxa"/>
            <w:tcBorders>
              <w:bottom w:val="single" w:sz="6" w:space="0" w:color="000000"/>
            </w:tcBorders>
          </w:tcPr>
          <w:p w14:paraId="1C96A459" w14:textId="77777777" w:rsidR="001F0D49" w:rsidRDefault="00000000">
            <w:pPr>
              <w:keepLines/>
            </w:pPr>
            <w:r>
              <w:t>support</w:t>
            </w:r>
          </w:p>
        </w:tc>
      </w:tr>
      <w:tr w:rsidR="001F0D49" w14:paraId="1AED30BD" w14:textId="77777777" w:rsidTr="00980660">
        <w:trPr>
          <w:cantSplit/>
        </w:trPr>
        <w:tc>
          <w:tcPr>
            <w:tcW w:w="959" w:type="dxa"/>
            <w:tcBorders>
              <w:bottom w:val="single" w:sz="6" w:space="0" w:color="000000"/>
            </w:tcBorders>
          </w:tcPr>
          <w:p w14:paraId="56B39B79" w14:textId="77777777" w:rsidR="001F0D49" w:rsidRDefault="00000000">
            <w:pPr>
              <w:keepLines/>
            </w:pPr>
            <w:r>
              <w:t>ATD-PROXY-004</w:t>
            </w:r>
          </w:p>
        </w:tc>
        <w:tc>
          <w:tcPr>
            <w:tcW w:w="1134" w:type="dxa"/>
            <w:tcBorders>
              <w:bottom w:val="single" w:sz="6" w:space="0" w:color="000000"/>
            </w:tcBorders>
          </w:tcPr>
          <w:p w14:paraId="436057AF" w14:textId="77777777" w:rsidR="001F0D49" w:rsidRDefault="00000000">
            <w:pPr>
              <w:keepLines/>
            </w:pPr>
            <w:r>
              <w:t>Atlassian collaboration / meeting studies</w:t>
            </w:r>
          </w:p>
        </w:tc>
        <w:tc>
          <w:tcPr>
            <w:tcW w:w="1559" w:type="dxa"/>
            <w:tcBorders>
              <w:bottom w:val="single" w:sz="6" w:space="0" w:color="000000"/>
            </w:tcBorders>
          </w:tcPr>
          <w:p w14:paraId="6210AF89" w14:textId="77777777" w:rsidR="001F0D49" w:rsidRDefault="00000000">
            <w:pPr>
              <w:keepLines/>
            </w:pPr>
            <w:r>
              <w:t>coordination tax</w:t>
            </w:r>
          </w:p>
        </w:tc>
        <w:tc>
          <w:tcPr>
            <w:tcW w:w="2410" w:type="dxa"/>
            <w:tcBorders>
              <w:bottom w:val="single" w:sz="6" w:space="0" w:color="000000"/>
            </w:tcBorders>
          </w:tcPr>
          <w:p w14:paraId="352B083E" w14:textId="77777777" w:rsidR="001F0D49" w:rsidRDefault="00000000">
            <w:pPr>
              <w:keepLines/>
            </w:pPr>
            <w:r>
              <w:t>too many meetings; follow-up meetings; goal-less meetings; email checking frequency</w:t>
            </w:r>
          </w:p>
        </w:tc>
        <w:tc>
          <w:tcPr>
            <w:tcW w:w="2126" w:type="dxa"/>
            <w:tcBorders>
              <w:bottom w:val="single" w:sz="6" w:space="0" w:color="000000"/>
            </w:tcBorders>
          </w:tcPr>
          <w:p w14:paraId="4EE7F476" w14:textId="77777777" w:rsidR="001F0D49" w:rsidRDefault="00000000">
            <w:pPr>
              <w:keepLines/>
            </w:pPr>
            <w:r>
              <w:t>Supports the meeting-overload and coordination-friction logic.</w:t>
            </w:r>
          </w:p>
        </w:tc>
        <w:tc>
          <w:tcPr>
            <w:tcW w:w="1043" w:type="dxa"/>
            <w:tcBorders>
              <w:bottom w:val="single" w:sz="6" w:space="0" w:color="000000"/>
            </w:tcBorders>
          </w:tcPr>
          <w:p w14:paraId="339A26B7" w14:textId="77777777" w:rsidR="001F0D49" w:rsidRDefault="00000000">
            <w:pPr>
              <w:keepLines/>
            </w:pPr>
            <w:r>
              <w:t>medium</w:t>
            </w:r>
          </w:p>
        </w:tc>
        <w:tc>
          <w:tcPr>
            <w:tcW w:w="1225" w:type="dxa"/>
            <w:tcBorders>
              <w:bottom w:val="single" w:sz="6" w:space="0" w:color="000000"/>
            </w:tcBorders>
          </w:tcPr>
          <w:p w14:paraId="3BCBF7C6" w14:textId="77777777" w:rsidR="001F0D49" w:rsidRDefault="00000000">
            <w:pPr>
              <w:keepLines/>
            </w:pPr>
            <w:r>
              <w:t>support</w:t>
            </w:r>
          </w:p>
        </w:tc>
      </w:tr>
      <w:tr w:rsidR="001F0D49" w14:paraId="0DBB9F96" w14:textId="77777777" w:rsidTr="00980660">
        <w:trPr>
          <w:cantSplit/>
        </w:trPr>
        <w:tc>
          <w:tcPr>
            <w:tcW w:w="959" w:type="dxa"/>
            <w:tcBorders>
              <w:bottom w:val="single" w:sz="6" w:space="0" w:color="000000"/>
            </w:tcBorders>
          </w:tcPr>
          <w:p w14:paraId="187372EB" w14:textId="77777777" w:rsidR="001F0D49" w:rsidRDefault="00000000">
            <w:pPr>
              <w:keepLines/>
            </w:pPr>
            <w:r>
              <w:lastRenderedPageBreak/>
              <w:t>ATD-PROXY-005</w:t>
            </w:r>
          </w:p>
        </w:tc>
        <w:tc>
          <w:tcPr>
            <w:tcW w:w="1134" w:type="dxa"/>
            <w:tcBorders>
              <w:bottom w:val="single" w:sz="6" w:space="0" w:color="000000"/>
            </w:tcBorders>
          </w:tcPr>
          <w:p w14:paraId="200C53F3" w14:textId="77777777" w:rsidR="001F0D49" w:rsidRDefault="00000000">
            <w:pPr>
              <w:keepLines/>
            </w:pPr>
            <w:r>
              <w:t>Okta Businesses at Work</w:t>
            </w:r>
          </w:p>
        </w:tc>
        <w:tc>
          <w:tcPr>
            <w:tcW w:w="1559" w:type="dxa"/>
            <w:tcBorders>
              <w:bottom w:val="single" w:sz="6" w:space="0" w:color="000000"/>
            </w:tcBorders>
          </w:tcPr>
          <w:p w14:paraId="13FD5C0F" w14:textId="77777777" w:rsidR="001F0D49" w:rsidRDefault="00000000">
            <w:pPr>
              <w:keepLines/>
            </w:pPr>
            <w:r>
              <w:t>complexity pressure</w:t>
            </w:r>
          </w:p>
        </w:tc>
        <w:tc>
          <w:tcPr>
            <w:tcW w:w="2410" w:type="dxa"/>
            <w:tcBorders>
              <w:bottom w:val="single" w:sz="6" w:space="0" w:color="000000"/>
            </w:tcBorders>
          </w:tcPr>
          <w:p w14:paraId="79C16990" w14:textId="77777777" w:rsidR="001F0D49" w:rsidRDefault="00000000">
            <w:pPr>
              <w:keepLines/>
            </w:pPr>
            <w:r>
              <w:t>average number of applications per company; growth of security and compliance tooling</w:t>
            </w:r>
          </w:p>
        </w:tc>
        <w:tc>
          <w:tcPr>
            <w:tcW w:w="2126" w:type="dxa"/>
            <w:tcBorders>
              <w:bottom w:val="single" w:sz="6" w:space="0" w:color="000000"/>
            </w:tcBorders>
          </w:tcPr>
          <w:p w14:paraId="0BFBA969" w14:textId="77777777" w:rsidR="001F0D49" w:rsidRDefault="00000000">
            <w:pPr>
              <w:keepLines/>
            </w:pPr>
            <w:r>
              <w:t>Strong signal of tool proliferation as a driver of complexity pressure.</w:t>
            </w:r>
          </w:p>
        </w:tc>
        <w:tc>
          <w:tcPr>
            <w:tcW w:w="1043" w:type="dxa"/>
            <w:tcBorders>
              <w:bottom w:val="single" w:sz="6" w:space="0" w:color="000000"/>
            </w:tcBorders>
          </w:tcPr>
          <w:p w14:paraId="509ECA6E" w14:textId="77777777" w:rsidR="001F0D49" w:rsidRDefault="00000000">
            <w:pPr>
              <w:keepLines/>
            </w:pPr>
            <w:r>
              <w:t>medium</w:t>
            </w:r>
          </w:p>
        </w:tc>
        <w:tc>
          <w:tcPr>
            <w:tcW w:w="1225" w:type="dxa"/>
            <w:tcBorders>
              <w:bottom w:val="single" w:sz="6" w:space="0" w:color="000000"/>
            </w:tcBorders>
          </w:tcPr>
          <w:p w14:paraId="76C8BB05" w14:textId="77777777" w:rsidR="001F0D49" w:rsidRDefault="00000000">
            <w:pPr>
              <w:keepLines/>
            </w:pPr>
            <w:r>
              <w:t>support</w:t>
            </w:r>
          </w:p>
        </w:tc>
      </w:tr>
      <w:tr w:rsidR="001F0D49" w14:paraId="1764718C" w14:textId="77777777" w:rsidTr="00980660">
        <w:trPr>
          <w:cantSplit/>
        </w:trPr>
        <w:tc>
          <w:tcPr>
            <w:tcW w:w="959" w:type="dxa"/>
            <w:tcBorders>
              <w:bottom w:val="single" w:sz="6" w:space="0" w:color="000000"/>
            </w:tcBorders>
          </w:tcPr>
          <w:p w14:paraId="71E5FF34" w14:textId="77777777" w:rsidR="001F0D49" w:rsidRDefault="00000000">
            <w:pPr>
              <w:keepLines/>
            </w:pPr>
            <w:r>
              <w:t>ATD-PROXY-006</w:t>
            </w:r>
          </w:p>
        </w:tc>
        <w:tc>
          <w:tcPr>
            <w:tcW w:w="1134" w:type="dxa"/>
            <w:tcBorders>
              <w:bottom w:val="single" w:sz="6" w:space="0" w:color="000000"/>
            </w:tcBorders>
          </w:tcPr>
          <w:p w14:paraId="1F7C5332" w14:textId="77777777" w:rsidR="001F0D49" w:rsidRDefault="00000000">
            <w:pPr>
              <w:keepLines/>
            </w:pPr>
            <w:r>
              <w:t>RescueTime productivity telemetry</w:t>
            </w:r>
          </w:p>
        </w:tc>
        <w:tc>
          <w:tcPr>
            <w:tcW w:w="1559" w:type="dxa"/>
            <w:tcBorders>
              <w:bottom w:val="single" w:sz="6" w:space="0" w:color="000000"/>
            </w:tcBorders>
          </w:tcPr>
          <w:p w14:paraId="7F906ED1" w14:textId="77777777" w:rsidR="001F0D49" w:rsidRDefault="00000000">
            <w:pPr>
              <w:keepLines/>
            </w:pPr>
            <w:r>
              <w:t>context degradation</w:t>
            </w:r>
          </w:p>
        </w:tc>
        <w:tc>
          <w:tcPr>
            <w:tcW w:w="2410" w:type="dxa"/>
            <w:tcBorders>
              <w:bottom w:val="single" w:sz="6" w:space="0" w:color="000000"/>
            </w:tcBorders>
          </w:tcPr>
          <w:p w14:paraId="62F836F8" w14:textId="77777777" w:rsidR="001F0D49" w:rsidRDefault="00000000">
            <w:pPr>
              <w:keepLines/>
            </w:pPr>
            <w:r>
              <w:t>2h48m productive time/day; ~300 app/site switches/day; 56 apps/day</w:t>
            </w:r>
          </w:p>
        </w:tc>
        <w:tc>
          <w:tcPr>
            <w:tcW w:w="2126" w:type="dxa"/>
            <w:tcBorders>
              <w:bottom w:val="single" w:sz="6" w:space="0" w:color="000000"/>
            </w:tcBorders>
          </w:tcPr>
          <w:p w14:paraId="6761A96C" w14:textId="77777777" w:rsidR="001F0D49" w:rsidRDefault="00000000">
            <w:pPr>
              <w:keepLines/>
            </w:pPr>
            <w:r>
              <w:t>Highly illustrative signal of fragmentation and the burden of constant app switching.</w:t>
            </w:r>
          </w:p>
        </w:tc>
        <w:tc>
          <w:tcPr>
            <w:tcW w:w="1043" w:type="dxa"/>
            <w:tcBorders>
              <w:bottom w:val="single" w:sz="6" w:space="0" w:color="000000"/>
            </w:tcBorders>
          </w:tcPr>
          <w:p w14:paraId="28AD9291" w14:textId="77777777" w:rsidR="001F0D49" w:rsidRDefault="00000000">
            <w:pPr>
              <w:keepLines/>
            </w:pPr>
            <w:r>
              <w:t>high</w:t>
            </w:r>
          </w:p>
        </w:tc>
        <w:tc>
          <w:tcPr>
            <w:tcW w:w="1225" w:type="dxa"/>
            <w:tcBorders>
              <w:bottom w:val="single" w:sz="6" w:space="0" w:color="000000"/>
            </w:tcBorders>
          </w:tcPr>
          <w:p w14:paraId="25DC8198" w14:textId="77777777" w:rsidR="001F0D49" w:rsidRDefault="00000000">
            <w:pPr>
              <w:keepLines/>
            </w:pPr>
            <w:r>
              <w:t>support</w:t>
            </w:r>
          </w:p>
        </w:tc>
      </w:tr>
      <w:tr w:rsidR="001F0D49" w14:paraId="2E37CB9F" w14:textId="77777777" w:rsidTr="00980660">
        <w:trPr>
          <w:cantSplit/>
        </w:trPr>
        <w:tc>
          <w:tcPr>
            <w:tcW w:w="959" w:type="dxa"/>
            <w:tcBorders>
              <w:bottom w:val="single" w:sz="6" w:space="0" w:color="000000"/>
            </w:tcBorders>
          </w:tcPr>
          <w:p w14:paraId="0364CCB9" w14:textId="77777777" w:rsidR="001F0D49" w:rsidRDefault="00000000">
            <w:pPr>
              <w:keepLines/>
            </w:pPr>
            <w:r>
              <w:t>ATD-PROXY-007</w:t>
            </w:r>
          </w:p>
        </w:tc>
        <w:tc>
          <w:tcPr>
            <w:tcW w:w="1134" w:type="dxa"/>
            <w:tcBorders>
              <w:bottom w:val="single" w:sz="6" w:space="0" w:color="000000"/>
            </w:tcBorders>
          </w:tcPr>
          <w:p w14:paraId="4D0E85E9" w14:textId="77777777" w:rsidR="001F0D49" w:rsidRDefault="00000000">
            <w:pPr>
              <w:keepLines/>
            </w:pPr>
            <w:r>
              <w:t>McKinsey Social Economy Report</w:t>
            </w:r>
          </w:p>
        </w:tc>
        <w:tc>
          <w:tcPr>
            <w:tcW w:w="1559" w:type="dxa"/>
            <w:tcBorders>
              <w:bottom w:val="single" w:sz="6" w:space="0" w:color="000000"/>
            </w:tcBorders>
          </w:tcPr>
          <w:p w14:paraId="41341808" w14:textId="77777777" w:rsidR="001F0D49" w:rsidRDefault="00000000">
            <w:pPr>
              <w:keepLines/>
            </w:pPr>
            <w:r>
              <w:t>coordination tax</w:t>
            </w:r>
          </w:p>
        </w:tc>
        <w:tc>
          <w:tcPr>
            <w:tcW w:w="2410" w:type="dxa"/>
            <w:tcBorders>
              <w:bottom w:val="single" w:sz="6" w:space="0" w:color="000000"/>
            </w:tcBorders>
          </w:tcPr>
          <w:p w14:paraId="068AC353" w14:textId="77777777" w:rsidR="001F0D49" w:rsidRDefault="00000000">
            <w:pPr>
              <w:keepLines/>
            </w:pPr>
            <w:r>
              <w:t>28% of workweek on email; 19% on search; large productivity potential</w:t>
            </w:r>
          </w:p>
        </w:tc>
        <w:tc>
          <w:tcPr>
            <w:tcW w:w="2126" w:type="dxa"/>
            <w:tcBorders>
              <w:bottom w:val="single" w:sz="6" w:space="0" w:color="000000"/>
            </w:tcBorders>
          </w:tcPr>
          <w:p w14:paraId="14740785" w14:textId="77777777" w:rsidR="001F0D49" w:rsidRDefault="00000000">
            <w:pPr>
              <w:keepLines/>
            </w:pPr>
            <w:r>
              <w:t>Canonical practitioner anchor on communication and search overhead.</w:t>
            </w:r>
          </w:p>
        </w:tc>
        <w:tc>
          <w:tcPr>
            <w:tcW w:w="1043" w:type="dxa"/>
            <w:tcBorders>
              <w:bottom w:val="single" w:sz="6" w:space="0" w:color="000000"/>
            </w:tcBorders>
          </w:tcPr>
          <w:p w14:paraId="42512DEB" w14:textId="77777777" w:rsidR="001F0D49" w:rsidRDefault="00000000">
            <w:pPr>
              <w:keepLines/>
            </w:pPr>
            <w:r>
              <w:t>medium</w:t>
            </w:r>
          </w:p>
        </w:tc>
        <w:tc>
          <w:tcPr>
            <w:tcW w:w="1225" w:type="dxa"/>
            <w:tcBorders>
              <w:bottom w:val="single" w:sz="6" w:space="0" w:color="000000"/>
            </w:tcBorders>
          </w:tcPr>
          <w:p w14:paraId="3F5B577A" w14:textId="77777777" w:rsidR="001F0D49" w:rsidRDefault="00000000">
            <w:pPr>
              <w:keepLines/>
            </w:pPr>
            <w:r>
              <w:t>support</w:t>
            </w:r>
          </w:p>
        </w:tc>
      </w:tr>
      <w:tr w:rsidR="001F0D49" w14:paraId="1EFD9231" w14:textId="77777777" w:rsidTr="00980660">
        <w:trPr>
          <w:cantSplit/>
        </w:trPr>
        <w:tc>
          <w:tcPr>
            <w:tcW w:w="959" w:type="dxa"/>
            <w:tcBorders>
              <w:bottom w:val="single" w:sz="6" w:space="0" w:color="000000"/>
            </w:tcBorders>
          </w:tcPr>
          <w:p w14:paraId="2D8B669C" w14:textId="77777777" w:rsidR="001F0D49" w:rsidRDefault="00000000">
            <w:pPr>
              <w:keepLines/>
            </w:pPr>
            <w:r>
              <w:t>ATD-PROXY-008</w:t>
            </w:r>
          </w:p>
        </w:tc>
        <w:tc>
          <w:tcPr>
            <w:tcW w:w="1134" w:type="dxa"/>
            <w:tcBorders>
              <w:bottom w:val="single" w:sz="6" w:space="0" w:color="000000"/>
            </w:tcBorders>
          </w:tcPr>
          <w:p w14:paraId="57EC2BF6" w14:textId="77777777" w:rsidR="001F0D49" w:rsidRDefault="00000000">
            <w:pPr>
              <w:keepLines/>
            </w:pPr>
            <w:r>
              <w:t>Rob Cross collaborative overload research</w:t>
            </w:r>
          </w:p>
        </w:tc>
        <w:tc>
          <w:tcPr>
            <w:tcW w:w="1559" w:type="dxa"/>
            <w:tcBorders>
              <w:bottom w:val="single" w:sz="6" w:space="0" w:color="000000"/>
            </w:tcBorders>
          </w:tcPr>
          <w:p w14:paraId="1A5F6C8A" w14:textId="77777777" w:rsidR="001F0D49" w:rsidRDefault="00000000">
            <w:pPr>
              <w:keepLines/>
            </w:pPr>
            <w:r>
              <w:t>coordination tax</w:t>
            </w:r>
          </w:p>
        </w:tc>
        <w:tc>
          <w:tcPr>
            <w:tcW w:w="2410" w:type="dxa"/>
            <w:tcBorders>
              <w:bottom w:val="single" w:sz="6" w:space="0" w:color="000000"/>
            </w:tcBorders>
          </w:tcPr>
          <w:p w14:paraId="59D39A63" w14:textId="77777777" w:rsidR="001F0D49" w:rsidRDefault="00000000">
            <w:pPr>
              <w:keepLines/>
            </w:pPr>
            <w:r>
              <w:t>growth of time spent on collaborative coordination activity by more than 50%; more than 85% of the week spent in coordination channels</w:t>
            </w:r>
          </w:p>
        </w:tc>
        <w:tc>
          <w:tcPr>
            <w:tcW w:w="2126" w:type="dxa"/>
            <w:tcBorders>
              <w:bottom w:val="single" w:sz="6" w:space="0" w:color="000000"/>
            </w:tcBorders>
          </w:tcPr>
          <w:p w14:paraId="25D6A0E8" w14:textId="77777777" w:rsidR="001F0D49" w:rsidRDefault="00000000">
            <w:pPr>
              <w:keepLines/>
            </w:pPr>
            <w:r>
              <w:t>One of the strongest bridges between academic and practical evidence on coordination overload.</w:t>
            </w:r>
          </w:p>
        </w:tc>
        <w:tc>
          <w:tcPr>
            <w:tcW w:w="1043" w:type="dxa"/>
            <w:tcBorders>
              <w:bottom w:val="single" w:sz="6" w:space="0" w:color="000000"/>
            </w:tcBorders>
          </w:tcPr>
          <w:p w14:paraId="35E7AF10" w14:textId="77777777" w:rsidR="001F0D49" w:rsidRDefault="00000000">
            <w:pPr>
              <w:keepLines/>
            </w:pPr>
            <w:r>
              <w:t>low-medium</w:t>
            </w:r>
          </w:p>
        </w:tc>
        <w:tc>
          <w:tcPr>
            <w:tcW w:w="1225" w:type="dxa"/>
            <w:tcBorders>
              <w:bottom w:val="single" w:sz="6" w:space="0" w:color="000000"/>
            </w:tcBorders>
          </w:tcPr>
          <w:p w14:paraId="1433B6EE" w14:textId="77777777" w:rsidR="001F0D49" w:rsidRDefault="00000000">
            <w:pPr>
              <w:keepLines/>
            </w:pPr>
            <w:r>
              <w:t>core</w:t>
            </w:r>
          </w:p>
        </w:tc>
      </w:tr>
      <w:tr w:rsidR="001F0D49" w14:paraId="2C5F87ED" w14:textId="77777777" w:rsidTr="00980660">
        <w:trPr>
          <w:cantSplit/>
        </w:trPr>
        <w:tc>
          <w:tcPr>
            <w:tcW w:w="959" w:type="dxa"/>
            <w:tcBorders>
              <w:bottom w:val="single" w:sz="6" w:space="0" w:color="000000"/>
            </w:tcBorders>
          </w:tcPr>
          <w:p w14:paraId="00DE3174" w14:textId="77777777" w:rsidR="001F0D49" w:rsidRDefault="00000000">
            <w:pPr>
              <w:keepLines/>
            </w:pPr>
            <w:r>
              <w:t>ATD-PROXY-009</w:t>
            </w:r>
          </w:p>
        </w:tc>
        <w:tc>
          <w:tcPr>
            <w:tcW w:w="1134" w:type="dxa"/>
            <w:tcBorders>
              <w:bottom w:val="single" w:sz="6" w:space="0" w:color="000000"/>
            </w:tcBorders>
          </w:tcPr>
          <w:p w14:paraId="671BE5D6" w14:textId="77777777" w:rsidR="001F0D49" w:rsidRDefault="00000000">
            <w:pPr>
              <w:keepLines/>
            </w:pPr>
            <w:r>
              <w:t>DORA State of DevOps Report</w:t>
            </w:r>
          </w:p>
        </w:tc>
        <w:tc>
          <w:tcPr>
            <w:tcW w:w="1559" w:type="dxa"/>
            <w:tcBorders>
              <w:bottom w:val="single" w:sz="6" w:space="0" w:color="000000"/>
            </w:tcBorders>
          </w:tcPr>
          <w:p w14:paraId="344D3383" w14:textId="77777777" w:rsidR="001F0D49" w:rsidRDefault="00000000">
            <w:pPr>
              <w:keepLines/>
            </w:pPr>
            <w:r>
              <w:t>coordination tax / adaptive erosion</w:t>
            </w:r>
          </w:p>
        </w:tc>
        <w:tc>
          <w:tcPr>
            <w:tcW w:w="2410" w:type="dxa"/>
            <w:tcBorders>
              <w:bottom w:val="single" w:sz="6" w:space="0" w:color="000000"/>
            </w:tcBorders>
          </w:tcPr>
          <w:p w14:paraId="10BDF5B2" w14:textId="77777777" w:rsidR="001F0D49" w:rsidRDefault="00000000">
            <w:pPr>
              <w:keepLines/>
            </w:pPr>
            <w:r>
              <w:t>change delivery frequency; lead time; failure frequency; recovery time; AI-related local-optimization effects</w:t>
            </w:r>
          </w:p>
        </w:tc>
        <w:tc>
          <w:tcPr>
            <w:tcW w:w="2126" w:type="dxa"/>
            <w:tcBorders>
              <w:bottom w:val="single" w:sz="6" w:space="0" w:color="000000"/>
            </w:tcBorders>
          </w:tcPr>
          <w:p w14:paraId="62875D9E" w14:textId="77777777" w:rsidR="001F0D49" w:rsidRDefault="00000000">
            <w:pPr>
              <w:keepLines/>
            </w:pPr>
            <w:r>
              <w:t>Very strong operational bridge to the product/process layer and failures caused by local optimization.</w:t>
            </w:r>
          </w:p>
        </w:tc>
        <w:tc>
          <w:tcPr>
            <w:tcW w:w="1043" w:type="dxa"/>
            <w:tcBorders>
              <w:bottom w:val="single" w:sz="6" w:space="0" w:color="000000"/>
            </w:tcBorders>
          </w:tcPr>
          <w:p w14:paraId="7E1F59D3" w14:textId="77777777" w:rsidR="001F0D49" w:rsidRDefault="00000000">
            <w:pPr>
              <w:keepLines/>
            </w:pPr>
            <w:r>
              <w:t>medium</w:t>
            </w:r>
          </w:p>
        </w:tc>
        <w:tc>
          <w:tcPr>
            <w:tcW w:w="1225" w:type="dxa"/>
            <w:tcBorders>
              <w:bottom w:val="single" w:sz="6" w:space="0" w:color="000000"/>
            </w:tcBorders>
          </w:tcPr>
          <w:p w14:paraId="13C5F548" w14:textId="77777777" w:rsidR="001F0D49" w:rsidRDefault="00000000">
            <w:pPr>
              <w:keepLines/>
            </w:pPr>
            <w:r>
              <w:t>support</w:t>
            </w:r>
          </w:p>
        </w:tc>
      </w:tr>
      <w:tr w:rsidR="001F0D49" w14:paraId="5A43673D" w14:textId="77777777" w:rsidTr="00980660">
        <w:trPr>
          <w:cantSplit/>
        </w:trPr>
        <w:tc>
          <w:tcPr>
            <w:tcW w:w="959" w:type="dxa"/>
            <w:tcBorders>
              <w:bottom w:val="single" w:sz="6" w:space="0" w:color="000000"/>
            </w:tcBorders>
          </w:tcPr>
          <w:p w14:paraId="67EE4E7C" w14:textId="77777777" w:rsidR="001F0D49" w:rsidRDefault="00000000">
            <w:pPr>
              <w:keepLines/>
            </w:pPr>
            <w:r>
              <w:t>ATD-PROXY-010</w:t>
            </w:r>
          </w:p>
        </w:tc>
        <w:tc>
          <w:tcPr>
            <w:tcW w:w="1134" w:type="dxa"/>
            <w:tcBorders>
              <w:bottom w:val="single" w:sz="6" w:space="0" w:color="000000"/>
            </w:tcBorders>
          </w:tcPr>
          <w:p w14:paraId="3C45DE83" w14:textId="77777777" w:rsidR="001F0D49" w:rsidRDefault="00000000">
            <w:pPr>
              <w:keepLines/>
            </w:pPr>
            <w:r>
              <w:t>LinearB Software Engineering Benchmarks</w:t>
            </w:r>
          </w:p>
        </w:tc>
        <w:tc>
          <w:tcPr>
            <w:tcW w:w="1559" w:type="dxa"/>
            <w:tcBorders>
              <w:bottom w:val="single" w:sz="6" w:space="0" w:color="000000"/>
            </w:tcBorders>
          </w:tcPr>
          <w:p w14:paraId="5F761DE8" w14:textId="77777777" w:rsidR="001F0D49" w:rsidRDefault="00000000">
            <w:pPr>
              <w:keepLines/>
            </w:pPr>
            <w:r>
              <w:t>coordination tax / adaptive erosion</w:t>
            </w:r>
          </w:p>
        </w:tc>
        <w:tc>
          <w:tcPr>
            <w:tcW w:w="2410" w:type="dxa"/>
            <w:tcBorders>
              <w:bottom w:val="single" w:sz="6" w:space="0" w:color="000000"/>
            </w:tcBorders>
          </w:tcPr>
          <w:p w14:paraId="516630B6" w14:textId="77777777" w:rsidR="001F0D49" w:rsidRDefault="00000000">
            <w:pPr>
              <w:keepLines/>
            </w:pPr>
            <w:r>
              <w:t>delivery cycle; share of rework; gap between acceptance of AI and manual pull requests</w:t>
            </w:r>
          </w:p>
        </w:tc>
        <w:tc>
          <w:tcPr>
            <w:tcW w:w="2126" w:type="dxa"/>
            <w:tcBorders>
              <w:bottom w:val="single" w:sz="6" w:space="0" w:color="000000"/>
            </w:tcBorders>
          </w:tcPr>
          <w:p w14:paraId="58679161" w14:textId="77777777" w:rsidR="001F0D49" w:rsidRDefault="00000000">
            <w:pPr>
              <w:keepLines/>
            </w:pPr>
            <w:r>
              <w:t>Supports the line on rework, delivery friction, and faster low-quality output.</w:t>
            </w:r>
          </w:p>
        </w:tc>
        <w:tc>
          <w:tcPr>
            <w:tcW w:w="1043" w:type="dxa"/>
            <w:tcBorders>
              <w:bottom w:val="single" w:sz="6" w:space="0" w:color="000000"/>
            </w:tcBorders>
          </w:tcPr>
          <w:p w14:paraId="18411939" w14:textId="77777777" w:rsidR="001F0D49" w:rsidRDefault="00000000">
            <w:pPr>
              <w:keepLines/>
            </w:pPr>
            <w:r>
              <w:t>medium</w:t>
            </w:r>
          </w:p>
        </w:tc>
        <w:tc>
          <w:tcPr>
            <w:tcW w:w="1225" w:type="dxa"/>
            <w:tcBorders>
              <w:bottom w:val="single" w:sz="6" w:space="0" w:color="000000"/>
            </w:tcBorders>
          </w:tcPr>
          <w:p w14:paraId="1471512A" w14:textId="77777777" w:rsidR="001F0D49" w:rsidRDefault="00000000">
            <w:pPr>
              <w:keepLines/>
            </w:pPr>
            <w:r>
              <w:t>support</w:t>
            </w:r>
          </w:p>
        </w:tc>
      </w:tr>
      <w:tr w:rsidR="001F0D49" w14:paraId="17F129AA" w14:textId="77777777" w:rsidTr="00980660">
        <w:trPr>
          <w:cantSplit/>
        </w:trPr>
        <w:tc>
          <w:tcPr>
            <w:tcW w:w="959" w:type="dxa"/>
            <w:tcBorders>
              <w:bottom w:val="single" w:sz="6" w:space="0" w:color="000000"/>
            </w:tcBorders>
          </w:tcPr>
          <w:p w14:paraId="66DC64BA" w14:textId="77777777" w:rsidR="001F0D49" w:rsidRDefault="00000000">
            <w:pPr>
              <w:keepLines/>
            </w:pPr>
            <w:r>
              <w:t>ATD-PROXY-011</w:t>
            </w:r>
          </w:p>
        </w:tc>
        <w:tc>
          <w:tcPr>
            <w:tcW w:w="1134" w:type="dxa"/>
            <w:tcBorders>
              <w:bottom w:val="single" w:sz="6" w:space="0" w:color="000000"/>
            </w:tcBorders>
          </w:tcPr>
          <w:p w14:paraId="30111E0B" w14:textId="77777777" w:rsidR="001F0D49" w:rsidRDefault="00000000">
            <w:pPr>
              <w:keepLines/>
            </w:pPr>
            <w:r>
              <w:t>Gallup State of the Global Workplace</w:t>
            </w:r>
          </w:p>
        </w:tc>
        <w:tc>
          <w:tcPr>
            <w:tcW w:w="1559" w:type="dxa"/>
            <w:tcBorders>
              <w:bottom w:val="single" w:sz="6" w:space="0" w:color="000000"/>
            </w:tcBorders>
          </w:tcPr>
          <w:p w14:paraId="1BBA6A1C" w14:textId="77777777" w:rsidR="001F0D49" w:rsidRDefault="00000000">
            <w:pPr>
              <w:keepLines/>
            </w:pPr>
            <w:r>
              <w:t>adaptive erosion</w:t>
            </w:r>
          </w:p>
        </w:tc>
        <w:tc>
          <w:tcPr>
            <w:tcW w:w="2410" w:type="dxa"/>
            <w:tcBorders>
              <w:bottom w:val="single" w:sz="6" w:space="0" w:color="000000"/>
            </w:tcBorders>
          </w:tcPr>
          <w:p w14:paraId="59856D0B" w14:textId="77777777" w:rsidR="001F0D49" w:rsidRDefault="00000000">
            <w:pPr>
              <w:keepLines/>
            </w:pPr>
            <w:r>
              <w:t>declining engagement; productivity-loss estimates; burden on managers</w:t>
            </w:r>
          </w:p>
        </w:tc>
        <w:tc>
          <w:tcPr>
            <w:tcW w:w="2126" w:type="dxa"/>
            <w:tcBorders>
              <w:bottom w:val="single" w:sz="6" w:space="0" w:color="000000"/>
            </w:tcBorders>
          </w:tcPr>
          <w:p w14:paraId="6EB513AA" w14:textId="77777777" w:rsidR="001F0D49" w:rsidRDefault="00000000">
            <w:pPr>
              <w:keepLines/>
            </w:pPr>
            <w:r>
              <w:t>Strong global practical signal of erosion symptoms on the output side.</w:t>
            </w:r>
          </w:p>
        </w:tc>
        <w:tc>
          <w:tcPr>
            <w:tcW w:w="1043" w:type="dxa"/>
            <w:tcBorders>
              <w:bottom w:val="single" w:sz="6" w:space="0" w:color="000000"/>
            </w:tcBorders>
          </w:tcPr>
          <w:p w14:paraId="33C04457" w14:textId="77777777" w:rsidR="001F0D49" w:rsidRDefault="00000000">
            <w:pPr>
              <w:keepLines/>
            </w:pPr>
            <w:r>
              <w:t>medium</w:t>
            </w:r>
          </w:p>
        </w:tc>
        <w:tc>
          <w:tcPr>
            <w:tcW w:w="1225" w:type="dxa"/>
            <w:tcBorders>
              <w:bottom w:val="single" w:sz="6" w:space="0" w:color="000000"/>
            </w:tcBorders>
          </w:tcPr>
          <w:p w14:paraId="720A8084" w14:textId="77777777" w:rsidR="001F0D49" w:rsidRDefault="00000000">
            <w:pPr>
              <w:keepLines/>
            </w:pPr>
            <w:r>
              <w:t>support</w:t>
            </w:r>
          </w:p>
        </w:tc>
      </w:tr>
      <w:tr w:rsidR="001F0D49" w14:paraId="43E18DDD" w14:textId="77777777" w:rsidTr="00980660">
        <w:trPr>
          <w:cantSplit/>
        </w:trPr>
        <w:tc>
          <w:tcPr>
            <w:tcW w:w="959" w:type="dxa"/>
            <w:tcBorders>
              <w:bottom w:val="single" w:sz="6" w:space="0" w:color="000000"/>
            </w:tcBorders>
          </w:tcPr>
          <w:p w14:paraId="19D80CD7" w14:textId="77777777" w:rsidR="001F0D49" w:rsidRDefault="00000000">
            <w:pPr>
              <w:keepLines/>
            </w:pPr>
            <w:r>
              <w:lastRenderedPageBreak/>
              <w:t>ATD-PROXY-012</w:t>
            </w:r>
          </w:p>
        </w:tc>
        <w:tc>
          <w:tcPr>
            <w:tcW w:w="1134" w:type="dxa"/>
            <w:tcBorders>
              <w:bottom w:val="single" w:sz="6" w:space="0" w:color="000000"/>
            </w:tcBorders>
          </w:tcPr>
          <w:p w14:paraId="107162C9" w14:textId="77777777" w:rsidR="001F0D49" w:rsidRDefault="00000000">
            <w:pPr>
              <w:keepLines/>
            </w:pPr>
            <w:r>
              <w:t>Standish CHAOS Report</w:t>
            </w:r>
          </w:p>
        </w:tc>
        <w:tc>
          <w:tcPr>
            <w:tcW w:w="1559" w:type="dxa"/>
            <w:tcBorders>
              <w:bottom w:val="single" w:sz="6" w:space="0" w:color="000000"/>
            </w:tcBorders>
          </w:tcPr>
          <w:p w14:paraId="68E761DA" w14:textId="77777777" w:rsidR="001F0D49" w:rsidRDefault="00000000">
            <w:pPr>
              <w:keepLines/>
            </w:pPr>
            <w:r>
              <w:t>adaptive erosion / coordination tax</w:t>
            </w:r>
          </w:p>
        </w:tc>
        <w:tc>
          <w:tcPr>
            <w:tcW w:w="2410" w:type="dxa"/>
            <w:tcBorders>
              <w:bottom w:val="single" w:sz="6" w:space="0" w:color="000000"/>
            </w:tcBorders>
          </w:tcPr>
          <w:p w14:paraId="0FA1E82D" w14:textId="77777777" w:rsidR="001F0D49" w:rsidRDefault="00000000">
            <w:pPr>
              <w:keepLines/>
            </w:pPr>
            <w:r>
              <w:t>shares of successful, challenged, and failed projects; relation between project size and success</w:t>
            </w:r>
          </w:p>
        </w:tc>
        <w:tc>
          <w:tcPr>
            <w:tcW w:w="2126" w:type="dxa"/>
            <w:tcBorders>
              <w:bottom w:val="single" w:sz="6" w:space="0" w:color="000000"/>
            </w:tcBorders>
          </w:tcPr>
          <w:p w14:paraId="5154C31D" w14:textId="77777777" w:rsidR="001F0D49" w:rsidRDefault="00000000">
            <w:pPr>
              <w:keepLines/>
            </w:pPr>
            <w:r>
              <w:t>Useful as a widely known signal on project failure rates, but methodologically opaque.</w:t>
            </w:r>
          </w:p>
        </w:tc>
        <w:tc>
          <w:tcPr>
            <w:tcW w:w="1043" w:type="dxa"/>
            <w:tcBorders>
              <w:bottom w:val="single" w:sz="6" w:space="0" w:color="000000"/>
            </w:tcBorders>
          </w:tcPr>
          <w:p w14:paraId="3BCE154A" w14:textId="77777777" w:rsidR="001F0D49" w:rsidRDefault="00000000">
            <w:pPr>
              <w:keepLines/>
            </w:pPr>
            <w:r>
              <w:t>high</w:t>
            </w:r>
          </w:p>
        </w:tc>
        <w:tc>
          <w:tcPr>
            <w:tcW w:w="1225" w:type="dxa"/>
            <w:tcBorders>
              <w:bottom w:val="single" w:sz="6" w:space="0" w:color="000000"/>
            </w:tcBorders>
          </w:tcPr>
          <w:p w14:paraId="6C1384FB" w14:textId="77777777" w:rsidR="001F0D49" w:rsidRDefault="00000000">
            <w:pPr>
              <w:keepLines/>
            </w:pPr>
            <w:r>
              <w:t>support</w:t>
            </w:r>
          </w:p>
        </w:tc>
      </w:tr>
      <w:tr w:rsidR="001F0D49" w14:paraId="00EF8B31" w14:textId="77777777" w:rsidTr="00980660">
        <w:trPr>
          <w:cantSplit/>
        </w:trPr>
        <w:tc>
          <w:tcPr>
            <w:tcW w:w="959" w:type="dxa"/>
            <w:tcBorders>
              <w:bottom w:val="single" w:sz="6" w:space="0" w:color="000000"/>
            </w:tcBorders>
          </w:tcPr>
          <w:p w14:paraId="3F0C3AB7" w14:textId="77777777" w:rsidR="001F0D49" w:rsidRDefault="00000000">
            <w:pPr>
              <w:keepLines/>
            </w:pPr>
            <w:r>
              <w:t>ATD-PROXY-013</w:t>
            </w:r>
          </w:p>
        </w:tc>
        <w:tc>
          <w:tcPr>
            <w:tcW w:w="1134" w:type="dxa"/>
            <w:tcBorders>
              <w:bottom w:val="single" w:sz="6" w:space="0" w:color="000000"/>
            </w:tcBorders>
          </w:tcPr>
          <w:p w14:paraId="533559BE" w14:textId="77777777" w:rsidR="001F0D49" w:rsidRDefault="00000000">
            <w:pPr>
              <w:keepLines/>
            </w:pPr>
            <w:r>
              <w:t>PMI Pulse of the Profession</w:t>
            </w:r>
          </w:p>
        </w:tc>
        <w:tc>
          <w:tcPr>
            <w:tcW w:w="1559" w:type="dxa"/>
            <w:tcBorders>
              <w:bottom w:val="single" w:sz="6" w:space="0" w:color="000000"/>
            </w:tcBorders>
          </w:tcPr>
          <w:p w14:paraId="40C0B101" w14:textId="77777777" w:rsidR="001F0D49" w:rsidRDefault="00000000">
            <w:pPr>
              <w:keepLines/>
            </w:pPr>
            <w:r>
              <w:t>coordination tax / adaptive erosion</w:t>
            </w:r>
          </w:p>
        </w:tc>
        <w:tc>
          <w:tcPr>
            <w:tcW w:w="2410" w:type="dxa"/>
            <w:tcBorders>
              <w:bottom w:val="single" w:sz="6" w:space="0" w:color="000000"/>
            </w:tcBorders>
          </w:tcPr>
          <w:p w14:paraId="3B534B2E" w14:textId="77777777" w:rsidR="001F0D49" w:rsidRDefault="00000000">
            <w:pPr>
              <w:keepLines/>
            </w:pPr>
            <w:r>
              <w:t>level of project performance; dynamics of project successes and failures</w:t>
            </w:r>
          </w:p>
        </w:tc>
        <w:tc>
          <w:tcPr>
            <w:tcW w:w="2126" w:type="dxa"/>
            <w:tcBorders>
              <w:bottom w:val="single" w:sz="6" w:space="0" w:color="000000"/>
            </w:tcBorders>
          </w:tcPr>
          <w:p w14:paraId="0577F90F" w14:textId="77777777" w:rsidR="001F0D49" w:rsidRDefault="00000000">
            <w:pPr>
              <w:keepLines/>
            </w:pPr>
            <w:r>
              <w:t>Applied project-level signal for the implementation and execution layer.</w:t>
            </w:r>
          </w:p>
        </w:tc>
        <w:tc>
          <w:tcPr>
            <w:tcW w:w="1043" w:type="dxa"/>
            <w:tcBorders>
              <w:bottom w:val="single" w:sz="6" w:space="0" w:color="000000"/>
            </w:tcBorders>
          </w:tcPr>
          <w:p w14:paraId="669A63A7" w14:textId="77777777" w:rsidR="001F0D49" w:rsidRDefault="00000000">
            <w:pPr>
              <w:keepLines/>
            </w:pPr>
            <w:r>
              <w:t>medium</w:t>
            </w:r>
          </w:p>
        </w:tc>
        <w:tc>
          <w:tcPr>
            <w:tcW w:w="1225" w:type="dxa"/>
            <w:tcBorders>
              <w:bottom w:val="single" w:sz="6" w:space="0" w:color="000000"/>
            </w:tcBorders>
          </w:tcPr>
          <w:p w14:paraId="4BEDE824" w14:textId="77777777" w:rsidR="001F0D49" w:rsidRDefault="00000000">
            <w:pPr>
              <w:keepLines/>
            </w:pPr>
            <w:r>
              <w:t>support</w:t>
            </w:r>
          </w:p>
        </w:tc>
      </w:tr>
      <w:tr w:rsidR="001F0D49" w14:paraId="64F2A470" w14:textId="77777777" w:rsidTr="00980660">
        <w:trPr>
          <w:cantSplit/>
        </w:trPr>
        <w:tc>
          <w:tcPr>
            <w:tcW w:w="959" w:type="dxa"/>
            <w:tcBorders>
              <w:bottom w:val="single" w:sz="6" w:space="0" w:color="000000"/>
            </w:tcBorders>
          </w:tcPr>
          <w:p w14:paraId="00BB8FAD" w14:textId="77777777" w:rsidR="001F0D49" w:rsidRDefault="00000000">
            <w:pPr>
              <w:keepLines/>
            </w:pPr>
            <w:r>
              <w:t>ATD-PROXY-014</w:t>
            </w:r>
          </w:p>
        </w:tc>
        <w:tc>
          <w:tcPr>
            <w:tcW w:w="1134" w:type="dxa"/>
            <w:tcBorders>
              <w:bottom w:val="single" w:sz="6" w:space="0" w:color="000000"/>
            </w:tcBorders>
          </w:tcPr>
          <w:p w14:paraId="36838E28" w14:textId="77777777" w:rsidR="001F0D49" w:rsidRDefault="00000000">
            <w:pPr>
              <w:keepLines/>
            </w:pPr>
            <w:r>
              <w:t>Crucial Learning interruption survey</w:t>
            </w:r>
          </w:p>
        </w:tc>
        <w:tc>
          <w:tcPr>
            <w:tcW w:w="1559" w:type="dxa"/>
            <w:tcBorders>
              <w:bottom w:val="single" w:sz="6" w:space="0" w:color="000000"/>
            </w:tcBorders>
          </w:tcPr>
          <w:p w14:paraId="6FF15D3F" w14:textId="77777777" w:rsidR="001F0D49" w:rsidRDefault="00000000">
            <w:pPr>
              <w:keepLines/>
            </w:pPr>
            <w:r>
              <w:t>context degradation</w:t>
            </w:r>
          </w:p>
        </w:tc>
        <w:tc>
          <w:tcPr>
            <w:tcW w:w="2410" w:type="dxa"/>
            <w:tcBorders>
              <w:bottom w:val="single" w:sz="6" w:space="0" w:color="000000"/>
            </w:tcBorders>
          </w:tcPr>
          <w:p w14:paraId="19931AC6" w14:textId="77777777" w:rsidR="001F0D49" w:rsidRDefault="00000000">
            <w:pPr>
              <w:keepLines/>
            </w:pPr>
            <w:r>
              <w:t>interruption overload; time spent searching for information; short intervals of sustained focus</w:t>
            </w:r>
          </w:p>
        </w:tc>
        <w:tc>
          <w:tcPr>
            <w:tcW w:w="2126" w:type="dxa"/>
            <w:tcBorders>
              <w:bottom w:val="single" w:sz="6" w:space="0" w:color="000000"/>
            </w:tcBorders>
          </w:tcPr>
          <w:p w14:paraId="3B76CC29" w14:textId="77777777" w:rsidR="001F0D49" w:rsidRDefault="00000000">
            <w:pPr>
              <w:keepLines/>
            </w:pPr>
            <w:r>
              <w:t>Supports the interruption and search-burden line, but is weaker methodologically.</w:t>
            </w:r>
          </w:p>
        </w:tc>
        <w:tc>
          <w:tcPr>
            <w:tcW w:w="1043" w:type="dxa"/>
            <w:tcBorders>
              <w:bottom w:val="single" w:sz="6" w:space="0" w:color="000000"/>
            </w:tcBorders>
          </w:tcPr>
          <w:p w14:paraId="57831D81" w14:textId="77777777" w:rsidR="001F0D49" w:rsidRDefault="00000000">
            <w:pPr>
              <w:keepLines/>
            </w:pPr>
            <w:r>
              <w:t>high</w:t>
            </w:r>
          </w:p>
        </w:tc>
        <w:tc>
          <w:tcPr>
            <w:tcW w:w="1225" w:type="dxa"/>
            <w:tcBorders>
              <w:bottom w:val="single" w:sz="6" w:space="0" w:color="000000"/>
            </w:tcBorders>
          </w:tcPr>
          <w:p w14:paraId="5C0FCB2F" w14:textId="77777777" w:rsidR="001F0D49" w:rsidRDefault="00000000">
            <w:pPr>
              <w:keepLines/>
            </w:pPr>
            <w:r>
              <w:t>harvest</w:t>
            </w:r>
          </w:p>
        </w:tc>
      </w:tr>
      <w:tr w:rsidR="001F0D49" w14:paraId="21D5932D" w14:textId="77777777" w:rsidTr="00980660">
        <w:trPr>
          <w:cantSplit/>
        </w:trPr>
        <w:tc>
          <w:tcPr>
            <w:tcW w:w="959" w:type="dxa"/>
            <w:tcBorders>
              <w:bottom w:val="single" w:sz="6" w:space="0" w:color="000000"/>
            </w:tcBorders>
          </w:tcPr>
          <w:p w14:paraId="4B9B38C6" w14:textId="77777777" w:rsidR="001F0D49" w:rsidRDefault="00000000">
            <w:pPr>
              <w:keepLines/>
            </w:pPr>
            <w:r>
              <w:t>ATD-PROXY-015</w:t>
            </w:r>
          </w:p>
        </w:tc>
        <w:tc>
          <w:tcPr>
            <w:tcW w:w="1134" w:type="dxa"/>
            <w:tcBorders>
              <w:bottom w:val="single" w:sz="6" w:space="0" w:color="000000"/>
            </w:tcBorders>
          </w:tcPr>
          <w:p w14:paraId="1CDDE6D6" w14:textId="77777777" w:rsidR="001F0D49" w:rsidRDefault="00000000">
            <w:pPr>
              <w:keepLines/>
            </w:pPr>
            <w:r>
              <w:t>Radicati Email Statistics Report</w:t>
            </w:r>
          </w:p>
        </w:tc>
        <w:tc>
          <w:tcPr>
            <w:tcW w:w="1559" w:type="dxa"/>
            <w:tcBorders>
              <w:bottom w:val="single" w:sz="6" w:space="0" w:color="000000"/>
            </w:tcBorders>
          </w:tcPr>
          <w:p w14:paraId="07ED7098" w14:textId="77777777" w:rsidR="001F0D49" w:rsidRDefault="00000000">
            <w:pPr>
              <w:keepLines/>
            </w:pPr>
            <w:r>
              <w:t>coordination tax / complexity pressure</w:t>
            </w:r>
          </w:p>
        </w:tc>
        <w:tc>
          <w:tcPr>
            <w:tcW w:w="2410" w:type="dxa"/>
            <w:tcBorders>
              <w:bottom w:val="single" w:sz="6" w:space="0" w:color="000000"/>
            </w:tcBorders>
          </w:tcPr>
          <w:p w14:paraId="3B052A52" w14:textId="77777777" w:rsidR="001F0D49" w:rsidRDefault="00000000">
            <w:pPr>
              <w:keepLines/>
            </w:pPr>
            <w:r>
              <w:t>number of emails per day worldwide; number of users; growth rates</w:t>
            </w:r>
          </w:p>
        </w:tc>
        <w:tc>
          <w:tcPr>
            <w:tcW w:w="2126" w:type="dxa"/>
            <w:tcBorders>
              <w:bottom w:val="single" w:sz="6" w:space="0" w:color="000000"/>
            </w:tcBorders>
          </w:tcPr>
          <w:p w14:paraId="503560FB" w14:textId="77777777" w:rsidR="001F0D49" w:rsidRDefault="00000000">
            <w:pPr>
              <w:keepLines/>
            </w:pPr>
            <w:r>
              <w:t>Supports communication-volume growth as a signal of complexity pressure and coordination load.</w:t>
            </w:r>
          </w:p>
        </w:tc>
        <w:tc>
          <w:tcPr>
            <w:tcW w:w="1043" w:type="dxa"/>
            <w:tcBorders>
              <w:bottom w:val="single" w:sz="6" w:space="0" w:color="000000"/>
            </w:tcBorders>
          </w:tcPr>
          <w:p w14:paraId="2AD66B2E" w14:textId="77777777" w:rsidR="001F0D49" w:rsidRDefault="00000000">
            <w:pPr>
              <w:keepLines/>
            </w:pPr>
            <w:r>
              <w:t>medium</w:t>
            </w:r>
          </w:p>
        </w:tc>
        <w:tc>
          <w:tcPr>
            <w:tcW w:w="1225" w:type="dxa"/>
            <w:tcBorders>
              <w:bottom w:val="single" w:sz="6" w:space="0" w:color="000000"/>
            </w:tcBorders>
          </w:tcPr>
          <w:p w14:paraId="7EDA900F" w14:textId="77777777" w:rsidR="001F0D49" w:rsidRDefault="00000000">
            <w:pPr>
              <w:keepLines/>
            </w:pPr>
            <w:r>
              <w:t>support</w:t>
            </w:r>
          </w:p>
        </w:tc>
      </w:tr>
      <w:tr w:rsidR="001F0D49" w14:paraId="1FCB8ECC" w14:textId="77777777" w:rsidTr="00980660">
        <w:trPr>
          <w:cantSplit/>
        </w:trPr>
        <w:tc>
          <w:tcPr>
            <w:tcW w:w="959" w:type="dxa"/>
            <w:tcBorders>
              <w:bottom w:val="single" w:sz="6" w:space="0" w:color="000000"/>
            </w:tcBorders>
          </w:tcPr>
          <w:p w14:paraId="197BE56A" w14:textId="77777777" w:rsidR="001F0D49" w:rsidRDefault="00000000">
            <w:pPr>
              <w:keepLines/>
            </w:pPr>
            <w:r>
              <w:t>ATD-PROXY-016</w:t>
            </w:r>
          </w:p>
        </w:tc>
        <w:tc>
          <w:tcPr>
            <w:tcW w:w="1134" w:type="dxa"/>
            <w:tcBorders>
              <w:bottom w:val="single" w:sz="6" w:space="0" w:color="000000"/>
            </w:tcBorders>
          </w:tcPr>
          <w:p w14:paraId="411CD299" w14:textId="77777777" w:rsidR="001F0D49" w:rsidRDefault="00000000">
            <w:pPr>
              <w:keepLines/>
            </w:pPr>
            <w:r>
              <w:t>GitLab DevSecOps survey / tooling perception gap</w:t>
            </w:r>
          </w:p>
        </w:tc>
        <w:tc>
          <w:tcPr>
            <w:tcW w:w="1559" w:type="dxa"/>
            <w:tcBorders>
              <w:bottom w:val="single" w:sz="6" w:space="0" w:color="000000"/>
            </w:tcBorders>
          </w:tcPr>
          <w:p w14:paraId="09C80F2D" w14:textId="77777777" w:rsidR="001F0D49" w:rsidRDefault="00000000">
            <w:pPr>
              <w:keepLines/>
            </w:pPr>
            <w:r>
              <w:t>complexity pressure / coordination tax</w:t>
            </w:r>
          </w:p>
        </w:tc>
        <w:tc>
          <w:tcPr>
            <w:tcW w:w="2410" w:type="dxa"/>
            <w:tcBorders>
              <w:bottom w:val="single" w:sz="6" w:space="0" w:color="000000"/>
            </w:tcBorders>
          </w:tcPr>
          <w:p w14:paraId="5AFAF1C9" w14:textId="77777777" w:rsidR="001F0D49" w:rsidRDefault="00000000">
            <w:pPr>
              <w:keepLines/>
            </w:pPr>
            <w:r>
              <w:t>differences in the number of tools; perception gap between practitioners and management</w:t>
            </w:r>
          </w:p>
        </w:tc>
        <w:tc>
          <w:tcPr>
            <w:tcW w:w="2126" w:type="dxa"/>
            <w:tcBorders>
              <w:bottom w:val="single" w:sz="6" w:space="0" w:color="000000"/>
            </w:tcBorders>
          </w:tcPr>
          <w:p w14:paraId="681A8DF3" w14:textId="77777777" w:rsidR="001F0D49" w:rsidRDefault="00000000">
            <w:pPr>
              <w:keepLines/>
            </w:pPr>
            <w:r>
              <w:t>Useful for tool proliferation and perception gaps between leadership and practitioners.</w:t>
            </w:r>
          </w:p>
        </w:tc>
        <w:tc>
          <w:tcPr>
            <w:tcW w:w="1043" w:type="dxa"/>
            <w:tcBorders>
              <w:bottom w:val="single" w:sz="6" w:space="0" w:color="000000"/>
            </w:tcBorders>
          </w:tcPr>
          <w:p w14:paraId="5DC48CA0" w14:textId="77777777" w:rsidR="001F0D49" w:rsidRDefault="00000000">
            <w:pPr>
              <w:keepLines/>
            </w:pPr>
            <w:r>
              <w:t>medium</w:t>
            </w:r>
          </w:p>
        </w:tc>
        <w:tc>
          <w:tcPr>
            <w:tcW w:w="1225" w:type="dxa"/>
            <w:tcBorders>
              <w:bottom w:val="single" w:sz="6" w:space="0" w:color="000000"/>
            </w:tcBorders>
          </w:tcPr>
          <w:p w14:paraId="5853BECC" w14:textId="77777777" w:rsidR="001F0D49" w:rsidRDefault="00000000">
            <w:pPr>
              <w:keepLines/>
            </w:pPr>
            <w:r>
              <w:t>support</w:t>
            </w:r>
          </w:p>
        </w:tc>
      </w:tr>
      <w:tr w:rsidR="001F0D49" w14:paraId="43530E6A" w14:textId="77777777" w:rsidTr="00980660">
        <w:trPr>
          <w:cantSplit/>
        </w:trPr>
        <w:tc>
          <w:tcPr>
            <w:tcW w:w="959" w:type="dxa"/>
            <w:tcBorders>
              <w:bottom w:val="single" w:sz="6" w:space="0" w:color="000000"/>
            </w:tcBorders>
          </w:tcPr>
          <w:p w14:paraId="5F31F728" w14:textId="77777777" w:rsidR="001F0D49" w:rsidRDefault="00000000">
            <w:pPr>
              <w:keepLines/>
            </w:pPr>
            <w:r>
              <w:t>ATD-PROXY-017</w:t>
            </w:r>
          </w:p>
        </w:tc>
        <w:tc>
          <w:tcPr>
            <w:tcW w:w="1134" w:type="dxa"/>
            <w:tcBorders>
              <w:bottom w:val="single" w:sz="6" w:space="0" w:color="000000"/>
            </w:tcBorders>
          </w:tcPr>
          <w:p w14:paraId="1AE3AB93" w14:textId="77777777" w:rsidR="001F0D49" w:rsidRDefault="00000000">
            <w:pPr>
              <w:keepLines/>
            </w:pPr>
            <w:r>
              <w:t>JetBrains Developer Ecosystem reports</w:t>
            </w:r>
          </w:p>
        </w:tc>
        <w:tc>
          <w:tcPr>
            <w:tcW w:w="1559" w:type="dxa"/>
            <w:tcBorders>
              <w:bottom w:val="single" w:sz="6" w:space="0" w:color="000000"/>
            </w:tcBorders>
          </w:tcPr>
          <w:p w14:paraId="2B39EB6A" w14:textId="77777777" w:rsidR="001F0D49" w:rsidRDefault="00000000">
            <w:pPr>
              <w:keepLines/>
            </w:pPr>
            <w:r>
              <w:t>coordination tax / digital environment</w:t>
            </w:r>
          </w:p>
        </w:tc>
        <w:tc>
          <w:tcPr>
            <w:tcW w:w="2410" w:type="dxa"/>
            <w:tcBorders>
              <w:bottom w:val="single" w:sz="6" w:space="0" w:color="000000"/>
            </w:tcBorders>
          </w:tcPr>
          <w:p w14:paraId="68090025" w14:textId="77777777" w:rsidR="001F0D49" w:rsidRDefault="00000000">
            <w:pPr>
              <w:keepLines/>
            </w:pPr>
            <w:r>
              <w:t>tools in use; language ecosystems; work-process patterns</w:t>
            </w:r>
          </w:p>
        </w:tc>
        <w:tc>
          <w:tcPr>
            <w:tcW w:w="2126" w:type="dxa"/>
            <w:tcBorders>
              <w:bottom w:val="single" w:sz="6" w:space="0" w:color="000000"/>
            </w:tcBorders>
          </w:tcPr>
          <w:p w14:paraId="3C5785F3" w14:textId="77777777" w:rsidR="001F0D49" w:rsidRDefault="00000000">
            <w:pPr>
              <w:keepLines/>
            </w:pPr>
            <w:r>
              <w:t>Supports the complexity of the development environment and process burden.</w:t>
            </w:r>
          </w:p>
        </w:tc>
        <w:tc>
          <w:tcPr>
            <w:tcW w:w="1043" w:type="dxa"/>
            <w:tcBorders>
              <w:bottom w:val="single" w:sz="6" w:space="0" w:color="000000"/>
            </w:tcBorders>
          </w:tcPr>
          <w:p w14:paraId="04BA9472" w14:textId="77777777" w:rsidR="001F0D49" w:rsidRDefault="00000000">
            <w:pPr>
              <w:keepLines/>
            </w:pPr>
            <w:r>
              <w:t>medium</w:t>
            </w:r>
          </w:p>
        </w:tc>
        <w:tc>
          <w:tcPr>
            <w:tcW w:w="1225" w:type="dxa"/>
            <w:tcBorders>
              <w:bottom w:val="single" w:sz="6" w:space="0" w:color="000000"/>
            </w:tcBorders>
          </w:tcPr>
          <w:p w14:paraId="04DD92BD" w14:textId="77777777" w:rsidR="001F0D49" w:rsidRDefault="00000000">
            <w:pPr>
              <w:keepLines/>
            </w:pPr>
            <w:r>
              <w:t>support</w:t>
            </w:r>
          </w:p>
        </w:tc>
      </w:tr>
      <w:tr w:rsidR="001F0D49" w14:paraId="03B7CD2A" w14:textId="77777777" w:rsidTr="00980660">
        <w:trPr>
          <w:cantSplit/>
        </w:trPr>
        <w:tc>
          <w:tcPr>
            <w:tcW w:w="959" w:type="dxa"/>
            <w:tcBorders>
              <w:bottom w:val="single" w:sz="6" w:space="0" w:color="000000"/>
            </w:tcBorders>
          </w:tcPr>
          <w:p w14:paraId="645CC35C" w14:textId="77777777" w:rsidR="001F0D49" w:rsidRDefault="00000000">
            <w:pPr>
              <w:keepLines/>
            </w:pPr>
            <w:r>
              <w:t>ATD-PROXY-018</w:t>
            </w:r>
          </w:p>
        </w:tc>
        <w:tc>
          <w:tcPr>
            <w:tcW w:w="1134" w:type="dxa"/>
            <w:tcBorders>
              <w:bottom w:val="single" w:sz="6" w:space="0" w:color="000000"/>
            </w:tcBorders>
          </w:tcPr>
          <w:p w14:paraId="55BF8BDE" w14:textId="77777777" w:rsidR="001F0D49" w:rsidRDefault="00000000">
            <w:pPr>
              <w:keepLines/>
            </w:pPr>
            <w:r>
              <w:t>Reclaim.ai / calendar fragmentation reports</w:t>
            </w:r>
          </w:p>
        </w:tc>
        <w:tc>
          <w:tcPr>
            <w:tcW w:w="1559" w:type="dxa"/>
            <w:tcBorders>
              <w:bottom w:val="single" w:sz="6" w:space="0" w:color="000000"/>
            </w:tcBorders>
          </w:tcPr>
          <w:p w14:paraId="3065AF9F" w14:textId="77777777" w:rsidR="001F0D49" w:rsidRDefault="00000000">
            <w:pPr>
              <w:keepLines/>
            </w:pPr>
            <w:r>
              <w:t>coordination tax / context degradation</w:t>
            </w:r>
          </w:p>
        </w:tc>
        <w:tc>
          <w:tcPr>
            <w:tcW w:w="2410" w:type="dxa"/>
            <w:tcBorders>
              <w:bottom w:val="single" w:sz="6" w:space="0" w:color="000000"/>
            </w:tcBorders>
          </w:tcPr>
          <w:p w14:paraId="480F36C9" w14:textId="77777777" w:rsidR="001F0D49" w:rsidRDefault="00000000">
            <w:pPr>
              <w:keepLines/>
            </w:pPr>
            <w:r>
              <w:t>meeting fragmentation; calendar overload</w:t>
            </w:r>
          </w:p>
        </w:tc>
        <w:tc>
          <w:tcPr>
            <w:tcW w:w="2126" w:type="dxa"/>
            <w:tcBorders>
              <w:bottom w:val="single" w:sz="6" w:space="0" w:color="000000"/>
            </w:tcBorders>
          </w:tcPr>
          <w:p w14:paraId="0AB59690" w14:textId="77777777" w:rsidR="001F0D49" w:rsidRDefault="00000000">
            <w:pPr>
              <w:keepLines/>
            </w:pPr>
            <w:r>
              <w:t>Useful as an emerging signal of calendar and meeting fragmentation.</w:t>
            </w:r>
          </w:p>
        </w:tc>
        <w:tc>
          <w:tcPr>
            <w:tcW w:w="1043" w:type="dxa"/>
            <w:tcBorders>
              <w:bottom w:val="single" w:sz="6" w:space="0" w:color="000000"/>
            </w:tcBorders>
          </w:tcPr>
          <w:p w14:paraId="735DC81C" w14:textId="77777777" w:rsidR="001F0D49" w:rsidRDefault="00000000">
            <w:pPr>
              <w:keepLines/>
            </w:pPr>
            <w:r>
              <w:t>high</w:t>
            </w:r>
          </w:p>
        </w:tc>
        <w:tc>
          <w:tcPr>
            <w:tcW w:w="1225" w:type="dxa"/>
            <w:tcBorders>
              <w:bottom w:val="single" w:sz="6" w:space="0" w:color="000000"/>
            </w:tcBorders>
          </w:tcPr>
          <w:p w14:paraId="6FD2C40B" w14:textId="77777777" w:rsidR="001F0D49" w:rsidRDefault="00000000">
            <w:pPr>
              <w:keepLines/>
            </w:pPr>
            <w:r>
              <w:t>harvest</w:t>
            </w:r>
          </w:p>
        </w:tc>
      </w:tr>
      <w:tr w:rsidR="001F0D49" w14:paraId="30052302" w14:textId="77777777" w:rsidTr="00980660">
        <w:trPr>
          <w:cantSplit/>
        </w:trPr>
        <w:tc>
          <w:tcPr>
            <w:tcW w:w="959" w:type="dxa"/>
            <w:tcBorders>
              <w:bottom w:val="single" w:sz="6" w:space="0" w:color="000000"/>
            </w:tcBorders>
          </w:tcPr>
          <w:p w14:paraId="3D467EC7" w14:textId="77777777" w:rsidR="001F0D49" w:rsidRDefault="00000000">
            <w:pPr>
              <w:keepLines/>
            </w:pPr>
            <w:r>
              <w:lastRenderedPageBreak/>
              <w:t>ATD-PROXY-019</w:t>
            </w:r>
          </w:p>
        </w:tc>
        <w:tc>
          <w:tcPr>
            <w:tcW w:w="1134" w:type="dxa"/>
            <w:tcBorders>
              <w:bottom w:val="single" w:sz="6" w:space="0" w:color="000000"/>
            </w:tcBorders>
          </w:tcPr>
          <w:p w14:paraId="547A6CD0" w14:textId="77777777" w:rsidR="001F0D49" w:rsidRDefault="00000000">
            <w:pPr>
              <w:keepLines/>
            </w:pPr>
            <w:r>
              <w:t>Clockwise / fragmented time reports</w:t>
            </w:r>
          </w:p>
        </w:tc>
        <w:tc>
          <w:tcPr>
            <w:tcW w:w="1559" w:type="dxa"/>
            <w:tcBorders>
              <w:bottom w:val="single" w:sz="6" w:space="0" w:color="000000"/>
            </w:tcBorders>
          </w:tcPr>
          <w:p w14:paraId="77AD3D34" w14:textId="77777777" w:rsidR="001F0D49" w:rsidRDefault="00000000">
            <w:pPr>
              <w:keepLines/>
            </w:pPr>
            <w:r>
              <w:t>coordination tax / context degradation</w:t>
            </w:r>
          </w:p>
        </w:tc>
        <w:tc>
          <w:tcPr>
            <w:tcW w:w="2410" w:type="dxa"/>
            <w:tcBorders>
              <w:bottom w:val="single" w:sz="6" w:space="0" w:color="000000"/>
            </w:tcBorders>
          </w:tcPr>
          <w:p w14:paraId="4C11E555" w14:textId="77777777" w:rsidR="001F0D49" w:rsidRDefault="00000000">
            <w:pPr>
              <w:keepLines/>
            </w:pPr>
            <w:r>
              <w:t>calendar fragmentation; loss of uninterrupted work time</w:t>
            </w:r>
          </w:p>
        </w:tc>
        <w:tc>
          <w:tcPr>
            <w:tcW w:w="2126" w:type="dxa"/>
            <w:tcBorders>
              <w:bottom w:val="single" w:sz="6" w:space="0" w:color="000000"/>
            </w:tcBorders>
          </w:tcPr>
          <w:p w14:paraId="6597C804" w14:textId="77777777" w:rsidR="001F0D49" w:rsidRDefault="00000000">
            <w:pPr>
              <w:keepLines/>
            </w:pPr>
            <w:r>
              <w:t>Supports the thesis of fragmented time in everyday knowledge work.</w:t>
            </w:r>
          </w:p>
        </w:tc>
        <w:tc>
          <w:tcPr>
            <w:tcW w:w="1043" w:type="dxa"/>
            <w:tcBorders>
              <w:bottom w:val="single" w:sz="6" w:space="0" w:color="000000"/>
            </w:tcBorders>
          </w:tcPr>
          <w:p w14:paraId="0AE12F00" w14:textId="77777777" w:rsidR="001F0D49" w:rsidRDefault="00000000">
            <w:pPr>
              <w:keepLines/>
            </w:pPr>
            <w:r>
              <w:t>high</w:t>
            </w:r>
          </w:p>
        </w:tc>
        <w:tc>
          <w:tcPr>
            <w:tcW w:w="1225" w:type="dxa"/>
            <w:tcBorders>
              <w:bottom w:val="single" w:sz="6" w:space="0" w:color="000000"/>
            </w:tcBorders>
          </w:tcPr>
          <w:p w14:paraId="7BD4DBE7" w14:textId="77777777" w:rsidR="001F0D49" w:rsidRDefault="00000000">
            <w:pPr>
              <w:keepLines/>
            </w:pPr>
            <w:r>
              <w:t>harvest</w:t>
            </w:r>
          </w:p>
        </w:tc>
      </w:tr>
      <w:tr w:rsidR="001F0D49" w14:paraId="1DCBD575" w14:textId="77777777" w:rsidTr="00980660">
        <w:trPr>
          <w:cantSplit/>
        </w:trPr>
        <w:tc>
          <w:tcPr>
            <w:tcW w:w="959" w:type="dxa"/>
          </w:tcPr>
          <w:p w14:paraId="501CC164" w14:textId="77777777" w:rsidR="001F0D49" w:rsidRDefault="00000000">
            <w:pPr>
              <w:keepLines/>
            </w:pPr>
            <w:r>
              <w:t>ATD-PROXY-020</w:t>
            </w:r>
          </w:p>
        </w:tc>
        <w:tc>
          <w:tcPr>
            <w:tcW w:w="1134" w:type="dxa"/>
          </w:tcPr>
          <w:p w14:paraId="7A3405F9" w14:textId="77777777" w:rsidR="001F0D49" w:rsidRDefault="00000000">
            <w:pPr>
              <w:keepLines/>
            </w:pPr>
            <w:r>
              <w:t>Qatalog / context switching report</w:t>
            </w:r>
          </w:p>
        </w:tc>
        <w:tc>
          <w:tcPr>
            <w:tcW w:w="1559" w:type="dxa"/>
          </w:tcPr>
          <w:p w14:paraId="38D609D5" w14:textId="77777777" w:rsidR="001F0D49" w:rsidRDefault="00000000">
            <w:pPr>
              <w:keepLines/>
            </w:pPr>
            <w:r>
              <w:t>context degradation / coordination tax</w:t>
            </w:r>
          </w:p>
        </w:tc>
        <w:tc>
          <w:tcPr>
            <w:tcW w:w="2410" w:type="dxa"/>
          </w:tcPr>
          <w:p w14:paraId="06440B45" w14:textId="77777777" w:rsidR="001F0D49" w:rsidRDefault="00000000">
            <w:pPr>
              <w:keepLines/>
            </w:pPr>
            <w:r>
              <w:t>very high app/site switching estimates</w:t>
            </w:r>
          </w:p>
        </w:tc>
        <w:tc>
          <w:tcPr>
            <w:tcW w:w="2126" w:type="dxa"/>
          </w:tcPr>
          <w:p w14:paraId="7B711634" w14:textId="77777777" w:rsidR="001F0D49" w:rsidRDefault="00000000">
            <w:pPr>
              <w:keepLines/>
            </w:pPr>
            <w:r>
              <w:t>Rhetorically strong signal, but it requires caution on validity.</w:t>
            </w:r>
          </w:p>
        </w:tc>
        <w:tc>
          <w:tcPr>
            <w:tcW w:w="1043" w:type="dxa"/>
          </w:tcPr>
          <w:p w14:paraId="3C6DB550" w14:textId="77777777" w:rsidR="001F0D49" w:rsidRDefault="00000000">
            <w:pPr>
              <w:keepLines/>
            </w:pPr>
            <w:r>
              <w:t>high</w:t>
            </w:r>
          </w:p>
        </w:tc>
        <w:tc>
          <w:tcPr>
            <w:tcW w:w="1225" w:type="dxa"/>
          </w:tcPr>
          <w:p w14:paraId="57D1919B" w14:textId="77777777" w:rsidR="001F0D49" w:rsidRDefault="00000000">
            <w:pPr>
              <w:keepLines/>
            </w:pPr>
            <w:r>
              <w:t>harvest</w:t>
            </w:r>
          </w:p>
        </w:tc>
      </w:tr>
    </w:tbl>
    <w:p w14:paraId="2FC89D6E" w14:textId="77777777" w:rsidR="001F0D49" w:rsidRDefault="00000000">
      <w:pPr>
        <w:pStyle w:val="31"/>
      </w:pPr>
      <w:bookmarkStart w:id="95" w:name="X9dc54e9ced67f318fbe00178f3784fba0217969"/>
      <w:bookmarkEnd w:id="94"/>
      <w:r>
        <w:t>B.7. Boundaries of admissible interpretation in the evidentiary layer</w:t>
      </w:r>
    </w:p>
    <w:p w14:paraId="3E4C5A14" w14:textId="77777777" w:rsidR="001F0D49" w:rsidRDefault="00000000">
      <w:r>
        <w:t>The table below summarizes key ATD claims, confidence levels, and the boundaries of admissible interpretation. Its purpose is to distinguish between propositions that are already relatively well supported by the evidentiary layer and propositions that still require narrower wording and explicit caveats.</w:t>
      </w:r>
    </w:p>
    <w:tbl>
      <w:tblPr>
        <w:tblW w:w="5272" w:type="pct"/>
        <w:tblLayout w:type="fixed"/>
        <w:tblLook w:val="0020" w:firstRow="1" w:lastRow="0" w:firstColumn="0" w:lastColumn="0" w:noHBand="0" w:noVBand="0"/>
      </w:tblPr>
      <w:tblGrid>
        <w:gridCol w:w="818"/>
        <w:gridCol w:w="2692"/>
        <w:gridCol w:w="1418"/>
        <w:gridCol w:w="2693"/>
        <w:gridCol w:w="2411"/>
      </w:tblGrid>
      <w:tr w:rsidR="001F0D49" w14:paraId="20B49089" w14:textId="77777777" w:rsidTr="00A379BE">
        <w:trPr>
          <w:cantSplit/>
          <w:tblHeader/>
        </w:trPr>
        <w:tc>
          <w:tcPr>
            <w:tcW w:w="818" w:type="dxa"/>
            <w:tcBorders>
              <w:bottom w:val="single" w:sz="6" w:space="0" w:color="000000"/>
            </w:tcBorders>
          </w:tcPr>
          <w:p w14:paraId="1228984C" w14:textId="77777777" w:rsidR="001F0D49" w:rsidRDefault="00000000">
            <w:pPr>
              <w:keepLines/>
            </w:pPr>
            <w:r>
              <w:rPr>
                <w:b/>
              </w:rPr>
              <w:t>Claim code</w:t>
            </w:r>
          </w:p>
        </w:tc>
        <w:tc>
          <w:tcPr>
            <w:tcW w:w="2692" w:type="dxa"/>
            <w:tcBorders>
              <w:bottom w:val="single" w:sz="6" w:space="0" w:color="000000"/>
            </w:tcBorders>
          </w:tcPr>
          <w:p w14:paraId="3A6745B8" w14:textId="77777777" w:rsidR="001F0D49" w:rsidRDefault="00000000">
            <w:pPr>
              <w:keepLines/>
            </w:pPr>
            <w:r>
              <w:rPr>
                <w:b/>
              </w:rPr>
              <w:t>Thesis</w:t>
            </w:r>
          </w:p>
        </w:tc>
        <w:tc>
          <w:tcPr>
            <w:tcW w:w="1418" w:type="dxa"/>
            <w:tcBorders>
              <w:bottom w:val="single" w:sz="6" w:space="0" w:color="000000"/>
            </w:tcBorders>
          </w:tcPr>
          <w:p w14:paraId="26EA80D5" w14:textId="77777777" w:rsidR="001F0D49" w:rsidRDefault="00000000">
            <w:pPr>
              <w:keepLines/>
            </w:pPr>
            <w:r>
              <w:rPr>
                <w:b/>
              </w:rPr>
              <w:t>Confidence</w:t>
            </w:r>
          </w:p>
        </w:tc>
        <w:tc>
          <w:tcPr>
            <w:tcW w:w="2693" w:type="dxa"/>
            <w:tcBorders>
              <w:bottom w:val="single" w:sz="6" w:space="0" w:color="000000"/>
            </w:tcBorders>
          </w:tcPr>
          <w:p w14:paraId="0D5D2ED1" w14:textId="77777777" w:rsidR="001F0D49" w:rsidRDefault="00000000">
            <w:pPr>
              <w:keepLines/>
            </w:pPr>
            <w:r>
              <w:rPr>
                <w:b/>
              </w:rPr>
              <w:t>Admissible interpretation</w:t>
            </w:r>
          </w:p>
        </w:tc>
        <w:tc>
          <w:tcPr>
            <w:tcW w:w="2411" w:type="dxa"/>
            <w:tcBorders>
              <w:bottom w:val="single" w:sz="6" w:space="0" w:color="000000"/>
            </w:tcBorders>
          </w:tcPr>
          <w:p w14:paraId="4AD9CDAF" w14:textId="77777777" w:rsidR="001F0D49" w:rsidRDefault="00000000">
            <w:pPr>
              <w:keepLines/>
            </w:pPr>
            <w:r>
              <w:rPr>
                <w:b/>
              </w:rPr>
              <w:t>Interpretive limit</w:t>
            </w:r>
          </w:p>
        </w:tc>
      </w:tr>
      <w:tr w:rsidR="001F0D49" w14:paraId="6C17E6D5" w14:textId="77777777" w:rsidTr="00A379BE">
        <w:trPr>
          <w:cantSplit/>
        </w:trPr>
        <w:tc>
          <w:tcPr>
            <w:tcW w:w="818" w:type="dxa"/>
            <w:tcBorders>
              <w:bottom w:val="single" w:sz="6" w:space="0" w:color="000000"/>
            </w:tcBorders>
          </w:tcPr>
          <w:p w14:paraId="4A19A911" w14:textId="77777777" w:rsidR="001F0D49" w:rsidRDefault="00000000">
            <w:pPr>
              <w:keepLines/>
            </w:pPr>
            <w:r>
              <w:t>ATD-EV-001</w:t>
            </w:r>
          </w:p>
        </w:tc>
        <w:tc>
          <w:tcPr>
            <w:tcW w:w="2692" w:type="dxa"/>
            <w:tcBorders>
              <w:bottom w:val="single" w:sz="6" w:space="0" w:color="000000"/>
            </w:tcBorders>
          </w:tcPr>
          <w:p w14:paraId="5577CE16" w14:textId="77777777" w:rsidR="001F0D49" w:rsidRDefault="00000000">
            <w:pPr>
              <w:keepLines/>
            </w:pPr>
            <w:r>
              <w:t>Growth in poorly packaged complexity and frequent interruptions degrades the retention of working context.</w:t>
            </w:r>
          </w:p>
        </w:tc>
        <w:tc>
          <w:tcPr>
            <w:tcW w:w="1418" w:type="dxa"/>
            <w:tcBorders>
              <w:bottom w:val="single" w:sz="6" w:space="0" w:color="000000"/>
            </w:tcBorders>
          </w:tcPr>
          <w:p w14:paraId="702A04D2" w14:textId="77777777" w:rsidR="001F0D49" w:rsidRDefault="00000000">
            <w:pPr>
              <w:keepLines/>
            </w:pPr>
            <w:r>
              <w:t>high</w:t>
            </w:r>
          </w:p>
        </w:tc>
        <w:tc>
          <w:tcPr>
            <w:tcW w:w="2693" w:type="dxa"/>
            <w:tcBorders>
              <w:bottom w:val="single" w:sz="6" w:space="0" w:color="000000"/>
            </w:tcBorders>
          </w:tcPr>
          <w:p w14:paraId="1707DC89" w14:textId="77777777" w:rsidR="001F0D49" w:rsidRDefault="00000000">
            <w:pPr>
              <w:keepLines/>
            </w:pPr>
            <w:r>
              <w:t>It is admissible to state that fragmentation and interruption burden worsen the retention and processing of context.</w:t>
            </w:r>
          </w:p>
        </w:tc>
        <w:tc>
          <w:tcPr>
            <w:tcW w:w="2411" w:type="dxa"/>
            <w:tcBorders>
              <w:bottom w:val="single" w:sz="6" w:space="0" w:color="000000"/>
            </w:tcBorders>
          </w:tcPr>
          <w:p w14:paraId="23A42B25" w14:textId="77777777" w:rsidR="001F0D49" w:rsidRDefault="00000000">
            <w:pPr>
              <w:keepLines/>
            </w:pPr>
            <w:r>
              <w:t>It is not admissible to claim that a single indicator already fully measures CWCI.</w:t>
            </w:r>
          </w:p>
        </w:tc>
      </w:tr>
      <w:tr w:rsidR="001F0D49" w14:paraId="6E201E25" w14:textId="77777777" w:rsidTr="00A379BE">
        <w:trPr>
          <w:cantSplit/>
        </w:trPr>
        <w:tc>
          <w:tcPr>
            <w:tcW w:w="818" w:type="dxa"/>
            <w:tcBorders>
              <w:bottom w:val="single" w:sz="6" w:space="0" w:color="000000"/>
            </w:tcBorders>
          </w:tcPr>
          <w:p w14:paraId="6BFF62A7" w14:textId="77777777" w:rsidR="001F0D49" w:rsidRDefault="00000000">
            <w:pPr>
              <w:keepLines/>
            </w:pPr>
            <w:r>
              <w:t>ATD-EV-002</w:t>
            </w:r>
          </w:p>
        </w:tc>
        <w:tc>
          <w:tcPr>
            <w:tcW w:w="2692" w:type="dxa"/>
            <w:tcBorders>
              <w:bottom w:val="single" w:sz="6" w:space="0" w:color="000000"/>
            </w:tcBorders>
          </w:tcPr>
          <w:p w14:paraId="3F788273" w14:textId="77777777" w:rsidR="001F0D49" w:rsidRDefault="00000000">
            <w:pPr>
              <w:keepLines/>
            </w:pPr>
            <w:r>
              <w:t>The cost of switching and context reconstruction creates a hidden coordination tax.</w:t>
            </w:r>
          </w:p>
        </w:tc>
        <w:tc>
          <w:tcPr>
            <w:tcW w:w="1418" w:type="dxa"/>
            <w:tcBorders>
              <w:bottom w:val="single" w:sz="6" w:space="0" w:color="000000"/>
            </w:tcBorders>
          </w:tcPr>
          <w:p w14:paraId="0D315145" w14:textId="77777777" w:rsidR="001F0D49" w:rsidRDefault="00000000">
            <w:pPr>
              <w:keepLines/>
            </w:pPr>
            <w:r>
              <w:t>high</w:t>
            </w:r>
          </w:p>
        </w:tc>
        <w:tc>
          <w:tcPr>
            <w:tcW w:w="2693" w:type="dxa"/>
            <w:tcBorders>
              <w:bottom w:val="single" w:sz="6" w:space="0" w:color="000000"/>
            </w:tcBorders>
          </w:tcPr>
          <w:p w14:paraId="38076F3A" w14:textId="77777777" w:rsidR="001F0D49" w:rsidRDefault="00000000">
            <w:pPr>
              <w:keepLines/>
            </w:pPr>
            <w:r>
              <w:t>It is admissible to speak of a real hidden coordination tax and a real cost of rebuilding context.</w:t>
            </w:r>
          </w:p>
        </w:tc>
        <w:tc>
          <w:tcPr>
            <w:tcW w:w="2411" w:type="dxa"/>
            <w:tcBorders>
              <w:bottom w:val="single" w:sz="6" w:space="0" w:color="000000"/>
            </w:tcBorders>
          </w:tcPr>
          <w:p w14:paraId="1042CF87" w14:textId="77777777" w:rsidR="001F0D49" w:rsidRDefault="00000000">
            <w:pPr>
              <w:keepLines/>
            </w:pPr>
            <w:r>
              <w:t>It is not admissible to reduce coordination tax only to meeting counts or email volume.</w:t>
            </w:r>
          </w:p>
        </w:tc>
      </w:tr>
      <w:tr w:rsidR="001F0D49" w14:paraId="52466EA7" w14:textId="77777777" w:rsidTr="00A379BE">
        <w:trPr>
          <w:cantSplit/>
        </w:trPr>
        <w:tc>
          <w:tcPr>
            <w:tcW w:w="818" w:type="dxa"/>
            <w:tcBorders>
              <w:bottom w:val="single" w:sz="6" w:space="0" w:color="000000"/>
            </w:tcBorders>
          </w:tcPr>
          <w:p w14:paraId="613162CE" w14:textId="77777777" w:rsidR="001F0D49" w:rsidRDefault="00000000">
            <w:pPr>
              <w:keepLines/>
            </w:pPr>
            <w:r>
              <w:t>ATD-EV-003</w:t>
            </w:r>
          </w:p>
        </w:tc>
        <w:tc>
          <w:tcPr>
            <w:tcW w:w="2692" w:type="dxa"/>
            <w:tcBorders>
              <w:bottom w:val="single" w:sz="6" w:space="0" w:color="000000"/>
            </w:tcBorders>
          </w:tcPr>
          <w:p w14:paraId="3EA8724C" w14:textId="77777777" w:rsidR="001F0D49" w:rsidRDefault="00000000">
            <w:pPr>
              <w:keepLines/>
            </w:pPr>
            <w:r>
              <w:t>Systematization debt (SysDebt) amplifies environmental pressure not as a documentation problem, but as a driver of repeated cognitive cost.</w:t>
            </w:r>
          </w:p>
        </w:tc>
        <w:tc>
          <w:tcPr>
            <w:tcW w:w="1418" w:type="dxa"/>
            <w:tcBorders>
              <w:bottom w:val="single" w:sz="6" w:space="0" w:color="000000"/>
            </w:tcBorders>
          </w:tcPr>
          <w:p w14:paraId="5F3591F1" w14:textId="77777777" w:rsidR="001F0D49" w:rsidRDefault="00000000">
            <w:pPr>
              <w:keepLines/>
            </w:pPr>
            <w:r>
              <w:t>moderate-high</w:t>
            </w:r>
          </w:p>
        </w:tc>
        <w:tc>
          <w:tcPr>
            <w:tcW w:w="2693" w:type="dxa"/>
            <w:tcBorders>
              <w:bottom w:val="single" w:sz="6" w:space="0" w:color="000000"/>
            </w:tcBorders>
          </w:tcPr>
          <w:p w14:paraId="252CBD91" w14:textId="77777777" w:rsidR="001F0D49" w:rsidRDefault="00000000">
            <w:pPr>
              <w:keepLines/>
            </w:pPr>
            <w:r>
              <w:t>It is admissible to state that poorly systematized context increases the cost of transfer, search, and repeated reconstruction of meaning.</w:t>
            </w:r>
          </w:p>
        </w:tc>
        <w:tc>
          <w:tcPr>
            <w:tcW w:w="2411" w:type="dxa"/>
            <w:tcBorders>
              <w:bottom w:val="single" w:sz="6" w:space="0" w:color="000000"/>
            </w:tcBorders>
          </w:tcPr>
          <w:p w14:paraId="4071368C" w14:textId="77777777" w:rsidR="001F0D49" w:rsidRDefault="00000000">
            <w:pPr>
              <w:keepLines/>
            </w:pPr>
            <w:r>
              <w:t>It is not admissible to claim that SysDebt already has a single validated scalar metric.</w:t>
            </w:r>
          </w:p>
        </w:tc>
      </w:tr>
      <w:tr w:rsidR="001F0D49" w14:paraId="39D07397" w14:textId="77777777" w:rsidTr="00A379BE">
        <w:trPr>
          <w:cantSplit/>
        </w:trPr>
        <w:tc>
          <w:tcPr>
            <w:tcW w:w="818" w:type="dxa"/>
            <w:tcBorders>
              <w:bottom w:val="single" w:sz="6" w:space="0" w:color="000000"/>
            </w:tcBorders>
          </w:tcPr>
          <w:p w14:paraId="730FD5AE" w14:textId="77777777" w:rsidR="001F0D49" w:rsidRDefault="00000000">
            <w:pPr>
              <w:keepLines/>
            </w:pPr>
            <w:r>
              <w:t>ATD-EV-004</w:t>
            </w:r>
          </w:p>
        </w:tc>
        <w:tc>
          <w:tcPr>
            <w:tcW w:w="2692" w:type="dxa"/>
            <w:tcBorders>
              <w:bottom w:val="single" w:sz="6" w:space="0" w:color="000000"/>
            </w:tcBorders>
          </w:tcPr>
          <w:p w14:paraId="41856C52" w14:textId="77777777" w:rsidR="001F0D49" w:rsidRDefault="00000000">
            <w:pPr>
              <w:keepLines/>
            </w:pPr>
            <w:r>
              <w:t>Rising uncertainty and instability can be operationalized as an external pressure layer.</w:t>
            </w:r>
          </w:p>
        </w:tc>
        <w:tc>
          <w:tcPr>
            <w:tcW w:w="1418" w:type="dxa"/>
            <w:tcBorders>
              <w:bottom w:val="single" w:sz="6" w:space="0" w:color="000000"/>
            </w:tcBorders>
          </w:tcPr>
          <w:p w14:paraId="36996639" w14:textId="77777777" w:rsidR="001F0D49" w:rsidRDefault="00000000">
            <w:pPr>
              <w:keepLines/>
            </w:pPr>
            <w:r>
              <w:t>high</w:t>
            </w:r>
          </w:p>
        </w:tc>
        <w:tc>
          <w:tcPr>
            <w:tcW w:w="2693" w:type="dxa"/>
            <w:tcBorders>
              <w:bottom w:val="single" w:sz="6" w:space="0" w:color="000000"/>
            </w:tcBorders>
          </w:tcPr>
          <w:p w14:paraId="35F369C8" w14:textId="77777777" w:rsidR="001F0D49" w:rsidRDefault="00000000">
            <w:pPr>
              <w:keepLines/>
            </w:pPr>
            <w:r>
              <w:t>It is admissible to build the external pressure layer on uncertainty, geopolitical-risk, and regulatory-accumulation proxies.</w:t>
            </w:r>
          </w:p>
        </w:tc>
        <w:tc>
          <w:tcPr>
            <w:tcW w:w="2411" w:type="dxa"/>
            <w:tcBorders>
              <w:bottom w:val="single" w:sz="6" w:space="0" w:color="000000"/>
            </w:tcBorders>
          </w:tcPr>
          <w:p w14:paraId="562DE5A9" w14:textId="77777777" w:rsidR="001F0D49" w:rsidRDefault="00000000">
            <w:pPr>
              <w:keepLines/>
            </w:pPr>
            <w:r>
              <w:t>These proxies should not be treated as a complete direct measurement of environmental complexity.</w:t>
            </w:r>
          </w:p>
        </w:tc>
      </w:tr>
      <w:tr w:rsidR="001F0D49" w14:paraId="6902E81F" w14:textId="77777777" w:rsidTr="00A379BE">
        <w:trPr>
          <w:cantSplit/>
        </w:trPr>
        <w:tc>
          <w:tcPr>
            <w:tcW w:w="818" w:type="dxa"/>
            <w:tcBorders>
              <w:bottom w:val="single" w:sz="6" w:space="0" w:color="000000"/>
            </w:tcBorders>
          </w:tcPr>
          <w:p w14:paraId="0CEF309D" w14:textId="77777777" w:rsidR="001F0D49" w:rsidRDefault="00000000">
            <w:pPr>
              <w:keepLines/>
            </w:pPr>
            <w:r>
              <w:lastRenderedPageBreak/>
              <w:t>ATD-EV-005</w:t>
            </w:r>
          </w:p>
        </w:tc>
        <w:tc>
          <w:tcPr>
            <w:tcW w:w="2692" w:type="dxa"/>
            <w:tcBorders>
              <w:bottom w:val="single" w:sz="6" w:space="0" w:color="000000"/>
            </w:tcBorders>
          </w:tcPr>
          <w:p w14:paraId="4F28B8D2" w14:textId="77777777" w:rsidR="001F0D49" w:rsidRDefault="00000000">
            <w:pPr>
              <w:keepLines/>
            </w:pPr>
            <w:r>
              <w:t>Adaptive erosion has observable output-side signals through slower productivity and rising human burden.</w:t>
            </w:r>
          </w:p>
        </w:tc>
        <w:tc>
          <w:tcPr>
            <w:tcW w:w="1418" w:type="dxa"/>
            <w:tcBorders>
              <w:bottom w:val="single" w:sz="6" w:space="0" w:color="000000"/>
            </w:tcBorders>
          </w:tcPr>
          <w:p w14:paraId="68473C8F" w14:textId="77777777" w:rsidR="001F0D49" w:rsidRDefault="00000000">
            <w:pPr>
              <w:keepLines/>
            </w:pPr>
            <w:r>
              <w:t>high</w:t>
            </w:r>
          </w:p>
        </w:tc>
        <w:tc>
          <w:tcPr>
            <w:tcW w:w="2693" w:type="dxa"/>
            <w:tcBorders>
              <w:bottom w:val="single" w:sz="6" w:space="0" w:color="000000"/>
            </w:tcBorders>
          </w:tcPr>
          <w:p w14:paraId="0FEB25D9" w14:textId="77777777" w:rsidR="001F0D49" w:rsidRDefault="00000000">
            <w:pPr>
              <w:keepLines/>
            </w:pPr>
            <w:r>
              <w:t>It is admissible to examine adaptive erosion at the output side through productivity and human-burden indicators.</w:t>
            </w:r>
          </w:p>
        </w:tc>
        <w:tc>
          <w:tcPr>
            <w:tcW w:w="2411" w:type="dxa"/>
            <w:tcBorders>
              <w:bottom w:val="single" w:sz="6" w:space="0" w:color="000000"/>
            </w:tcBorders>
          </w:tcPr>
          <w:p w14:paraId="4B17BEE3" w14:textId="77777777" w:rsidR="001F0D49" w:rsidRDefault="00000000">
            <w:pPr>
              <w:keepLines/>
            </w:pPr>
            <w:r>
              <w:t>It is not admissible to attribute all productivity slowdown exclusively to ATD mechanisms.</w:t>
            </w:r>
          </w:p>
        </w:tc>
      </w:tr>
      <w:tr w:rsidR="00A379BE" w14:paraId="1042FBBE" w14:textId="77777777" w:rsidTr="00A379BE">
        <w:trPr>
          <w:cantSplit/>
        </w:trPr>
        <w:tc>
          <w:tcPr>
            <w:tcW w:w="818" w:type="dxa"/>
            <w:tcBorders>
              <w:bottom w:val="single" w:sz="6" w:space="0" w:color="000000"/>
            </w:tcBorders>
          </w:tcPr>
          <w:p w14:paraId="2F8FEF6A" w14:textId="315CC69F" w:rsidR="00A379BE" w:rsidRDefault="00A379BE" w:rsidP="00A379BE">
            <w:pPr>
              <w:keepLines/>
            </w:pPr>
            <w:r>
              <w:t>ATD-EV-006</w:t>
            </w:r>
          </w:p>
        </w:tc>
        <w:tc>
          <w:tcPr>
            <w:tcW w:w="2692" w:type="dxa"/>
            <w:tcBorders>
              <w:bottom w:val="single" w:sz="6" w:space="0" w:color="000000"/>
            </w:tcBorders>
          </w:tcPr>
          <w:p w14:paraId="3FE07C8A" w14:textId="61446A79" w:rsidR="00A379BE" w:rsidRDefault="00A379BE" w:rsidP="00A379BE">
            <w:pPr>
              <w:keepLines/>
            </w:pPr>
            <w:r>
              <w:t>The transition of younger cohorts to demographic majority within the active-age window falls in the mid-2030s; for the global 15–64 range, a reasonable working anchor lies around 2034–2035.</w:t>
            </w:r>
          </w:p>
        </w:tc>
        <w:tc>
          <w:tcPr>
            <w:tcW w:w="1418" w:type="dxa"/>
            <w:tcBorders>
              <w:bottom w:val="single" w:sz="6" w:space="0" w:color="000000"/>
            </w:tcBorders>
          </w:tcPr>
          <w:p w14:paraId="22169B78" w14:textId="0679A358" w:rsidR="00A379BE" w:rsidRDefault="00A379BE" w:rsidP="00A379BE">
            <w:pPr>
              <w:keepLines/>
            </w:pPr>
            <w:r>
              <w:t>high</w:t>
            </w:r>
          </w:p>
        </w:tc>
        <w:tc>
          <w:tcPr>
            <w:tcW w:w="2693" w:type="dxa"/>
            <w:tcBorders>
              <w:bottom w:val="single" w:sz="6" w:space="0" w:color="000000"/>
            </w:tcBorders>
          </w:tcPr>
          <w:p w14:paraId="5856FC32" w14:textId="4BE6EF63" w:rsidR="00A379BE" w:rsidRDefault="00A379BE" w:rsidP="00A379BE">
            <w:pPr>
              <w:keepLines/>
            </w:pPr>
            <w:r>
              <w:t>It is admissible to use the mid-2030s, and for the global 15–64 range the 2034–2035 interval, as a working demographic anchor with regional variation.</w:t>
            </w:r>
          </w:p>
        </w:tc>
        <w:tc>
          <w:tcPr>
            <w:tcW w:w="2411" w:type="dxa"/>
            <w:tcBorders>
              <w:bottom w:val="single" w:sz="6" w:space="0" w:color="000000"/>
            </w:tcBorders>
          </w:tcPr>
          <w:p w14:paraId="1C15ED72" w14:textId="77944F08" w:rsidR="00A379BE" w:rsidRDefault="00A379BE" w:rsidP="00A379BE">
            <w:pPr>
              <w:keepLines/>
            </w:pPr>
            <w:r>
              <w:t>This anchor should not be read as a single universal date: the estimate depends on geography, the age band, and the generation-boundary definition.</w:t>
            </w:r>
          </w:p>
        </w:tc>
      </w:tr>
      <w:tr w:rsidR="001F0D49" w14:paraId="0AE7ED35" w14:textId="77777777" w:rsidTr="00A379BE">
        <w:trPr>
          <w:cantSplit/>
        </w:trPr>
        <w:tc>
          <w:tcPr>
            <w:tcW w:w="818" w:type="dxa"/>
            <w:tcBorders>
              <w:bottom w:val="single" w:sz="6" w:space="0" w:color="000000"/>
            </w:tcBorders>
          </w:tcPr>
          <w:p w14:paraId="74C06CE1" w14:textId="77777777" w:rsidR="001F0D49" w:rsidRDefault="00000000">
            <w:pPr>
              <w:keepLines/>
            </w:pPr>
            <w:r>
              <w:t>ATD-EV-007</w:t>
            </w:r>
          </w:p>
        </w:tc>
        <w:tc>
          <w:tcPr>
            <w:tcW w:w="2692" w:type="dxa"/>
            <w:tcBorders>
              <w:bottom w:val="single" w:sz="6" w:space="0" w:color="000000"/>
            </w:tcBorders>
          </w:tcPr>
          <w:p w14:paraId="151DF12C" w14:textId="77777777" w:rsidR="001F0D49" w:rsidRDefault="00000000">
            <w:pPr>
              <w:keepLines/>
            </w:pPr>
            <w:r>
              <w:t>The agency-risk layer is admissible only as a conditional proxy bundle, not as a direct measurement of human agency.</w:t>
            </w:r>
          </w:p>
        </w:tc>
        <w:tc>
          <w:tcPr>
            <w:tcW w:w="1418" w:type="dxa"/>
            <w:tcBorders>
              <w:bottom w:val="single" w:sz="6" w:space="0" w:color="000000"/>
            </w:tcBorders>
          </w:tcPr>
          <w:p w14:paraId="38B9DB29" w14:textId="77777777" w:rsidR="001F0D49" w:rsidRDefault="00000000">
            <w:pPr>
              <w:keepLines/>
            </w:pPr>
            <w:r>
              <w:t>moderate</w:t>
            </w:r>
          </w:p>
        </w:tc>
        <w:tc>
          <w:tcPr>
            <w:tcW w:w="2693" w:type="dxa"/>
            <w:tcBorders>
              <w:bottom w:val="single" w:sz="6" w:space="0" w:color="000000"/>
            </w:tcBorders>
          </w:tcPr>
          <w:p w14:paraId="4D1973E2" w14:textId="77777777" w:rsidR="001F0D49" w:rsidRDefault="00000000">
            <w:pPr>
              <w:keepLines/>
            </w:pPr>
            <w:r>
              <w:t>It is admissible to speak of a risk signal for functional agency in specific domains, supported by a contested proxy bundle.</w:t>
            </w:r>
          </w:p>
        </w:tc>
        <w:tc>
          <w:tcPr>
            <w:tcW w:w="2411" w:type="dxa"/>
            <w:tcBorders>
              <w:bottom w:val="single" w:sz="6" w:space="0" w:color="000000"/>
            </w:tcBorders>
          </w:tcPr>
          <w:p w14:paraId="647F8396" w14:textId="77777777" w:rsidR="001F0D49" w:rsidRDefault="00000000">
            <w:pPr>
              <w:keepLines/>
            </w:pPr>
            <w:r>
              <w:t>It is not admissible to claim a generalized decline of human agency or subjectivity for a generation as an established fact.</w:t>
            </w:r>
          </w:p>
        </w:tc>
      </w:tr>
      <w:tr w:rsidR="001F0D49" w14:paraId="36768ECF" w14:textId="77777777" w:rsidTr="00A379BE">
        <w:trPr>
          <w:cantSplit/>
        </w:trPr>
        <w:tc>
          <w:tcPr>
            <w:tcW w:w="818" w:type="dxa"/>
            <w:tcBorders>
              <w:bottom w:val="single" w:sz="6" w:space="0" w:color="000000"/>
            </w:tcBorders>
          </w:tcPr>
          <w:p w14:paraId="7E83CA50" w14:textId="77777777" w:rsidR="001F0D49" w:rsidRDefault="00000000">
            <w:pPr>
              <w:keepLines/>
            </w:pPr>
            <w:r>
              <w:t>ATD-EV-008</w:t>
            </w:r>
          </w:p>
        </w:tc>
        <w:tc>
          <w:tcPr>
            <w:tcW w:w="2692" w:type="dxa"/>
            <w:tcBorders>
              <w:bottom w:val="single" w:sz="6" w:space="0" w:color="000000"/>
            </w:tcBorders>
          </w:tcPr>
          <w:p w14:paraId="20F56AE2" w14:textId="77777777" w:rsidR="001F0D49" w:rsidRDefault="00000000">
            <w:pPr>
              <w:keepLines/>
            </w:pPr>
            <w:r>
              <w:t>Mental-health burden is the strongest proxy within the agency/adaptation risk bundle, but it remains indirect.</w:t>
            </w:r>
          </w:p>
        </w:tc>
        <w:tc>
          <w:tcPr>
            <w:tcW w:w="1418" w:type="dxa"/>
            <w:tcBorders>
              <w:bottom w:val="single" w:sz="6" w:space="0" w:color="000000"/>
            </w:tcBorders>
          </w:tcPr>
          <w:p w14:paraId="0212117C" w14:textId="77777777" w:rsidR="001F0D49" w:rsidRDefault="00000000">
            <w:pPr>
              <w:keepLines/>
            </w:pPr>
            <w:r>
              <w:t>moderate-high</w:t>
            </w:r>
          </w:p>
        </w:tc>
        <w:tc>
          <w:tcPr>
            <w:tcW w:w="2693" w:type="dxa"/>
            <w:tcBorders>
              <w:bottom w:val="single" w:sz="6" w:space="0" w:color="000000"/>
            </w:tcBorders>
          </w:tcPr>
          <w:p w14:paraId="0A356A10" w14:textId="77777777" w:rsidR="001F0D49" w:rsidRDefault="00000000">
            <w:pPr>
              <w:keepLines/>
            </w:pPr>
            <w:r>
              <w:t>It is admissible to use mental-health burden as an important proxy for adaptive strain.</w:t>
            </w:r>
          </w:p>
        </w:tc>
        <w:tc>
          <w:tcPr>
            <w:tcW w:w="2411" w:type="dxa"/>
            <w:tcBorders>
              <w:bottom w:val="single" w:sz="6" w:space="0" w:color="000000"/>
            </w:tcBorders>
          </w:tcPr>
          <w:p w14:paraId="3E329B24" w14:textId="77777777" w:rsidR="001F0D49" w:rsidRDefault="00000000">
            <w:pPr>
              <w:keepLines/>
            </w:pPr>
            <w:r>
              <w:t>It is not admissible to equate worsening mental health directly with lower human agency or subjectivity.</w:t>
            </w:r>
          </w:p>
        </w:tc>
      </w:tr>
      <w:tr w:rsidR="001F0D49" w14:paraId="4D893525" w14:textId="77777777" w:rsidTr="00A379BE">
        <w:trPr>
          <w:cantSplit/>
        </w:trPr>
        <w:tc>
          <w:tcPr>
            <w:tcW w:w="818" w:type="dxa"/>
            <w:tcBorders>
              <w:bottom w:val="single" w:sz="6" w:space="0" w:color="000000"/>
            </w:tcBorders>
          </w:tcPr>
          <w:p w14:paraId="7D51647A" w14:textId="77777777" w:rsidR="001F0D49" w:rsidRDefault="00000000">
            <w:pPr>
              <w:keepLines/>
            </w:pPr>
            <w:r>
              <w:t>ATD-EV-009</w:t>
            </w:r>
          </w:p>
        </w:tc>
        <w:tc>
          <w:tcPr>
            <w:tcW w:w="2692" w:type="dxa"/>
            <w:tcBorders>
              <w:bottom w:val="single" w:sz="6" w:space="0" w:color="000000"/>
            </w:tcBorders>
          </w:tcPr>
          <w:p w14:paraId="36888EE3" w14:textId="77777777" w:rsidR="001F0D49" w:rsidRDefault="00000000">
            <w:pPr>
              <w:keepLines/>
            </w:pPr>
            <w:r>
              <w:t>The shift in autonomy milestones is real, but it cannot be interpreted only as weakened agency.</w:t>
            </w:r>
          </w:p>
        </w:tc>
        <w:tc>
          <w:tcPr>
            <w:tcW w:w="1418" w:type="dxa"/>
            <w:tcBorders>
              <w:bottom w:val="single" w:sz="6" w:space="0" w:color="000000"/>
            </w:tcBorders>
          </w:tcPr>
          <w:p w14:paraId="2FDE69F7" w14:textId="77777777" w:rsidR="001F0D49" w:rsidRDefault="00000000">
            <w:pPr>
              <w:keepLines/>
            </w:pPr>
            <w:r>
              <w:t>moderate</w:t>
            </w:r>
          </w:p>
        </w:tc>
        <w:tc>
          <w:tcPr>
            <w:tcW w:w="2693" w:type="dxa"/>
            <w:tcBorders>
              <w:bottom w:val="single" w:sz="6" w:space="0" w:color="000000"/>
            </w:tcBorders>
          </w:tcPr>
          <w:p w14:paraId="0293F7DC" w14:textId="77777777" w:rsidR="001F0D49" w:rsidRDefault="00000000">
            <w:pPr>
              <w:keepLines/>
            </w:pPr>
            <w:r>
              <w:t>It is admissible to register the shift in life milestones and its relevance for adaptation risk.</w:t>
            </w:r>
          </w:p>
        </w:tc>
        <w:tc>
          <w:tcPr>
            <w:tcW w:w="2411" w:type="dxa"/>
            <w:tcBorders>
              <w:bottom w:val="single" w:sz="6" w:space="0" w:color="000000"/>
            </w:tcBorders>
          </w:tcPr>
          <w:p w14:paraId="01985F35" w14:textId="77777777" w:rsidR="001F0D49" w:rsidRDefault="00000000">
            <w:pPr>
              <w:keepLines/>
            </w:pPr>
            <w:r>
              <w:t>It is not admissible to read delayed milestones as a purely psychological decline or as a direct equivalent of reduced agency.</w:t>
            </w:r>
          </w:p>
        </w:tc>
      </w:tr>
      <w:tr w:rsidR="001F0D49" w14:paraId="5CE62D69" w14:textId="77777777" w:rsidTr="00A379BE">
        <w:trPr>
          <w:cantSplit/>
        </w:trPr>
        <w:tc>
          <w:tcPr>
            <w:tcW w:w="818" w:type="dxa"/>
            <w:tcBorders>
              <w:bottom w:val="single" w:sz="6" w:space="0" w:color="000000"/>
            </w:tcBorders>
          </w:tcPr>
          <w:p w14:paraId="23C8A275" w14:textId="77777777" w:rsidR="001F0D49" w:rsidRDefault="00000000">
            <w:pPr>
              <w:keepLines/>
            </w:pPr>
            <w:r>
              <w:t>ATD-EV-010</w:t>
            </w:r>
          </w:p>
        </w:tc>
        <w:tc>
          <w:tcPr>
            <w:tcW w:w="2692" w:type="dxa"/>
            <w:tcBorders>
              <w:bottom w:val="single" w:sz="6" w:space="0" w:color="000000"/>
            </w:tcBorders>
          </w:tcPr>
          <w:p w14:paraId="630D16F4" w14:textId="77777777" w:rsidR="001F0D49" w:rsidRDefault="00000000">
            <w:pPr>
              <w:keepLines/>
            </w:pPr>
            <w:r>
              <w:t>Generational categories and cross-temporal meta-analyses do not by themselves provide an uncontested basis for strong cohort claims.</w:t>
            </w:r>
          </w:p>
        </w:tc>
        <w:tc>
          <w:tcPr>
            <w:tcW w:w="1418" w:type="dxa"/>
            <w:tcBorders>
              <w:bottom w:val="single" w:sz="6" w:space="0" w:color="000000"/>
            </w:tcBorders>
          </w:tcPr>
          <w:p w14:paraId="08366E2E" w14:textId="77777777" w:rsidR="001F0D49" w:rsidRDefault="00000000">
            <w:pPr>
              <w:keepLines/>
            </w:pPr>
            <w:r>
              <w:t>high</w:t>
            </w:r>
          </w:p>
        </w:tc>
        <w:tc>
          <w:tcPr>
            <w:tcW w:w="2693" w:type="dxa"/>
            <w:tcBorders>
              <w:bottom w:val="single" w:sz="6" w:space="0" w:color="000000"/>
            </w:tcBorders>
          </w:tcPr>
          <w:p w14:paraId="2B2D7E87" w14:textId="77777777" w:rsidR="001F0D49" w:rsidRDefault="00000000">
            <w:pPr>
              <w:keepLines/>
            </w:pPr>
            <w:r>
              <w:t>It is admissible to acknowledge explicitly the contested nature of generational framing and the limits of age–period–cohort models.</w:t>
            </w:r>
          </w:p>
        </w:tc>
        <w:tc>
          <w:tcPr>
            <w:tcW w:w="2411" w:type="dxa"/>
            <w:tcBorders>
              <w:bottom w:val="single" w:sz="6" w:space="0" w:color="000000"/>
            </w:tcBorders>
          </w:tcPr>
          <w:p w14:paraId="0B5BD424" w14:textId="77777777" w:rsidR="001F0D49" w:rsidRDefault="00000000">
            <w:pPr>
              <w:keepLines/>
            </w:pPr>
            <w:r>
              <w:t>It is not admissible to write as if the cohort-level claim were an uncontested empirical fact.</w:t>
            </w:r>
          </w:p>
        </w:tc>
      </w:tr>
      <w:tr w:rsidR="001F0D49" w14:paraId="608214DD" w14:textId="77777777" w:rsidTr="00A379BE">
        <w:trPr>
          <w:cantSplit/>
        </w:trPr>
        <w:tc>
          <w:tcPr>
            <w:tcW w:w="818" w:type="dxa"/>
            <w:tcBorders>
              <w:bottom w:val="single" w:sz="6" w:space="0" w:color="000000"/>
            </w:tcBorders>
          </w:tcPr>
          <w:p w14:paraId="0569082A" w14:textId="77777777" w:rsidR="001F0D49" w:rsidRDefault="00000000">
            <w:pPr>
              <w:keepLines/>
            </w:pPr>
            <w:r>
              <w:lastRenderedPageBreak/>
              <w:t>ATD-EV-011</w:t>
            </w:r>
          </w:p>
        </w:tc>
        <w:tc>
          <w:tcPr>
            <w:tcW w:w="2692" w:type="dxa"/>
            <w:tcBorders>
              <w:bottom w:val="single" w:sz="6" w:space="0" w:color="000000"/>
            </w:tcBorders>
          </w:tcPr>
          <w:p w14:paraId="296ADFC4" w14:textId="77777777" w:rsidR="001F0D49" w:rsidRDefault="00000000">
            <w:pPr>
              <w:keepLines/>
            </w:pPr>
            <w:r>
              <w:t>Corporate and product/process signals matter for ATD, but they must remain a proxy/convergence layer.</w:t>
            </w:r>
          </w:p>
        </w:tc>
        <w:tc>
          <w:tcPr>
            <w:tcW w:w="1418" w:type="dxa"/>
            <w:tcBorders>
              <w:bottom w:val="single" w:sz="6" w:space="0" w:color="000000"/>
            </w:tcBorders>
          </w:tcPr>
          <w:p w14:paraId="04173800" w14:textId="77777777" w:rsidR="001F0D49" w:rsidRDefault="00000000">
            <w:pPr>
              <w:keepLines/>
            </w:pPr>
            <w:r>
              <w:t>moderate-high</w:t>
            </w:r>
          </w:p>
        </w:tc>
        <w:tc>
          <w:tcPr>
            <w:tcW w:w="2693" w:type="dxa"/>
            <w:tcBorders>
              <w:bottom w:val="single" w:sz="6" w:space="0" w:color="000000"/>
            </w:tcBorders>
          </w:tcPr>
          <w:p w14:paraId="09CC0AA8" w14:textId="77777777" w:rsidR="001F0D49" w:rsidRDefault="00000000">
            <w:pPr>
              <w:keepLines/>
            </w:pPr>
            <w:r>
              <w:t>It is admissible to use this layer as convergent practical support for the model.</w:t>
            </w:r>
          </w:p>
        </w:tc>
        <w:tc>
          <w:tcPr>
            <w:tcW w:w="2411" w:type="dxa"/>
            <w:tcBorders>
              <w:bottom w:val="single" w:sz="6" w:space="0" w:color="000000"/>
            </w:tcBorders>
          </w:tcPr>
          <w:p w14:paraId="73C17A69" w14:textId="77777777" w:rsidR="001F0D49" w:rsidRDefault="00000000">
            <w:pPr>
              <w:keepLines/>
            </w:pPr>
            <w:r>
              <w:t>It is not admissible to treat this layer as epistemically equal to the strongest institutional and peer-reviewed evidence.</w:t>
            </w:r>
          </w:p>
        </w:tc>
      </w:tr>
      <w:tr w:rsidR="001F0D49" w14:paraId="0FDE3299" w14:textId="77777777" w:rsidTr="00A379BE">
        <w:trPr>
          <w:cantSplit/>
        </w:trPr>
        <w:tc>
          <w:tcPr>
            <w:tcW w:w="818" w:type="dxa"/>
          </w:tcPr>
          <w:p w14:paraId="796752E6" w14:textId="77777777" w:rsidR="001F0D49" w:rsidRDefault="00000000">
            <w:pPr>
              <w:keepLines/>
            </w:pPr>
            <w:r>
              <w:t>ATD-EV-012</w:t>
            </w:r>
          </w:p>
        </w:tc>
        <w:tc>
          <w:tcPr>
            <w:tcW w:w="2692" w:type="dxa"/>
          </w:tcPr>
          <w:p w14:paraId="0BE441FC" w14:textId="77777777" w:rsidR="001F0D49" w:rsidRDefault="00000000">
            <w:pPr>
              <w:keepLines/>
            </w:pPr>
            <w:r>
              <w:t>ATD can already be operationalized through a convergent data stack, but it still cannot be presented as a fully validated measurement system.</w:t>
            </w:r>
          </w:p>
        </w:tc>
        <w:tc>
          <w:tcPr>
            <w:tcW w:w="1418" w:type="dxa"/>
          </w:tcPr>
          <w:p w14:paraId="4EC420E9" w14:textId="77777777" w:rsidR="001F0D49" w:rsidRDefault="00000000">
            <w:pPr>
              <w:keepLines/>
            </w:pPr>
            <w:r>
              <w:t>moderate-high</w:t>
            </w:r>
          </w:p>
        </w:tc>
        <w:tc>
          <w:tcPr>
            <w:tcW w:w="2693" w:type="dxa"/>
          </w:tcPr>
          <w:p w14:paraId="552F659B" w14:textId="77777777" w:rsidR="001F0D49" w:rsidRDefault="00000000">
            <w:pPr>
              <w:keepLines/>
            </w:pPr>
            <w:r>
              <w:t>It is admissible to speak of a strong plausibility check and a real path toward operationalization.</w:t>
            </w:r>
          </w:p>
        </w:tc>
        <w:tc>
          <w:tcPr>
            <w:tcW w:w="2411" w:type="dxa"/>
          </w:tcPr>
          <w:p w14:paraId="1659D8C8" w14:textId="77777777" w:rsidR="001F0D49" w:rsidRDefault="00000000">
            <w:pPr>
              <w:keepLines/>
            </w:pPr>
            <w:r>
              <w:t>It is not admissible to claim that ATD already has a single validated empirical measurement system.</w:t>
            </w:r>
          </w:p>
        </w:tc>
      </w:tr>
    </w:tbl>
    <w:p w14:paraId="5A47C510" w14:textId="77777777" w:rsidR="001F0D49" w:rsidRDefault="00000000">
      <w:pPr>
        <w:pStyle w:val="af"/>
      </w:pPr>
      <w:r>
        <w:t>The map suggests that the ATD core mechanism is most strongly supported where the document speaks about fragmentation, degradation of context retention, hidden coordination losses, and observable output-side signals of adaptive erosion. The most sensitive zones remain the intergenerational layer and the agency-risk frame: here interpretation should remain narrower and accompanied by explicit caveats.</w:t>
      </w:r>
    </w:p>
    <w:p w14:paraId="0E5FDA78" w14:textId="77777777" w:rsidR="001F0D49" w:rsidRDefault="00000000">
      <w:pPr>
        <w:pStyle w:val="af"/>
      </w:pPr>
      <w:r>
        <w:rPr>
          <w:noProof/>
        </w:rPr>
        <w:drawing>
          <wp:inline distT="0" distB="0" distL="0" distR="0" wp14:anchorId="27FEED54" wp14:editId="79E36B74">
            <wp:extent cx="5892800" cy="3874515"/>
            <wp:effectExtent l="0" t="0" r="0" b="0"/>
            <wp:docPr id="121" name="Picture"/>
            <wp:cNvGraphicFramePr/>
            <a:graphic xmlns:a="http://schemas.openxmlformats.org/drawingml/2006/main">
              <a:graphicData uri="http://schemas.openxmlformats.org/drawingml/2006/picture">
                <pic:pic xmlns:pic="http://schemas.openxmlformats.org/drawingml/2006/picture">
                  <pic:nvPicPr>
                    <pic:cNvPr id="122" name="Picture" descr="images/appendices/atd_app_b7_claims_map_en.png"/>
                    <pic:cNvPicPr>
                      <a:picLocks noChangeAspect="1" noChangeArrowheads="1"/>
                    </pic:cNvPicPr>
                  </pic:nvPicPr>
                  <pic:blipFill>
                    <a:blip r:embed="rId32"/>
                    <a:stretch>
                      <a:fillRect/>
                    </a:stretch>
                  </pic:blipFill>
                  <pic:spPr bwMode="auto">
                    <a:xfrm>
                      <a:off x="0" y="0"/>
                      <a:ext cx="5892800" cy="3874515"/>
                    </a:xfrm>
                    <a:prstGeom prst="rect">
                      <a:avLst/>
                    </a:prstGeom>
                    <a:noFill/>
                    <a:ln w="9525">
                      <a:noFill/>
                      <a:headEnd/>
                      <a:tailEnd/>
                    </a:ln>
                  </pic:spPr>
                </pic:pic>
              </a:graphicData>
            </a:graphic>
          </wp:inline>
        </w:drawing>
      </w:r>
    </w:p>
    <w:p w14:paraId="0E4CF767" w14:textId="77777777" w:rsidR="001F0D49" w:rsidRDefault="00000000">
      <w:pPr>
        <w:pStyle w:val="af"/>
      </w:pPr>
      <w:r>
        <w:t>Figure B1. Boundaries of admissible interpretation in the ATD evidentiary layer. The diagram compresses the tabular claim map into a single overview and shows where the evidentiary layer supports stronger formulations and where a more cautious interpretive level begins.</w:t>
      </w:r>
    </w:p>
    <w:p w14:paraId="39BBDAAC" w14:textId="77777777" w:rsidR="001F0D49" w:rsidRDefault="00000000">
      <w:pPr>
        <w:pStyle w:val="31"/>
      </w:pPr>
      <w:bookmarkStart w:id="96" w:name="Xf8810889c75fb81e71178d33941c384de4dff17"/>
      <w:bookmarkEnd w:id="95"/>
      <w:r>
        <w:lastRenderedPageBreak/>
        <w:t>B.8. Special synthesis on systematization debt (SysDebt)</w:t>
      </w:r>
    </w:p>
    <w:p w14:paraId="76C0D16C" w14:textId="77777777" w:rsidR="001F0D49" w:rsidRDefault="00000000">
      <w:r>
        <w:t>This subsection preserves the substantive output of the former standalone appendix on systematization debt, but embeds it inside the broader ATD evidentiary layer in order to avoid granting SysDebt a privileged appendix status relative to other key variables and mechanisms in the model. The result is not a separate favored track, but a special synthesis of one of the most useful intermediate mechanisms within the common evidence layer.</w:t>
      </w:r>
    </w:p>
    <w:p w14:paraId="5E2F0D60" w14:textId="77777777" w:rsidR="001F0D49" w:rsidRDefault="00000000">
      <w:pPr>
        <w:pStyle w:val="af"/>
      </w:pPr>
      <w:r>
        <w:rPr>
          <w:i/>
          <w:iCs/>
        </w:rPr>
        <w:t>Synthesized evidence on systematization debt</w:t>
      </w:r>
    </w:p>
    <w:p w14:paraId="4E210081" w14:textId="77777777" w:rsidR="001F0D49" w:rsidRDefault="00000000">
      <w:pPr>
        <w:pStyle w:val="4"/>
      </w:pPr>
      <w:bookmarkStart w:id="97" w:name="b.8.1.-what-was-brought-together"/>
      <w:r>
        <w:t>B.8.1. What was brought together</w:t>
      </w:r>
    </w:p>
    <w:p w14:paraId="631D2C87" w14:textId="77777777" w:rsidR="001F0D49" w:rsidRDefault="00000000">
      <w:r>
        <w:t>The synthesis combines:</w:t>
      </w:r>
    </w:p>
    <w:p w14:paraId="714224CF" w14:textId="77777777" w:rsidR="001F0D49" w:rsidRDefault="00000000">
      <w:pPr>
        <w:numPr>
          <w:ilvl w:val="0"/>
          <w:numId w:val="80"/>
        </w:numPr>
      </w:pPr>
      <w:r>
        <w:t>an initial research brief;</w:t>
      </w:r>
    </w:p>
    <w:p w14:paraId="118B1D60" w14:textId="77777777" w:rsidR="001F0D49" w:rsidRDefault="00000000">
      <w:pPr>
        <w:numPr>
          <w:ilvl w:val="0"/>
          <w:numId w:val="80"/>
        </w:numPr>
      </w:pPr>
      <w:r>
        <w:t>three substantive syntheses on systematization debt and related cascades.</w:t>
      </w:r>
    </w:p>
    <w:p w14:paraId="20F2AF3D" w14:textId="77777777" w:rsidR="001F0D49" w:rsidRDefault="00000000">
      <w:r>
        <w:t>In practice this produced not “one proof,” but three useful reading modes of the field:</w:t>
      </w:r>
    </w:p>
    <w:p w14:paraId="193975F4" w14:textId="77777777" w:rsidR="001F0D49" w:rsidRDefault="00000000">
      <w:pPr>
        <w:numPr>
          <w:ilvl w:val="0"/>
          <w:numId w:val="81"/>
        </w:numPr>
      </w:pPr>
      <w:r>
        <w:t>the broadest and most cautious one;</w:t>
      </w:r>
    </w:p>
    <w:p w14:paraId="4C6ECD5C" w14:textId="77777777" w:rsidR="001F0D49" w:rsidRDefault="00000000">
      <w:pPr>
        <w:numPr>
          <w:ilvl w:val="0"/>
          <w:numId w:val="81"/>
        </w:numPr>
      </w:pPr>
      <w:r>
        <w:t>the most operational one for the CDI cascade;</w:t>
      </w:r>
    </w:p>
    <w:p w14:paraId="51C91358" w14:textId="77777777" w:rsidR="001F0D49" w:rsidRDefault="00000000">
      <w:pPr>
        <w:numPr>
          <w:ilvl w:val="0"/>
          <w:numId w:val="81"/>
        </w:numPr>
      </w:pPr>
      <w:r>
        <w:t>the most discipline-building one with respect to validity.</w:t>
      </w:r>
    </w:p>
    <w:p w14:paraId="29F7F767" w14:textId="77777777" w:rsidR="001F0D49" w:rsidRDefault="00000000">
      <w:pPr>
        <w:pStyle w:val="4"/>
      </w:pPr>
      <w:bookmarkStart w:id="98" w:name="b.8.2.-main-overall-conclusion"/>
      <w:bookmarkEnd w:id="97"/>
      <w:r>
        <w:t>B.8.2. Main overall conclusion</w:t>
      </w:r>
    </w:p>
    <w:p w14:paraId="28DAFB7E" w14:textId="77777777" w:rsidR="001F0D49" w:rsidRDefault="00000000">
      <w:r>
        <w:t>All of the syntheses converge on the same point: the strongest evidentiary layer lies not in the broad civilizational thesis, but in a narrower mechanism:</w:t>
      </w:r>
    </w:p>
    <w:p w14:paraId="73EED8C7" w14:textId="77777777" w:rsidR="001F0D49" w:rsidRDefault="00000000">
      <w:pPr>
        <w:pStyle w:val="af"/>
      </w:pPr>
      <w:r>
        <w:rPr>
          <w:b/>
          <w:bCs/>
        </w:rPr>
        <w:t>structuring artifact → ambiguity / information omission / confusion in context transfer ↓ → errors / adverse outcomes ↓</w:t>
      </w:r>
    </w:p>
    <w:p w14:paraId="2CFF397D" w14:textId="77777777" w:rsidR="001F0D49" w:rsidRDefault="00000000">
      <w:pPr>
        <w:pStyle w:val="af"/>
      </w:pPr>
      <w:r>
        <w:t>This is one of the most empirically usable supports for the later synthetic and applied layers of the corpus.</w:t>
      </w:r>
    </w:p>
    <w:p w14:paraId="564D392A" w14:textId="77777777" w:rsidR="001F0D49" w:rsidRDefault="00000000">
      <w:pPr>
        <w:pStyle w:val="4"/>
      </w:pPr>
      <w:bookmarkStart w:id="99" w:name="b.8.3.-what-is-best-supported"/>
      <w:bookmarkEnd w:id="98"/>
      <w:r>
        <w:t>B.8.3. What is best supported</w:t>
      </w:r>
    </w:p>
    <w:p w14:paraId="6B96E868" w14:textId="77777777" w:rsidR="001F0D49" w:rsidRDefault="00000000">
      <w:pPr>
        <w:pStyle w:val="5"/>
      </w:pPr>
      <w:bookmarkStart w:id="100" w:name="Xf28df8ee5777e3f65d8509143a3c5898da94ae1"/>
      <w:r>
        <w:t>B.8.3.1. Structured knowledge interventions work in a number of critical domains</w:t>
      </w:r>
    </w:p>
    <w:p w14:paraId="175ECA0E" w14:textId="77777777" w:rsidR="001F0D49" w:rsidRDefault="00000000">
      <w:r>
        <w:t>Recurring cases include:</w:t>
      </w:r>
    </w:p>
    <w:p w14:paraId="2A7A40B2" w14:textId="77777777" w:rsidR="001F0D49" w:rsidRDefault="00000000">
      <w:pPr>
        <w:numPr>
          <w:ilvl w:val="0"/>
          <w:numId w:val="82"/>
        </w:numPr>
      </w:pPr>
      <w:r>
        <w:t>context-transfer packages;</w:t>
      </w:r>
    </w:p>
    <w:p w14:paraId="2F10BCB0" w14:textId="77777777" w:rsidR="001F0D49" w:rsidRDefault="00000000">
      <w:pPr>
        <w:numPr>
          <w:ilvl w:val="0"/>
          <w:numId w:val="82"/>
        </w:numPr>
      </w:pPr>
      <w:r>
        <w:t>checklists;</w:t>
      </w:r>
    </w:p>
    <w:p w14:paraId="3023857A" w14:textId="77777777" w:rsidR="001F0D49" w:rsidRDefault="00000000">
      <w:pPr>
        <w:numPr>
          <w:ilvl w:val="0"/>
          <w:numId w:val="82"/>
        </w:numPr>
      </w:pPr>
      <w:r>
        <w:t>action routes;</w:t>
      </w:r>
    </w:p>
    <w:p w14:paraId="5DC4757B" w14:textId="77777777" w:rsidR="001F0D49" w:rsidRDefault="00000000">
      <w:pPr>
        <w:numPr>
          <w:ilvl w:val="0"/>
          <w:numId w:val="82"/>
        </w:numPr>
      </w:pPr>
      <w:r>
        <w:t>standardized templates;</w:t>
      </w:r>
    </w:p>
    <w:p w14:paraId="54DBD98E" w14:textId="77777777" w:rsidR="001F0D49" w:rsidRDefault="00000000">
      <w:pPr>
        <w:numPr>
          <w:ilvl w:val="0"/>
          <w:numId w:val="82"/>
        </w:numPr>
      </w:pPr>
      <w:r>
        <w:t>updates of standard procedures.</w:t>
      </w:r>
    </w:p>
    <w:p w14:paraId="11360FAE" w14:textId="77777777" w:rsidR="001F0D49" w:rsidRDefault="00000000">
      <w:pPr>
        <w:pStyle w:val="5"/>
      </w:pPr>
      <w:bookmarkStart w:id="101" w:name="X16d237c331a079212f595512283e4c53d42d571"/>
      <w:bookmarkEnd w:id="100"/>
      <w:r>
        <w:t>B.8.3.2. A systematization gap exists and is measurable through proxies</w:t>
      </w:r>
    </w:p>
    <w:p w14:paraId="620439AF" w14:textId="77777777" w:rsidR="001F0D49" w:rsidRDefault="00000000">
      <w:r>
        <w:t>Recurring proxies include:</w:t>
      </w:r>
    </w:p>
    <w:p w14:paraId="5725E69C" w14:textId="77777777" w:rsidR="001F0D49" w:rsidRDefault="00000000">
      <w:pPr>
        <w:numPr>
          <w:ilvl w:val="0"/>
          <w:numId w:val="83"/>
        </w:numPr>
      </w:pPr>
      <w:r>
        <w:t>lag in updating guidance;</w:t>
      </w:r>
    </w:p>
    <w:p w14:paraId="640CC80F" w14:textId="77777777" w:rsidR="001F0D49" w:rsidRDefault="00000000">
      <w:pPr>
        <w:numPr>
          <w:ilvl w:val="0"/>
          <w:numId w:val="83"/>
        </w:numPr>
      </w:pPr>
      <w:r>
        <w:t>review obsolescence;</w:t>
      </w:r>
    </w:p>
    <w:p w14:paraId="5963DC09" w14:textId="77777777" w:rsidR="001F0D49" w:rsidRDefault="00000000">
      <w:pPr>
        <w:numPr>
          <w:ilvl w:val="0"/>
          <w:numId w:val="83"/>
        </w:numPr>
      </w:pPr>
      <w:r>
        <w:t>delay in updating documentation;</w:t>
      </w:r>
    </w:p>
    <w:p w14:paraId="66FD3762" w14:textId="77777777" w:rsidR="001F0D49" w:rsidRDefault="00000000">
      <w:pPr>
        <w:numPr>
          <w:ilvl w:val="0"/>
          <w:numId w:val="83"/>
        </w:numPr>
      </w:pPr>
      <w:r>
        <w:t>mismatch between available information and the data actually needed for action (WAI–WAD mismatch);</w:t>
      </w:r>
    </w:p>
    <w:p w14:paraId="1B429CF2" w14:textId="77777777" w:rsidR="001F0D49" w:rsidRDefault="00000000">
      <w:pPr>
        <w:numPr>
          <w:ilvl w:val="0"/>
          <w:numId w:val="83"/>
        </w:numPr>
      </w:pPr>
      <w:r>
        <w:lastRenderedPageBreak/>
        <w:t>process drift;</w:t>
      </w:r>
    </w:p>
    <w:p w14:paraId="658BAA6E" w14:textId="77777777" w:rsidR="001F0D49" w:rsidRDefault="00000000">
      <w:pPr>
        <w:numPr>
          <w:ilvl w:val="0"/>
          <w:numId w:val="83"/>
        </w:numPr>
      </w:pPr>
      <w:r>
        <w:t>search burden;</w:t>
      </w:r>
    </w:p>
    <w:p w14:paraId="3A1638D8" w14:textId="77777777" w:rsidR="001F0D49" w:rsidRDefault="00000000">
      <w:pPr>
        <w:numPr>
          <w:ilvl w:val="0"/>
          <w:numId w:val="83"/>
        </w:numPr>
      </w:pPr>
      <w:r>
        <w:t>onboarding difficulty.</w:t>
      </w:r>
    </w:p>
    <w:p w14:paraId="018F8C1E" w14:textId="77777777" w:rsidR="001F0D49" w:rsidRDefault="00000000">
      <w:r>
        <w:rPr>
          <w:noProof/>
        </w:rPr>
        <w:drawing>
          <wp:inline distT="0" distB="0" distL="0" distR="0" wp14:anchorId="249E4D55" wp14:editId="68098A05">
            <wp:extent cx="5892800" cy="3992371"/>
            <wp:effectExtent l="0" t="0" r="0" b="0"/>
            <wp:docPr id="128" name="Picture"/>
            <wp:cNvGraphicFramePr/>
            <a:graphic xmlns:a="http://schemas.openxmlformats.org/drawingml/2006/main">
              <a:graphicData uri="http://schemas.openxmlformats.org/drawingml/2006/picture">
                <pic:pic xmlns:pic="http://schemas.openxmlformats.org/drawingml/2006/picture">
                  <pic:nvPicPr>
                    <pic:cNvPr id="129" name="Picture" descr="images/appendices/atd_app_g1_gap_evidence_posture_en.png"/>
                    <pic:cNvPicPr>
                      <a:picLocks noChangeAspect="1" noChangeArrowheads="1"/>
                    </pic:cNvPicPr>
                  </pic:nvPicPr>
                  <pic:blipFill>
                    <a:blip r:embed="rId33"/>
                    <a:stretch>
                      <a:fillRect/>
                    </a:stretch>
                  </pic:blipFill>
                  <pic:spPr bwMode="auto">
                    <a:xfrm>
                      <a:off x="0" y="0"/>
                      <a:ext cx="5892800" cy="3992371"/>
                    </a:xfrm>
                    <a:prstGeom prst="rect">
                      <a:avLst/>
                    </a:prstGeom>
                    <a:noFill/>
                    <a:ln w="9525">
                      <a:noFill/>
                      <a:headEnd/>
                      <a:tailEnd/>
                    </a:ln>
                  </pic:spPr>
                </pic:pic>
              </a:graphicData>
            </a:graphic>
          </wp:inline>
        </w:drawing>
      </w:r>
    </w:p>
    <w:p w14:paraId="7AFEFF9C" w14:textId="77777777" w:rsidR="001F0D49" w:rsidRDefault="00000000">
      <w:pPr>
        <w:pStyle w:val="af"/>
      </w:pPr>
      <w:r>
        <w:t>Figure B2. Current configuration of open empirical signals across the two systematization-debt tracks. The diagram shows how Track A gathers signals of a systematization gap and lag, while Track B gathers cases in which a structuring artifact already shifts CDI-relevant proxies and related outcomes.</w:t>
      </w:r>
    </w:p>
    <w:p w14:paraId="23A10407" w14:textId="77777777" w:rsidR="001F0D49" w:rsidRDefault="00000000">
      <w:pPr>
        <w:pStyle w:val="5"/>
      </w:pPr>
      <w:bookmarkStart w:id="102" w:name="Xb7e664d53df43ba32cb9e4d75572dbdfd60345d"/>
      <w:bookmarkEnd w:id="101"/>
      <w:r>
        <w:t>B.8.3.3. Good structuring reduces more than local knowledge chaos</w:t>
      </w:r>
    </w:p>
    <w:p w14:paraId="73244566" w14:textId="77777777" w:rsidR="001F0D49" w:rsidRDefault="00000000">
      <w:r>
        <w:t>Across many cases, several connected variables improve at once:</w:t>
      </w:r>
    </w:p>
    <w:p w14:paraId="5187577C" w14:textId="77777777" w:rsidR="001F0D49" w:rsidRDefault="00000000">
      <w:pPr>
        <w:numPr>
          <w:ilvl w:val="0"/>
          <w:numId w:val="84"/>
        </w:numPr>
      </w:pPr>
      <w:r>
        <w:t>ambiguity;</w:t>
      </w:r>
    </w:p>
    <w:p w14:paraId="50340C95" w14:textId="77777777" w:rsidR="001F0D49" w:rsidRDefault="00000000">
      <w:pPr>
        <w:numPr>
          <w:ilvl w:val="0"/>
          <w:numId w:val="84"/>
        </w:numPr>
      </w:pPr>
      <w:r>
        <w:t>error frequency;</w:t>
      </w:r>
    </w:p>
    <w:p w14:paraId="77D3967A" w14:textId="77777777" w:rsidR="001F0D49" w:rsidRDefault="00000000">
      <w:pPr>
        <w:numPr>
          <w:ilvl w:val="0"/>
          <w:numId w:val="84"/>
        </w:numPr>
      </w:pPr>
      <w:r>
        <w:t>rework or missed steps;</w:t>
      </w:r>
    </w:p>
    <w:p w14:paraId="0B40CB2C" w14:textId="77777777" w:rsidR="001F0D49" w:rsidRDefault="00000000">
      <w:pPr>
        <w:numPr>
          <w:ilvl w:val="0"/>
          <w:numId w:val="84"/>
        </w:numPr>
      </w:pPr>
      <w:r>
        <w:t>process quality;</w:t>
      </w:r>
    </w:p>
    <w:p w14:paraId="4FBF0C68" w14:textId="77777777" w:rsidR="001F0D49" w:rsidRDefault="00000000">
      <w:pPr>
        <w:numPr>
          <w:ilvl w:val="0"/>
          <w:numId w:val="84"/>
        </w:numPr>
      </w:pPr>
      <w:r>
        <w:t>safety outcomes.</w:t>
      </w:r>
    </w:p>
    <w:p w14:paraId="6F4BDF2D" w14:textId="77777777" w:rsidR="001F0D49" w:rsidRDefault="00000000">
      <w:r>
        <w:rPr>
          <w:noProof/>
        </w:rPr>
        <w:lastRenderedPageBreak/>
        <w:drawing>
          <wp:inline distT="0" distB="0" distL="0" distR="0" wp14:anchorId="5100E158" wp14:editId="29D1CCA7">
            <wp:extent cx="5892800" cy="1775205"/>
            <wp:effectExtent l="0" t="0" r="0" b="0"/>
            <wp:docPr id="132" name="Picture"/>
            <wp:cNvGraphicFramePr/>
            <a:graphic xmlns:a="http://schemas.openxmlformats.org/drawingml/2006/main">
              <a:graphicData uri="http://schemas.openxmlformats.org/drawingml/2006/picture">
                <pic:pic xmlns:pic="http://schemas.openxmlformats.org/drawingml/2006/picture">
                  <pic:nvPicPr>
                    <pic:cNvPr id="133" name="Picture" descr="images/appendices/atd_app_g2_intervention_pathway_en.png"/>
                    <pic:cNvPicPr>
                      <a:picLocks noChangeAspect="1" noChangeArrowheads="1"/>
                    </pic:cNvPicPr>
                  </pic:nvPicPr>
                  <pic:blipFill>
                    <a:blip r:embed="rId34"/>
                    <a:stretch>
                      <a:fillRect/>
                    </a:stretch>
                  </pic:blipFill>
                  <pic:spPr bwMode="auto">
                    <a:xfrm>
                      <a:off x="0" y="0"/>
                      <a:ext cx="5892800" cy="1775205"/>
                    </a:xfrm>
                    <a:prstGeom prst="rect">
                      <a:avLst/>
                    </a:prstGeom>
                    <a:noFill/>
                    <a:ln w="9525">
                      <a:noFill/>
                      <a:headEnd/>
                      <a:tailEnd/>
                    </a:ln>
                  </pic:spPr>
                </pic:pic>
              </a:graphicData>
            </a:graphic>
          </wp:inline>
        </w:drawing>
      </w:r>
    </w:p>
    <w:p w14:paraId="4CBDA2AE" w14:textId="77777777" w:rsidR="001F0D49" w:rsidRDefault="00000000">
      <w:pPr>
        <w:pStyle w:val="af"/>
      </w:pPr>
      <w:r>
        <w:t>Figure B3. Working logic of interventions through the structured-knowledge layer. The diagram shows how a structuring artifact reduces ambiguity and context-reconstruction cost, which weakens CDI proxies and, with them, errors, rework, strain, and part of the downstream loss surface.</w:t>
      </w:r>
    </w:p>
    <w:p w14:paraId="2216C541" w14:textId="77777777" w:rsidR="001F0D49" w:rsidRDefault="00000000">
      <w:pPr>
        <w:pStyle w:val="4"/>
      </w:pPr>
      <w:bookmarkStart w:id="103" w:name="b.8.4.-what-is-supported-more-weakly"/>
      <w:bookmarkEnd w:id="99"/>
      <w:bookmarkEnd w:id="102"/>
      <w:r>
        <w:t>B.8.4. What is supported more weakly</w:t>
      </w:r>
    </w:p>
    <w:p w14:paraId="5E9A127F" w14:textId="77777777" w:rsidR="001F0D49" w:rsidRDefault="00000000">
      <w:pPr>
        <w:pStyle w:val="5"/>
      </w:pPr>
      <w:bookmarkStart w:id="104" w:name="X34789ea7a49677279d855ebe07781e3db7f1f2e"/>
      <w:r>
        <w:t>B.8.4.1. A general time-growing gap at the scale of civilization</w:t>
      </w:r>
    </w:p>
    <w:p w14:paraId="57C481B4" w14:textId="77777777" w:rsidR="001F0D49" w:rsidRDefault="00000000">
      <w:r>
        <w:t>There are signals here, but the evidence base remains mostly indirect.</w:t>
      </w:r>
    </w:p>
    <w:p w14:paraId="28B0C1FD" w14:textId="77777777" w:rsidR="001F0D49" w:rsidRDefault="00000000">
      <w:pPr>
        <w:pStyle w:val="5"/>
      </w:pPr>
      <w:bookmarkStart w:id="105" w:name="Xb70c38d1127c57b08938b562b5f769a7d7f8dda"/>
      <w:bookmarkEnd w:id="104"/>
      <w:r>
        <w:t>B.8.4.2. Transfer of the clinic-like mechanism into development, government, and civilization</w:t>
      </w:r>
    </w:p>
    <w:p w14:paraId="200EDA75" w14:textId="77777777" w:rsidR="001F0D49" w:rsidRDefault="00000000">
      <w:r>
        <w:t>This transfer is logically plausible, but still empirically uneven.</w:t>
      </w:r>
    </w:p>
    <w:p w14:paraId="74DF8248" w14:textId="77777777" w:rsidR="001F0D49" w:rsidRDefault="00000000">
      <w:pPr>
        <w:pStyle w:val="5"/>
      </w:pPr>
      <w:bookmarkStart w:id="106" w:name="Xeb5a81e4e48c91a7a58eebb980124a2dfab0c03"/>
      <w:bookmarkEnd w:id="105"/>
      <w:r>
        <w:t>B.8.4.3. Strong claims about degradation of macro-models</w:t>
      </w:r>
    </w:p>
    <w:p w14:paraId="3D9604CF" w14:textId="77777777" w:rsidR="001F0D49" w:rsidRDefault="00000000">
      <w:r>
        <w:t>At present this is a strong hypothetical contour, not a finished observational core.</w:t>
      </w:r>
    </w:p>
    <w:p w14:paraId="3F434E65" w14:textId="77777777" w:rsidR="001F0D49" w:rsidRDefault="00000000">
      <w:pPr>
        <w:pStyle w:val="4"/>
      </w:pPr>
      <w:bookmarkStart w:id="107" w:name="X46a7c5ccd3e9c196bb2ea539c411c2a74fbbea3"/>
      <w:bookmarkEnd w:id="103"/>
      <w:bookmarkEnd w:id="106"/>
      <w:r>
        <w:t>B.8.5. Practical rules derived from the synthesis</w:t>
      </w:r>
    </w:p>
    <w:p w14:paraId="14234053" w14:textId="77777777" w:rsidR="001F0D49" w:rsidRDefault="00000000">
      <w:pPr>
        <w:numPr>
          <w:ilvl w:val="0"/>
          <w:numId w:val="85"/>
        </w:numPr>
      </w:pPr>
      <w:r>
        <w:t xml:space="preserve">The strongest formula is: </w:t>
      </w:r>
      <w:r>
        <w:rPr>
          <w:b/>
          <w:bCs/>
        </w:rPr>
        <w:t>the local mechanism is better supported than the macro-generalization</w:t>
      </w:r>
      <w:r>
        <w:t>.</w:t>
      </w:r>
    </w:p>
    <w:p w14:paraId="27677C82" w14:textId="77777777" w:rsidR="001F0D49" w:rsidRDefault="00000000">
      <w:pPr>
        <w:numPr>
          <w:ilvl w:val="0"/>
          <w:numId w:val="85"/>
        </w:numPr>
      </w:pPr>
      <w:r>
        <w:t>Growth claims should be written more cautiously than intervention claims.</w:t>
      </w:r>
    </w:p>
    <w:p w14:paraId="48203E39" w14:textId="77777777" w:rsidR="001F0D49" w:rsidRDefault="00000000">
      <w:pPr>
        <w:numPr>
          <w:ilvl w:val="0"/>
          <w:numId w:val="85"/>
        </w:numPr>
      </w:pPr>
      <w:r>
        <w:t>Clinical environments are not the limit of the model, but neither are they an automatic license for transfer.</w:t>
      </w:r>
    </w:p>
    <w:p w14:paraId="17FFF6FD" w14:textId="77777777" w:rsidR="001F0D49" w:rsidRDefault="00000000">
      <w:pPr>
        <w:numPr>
          <w:ilvl w:val="0"/>
          <w:numId w:val="85"/>
        </w:numPr>
      </w:pPr>
      <w:r>
        <w:t>The line on systematization debt (SysDebt) belongs in the main text; the line on degradation of macro-forecasting should remain in the hypothetical layer for now.</w:t>
      </w:r>
    </w:p>
    <w:p w14:paraId="51B2F910" w14:textId="77777777" w:rsidR="001F0D49" w:rsidRDefault="00000000">
      <w:pPr>
        <w:pStyle w:val="4"/>
      </w:pPr>
      <w:bookmarkStart w:id="108" w:name="X926999989f496cdb8e699c5421155c8e112ed6a"/>
      <w:bookmarkEnd w:id="107"/>
      <w:r>
        <w:t>B.8.6. Implications for later corpus layers</w:t>
      </w:r>
    </w:p>
    <w:p w14:paraId="5A09BAA5" w14:textId="77777777" w:rsidR="001F0D49" w:rsidRDefault="00000000">
      <w:r>
        <w:t>Several points can already be carried into later corpus layers with relative confidence:</w:t>
      </w:r>
    </w:p>
    <w:p w14:paraId="424A31FE" w14:textId="77777777" w:rsidR="001F0D49" w:rsidRDefault="00000000">
      <w:pPr>
        <w:numPr>
          <w:ilvl w:val="0"/>
          <w:numId w:val="86"/>
        </w:numPr>
      </w:pPr>
      <w:r>
        <w:t>systematization debt / lag / gap as an intermediate mechanism;</w:t>
      </w:r>
    </w:p>
    <w:p w14:paraId="336CC640" w14:textId="77777777" w:rsidR="001F0D49" w:rsidRDefault="00000000">
      <w:pPr>
        <w:numPr>
          <w:ilvl w:val="0"/>
          <w:numId w:val="86"/>
        </w:numPr>
      </w:pPr>
      <w:r>
        <w:t>the best-supported logic of structured interventions in the knowledge layer;</w:t>
      </w:r>
    </w:p>
    <w:p w14:paraId="6EFE4B15" w14:textId="77777777" w:rsidR="001F0D49" w:rsidRDefault="00000000">
      <w:pPr>
        <w:numPr>
          <w:ilvl w:val="0"/>
          <w:numId w:val="86"/>
        </w:numPr>
      </w:pPr>
      <w:r>
        <w:t>the bridge to organizational projection and institutional application;</w:t>
      </w:r>
    </w:p>
    <w:p w14:paraId="2C93498F" w14:textId="77777777" w:rsidR="001F0D49" w:rsidRDefault="00000000">
      <w:pPr>
        <w:numPr>
          <w:ilvl w:val="0"/>
          <w:numId w:val="86"/>
        </w:numPr>
      </w:pPr>
      <w:r>
        <w:t>an extension of the projection map wherever the link to the locally supported mechanism remains explicit.</w:t>
      </w:r>
    </w:p>
    <w:p w14:paraId="2979C034" w14:textId="77777777" w:rsidR="001F0D49" w:rsidRDefault="00000000">
      <w:pPr>
        <w:pStyle w:val="4"/>
      </w:pPr>
      <w:bookmarkStart w:id="109" w:name="X6bc51b6da53ae876bda4764437023d90f7010cf"/>
      <w:bookmarkEnd w:id="108"/>
      <w:r>
        <w:t>B.8.7. Directions for further development of the evidentiary layer</w:t>
      </w:r>
    </w:p>
    <w:p w14:paraId="3ECF48C8" w14:textId="77777777" w:rsidR="001F0D49" w:rsidRDefault="00000000">
      <w:r>
        <w:t>The least saturated and therefore most promising zones for further development of the evidentiary layer remain:</w:t>
      </w:r>
    </w:p>
    <w:p w14:paraId="3127FBD8" w14:textId="77777777" w:rsidR="001F0D49" w:rsidRDefault="00000000">
      <w:pPr>
        <w:numPr>
          <w:ilvl w:val="0"/>
          <w:numId w:val="87"/>
        </w:numPr>
      </w:pPr>
      <w:r>
        <w:t>state forecasting and the degradation of macro-models;</w:t>
      </w:r>
    </w:p>
    <w:p w14:paraId="65F5697B" w14:textId="77777777" w:rsidR="001F0D49" w:rsidRDefault="00000000">
      <w:pPr>
        <w:numPr>
          <w:ilvl w:val="0"/>
          <w:numId w:val="87"/>
        </w:numPr>
      </w:pPr>
      <w:r>
        <w:lastRenderedPageBreak/>
        <w:t>product and software interventions beyond clinic-like domains;</w:t>
      </w:r>
    </w:p>
    <w:p w14:paraId="12DC6FA0" w14:textId="77777777" w:rsidR="001F0D49" w:rsidRDefault="00000000">
      <w:pPr>
        <w:numPr>
          <w:ilvl w:val="0"/>
          <w:numId w:val="87"/>
        </w:numPr>
      </w:pPr>
      <w:r>
        <w:t>the source corpus on degradation of forecasting and deterioration of macro-model quality;</w:t>
      </w:r>
    </w:p>
    <w:p w14:paraId="2DB2FBBB" w14:textId="77777777" w:rsidR="001F0D49" w:rsidRDefault="00000000">
      <w:pPr>
        <w:numPr>
          <w:ilvl w:val="0"/>
          <w:numId w:val="87"/>
        </w:numPr>
      </w:pPr>
      <w:r>
        <w:t>collective and distributed cognition as a deeper supporting layer.</w:t>
      </w:r>
    </w:p>
    <w:p w14:paraId="46700E06" w14:textId="77777777" w:rsidR="001F0D49" w:rsidRDefault="00000000">
      <w:pPr>
        <w:pStyle w:val="4"/>
      </w:pPr>
      <w:bookmarkStart w:id="110" w:name="X4473a96216356766f0d010ae10da4e88731d55d"/>
      <w:bookmarkEnd w:id="109"/>
      <w:r>
        <w:t>B.8.8. Visual summary of the current register</w:t>
      </w:r>
    </w:p>
    <w:p w14:paraId="53D6D4E5" w14:textId="77777777" w:rsidR="001F0D49" w:rsidRDefault="00000000">
      <w:r>
        <w:rPr>
          <w:noProof/>
        </w:rPr>
        <w:drawing>
          <wp:inline distT="0" distB="0" distL="0" distR="0" wp14:anchorId="70A4FAC8" wp14:editId="0435BBE0">
            <wp:extent cx="5892800" cy="3244723"/>
            <wp:effectExtent l="0" t="0" r="0" b="0"/>
            <wp:docPr id="144" name="Picture"/>
            <wp:cNvGraphicFramePr/>
            <a:graphic xmlns:a="http://schemas.openxmlformats.org/drawingml/2006/main">
              <a:graphicData uri="http://schemas.openxmlformats.org/drawingml/2006/picture">
                <pic:pic xmlns:pic="http://schemas.openxmlformats.org/drawingml/2006/picture">
                  <pic:nvPicPr>
                    <pic:cNvPr id="145" name="Picture" descr="images/appendices/atd_app_d1_registry_domain_quality_en.png"/>
                    <pic:cNvPicPr>
                      <a:picLocks noChangeAspect="1" noChangeArrowheads="1"/>
                    </pic:cNvPicPr>
                  </pic:nvPicPr>
                  <pic:blipFill>
                    <a:blip r:embed="rId35"/>
                    <a:stretch>
                      <a:fillRect/>
                    </a:stretch>
                  </pic:blipFill>
                  <pic:spPr bwMode="auto">
                    <a:xfrm>
                      <a:off x="0" y="0"/>
                      <a:ext cx="5892800" cy="3244723"/>
                    </a:xfrm>
                    <a:prstGeom prst="rect">
                      <a:avLst/>
                    </a:prstGeom>
                    <a:noFill/>
                    <a:ln w="9525">
                      <a:noFill/>
                      <a:headEnd/>
                      <a:tailEnd/>
                    </a:ln>
                  </pic:spPr>
                </pic:pic>
              </a:graphicData>
            </a:graphic>
          </wp:inline>
        </w:drawing>
      </w:r>
    </w:p>
    <w:p w14:paraId="73B2316D" w14:textId="77777777" w:rsidR="001F0D49" w:rsidRDefault="00000000">
      <w:pPr>
        <w:pStyle w:val="af"/>
      </w:pPr>
      <w:r>
        <w:t>Figure B4. Coverage of the register by domain and evidence quality. The diagram shows that the curated register is still visibly concentrated in clinical environments and part of knowledge work, so ATD should not be presented as though it were equally supported across all domains.</w:t>
      </w:r>
    </w:p>
    <w:p w14:paraId="161F1371" w14:textId="77777777" w:rsidR="001F0D49" w:rsidRDefault="00000000">
      <w:pPr>
        <w:pStyle w:val="af"/>
      </w:pPr>
      <w:r>
        <w:rPr>
          <w:noProof/>
        </w:rPr>
        <w:drawing>
          <wp:inline distT="0" distB="0" distL="0" distR="0" wp14:anchorId="1C754589" wp14:editId="59F96558">
            <wp:extent cx="5892800" cy="3311017"/>
            <wp:effectExtent l="0" t="0" r="0" b="0"/>
            <wp:docPr id="147" name="Picture"/>
            <wp:cNvGraphicFramePr/>
            <a:graphic xmlns:a="http://schemas.openxmlformats.org/drawingml/2006/main">
              <a:graphicData uri="http://schemas.openxmlformats.org/drawingml/2006/picture">
                <pic:pic xmlns:pic="http://schemas.openxmlformats.org/drawingml/2006/picture">
                  <pic:nvPicPr>
                    <pic:cNvPr id="148" name="Picture" descr="images/appendices/atd_app_d2_layer_coverage_matrix_en.png"/>
                    <pic:cNvPicPr>
                      <a:picLocks noChangeAspect="1" noChangeArrowheads="1"/>
                    </pic:cNvPicPr>
                  </pic:nvPicPr>
                  <pic:blipFill>
                    <a:blip r:embed="rId36"/>
                    <a:stretch>
                      <a:fillRect/>
                    </a:stretch>
                  </pic:blipFill>
                  <pic:spPr bwMode="auto">
                    <a:xfrm>
                      <a:off x="0" y="0"/>
                      <a:ext cx="5892800" cy="3311017"/>
                    </a:xfrm>
                    <a:prstGeom prst="rect">
                      <a:avLst/>
                    </a:prstGeom>
                    <a:noFill/>
                    <a:ln w="9525">
                      <a:noFill/>
                      <a:headEnd/>
                      <a:tailEnd/>
                    </a:ln>
                  </pic:spPr>
                </pic:pic>
              </a:graphicData>
            </a:graphic>
          </wp:inline>
        </w:drawing>
      </w:r>
    </w:p>
    <w:p w14:paraId="41399ECE" w14:textId="77777777" w:rsidR="001F0D49" w:rsidRDefault="00000000">
      <w:pPr>
        <w:pStyle w:val="af"/>
      </w:pPr>
      <w:r>
        <w:t>Figure B5. Coverage of cascade layers across the coded cases. The diagram shows that the strongest evidence is concentrated around CDI proxies and near-intermediate effects, while distant and long-horizon outcomes remain much less well supported.</w:t>
      </w:r>
    </w:p>
    <w:p w14:paraId="5A8E2CFC" w14:textId="77777777" w:rsidR="001F0D49" w:rsidRDefault="00000000">
      <w:r>
        <w:lastRenderedPageBreak/>
        <w:pict w14:anchorId="4FB1D33C">
          <v:rect id="_x0000_i2488" style="width:0;height:1.5pt" o:hralign="center" o:hrstd="t" o:hr="t"/>
        </w:pict>
      </w:r>
    </w:p>
    <w:p w14:paraId="1B60ABD2" w14:textId="77777777" w:rsidR="001F0D49" w:rsidRDefault="00000000">
      <w:pPr>
        <w:pStyle w:val="31"/>
      </w:pPr>
      <w:bookmarkStart w:id="111" w:name="Xab764ad08b41e7040bd45fcf18bf4b80a5f09c0"/>
      <w:bookmarkEnd w:id="96"/>
      <w:bookmarkEnd w:id="110"/>
      <w:r>
        <w:t>B.9. Minimal and extended stacks for checking ATD</w:t>
      </w:r>
    </w:p>
    <w:p w14:paraId="66AC5CD2" w14:textId="77777777" w:rsidR="001F0D49" w:rsidRDefault="00000000">
      <w:r>
        <w:t xml:space="preserve">A useful </w:t>
      </w:r>
      <w:r>
        <w:rPr>
          <w:b/>
          <w:bCs/>
        </w:rPr>
        <w:t>minimal stack</w:t>
      </w:r>
      <w:r>
        <w:t xml:space="preserve"> for first-pass checking of ATD consists of:</w:t>
      </w:r>
    </w:p>
    <w:p w14:paraId="7D71D3B4" w14:textId="77777777" w:rsidR="001F0D49" w:rsidRDefault="00000000">
      <w:pPr>
        <w:numPr>
          <w:ilvl w:val="0"/>
          <w:numId w:val="88"/>
        </w:numPr>
      </w:pPr>
      <w:r>
        <w:t>one pressure-layer anchor (EPU or WUI);</w:t>
      </w:r>
    </w:p>
    <w:p w14:paraId="12D3A46B" w14:textId="77777777" w:rsidR="001F0D49" w:rsidRDefault="00000000">
      <w:pPr>
        <w:numPr>
          <w:ilvl w:val="0"/>
          <w:numId w:val="88"/>
        </w:numPr>
      </w:pPr>
      <w:r>
        <w:t>one fragmentation/context anchor (Gloria Mark studies or EWCS);</w:t>
      </w:r>
    </w:p>
    <w:p w14:paraId="5C575272" w14:textId="77777777" w:rsidR="001F0D49" w:rsidRDefault="00000000">
      <w:pPr>
        <w:numPr>
          <w:ilvl w:val="0"/>
          <w:numId w:val="88"/>
        </w:numPr>
      </w:pPr>
      <w:r>
        <w:t>one coordination-cost anchor (Stack Overflow Survey, Doing Business, or OECD Job Quality depending on the domain);</w:t>
      </w:r>
    </w:p>
    <w:p w14:paraId="1D02B463" w14:textId="77777777" w:rsidR="001F0D49" w:rsidRDefault="00000000">
      <w:pPr>
        <w:numPr>
          <w:ilvl w:val="0"/>
          <w:numId w:val="88"/>
        </w:numPr>
      </w:pPr>
      <w:r>
        <w:t>one output-side anchor (OECD Productivity, PWT, or GBD mental burden);</w:t>
      </w:r>
    </w:p>
    <w:p w14:paraId="0BCEECB2" w14:textId="77777777" w:rsidR="001F0D49" w:rsidRDefault="00000000">
      <w:pPr>
        <w:numPr>
          <w:ilvl w:val="0"/>
          <w:numId w:val="88"/>
        </w:numPr>
      </w:pPr>
      <w:r>
        <w:t>one governance or institutional mediator (WGI or iREG).</w:t>
      </w:r>
    </w:p>
    <w:p w14:paraId="1C5B1B05" w14:textId="77777777" w:rsidR="001F0D49" w:rsidRDefault="00000000">
      <w:r>
        <w:t xml:space="preserve">A useful </w:t>
      </w:r>
      <w:r>
        <w:rPr>
          <w:b/>
          <w:bCs/>
        </w:rPr>
        <w:t>extended stack</w:t>
      </w:r>
      <w:r>
        <w:t xml:space="preserve"> adds:</w:t>
      </w:r>
    </w:p>
    <w:p w14:paraId="6E2844B0" w14:textId="77777777" w:rsidR="001F0D49" w:rsidRDefault="00000000">
      <w:pPr>
        <w:numPr>
          <w:ilvl w:val="0"/>
          <w:numId w:val="89"/>
        </w:numPr>
      </w:pPr>
      <w:r>
        <w:t>regulatory-complexity anchors (RegData, Federal Register, PMR, STRI);</w:t>
      </w:r>
    </w:p>
    <w:p w14:paraId="19E004C8" w14:textId="77777777" w:rsidR="001F0D49" w:rsidRDefault="00000000">
      <w:pPr>
        <w:numPr>
          <w:ilvl w:val="0"/>
          <w:numId w:val="89"/>
        </w:numPr>
      </w:pPr>
      <w:r>
        <w:t>developer and delivery signals (GitHub Innovation Graph, DORA, LinearB);</w:t>
      </w:r>
    </w:p>
    <w:p w14:paraId="42243569" w14:textId="77777777" w:rsidR="001F0D49" w:rsidRDefault="00000000">
      <w:pPr>
        <w:numPr>
          <w:ilvl w:val="0"/>
          <w:numId w:val="89"/>
        </w:numPr>
      </w:pPr>
      <w:r>
        <w:t>practical proxy signals (Microsoft WTI, Asana, Slack, Atlassian, Rob Cross);</w:t>
      </w:r>
    </w:p>
    <w:p w14:paraId="0221E54D" w14:textId="77777777" w:rsidR="001F0D49" w:rsidRDefault="00000000">
      <w:pPr>
        <w:numPr>
          <w:ilvl w:val="0"/>
          <w:numId w:val="89"/>
        </w:numPr>
      </w:pPr>
      <w:r>
        <w:t>applied-domain sources for pedagogy, parenting, and digital environments (TALIS, PISA, ATUS, HETUS, Common Sense Media, Pew, Ofcom).</w:t>
      </w:r>
    </w:p>
    <w:p w14:paraId="69665A84" w14:textId="77777777" w:rsidR="001F0D49" w:rsidRDefault="00000000">
      <w:pPr>
        <w:pStyle w:val="31"/>
      </w:pPr>
      <w:bookmarkStart w:id="112" w:name="X84a343d428c96a41da3416e67a963490637e7da"/>
      <w:bookmarkEnd w:id="111"/>
      <w:r>
        <w:t>B.10. What remains unmeasured or weakly measured in this layer</w:t>
      </w:r>
    </w:p>
    <w:p w14:paraId="16AB65DB" w14:textId="77777777" w:rsidR="001F0D49" w:rsidRDefault="00000000">
      <w:r>
        <w:t>Several gaps remain important:</w:t>
      </w:r>
    </w:p>
    <w:p w14:paraId="486F3C41" w14:textId="77777777" w:rsidR="001F0D49" w:rsidRDefault="00000000">
      <w:pPr>
        <w:numPr>
          <w:ilvl w:val="0"/>
          <w:numId w:val="90"/>
        </w:numPr>
      </w:pPr>
      <w:r>
        <w:t>there is no established composite VUCA index suitable for direct ATD use;</w:t>
      </w:r>
    </w:p>
    <w:p w14:paraId="6E675E34" w14:textId="77777777" w:rsidR="001F0D49" w:rsidRDefault="00000000">
      <w:pPr>
        <w:numPr>
          <w:ilvl w:val="0"/>
          <w:numId w:val="90"/>
        </w:numPr>
      </w:pPr>
      <w:r>
        <w:t>open microdata for corporate work-pattern telemetry remain unavailable;</w:t>
      </w:r>
    </w:p>
    <w:p w14:paraId="0E95F3DE" w14:textId="77777777" w:rsidR="001F0D49" w:rsidRDefault="00000000">
      <w:pPr>
        <w:numPr>
          <w:ilvl w:val="0"/>
          <w:numId w:val="90"/>
        </w:numPr>
      </w:pPr>
      <w:r>
        <w:t>there is no cross-country parenting cognitive-load dataset;</w:t>
      </w:r>
    </w:p>
    <w:p w14:paraId="29B9529B" w14:textId="77777777" w:rsidR="001F0D49" w:rsidRDefault="00000000">
      <w:pPr>
        <w:numPr>
          <w:ilvl w:val="0"/>
          <w:numId w:val="90"/>
        </w:numPr>
      </w:pPr>
      <w:r>
        <w:t>notification load and app-switching frequency are not tracked at population scale;</w:t>
      </w:r>
    </w:p>
    <w:p w14:paraId="45A2DEAC" w14:textId="77777777" w:rsidR="001F0D49" w:rsidRDefault="00000000">
      <w:pPr>
        <w:numPr>
          <w:ilvl w:val="0"/>
          <w:numId w:val="90"/>
        </w:numPr>
      </w:pPr>
      <w:r>
        <w:t>curriculum complexity growth is poorly measured;</w:t>
      </w:r>
    </w:p>
    <w:p w14:paraId="14454893" w14:textId="77777777" w:rsidR="001F0D49" w:rsidRDefault="00000000">
      <w:pPr>
        <w:numPr>
          <w:ilvl w:val="0"/>
          <w:numId w:val="90"/>
        </w:numPr>
      </w:pPr>
      <w:r>
        <w:t>context-reconstruction cost still lacks a standardized longitudinal instrument.</w:t>
      </w:r>
    </w:p>
    <w:p w14:paraId="40FDEBF2" w14:textId="77777777" w:rsidR="001F0D49" w:rsidRDefault="00000000">
      <w:r>
        <w:t>These gaps do not collapse ATD, but they set the limits of what can honestly be claimed at the current stage.</w:t>
      </w:r>
    </w:p>
    <w:p w14:paraId="685173C2" w14:textId="77777777" w:rsidR="001F0D49" w:rsidRDefault="00000000">
      <w:pPr>
        <w:pStyle w:val="31"/>
      </w:pPr>
      <w:bookmarkStart w:id="113" w:name="b.11.-how-this-layer-may-be-re-checked"/>
      <w:bookmarkEnd w:id="112"/>
      <w:r>
        <w:t>B.11. How this layer may be re-checked</w:t>
      </w:r>
    </w:p>
    <w:p w14:paraId="17D2D94F" w14:textId="77777777" w:rsidR="001F0D49" w:rsidRDefault="00000000">
      <w:r>
        <w:t>The appendix allows external re-checking in a relatively straightforward way. First, each source above is accompanied by an access mode: open CSV, Excel or API, registered microdata, a published study series, or a report with data. Second, no single source should be read as evidence for the whole of ATD; what matters is which specific cascade link it supports — environmental pressure, context degradation, coordination losses, adaptive erosion, an applied domain, or the more sensitive intergenerational layer. Third, proxy sources should be interpreted precisely as proxies: they strengthen plausibility and convergence, but they do not replace the strongest anchor sources. Finally, the most reliable conclusions arise where academic anchors, open datasets, and product/process signals converge; where such convergence is absent, the proposition should be read as a hypothesis or a limited interpretive conclusion.</w:t>
      </w:r>
    </w:p>
    <w:p w14:paraId="0EE75A88" w14:textId="77777777" w:rsidR="001F0D49" w:rsidRDefault="00000000">
      <w:pPr>
        <w:pStyle w:val="31"/>
      </w:pPr>
      <w:bookmarkStart w:id="114" w:name="X01561175ab5b485bea57644d124ecd52bd672f8"/>
      <w:bookmarkEnd w:id="113"/>
      <w:r>
        <w:lastRenderedPageBreak/>
        <w:t>B.12. Machine-readable files attached to this appendix</w:t>
      </w:r>
    </w:p>
    <w:p w14:paraId="5C88DB09" w14:textId="77777777" w:rsidR="001F0D49" w:rsidRDefault="00000000">
      <w:r>
        <w:t>The evidentiary layer of Appendix B is supported by separate CSV files, which may also be used as stand-alone machine-readable appendices:</w:t>
      </w:r>
    </w:p>
    <w:p w14:paraId="0947DAFD" w14:textId="77777777" w:rsidR="001F0D49" w:rsidRDefault="00000000">
      <w:pPr>
        <w:numPr>
          <w:ilvl w:val="0"/>
          <w:numId w:val="91"/>
        </w:numPr>
      </w:pPr>
      <w:r>
        <w:t>ATD_core_bibliography_en.csv — the core bibliographic anchor layer;</w:t>
      </w:r>
    </w:p>
    <w:p w14:paraId="24A8D2E9" w14:textId="77777777" w:rsidR="001F0D49" w:rsidRDefault="00000000">
      <w:pPr>
        <w:numPr>
          <w:ilvl w:val="0"/>
          <w:numId w:val="91"/>
        </w:numPr>
      </w:pPr>
      <w:r>
        <w:t>ATD_open_dataset_register_en.csv — the full register of datasets, dashboards, and report-with-data sources;</w:t>
      </w:r>
    </w:p>
    <w:p w14:paraId="7BAFF48E" w14:textId="77777777" w:rsidR="001F0D49" w:rsidRDefault="00000000">
      <w:pPr>
        <w:numPr>
          <w:ilvl w:val="0"/>
          <w:numId w:val="91"/>
        </w:numPr>
      </w:pPr>
      <w:r>
        <w:t>ATD_proxy_product_process_appendix_en.csv — the proxy and product/process signal layer;</w:t>
      </w:r>
    </w:p>
    <w:p w14:paraId="2845E978" w14:textId="77777777" w:rsidR="001F0D49" w:rsidRDefault="00000000">
      <w:pPr>
        <w:numPr>
          <w:ilvl w:val="0"/>
          <w:numId w:val="91"/>
        </w:numPr>
      </w:pPr>
      <w:r>
        <w:t>ATD_evidence_map_en.csv — the claim map, confidence levels, caveats, and admissible interpretations;</w:t>
      </w:r>
    </w:p>
    <w:p w14:paraId="1D1A5A11" w14:textId="77777777" w:rsidR="001F0D49" w:rsidRDefault="00000000">
      <w:pPr>
        <w:numPr>
          <w:ilvl w:val="0"/>
          <w:numId w:val="91"/>
        </w:numPr>
      </w:pPr>
      <w:r>
        <w:t>ATD_appendix_D_master_register_en.csv — the unified machine-readable register that merges the bibliography, datasets, and proxy layer;</w:t>
      </w:r>
    </w:p>
    <w:p w14:paraId="16FDFDDE" w14:textId="77777777" w:rsidR="001F0D49" w:rsidRDefault="00000000">
      <w:pPr>
        <w:numPr>
          <w:ilvl w:val="0"/>
          <w:numId w:val="91"/>
        </w:numPr>
      </w:pPr>
      <w:r>
        <w:t>ATD_appendix_D_convergence_matrix_en.csv — the machine-readable version of the claim map and its interpretive boundaries.</w:t>
      </w:r>
    </w:p>
    <w:p w14:paraId="2900F043" w14:textId="77777777" w:rsidR="001F0D49" w:rsidRDefault="00000000">
      <w:r>
        <w:t>For external checking or a later publication expansion, these files provide the most convenient first point of entry into the evidentiary layer.</w:t>
      </w:r>
    </w:p>
    <w:p w14:paraId="240E002D" w14:textId="77777777" w:rsidR="001F0D49" w:rsidRDefault="00000000">
      <w:r>
        <w:pict w14:anchorId="74017EB5">
          <v:rect id="_x0000_i2489" style="width:0;height:1.5pt" o:hralign="center" o:hrstd="t" o:hr="t"/>
        </w:pict>
      </w:r>
    </w:p>
    <w:p w14:paraId="48297CEA" w14:textId="77777777" w:rsidR="001F0D49" w:rsidRDefault="00000000">
      <w:pPr>
        <w:pStyle w:val="21"/>
      </w:pPr>
      <w:bookmarkStart w:id="115" w:name="appendix-c.-measurement-architecture"/>
      <w:bookmarkStart w:id="116" w:name="_Toc226514457"/>
      <w:bookmarkEnd w:id="87"/>
      <w:bookmarkEnd w:id="114"/>
      <w:r>
        <w:t>Appendix C. Measurement architecture</w:t>
      </w:r>
      <w:bookmarkEnd w:id="116"/>
    </w:p>
    <w:p w14:paraId="7AA9EA2E" w14:textId="77777777" w:rsidR="001F0D49" w:rsidRDefault="00000000">
      <w:r>
        <w:rPr>
          <w:i/>
          <w:iCs/>
        </w:rPr>
        <w:t>Pilot measurement architecture of the CDI cascade</w:t>
      </w:r>
    </w:p>
    <w:p w14:paraId="6389EA5C" w14:textId="77777777" w:rsidR="001F0D49" w:rsidRDefault="00000000">
      <w:pPr>
        <w:pStyle w:val="31"/>
      </w:pPr>
      <w:bookmarkStart w:id="117" w:name="c.1.-purpose-of-the-appendix"/>
      <w:r>
        <w:t>C.1. Purpose of the appendix</w:t>
      </w:r>
    </w:p>
    <w:p w14:paraId="3CF0AACE" w14:textId="77777777" w:rsidR="001F0D49" w:rsidRDefault="00000000">
      <w:r>
        <w:t xml:space="preserve">The ATD main text remains first and foremost an </w:t>
      </w:r>
      <w:r>
        <w:rPr>
          <w:b/>
          <w:bCs/>
        </w:rPr>
        <w:t>analytical hypothesis paper</w:t>
      </w:r>
      <w:r>
        <w:t xml:space="preserve">. Once the evidence-layer register exists, the next step becomes possible: a move toward a </w:t>
      </w:r>
      <w:r>
        <w:rPr>
          <w:b/>
          <w:bCs/>
        </w:rPr>
        <w:t>measurement pilot</w:t>
      </w:r>
      <w:r>
        <w:t>. This does not require one integral index, but rather a working set of indicators that captures at least several indicators at each layer of the cascade.</w:t>
      </w:r>
    </w:p>
    <w:p w14:paraId="77D58370" w14:textId="77777777" w:rsidR="001F0D49" w:rsidRDefault="00000000">
      <w:pPr>
        <w:pStyle w:val="af"/>
      </w:pPr>
      <w:r>
        <w:rPr>
          <w:noProof/>
        </w:rPr>
        <w:drawing>
          <wp:inline distT="0" distB="0" distL="0" distR="0" wp14:anchorId="7866E4C1" wp14:editId="1E62BBD3">
            <wp:extent cx="5892800" cy="2983230"/>
            <wp:effectExtent l="0" t="0" r="0" b="0"/>
            <wp:docPr id="157" name="Picture"/>
            <wp:cNvGraphicFramePr/>
            <a:graphic xmlns:a="http://schemas.openxmlformats.org/drawingml/2006/main">
              <a:graphicData uri="http://schemas.openxmlformats.org/drawingml/2006/picture">
                <pic:pic xmlns:pic="http://schemas.openxmlformats.org/drawingml/2006/picture">
                  <pic:nvPicPr>
                    <pic:cNvPr id="158" name="Picture" descr="images/appendices/atd_app_f1_measurement_architecture_en.png"/>
                    <pic:cNvPicPr>
                      <a:picLocks noChangeAspect="1" noChangeArrowheads="1"/>
                    </pic:cNvPicPr>
                  </pic:nvPicPr>
                  <pic:blipFill>
                    <a:blip r:embed="rId37"/>
                    <a:stretch>
                      <a:fillRect/>
                    </a:stretch>
                  </pic:blipFill>
                  <pic:spPr bwMode="auto">
                    <a:xfrm>
                      <a:off x="0" y="0"/>
                      <a:ext cx="5892800" cy="2983230"/>
                    </a:xfrm>
                    <a:prstGeom prst="rect">
                      <a:avLst/>
                    </a:prstGeom>
                    <a:noFill/>
                    <a:ln w="9525">
                      <a:noFill/>
                      <a:headEnd/>
                      <a:tailEnd/>
                    </a:ln>
                  </pic:spPr>
                </pic:pic>
              </a:graphicData>
            </a:graphic>
          </wp:inline>
        </w:drawing>
      </w:r>
    </w:p>
    <w:p w14:paraId="55206163" w14:textId="77777777" w:rsidR="001F0D49" w:rsidRDefault="00000000">
      <w:pPr>
        <w:pStyle w:val="af"/>
      </w:pPr>
      <w:r>
        <w:t>Figure C1. Minimum architecture of a pilot measurement of the CDI cascade. The diagram sets the minimum pilot frame before the text moves to the indicator stack by cascade layer.</w:t>
      </w:r>
    </w:p>
    <w:p w14:paraId="5644FCFD" w14:textId="77777777" w:rsidR="001F0D49" w:rsidRDefault="00000000">
      <w:pPr>
        <w:pStyle w:val="31"/>
      </w:pPr>
      <w:bookmarkStart w:id="118" w:name="X2a7f2754a83c8c4e461996ebe9ae6cd0f392773"/>
      <w:bookmarkEnd w:id="117"/>
      <w:r>
        <w:lastRenderedPageBreak/>
        <w:t>C.2. Minimum pilot indicator set for digital and knowledge work</w:t>
      </w:r>
    </w:p>
    <w:p w14:paraId="2FAA5093" w14:textId="77777777" w:rsidR="001F0D49" w:rsidRDefault="00000000">
      <w:r>
        <w:rPr>
          <w:b/>
          <w:bCs/>
        </w:rPr>
        <w:t>Layer 1 — CDI proxies</w:t>
      </w:r>
    </w:p>
    <w:p w14:paraId="33E1E900" w14:textId="77777777" w:rsidR="001F0D49" w:rsidRDefault="00000000">
      <w:pPr>
        <w:numPr>
          <w:ilvl w:val="0"/>
          <w:numId w:val="92"/>
        </w:numPr>
      </w:pPr>
      <w:r>
        <w:t>meeting load;</w:t>
      </w:r>
    </w:p>
    <w:p w14:paraId="7CB4776B" w14:textId="77777777" w:rsidR="001F0D49" w:rsidRDefault="00000000">
      <w:pPr>
        <w:numPr>
          <w:ilvl w:val="0"/>
          <w:numId w:val="92"/>
        </w:numPr>
      </w:pPr>
      <w:r>
        <w:t>interruptions / notifications per hour;</w:t>
      </w:r>
    </w:p>
    <w:p w14:paraId="32563C95" w14:textId="77777777" w:rsidR="001F0D49" w:rsidRDefault="00000000">
      <w:pPr>
        <w:numPr>
          <w:ilvl w:val="0"/>
          <w:numId w:val="92"/>
        </w:numPr>
      </w:pPr>
      <w:r>
        <w:t>switching between tools;</w:t>
      </w:r>
    </w:p>
    <w:p w14:paraId="315EEB95" w14:textId="77777777" w:rsidR="001F0D49" w:rsidRDefault="00000000">
      <w:pPr>
        <w:numPr>
          <w:ilvl w:val="0"/>
          <w:numId w:val="92"/>
        </w:numPr>
      </w:pPr>
      <w:r>
        <w:t>share of protected focus time.</w:t>
      </w:r>
    </w:p>
    <w:p w14:paraId="21808999" w14:textId="77777777" w:rsidR="001F0D49" w:rsidRDefault="00000000">
      <w:r>
        <w:rPr>
          <w:b/>
          <w:bCs/>
        </w:rPr>
        <w:t>Data sources:</w:t>
      </w:r>
      <w:r>
        <w:t xml:space="preserve"> calendar telemetry, instant-messaging and email logs, desktop telemetry, short observation diary.</w:t>
      </w:r>
    </w:p>
    <w:p w14:paraId="5B2B7D95" w14:textId="77777777" w:rsidR="001F0D49" w:rsidRDefault="00000000">
      <w:pPr>
        <w:pStyle w:val="af"/>
      </w:pPr>
      <w:r>
        <w:rPr>
          <w:b/>
          <w:bCs/>
        </w:rPr>
        <w:t>Candidate event and sequence telemetry</w:t>
      </w:r>
    </w:p>
    <w:p w14:paraId="2E7DB684" w14:textId="77777777" w:rsidR="001F0D49" w:rsidRDefault="00000000">
      <w:pPr>
        <w:numPr>
          <w:ilvl w:val="0"/>
          <w:numId w:val="93"/>
        </w:numPr>
      </w:pPr>
      <w:r>
        <w:t>task_switch;</w:t>
      </w:r>
    </w:p>
    <w:p w14:paraId="27CFA352" w14:textId="77777777" w:rsidR="001F0D49" w:rsidRDefault="00000000">
      <w:pPr>
        <w:numPr>
          <w:ilvl w:val="0"/>
          <w:numId w:val="93"/>
        </w:numPr>
      </w:pPr>
      <w:r>
        <w:t>task_resume;</w:t>
      </w:r>
    </w:p>
    <w:p w14:paraId="63B9518F" w14:textId="77777777" w:rsidR="001F0D49" w:rsidRDefault="00000000">
      <w:pPr>
        <w:numPr>
          <w:ilvl w:val="0"/>
          <w:numId w:val="93"/>
        </w:numPr>
      </w:pPr>
      <w:r>
        <w:t>resumption_lag;</w:t>
      </w:r>
    </w:p>
    <w:p w14:paraId="577AD3CF" w14:textId="77777777" w:rsidR="001F0D49" w:rsidRDefault="00000000">
      <w:pPr>
        <w:numPr>
          <w:ilvl w:val="0"/>
          <w:numId w:val="93"/>
        </w:numPr>
      </w:pPr>
      <w:r>
        <w:t>wizard_step_completed;</w:t>
      </w:r>
    </w:p>
    <w:p w14:paraId="1E1C8584" w14:textId="77777777" w:rsidR="001F0D49" w:rsidRDefault="00000000">
      <w:pPr>
        <w:numPr>
          <w:ilvl w:val="0"/>
          <w:numId w:val="93"/>
        </w:numPr>
      </w:pPr>
      <w:r>
        <w:t>wizard_validation_error;</w:t>
      </w:r>
    </w:p>
    <w:p w14:paraId="473AE036" w14:textId="77777777" w:rsidR="001F0D49" w:rsidRDefault="00000000">
      <w:pPr>
        <w:numPr>
          <w:ilvl w:val="0"/>
          <w:numId w:val="93"/>
        </w:numPr>
      </w:pPr>
      <w:r>
        <w:t>context_handoff_created;</w:t>
      </w:r>
    </w:p>
    <w:p w14:paraId="38B8477E" w14:textId="77777777" w:rsidR="001F0D49" w:rsidRDefault="00000000">
      <w:pPr>
        <w:numPr>
          <w:ilvl w:val="0"/>
          <w:numId w:val="93"/>
        </w:numPr>
      </w:pPr>
      <w:r>
        <w:t>handoff_clarification_requested;</w:t>
      </w:r>
    </w:p>
    <w:p w14:paraId="109B7861" w14:textId="77777777" w:rsidR="001F0D49" w:rsidRDefault="00000000">
      <w:pPr>
        <w:numPr>
          <w:ilvl w:val="0"/>
          <w:numId w:val="93"/>
        </w:numPr>
      </w:pPr>
      <w:r>
        <w:t>handoff_acknowledgement_completed;</w:t>
      </w:r>
    </w:p>
    <w:p w14:paraId="3765DF48" w14:textId="77777777" w:rsidR="001F0D49" w:rsidRDefault="00000000">
      <w:pPr>
        <w:numPr>
          <w:ilvl w:val="0"/>
          <w:numId w:val="93"/>
        </w:numPr>
      </w:pPr>
      <w:r>
        <w:t>reopen_event;</w:t>
      </w:r>
    </w:p>
    <w:p w14:paraId="5A338FEB" w14:textId="77777777" w:rsidR="001F0D49" w:rsidRDefault="00000000">
      <w:pPr>
        <w:numPr>
          <w:ilvl w:val="0"/>
          <w:numId w:val="93"/>
        </w:numPr>
      </w:pPr>
      <w:r>
        <w:t>rework_event;</w:t>
      </w:r>
    </w:p>
    <w:p w14:paraId="0724FE25" w14:textId="77777777" w:rsidR="001F0D49" w:rsidRDefault="00000000">
      <w:pPr>
        <w:numPr>
          <w:ilvl w:val="0"/>
          <w:numId w:val="93"/>
        </w:numPr>
      </w:pPr>
      <w:r>
        <w:t>queue_wait_time;</w:t>
      </w:r>
    </w:p>
    <w:p w14:paraId="313687C4" w14:textId="77777777" w:rsidR="001F0D49" w:rsidRDefault="00000000">
      <w:pPr>
        <w:numPr>
          <w:ilvl w:val="0"/>
          <w:numId w:val="93"/>
        </w:numPr>
      </w:pPr>
      <w:r>
        <w:t>routing_error;</w:t>
      </w:r>
    </w:p>
    <w:p w14:paraId="14033822" w14:textId="77777777" w:rsidR="001F0D49" w:rsidRDefault="00000000">
      <w:pPr>
        <w:numPr>
          <w:ilvl w:val="0"/>
          <w:numId w:val="93"/>
        </w:numPr>
      </w:pPr>
      <w:r>
        <w:t>search_time_to_first_correct_action;</w:t>
      </w:r>
    </w:p>
    <w:p w14:paraId="5A8D203B" w14:textId="77777777" w:rsidR="001F0D49" w:rsidRDefault="00000000">
      <w:pPr>
        <w:numPr>
          <w:ilvl w:val="0"/>
          <w:numId w:val="93"/>
        </w:numPr>
      </w:pPr>
      <w:r>
        <w:t>ai_output_accepted_without_edit;</w:t>
      </w:r>
    </w:p>
    <w:p w14:paraId="731A53E4" w14:textId="77777777" w:rsidR="001F0D49" w:rsidRDefault="00000000">
      <w:pPr>
        <w:numPr>
          <w:ilvl w:val="0"/>
          <w:numId w:val="93"/>
        </w:numPr>
      </w:pPr>
      <w:r>
        <w:t>ai_output_revision_depth;</w:t>
      </w:r>
    </w:p>
    <w:p w14:paraId="54115793" w14:textId="77777777" w:rsidR="001F0D49" w:rsidRDefault="00000000">
      <w:pPr>
        <w:numPr>
          <w:ilvl w:val="0"/>
          <w:numId w:val="93"/>
        </w:numPr>
      </w:pPr>
      <w:r>
        <w:t>verification_step_completed.</w:t>
      </w:r>
    </w:p>
    <w:p w14:paraId="38598515" w14:textId="77777777" w:rsidR="001F0D49" w:rsidRDefault="00000000">
      <w:r>
        <w:t>The updated retrospective layer shows that future CDI calibration should value not only aggregate load, but also sequence-sensitive events that reveal entry cost, context reconstruction, re-explanation, rework, and verification burden.</w:t>
      </w:r>
    </w:p>
    <w:p w14:paraId="5D5358EF" w14:textId="77777777" w:rsidR="001F0D49" w:rsidRDefault="00000000">
      <w:pPr>
        <w:pStyle w:val="af"/>
      </w:pPr>
      <w:r>
        <w:rPr>
          <w:b/>
          <w:bCs/>
        </w:rPr>
        <w:t>Layer 2 — intermediate consequences</w:t>
      </w:r>
    </w:p>
    <w:p w14:paraId="6187AEA6" w14:textId="77777777" w:rsidR="001F0D49" w:rsidRDefault="00000000">
      <w:pPr>
        <w:numPr>
          <w:ilvl w:val="0"/>
          <w:numId w:val="94"/>
        </w:numPr>
      </w:pPr>
      <w:r>
        <w:t>NASA-TLX or a short strain scale;</w:t>
      </w:r>
    </w:p>
    <w:p w14:paraId="2D4410BD" w14:textId="77777777" w:rsidR="001F0D49" w:rsidRDefault="00000000">
      <w:pPr>
        <w:numPr>
          <w:ilvl w:val="0"/>
          <w:numId w:val="94"/>
        </w:numPr>
      </w:pPr>
      <w:r>
        <w:t>frequency of reopenings / rework;</w:t>
      </w:r>
    </w:p>
    <w:p w14:paraId="2742F4DC" w14:textId="77777777" w:rsidR="001F0D49" w:rsidRDefault="00000000">
      <w:pPr>
        <w:numPr>
          <w:ilvl w:val="0"/>
          <w:numId w:val="94"/>
        </w:numPr>
      </w:pPr>
      <w:r>
        <w:t>coordination failures;</w:t>
      </w:r>
    </w:p>
    <w:p w14:paraId="4EB8595D" w14:textId="77777777" w:rsidR="001F0D49" w:rsidRDefault="00000000">
      <w:pPr>
        <w:numPr>
          <w:ilvl w:val="0"/>
          <w:numId w:val="94"/>
        </w:numPr>
      </w:pPr>
      <w:r>
        <w:t>perceived chaos.</w:t>
      </w:r>
    </w:p>
    <w:p w14:paraId="11491C88" w14:textId="77777777" w:rsidR="001F0D49" w:rsidRDefault="00000000">
      <w:r>
        <w:rPr>
          <w:b/>
          <w:bCs/>
        </w:rPr>
        <w:t>Data sources:</w:t>
      </w:r>
      <w:r>
        <w:t xml:space="preserve"> survey plus task/incident tracker plus process logs.</w:t>
      </w:r>
    </w:p>
    <w:p w14:paraId="3CD8356B" w14:textId="77777777" w:rsidR="001F0D49" w:rsidRDefault="00000000">
      <w:pPr>
        <w:pStyle w:val="af"/>
      </w:pPr>
      <w:r>
        <w:rPr>
          <w:b/>
          <w:bCs/>
        </w:rPr>
        <w:t>Layer 3 — next-order downstream outcomes</w:t>
      </w:r>
    </w:p>
    <w:p w14:paraId="4D86238F" w14:textId="77777777" w:rsidR="001F0D49" w:rsidRDefault="00000000">
      <w:pPr>
        <w:numPr>
          <w:ilvl w:val="0"/>
          <w:numId w:val="95"/>
        </w:numPr>
      </w:pPr>
      <w:r>
        <w:lastRenderedPageBreak/>
        <w:t>well-being / engagement;</w:t>
      </w:r>
    </w:p>
    <w:p w14:paraId="2E0F0F0D" w14:textId="77777777" w:rsidR="001F0D49" w:rsidRDefault="00000000">
      <w:pPr>
        <w:numPr>
          <w:ilvl w:val="0"/>
          <w:numId w:val="95"/>
        </w:numPr>
      </w:pPr>
      <w:r>
        <w:t>throughput / pace of work;</w:t>
      </w:r>
    </w:p>
    <w:p w14:paraId="12C120FE" w14:textId="77777777" w:rsidR="001F0D49" w:rsidRDefault="00000000">
      <w:pPr>
        <w:numPr>
          <w:ilvl w:val="0"/>
          <w:numId w:val="95"/>
        </w:numPr>
      </w:pPr>
      <w:r>
        <w:t>work spillover into non-work time;</w:t>
      </w:r>
    </w:p>
    <w:p w14:paraId="161B7DC1" w14:textId="77777777" w:rsidR="001F0D49" w:rsidRDefault="00000000">
      <w:pPr>
        <w:numPr>
          <w:ilvl w:val="0"/>
          <w:numId w:val="95"/>
        </w:numPr>
      </w:pPr>
      <w:r>
        <w:t>burnout proxies.</w:t>
      </w:r>
    </w:p>
    <w:p w14:paraId="37B4018C" w14:textId="77777777" w:rsidR="001F0D49" w:rsidRDefault="00000000">
      <w:r>
        <w:rPr>
          <w:b/>
          <w:bCs/>
        </w:rPr>
        <w:t>Data sources:</w:t>
      </w:r>
      <w:r>
        <w:t xml:space="preserve"> survey plus productivity logs plus HR analytics.</w:t>
      </w:r>
    </w:p>
    <w:p w14:paraId="0FAC26B0" w14:textId="77777777" w:rsidR="001F0D49" w:rsidRDefault="00000000">
      <w:pPr>
        <w:pStyle w:val="31"/>
      </w:pPr>
      <w:bookmarkStart w:id="119" w:name="Xc650d945c07a92d45eef29746be4488799cf75f"/>
      <w:bookmarkEnd w:id="118"/>
      <w:r>
        <w:t>C.3. Minimum indicator set for clinical and operational settings</w:t>
      </w:r>
    </w:p>
    <w:p w14:paraId="5A54E4B5" w14:textId="77777777" w:rsidR="001F0D49" w:rsidRDefault="00000000">
      <w:r>
        <w:rPr>
          <w:b/>
          <w:bCs/>
        </w:rPr>
        <w:t>Layer 1 — CDI proxies</w:t>
      </w:r>
    </w:p>
    <w:p w14:paraId="05D6EB7E" w14:textId="77777777" w:rsidR="001F0D49" w:rsidRDefault="00000000">
      <w:pPr>
        <w:numPr>
          <w:ilvl w:val="0"/>
          <w:numId w:val="96"/>
        </w:numPr>
      </w:pPr>
      <w:r>
        <w:t>interruptions per hour;</w:t>
      </w:r>
    </w:p>
    <w:p w14:paraId="2114FE4B" w14:textId="77777777" w:rsidR="001F0D49" w:rsidRDefault="00000000">
      <w:pPr>
        <w:numPr>
          <w:ilvl w:val="0"/>
          <w:numId w:val="96"/>
        </w:numPr>
      </w:pPr>
      <w:r>
        <w:t>parallel tasks;</w:t>
      </w:r>
    </w:p>
    <w:p w14:paraId="3D6C3B98" w14:textId="77777777" w:rsidR="001F0D49" w:rsidRDefault="00000000">
      <w:pPr>
        <w:numPr>
          <w:ilvl w:val="0"/>
          <w:numId w:val="96"/>
        </w:numPr>
      </w:pPr>
      <w:r>
        <w:t>density of context handoffs;</w:t>
      </w:r>
    </w:p>
    <w:p w14:paraId="7C370078" w14:textId="77777777" w:rsidR="001F0D49" w:rsidRDefault="00000000">
      <w:pPr>
        <w:numPr>
          <w:ilvl w:val="0"/>
          <w:numId w:val="96"/>
        </w:numPr>
      </w:pPr>
      <w:r>
        <w:t>frequency of disruptions during medication rounds.</w:t>
      </w:r>
    </w:p>
    <w:p w14:paraId="6519FC05" w14:textId="77777777" w:rsidR="001F0D49" w:rsidRDefault="00000000">
      <w:r>
        <w:rPr>
          <w:b/>
          <w:bCs/>
        </w:rPr>
        <w:t>Data sources:</w:t>
      </w:r>
      <w:r>
        <w:t xml:space="preserve"> direct observation, process telemetry, audit.</w:t>
      </w:r>
    </w:p>
    <w:p w14:paraId="30E6328B" w14:textId="77777777" w:rsidR="001F0D49" w:rsidRDefault="00000000">
      <w:pPr>
        <w:pStyle w:val="af"/>
      </w:pPr>
      <w:r>
        <w:rPr>
          <w:b/>
          <w:bCs/>
        </w:rPr>
        <w:t>Layer 2 — intermediate consequences</w:t>
      </w:r>
    </w:p>
    <w:p w14:paraId="0A2DD976" w14:textId="77777777" w:rsidR="001F0D49" w:rsidRDefault="00000000">
      <w:pPr>
        <w:numPr>
          <w:ilvl w:val="0"/>
          <w:numId w:val="97"/>
        </w:numPr>
      </w:pPr>
      <w:r>
        <w:t>potentially preventable error;</w:t>
      </w:r>
    </w:p>
    <w:p w14:paraId="1BFC4AFA" w14:textId="77777777" w:rsidR="001F0D49" w:rsidRDefault="00000000">
      <w:pPr>
        <w:numPr>
          <w:ilvl w:val="0"/>
          <w:numId w:val="97"/>
        </w:numPr>
      </w:pPr>
      <w:r>
        <w:t>medication / process error;</w:t>
      </w:r>
    </w:p>
    <w:p w14:paraId="38D51AC2" w14:textId="77777777" w:rsidR="001F0D49" w:rsidRDefault="00000000">
      <w:pPr>
        <w:numPr>
          <w:ilvl w:val="0"/>
          <w:numId w:val="97"/>
        </w:numPr>
      </w:pPr>
      <w:r>
        <w:t>multitasking frequency;</w:t>
      </w:r>
    </w:p>
    <w:p w14:paraId="62705852" w14:textId="77777777" w:rsidR="001F0D49" w:rsidRDefault="00000000">
      <w:pPr>
        <w:numPr>
          <w:ilvl w:val="0"/>
          <w:numId w:val="97"/>
        </w:numPr>
      </w:pPr>
      <w:r>
        <w:t>perceived workload.</w:t>
      </w:r>
    </w:p>
    <w:p w14:paraId="0AF92572" w14:textId="77777777" w:rsidR="001F0D49" w:rsidRDefault="00000000">
      <w:r>
        <w:rPr>
          <w:b/>
          <w:bCs/>
        </w:rPr>
        <w:t>Data sources:</w:t>
      </w:r>
      <w:r>
        <w:t xml:space="preserve"> safety logs plus observation plus staff survey.</w:t>
      </w:r>
    </w:p>
    <w:p w14:paraId="131E5039" w14:textId="77777777" w:rsidR="001F0D49" w:rsidRDefault="00000000">
      <w:pPr>
        <w:pStyle w:val="af"/>
      </w:pPr>
      <w:r>
        <w:rPr>
          <w:b/>
          <w:bCs/>
        </w:rPr>
        <w:t>Layer 3 — next-order downstream outcomes</w:t>
      </w:r>
    </w:p>
    <w:p w14:paraId="0CF84AF7" w14:textId="77777777" w:rsidR="001F0D49" w:rsidRDefault="00000000">
      <w:pPr>
        <w:numPr>
          <w:ilvl w:val="0"/>
          <w:numId w:val="98"/>
        </w:numPr>
      </w:pPr>
      <w:r>
        <w:t>patient-safety proxies;</w:t>
      </w:r>
    </w:p>
    <w:p w14:paraId="2C60984F" w14:textId="77777777" w:rsidR="001F0D49" w:rsidRDefault="00000000">
      <w:pPr>
        <w:numPr>
          <w:ilvl w:val="0"/>
          <w:numId w:val="98"/>
        </w:numPr>
      </w:pPr>
      <w:r>
        <w:t>delay / discharge time;</w:t>
      </w:r>
    </w:p>
    <w:p w14:paraId="10BFD97B" w14:textId="77777777" w:rsidR="001F0D49" w:rsidRDefault="00000000">
      <w:pPr>
        <w:numPr>
          <w:ilvl w:val="0"/>
          <w:numId w:val="98"/>
        </w:numPr>
      </w:pPr>
      <w:r>
        <w:t>staff burnout;</w:t>
      </w:r>
    </w:p>
    <w:p w14:paraId="2B0701CD" w14:textId="77777777" w:rsidR="001F0D49" w:rsidRDefault="00000000">
      <w:pPr>
        <w:numPr>
          <w:ilvl w:val="0"/>
          <w:numId w:val="98"/>
        </w:numPr>
      </w:pPr>
      <w:r>
        <w:t>quality outcomes.</w:t>
      </w:r>
    </w:p>
    <w:p w14:paraId="46DCDF34" w14:textId="77777777" w:rsidR="001F0D49" w:rsidRDefault="00000000">
      <w:r>
        <w:rPr>
          <w:b/>
          <w:bCs/>
        </w:rPr>
        <w:t>Data sources:</w:t>
      </w:r>
      <w:r>
        <w:t xml:space="preserve"> patient-safety systems plus operating dashboard plus HR survey.</w:t>
      </w:r>
    </w:p>
    <w:p w14:paraId="226B9D8B" w14:textId="77777777" w:rsidR="001F0D49" w:rsidRDefault="00000000">
      <w:pPr>
        <w:pStyle w:val="31"/>
      </w:pPr>
      <w:bookmarkStart w:id="120" w:name="X0df72a684d89f99fa9565450f3eaf9a18ccc4ec"/>
      <w:bookmarkEnd w:id="119"/>
      <w:r>
        <w:t>C.4. Logic for interpreting pilot results</w:t>
      </w:r>
    </w:p>
    <w:p w14:paraId="15879432" w14:textId="77777777" w:rsidR="001F0D49" w:rsidRDefault="00000000">
      <w:r>
        <w:t xml:space="preserve">For a strict interpretation, it is not enough merely to see that “something improved.” One has to track the </w:t>
      </w:r>
      <w:r>
        <w:rPr>
          <w:b/>
          <w:bCs/>
        </w:rPr>
        <w:t>order in which effects appear</w:t>
      </w:r>
      <w:r>
        <w:t>:</w:t>
      </w:r>
    </w:p>
    <w:p w14:paraId="0D4D0C92" w14:textId="77777777" w:rsidR="001F0D49" w:rsidRDefault="00000000">
      <w:pPr>
        <w:numPr>
          <w:ilvl w:val="0"/>
          <w:numId w:val="99"/>
        </w:numPr>
      </w:pPr>
      <w:r>
        <w:t xml:space="preserve">first, part of the </w:t>
      </w:r>
      <w:r>
        <w:rPr>
          <w:b/>
          <w:bCs/>
        </w:rPr>
        <w:t>CDI proxies</w:t>
      </w:r>
      <w:r>
        <w:t xml:space="preserve"> should shift;</w:t>
      </w:r>
    </w:p>
    <w:p w14:paraId="5FE7FEAD" w14:textId="77777777" w:rsidR="001F0D49" w:rsidRDefault="00000000">
      <w:pPr>
        <w:numPr>
          <w:ilvl w:val="0"/>
          <w:numId w:val="99"/>
        </w:numPr>
      </w:pPr>
      <w:r>
        <w:t xml:space="preserve">then the </w:t>
      </w:r>
      <w:r>
        <w:rPr>
          <w:b/>
          <w:bCs/>
        </w:rPr>
        <w:t>intermediate consequences</w:t>
      </w:r>
      <w:r>
        <w:t xml:space="preserve"> should move;</w:t>
      </w:r>
    </w:p>
    <w:p w14:paraId="6222112E" w14:textId="77777777" w:rsidR="001F0D49" w:rsidRDefault="00000000">
      <w:pPr>
        <w:numPr>
          <w:ilvl w:val="0"/>
          <w:numId w:val="99"/>
        </w:numPr>
      </w:pPr>
      <w:r>
        <w:t xml:space="preserve">only after that should more distant </w:t>
      </w:r>
      <w:r>
        <w:rPr>
          <w:b/>
          <w:bCs/>
        </w:rPr>
        <w:t>next-order outcomes</w:t>
      </w:r>
      <w:r>
        <w:t xml:space="preserve"> begin to shift.</w:t>
      </w:r>
    </w:p>
    <w:p w14:paraId="4FFA05D9" w14:textId="77777777" w:rsidR="001F0D49" w:rsidRDefault="00000000">
      <w:r>
        <w:t>That is why very early claims of the form “one measure immediately improved everything” should be treated with suspicion until the temporal and causal structure of change is shown.</w:t>
      </w:r>
    </w:p>
    <w:p w14:paraId="45BF4480" w14:textId="77777777" w:rsidR="001F0D49" w:rsidRDefault="00000000">
      <w:pPr>
        <w:pStyle w:val="af"/>
      </w:pPr>
      <w:r>
        <w:t>Additional rules of interpretation:</w:t>
      </w:r>
    </w:p>
    <w:p w14:paraId="55B3C734" w14:textId="77777777" w:rsidR="001F0D49" w:rsidRDefault="00000000">
      <w:pPr>
        <w:numPr>
          <w:ilvl w:val="0"/>
          <w:numId w:val="100"/>
        </w:numPr>
      </w:pPr>
      <w:r>
        <w:t>the absence of a shift in distant outcomes over a short window does not automatically refute the intervention;</w:t>
      </w:r>
    </w:p>
    <w:p w14:paraId="6CEDF486" w14:textId="77777777" w:rsidR="001F0D49" w:rsidRDefault="00000000">
      <w:pPr>
        <w:numPr>
          <w:ilvl w:val="0"/>
          <w:numId w:val="100"/>
        </w:numPr>
      </w:pPr>
      <w:r>
        <w:lastRenderedPageBreak/>
        <w:t>a mismatch between fast proxies and slow outcomes is itself informative;</w:t>
      </w:r>
    </w:p>
    <w:p w14:paraId="7FCAA253" w14:textId="77777777" w:rsidR="001F0D49" w:rsidRDefault="00000000">
      <w:pPr>
        <w:numPr>
          <w:ilvl w:val="0"/>
          <w:numId w:val="100"/>
        </w:numPr>
      </w:pPr>
      <w:r>
        <w:t>improvement in one channel combined with deterioration in another should be read as a compensation pattern, not as a simple success or failure.</w:t>
      </w:r>
    </w:p>
    <w:p w14:paraId="1BC24EDA" w14:textId="77777777" w:rsidR="001F0D49" w:rsidRDefault="00000000">
      <w:pPr>
        <w:pStyle w:val="31"/>
      </w:pPr>
      <w:bookmarkStart w:id="121" w:name="c.5.-preferred-next-step-designs"/>
      <w:bookmarkEnd w:id="120"/>
      <w:r>
        <w:t>C.5. Preferred next-step designs</w:t>
      </w:r>
    </w:p>
    <w:p w14:paraId="0857CF0D" w14:textId="77777777" w:rsidR="001F0D49" w:rsidRDefault="00000000">
      <w:r>
        <w:t>The most useful designs for ATD appear to be:</w:t>
      </w:r>
    </w:p>
    <w:p w14:paraId="2BAECEA3" w14:textId="77777777" w:rsidR="001F0D49" w:rsidRDefault="00000000">
      <w:pPr>
        <w:numPr>
          <w:ilvl w:val="0"/>
          <w:numId w:val="101"/>
        </w:numPr>
      </w:pPr>
      <w:r>
        <w:rPr>
          <w:b/>
          <w:bCs/>
        </w:rPr>
        <w:t>multimethod randomized or quasi-experimental designs in development or knowledge-work teams</w:t>
      </w:r>
      <w:r>
        <w:t xml:space="preserve"> — reducing meetings, protecting focus time, and applying “do not disturb” protocols, while tracking telemetry, rework, well-being, and throughput;</w:t>
      </w:r>
    </w:p>
    <w:p w14:paraId="6C39FD6F" w14:textId="77777777" w:rsidR="001F0D49" w:rsidRDefault="00000000">
      <w:pPr>
        <w:numPr>
          <w:ilvl w:val="0"/>
          <w:numId w:val="101"/>
        </w:numPr>
      </w:pPr>
      <w:r>
        <w:rPr>
          <w:b/>
          <w:bCs/>
        </w:rPr>
        <w:t>panel studies combining corporate telemetry, surveys, and quality logs</w:t>
      </w:r>
      <w:r>
        <w:t xml:space="preserve"> — to connect digital-work proxies with rework, burnout, work spillover, and stay/leave intentions;</w:t>
      </w:r>
    </w:p>
    <w:p w14:paraId="07BC6A56" w14:textId="77777777" w:rsidR="001F0D49" w:rsidRDefault="00000000">
      <w:pPr>
        <w:numPr>
          <w:ilvl w:val="0"/>
          <w:numId w:val="101"/>
        </w:numPr>
      </w:pPr>
      <w:r>
        <w:rPr>
          <w:b/>
          <w:bCs/>
        </w:rPr>
        <w:t>clinical or operational stepped-wedge designs</w:t>
      </w:r>
      <w:r>
        <w:t xml:space="preserve"> — for environments in which interruptions and potentially preventable errors can be observed more reliably and objectively;</w:t>
      </w:r>
    </w:p>
    <w:p w14:paraId="62482501" w14:textId="77777777" w:rsidR="001F0D49" w:rsidRDefault="00000000">
      <w:pPr>
        <w:numPr>
          <w:ilvl w:val="0"/>
          <w:numId w:val="101"/>
        </w:numPr>
      </w:pPr>
      <w:r>
        <w:rPr>
          <w:b/>
          <w:bCs/>
        </w:rPr>
        <w:t>studies of handoff and continuity redesign</w:t>
      </w:r>
      <w:r>
        <w:t xml:space="preserve"> — where the cost of handoff, clarification loops, and post-handoff rework can be seen separately;</w:t>
      </w:r>
    </w:p>
    <w:p w14:paraId="04C0874F" w14:textId="77777777" w:rsidR="001F0D49" w:rsidRDefault="00000000">
      <w:pPr>
        <w:numPr>
          <w:ilvl w:val="0"/>
          <w:numId w:val="101"/>
        </w:numPr>
      </w:pPr>
      <w:r>
        <w:rPr>
          <w:b/>
          <w:bCs/>
        </w:rPr>
        <w:t>AI-assisted task studies with explicit verification and delayed retention checks</w:t>
      </w:r>
      <w:r>
        <w:t xml:space="preserve"> — so that local acceleration is not confused with durable cognitive augmentation.</w:t>
      </w:r>
    </w:p>
    <w:p w14:paraId="6913A369" w14:textId="77777777" w:rsidR="001F0D49" w:rsidRDefault="00000000">
      <w:pPr>
        <w:pStyle w:val="31"/>
      </w:pPr>
      <w:bookmarkStart w:id="122" w:name="Xee8607e86eaba5b86232efee283ae693ef793ab"/>
      <w:bookmarkEnd w:id="121"/>
      <w:r>
        <w:t>C.6. Practical meaning of the appendix for ATD</w:t>
      </w:r>
    </w:p>
    <w:p w14:paraId="3170D873" w14:textId="77777777" w:rsidR="001F0D49" w:rsidRDefault="00000000">
      <w:r>
        <w:t xml:space="preserve">This appendix is not meant to declare CDI “already measured,” but to show </w:t>
      </w:r>
      <w:r>
        <w:rPr>
          <w:b/>
          <w:bCs/>
        </w:rPr>
        <w:t>how</w:t>
      </w:r>
      <w:r>
        <w:t xml:space="preserve"> ATD can move from a theoretical paper toward a pilot measurement program. It links the language of proxies, intermediate consequences, and downstream outcomes to concrete classes of data and designs suitable for the next step.</w:t>
      </w:r>
    </w:p>
    <w:p w14:paraId="512C7D6E" w14:textId="77777777" w:rsidR="001F0D49" w:rsidRDefault="00000000">
      <w:r>
        <w:pict w14:anchorId="4CCC3CEF">
          <v:rect id="_x0000_i2490" style="width:0;height:1.5pt" o:hralign="center" o:hrstd="t" o:hr="t"/>
        </w:pict>
      </w:r>
    </w:p>
    <w:p w14:paraId="32D4D401" w14:textId="77777777" w:rsidR="001F0D49" w:rsidRDefault="00000000">
      <w:pPr>
        <w:pStyle w:val="21"/>
      </w:pPr>
      <w:bookmarkStart w:id="123" w:name="X88f049a04afa00a924b2bd26c565015fe4f64a6"/>
      <w:bookmarkStart w:id="124" w:name="_Toc226514458"/>
      <w:bookmarkEnd w:id="115"/>
      <w:bookmarkEnd w:id="122"/>
      <w:r>
        <w:t>Appendix D. Preliminary global estimate of systemic coordination and context losses</w:t>
      </w:r>
      <w:bookmarkEnd w:id="124"/>
    </w:p>
    <w:p w14:paraId="29D60B8C" w14:textId="77777777" w:rsidR="001F0D49" w:rsidRDefault="00000000">
      <w:pPr>
        <w:pStyle w:val="31"/>
      </w:pPr>
      <w:bookmarkStart w:id="125" w:name="status-of-the-estimate"/>
      <w:r>
        <w:t>Status of the estimate</w:t>
      </w:r>
    </w:p>
    <w:p w14:paraId="1385C3E4" w14:textId="77777777" w:rsidR="001F0D49" w:rsidRDefault="00000000">
      <w:r>
        <w:t xml:space="preserve">This appendix presents a </w:t>
      </w:r>
      <w:r>
        <w:rPr>
          <w:b/>
          <w:bCs/>
        </w:rPr>
        <w:t>preliminary range estimate of order of magnitude</w:t>
      </w:r>
      <w:r>
        <w:t>, not a precise global accounting metric.</w:t>
      </w:r>
    </w:p>
    <w:p w14:paraId="0DB8C6FE" w14:textId="77777777" w:rsidR="001F0D49" w:rsidRDefault="00000000">
      <w:pPr>
        <w:pStyle w:val="af"/>
      </w:pPr>
      <w:r>
        <w:t>Its purpose is:</w:t>
      </w:r>
    </w:p>
    <w:p w14:paraId="04B6A47E" w14:textId="77777777" w:rsidR="001F0D49" w:rsidRDefault="00000000">
      <w:pPr>
        <w:numPr>
          <w:ilvl w:val="0"/>
          <w:numId w:val="102"/>
        </w:numPr>
      </w:pPr>
      <w:r>
        <w:t xml:space="preserve">to show that the mechanism described in ATD has not only a cognitive and organizational dimension, but also a </w:t>
      </w:r>
      <w:r>
        <w:rPr>
          <w:b/>
          <w:bCs/>
        </w:rPr>
        <w:t>measurable economic dimension</w:t>
      </w:r>
      <w:r>
        <w:t>;</w:t>
      </w:r>
    </w:p>
    <w:p w14:paraId="6DD11B4F" w14:textId="77777777" w:rsidR="001F0D49" w:rsidRDefault="00000000">
      <w:pPr>
        <w:numPr>
          <w:ilvl w:val="0"/>
          <w:numId w:val="102"/>
        </w:numPr>
      </w:pPr>
      <w:r>
        <w:t xml:space="preserve">to provide a </w:t>
      </w:r>
      <w:r>
        <w:rPr>
          <w:b/>
          <w:bCs/>
        </w:rPr>
        <w:t>monetary projection</w:t>
      </w:r>
      <w:r>
        <w:t xml:space="preserve"> of the mechanism described in the main text without reducing the mechanism to money itself;</w:t>
      </w:r>
    </w:p>
    <w:p w14:paraId="0A11A5FB" w14:textId="77777777" w:rsidR="001F0D49" w:rsidRDefault="00000000">
      <w:pPr>
        <w:numPr>
          <w:ilvl w:val="0"/>
          <w:numId w:val="102"/>
        </w:numPr>
      </w:pPr>
      <w:r>
        <w:t xml:space="preserve">to state the </w:t>
      </w:r>
      <w:r>
        <w:rPr>
          <w:b/>
          <w:bCs/>
        </w:rPr>
        <w:t>assumptions, inclusion boundaries, and interpretive limits</w:t>
      </w:r>
      <w:r>
        <w:t xml:space="preserve"> of the estimate.</w:t>
      </w:r>
    </w:p>
    <w:p w14:paraId="62194075" w14:textId="77777777" w:rsidR="001F0D49" w:rsidRDefault="00000000">
      <w:r>
        <w:t>This estimate should be read as:</w:t>
      </w:r>
    </w:p>
    <w:p w14:paraId="7DCAC422" w14:textId="77777777" w:rsidR="001F0D49" w:rsidRDefault="00000000">
      <w:pPr>
        <w:numPr>
          <w:ilvl w:val="0"/>
          <w:numId w:val="103"/>
        </w:numPr>
      </w:pPr>
      <w:r>
        <w:t xml:space="preserve">a </w:t>
      </w:r>
      <w:r>
        <w:rPr>
          <w:b/>
          <w:bCs/>
        </w:rPr>
        <w:t>preliminary order-of-magnitude estimate</w:t>
      </w:r>
      <w:r>
        <w:t>;</w:t>
      </w:r>
    </w:p>
    <w:p w14:paraId="66D34150" w14:textId="77777777" w:rsidR="001F0D49" w:rsidRDefault="00000000">
      <w:pPr>
        <w:numPr>
          <w:ilvl w:val="0"/>
          <w:numId w:val="103"/>
        </w:numPr>
      </w:pPr>
      <w:r>
        <w:t xml:space="preserve">a </w:t>
      </w:r>
      <w:r>
        <w:rPr>
          <w:b/>
          <w:bCs/>
        </w:rPr>
        <w:t>research estimation frame</w:t>
      </w:r>
      <w:r>
        <w:t>;</w:t>
      </w:r>
    </w:p>
    <w:p w14:paraId="517D88BB" w14:textId="77777777" w:rsidR="001F0D49" w:rsidRDefault="00000000">
      <w:pPr>
        <w:numPr>
          <w:ilvl w:val="0"/>
          <w:numId w:val="103"/>
        </w:numPr>
      </w:pPr>
      <w:r>
        <w:t xml:space="preserve">a </w:t>
      </w:r>
      <w:r>
        <w:rPr>
          <w:b/>
          <w:bCs/>
        </w:rPr>
        <w:t>conservative working estimate</w:t>
      </w:r>
      <w:r>
        <w:t>, not an official world statistic.</w:t>
      </w:r>
    </w:p>
    <w:p w14:paraId="57F352A3" w14:textId="77777777" w:rsidR="001F0D49" w:rsidRDefault="00000000">
      <w:pPr>
        <w:pStyle w:val="31"/>
      </w:pPr>
      <w:bookmarkStart w:id="126" w:name="d.1.-what-is-being-estimated"/>
      <w:bookmarkEnd w:id="125"/>
      <w:r>
        <w:lastRenderedPageBreak/>
        <w:t>D.1. What is being estimated</w:t>
      </w:r>
    </w:p>
    <w:p w14:paraId="2CB615DA" w14:textId="77777777" w:rsidR="001F0D49" w:rsidRDefault="00000000">
      <w:r>
        <w:t>This appendix does not estimate “the full cost of complexity” or “the total harm of the digital environment.”</w:t>
      </w:r>
    </w:p>
    <w:p w14:paraId="60710F7B" w14:textId="77777777" w:rsidR="001F0D49" w:rsidRDefault="00000000">
      <w:pPr>
        <w:pStyle w:val="af"/>
      </w:pPr>
      <w:r>
        <w:t xml:space="preserve">Its object is </w:t>
      </w:r>
      <w:r>
        <w:rPr>
          <w:b/>
          <w:bCs/>
        </w:rPr>
        <w:t>systemic coordination and context losses</w:t>
      </w:r>
      <w:r>
        <w:t xml:space="preserve">: the costs a system bears </w:t>
      </w:r>
      <w:r>
        <w:rPr>
          <w:b/>
          <w:bCs/>
        </w:rPr>
        <w:t>not in the work itself</w:t>
      </w:r>
      <w:r>
        <w:t xml:space="preserve">, but in the work </w:t>
      </w:r>
      <w:r>
        <w:rPr>
          <w:b/>
          <w:bCs/>
        </w:rPr>
        <w:t>around the work</w:t>
      </w:r>
      <w:r>
        <w:t xml:space="preserve"> and in the loss of the ability to retain, reconstruct, and transfer context.</w:t>
      </w:r>
    </w:p>
    <w:p w14:paraId="6C6BBFDE" w14:textId="77777777" w:rsidR="001F0D49" w:rsidRDefault="00000000">
      <w:pPr>
        <w:pStyle w:val="af"/>
      </w:pPr>
      <w:r>
        <w:t>This loss layer includes:</w:t>
      </w:r>
    </w:p>
    <w:p w14:paraId="7CAC8DD9" w14:textId="77777777" w:rsidR="001F0D49" w:rsidRDefault="00000000">
      <w:pPr>
        <w:numPr>
          <w:ilvl w:val="0"/>
          <w:numId w:val="104"/>
        </w:numPr>
      </w:pPr>
      <w:r>
        <w:t>excessive switching;</w:t>
      </w:r>
    </w:p>
    <w:p w14:paraId="02CAB4BF" w14:textId="77777777" w:rsidR="001F0D49" w:rsidRDefault="00000000">
      <w:pPr>
        <w:numPr>
          <w:ilvl w:val="0"/>
          <w:numId w:val="104"/>
        </w:numPr>
      </w:pPr>
      <w:r>
        <w:t>context reconstruction;</w:t>
      </w:r>
    </w:p>
    <w:p w14:paraId="3584C10E" w14:textId="77777777" w:rsidR="001F0D49" w:rsidRDefault="00000000">
      <w:pPr>
        <w:numPr>
          <w:ilvl w:val="0"/>
          <w:numId w:val="104"/>
        </w:numPr>
      </w:pPr>
      <w:r>
        <w:t>search and repackaging of information;</w:t>
      </w:r>
    </w:p>
    <w:p w14:paraId="40EEFC5F" w14:textId="77777777" w:rsidR="001F0D49" w:rsidRDefault="00000000">
      <w:pPr>
        <w:numPr>
          <w:ilvl w:val="0"/>
          <w:numId w:val="104"/>
        </w:numPr>
      </w:pPr>
      <w:r>
        <w:t>poor state transfer between people, roles, and systems;</w:t>
      </w:r>
    </w:p>
    <w:p w14:paraId="2B54A187" w14:textId="77777777" w:rsidR="001F0D49" w:rsidRDefault="00000000">
      <w:pPr>
        <w:numPr>
          <w:ilvl w:val="0"/>
          <w:numId w:val="104"/>
        </w:numPr>
      </w:pPr>
      <w:r>
        <w:t>excessive meetings and approvals;</w:t>
      </w:r>
    </w:p>
    <w:p w14:paraId="68C589CA" w14:textId="77777777" w:rsidR="001F0D49" w:rsidRDefault="00000000">
      <w:pPr>
        <w:numPr>
          <w:ilvl w:val="0"/>
          <w:numId w:val="104"/>
        </w:numPr>
      </w:pPr>
      <w:r>
        <w:t>rework;</w:t>
      </w:r>
    </w:p>
    <w:p w14:paraId="7D43EABD" w14:textId="77777777" w:rsidR="001F0D49" w:rsidRDefault="00000000">
      <w:pPr>
        <w:numPr>
          <w:ilvl w:val="0"/>
          <w:numId w:val="104"/>
        </w:numPr>
      </w:pPr>
      <w:r>
        <w:t>delays in context transfer;</w:t>
      </w:r>
    </w:p>
    <w:p w14:paraId="31914521" w14:textId="77777777" w:rsidR="001F0D49" w:rsidRDefault="00000000">
      <w:pPr>
        <w:numPr>
          <w:ilvl w:val="0"/>
          <w:numId w:val="104"/>
        </w:numPr>
      </w:pPr>
      <w:r>
        <w:t>overload that converts into lower quality, weaker resilience, and diminished adaptive capacity.</w:t>
      </w:r>
    </w:p>
    <w:p w14:paraId="2D15CF31" w14:textId="77777777" w:rsidR="001F0D49" w:rsidRDefault="00000000">
      <w:r>
        <w:t>In ATD terms, this is a monetary projection of the chain:</w:t>
      </w:r>
    </w:p>
    <w:p w14:paraId="38BA5A3A" w14:textId="77777777" w:rsidR="001F0D49" w:rsidRDefault="00000000">
      <w:pPr>
        <w:pStyle w:val="af"/>
      </w:pPr>
      <w:r>
        <w:rPr>
          <w:b/>
          <w:bCs/>
        </w:rPr>
        <w:t>pressure → context degradation → coordination tax → adaptive erosion</w:t>
      </w:r>
    </w:p>
    <w:p w14:paraId="60242B3A" w14:textId="77777777" w:rsidR="001F0D49" w:rsidRDefault="00000000">
      <w:pPr>
        <w:pStyle w:val="31"/>
      </w:pPr>
      <w:bookmarkStart w:id="127" w:name="X0335080ecc24c5ccf30268ffba3defbe62a92e9"/>
      <w:bookmarkEnd w:id="126"/>
      <w:r>
        <w:t>D.2. Why a monetary projection is used here</w:t>
      </w:r>
    </w:p>
    <w:p w14:paraId="669B26D6" w14:textId="77777777" w:rsidR="001F0D49" w:rsidRDefault="00000000">
      <w:r>
        <w:t xml:space="preserve">The monetary projection serves here as an </w:t>
      </w:r>
      <w:r>
        <w:rPr>
          <w:b/>
          <w:bCs/>
        </w:rPr>
        <w:t>external integral indicator</w:t>
      </w:r>
      <w:r>
        <w:t>: it places heterogeneous organizational and cognitive losses on a common scale and makes the already-paid loss layer visible.</w:t>
      </w:r>
    </w:p>
    <w:p w14:paraId="692DC69E" w14:textId="77777777" w:rsidR="001F0D49" w:rsidRDefault="00000000">
      <w:pPr>
        <w:pStyle w:val="af"/>
      </w:pPr>
      <w:r>
        <w:t xml:space="preserve">At the same time, the monetary estimate should not be read separately from the mechanism. Money here is treated as a </w:t>
      </w:r>
      <w:r>
        <w:rPr>
          <w:b/>
          <w:bCs/>
        </w:rPr>
        <w:t>collected external total</w:t>
      </w:r>
      <w:r>
        <w:t xml:space="preserve"> built from several kinds of losses:</w:t>
      </w:r>
    </w:p>
    <w:p w14:paraId="1C29844D" w14:textId="77777777" w:rsidR="001F0D49" w:rsidRDefault="00000000">
      <w:pPr>
        <w:numPr>
          <w:ilvl w:val="0"/>
          <w:numId w:val="105"/>
        </w:numPr>
      </w:pPr>
      <w:r>
        <w:t>lost time;</w:t>
      </w:r>
    </w:p>
    <w:p w14:paraId="7FC53CD5" w14:textId="77777777" w:rsidR="001F0D49" w:rsidRDefault="00000000">
      <w:pPr>
        <w:numPr>
          <w:ilvl w:val="0"/>
          <w:numId w:val="105"/>
        </w:numPr>
      </w:pPr>
      <w:r>
        <w:t>rework;</w:t>
      </w:r>
    </w:p>
    <w:p w14:paraId="4CBBC6CB" w14:textId="77777777" w:rsidR="001F0D49" w:rsidRDefault="00000000">
      <w:pPr>
        <w:numPr>
          <w:ilvl w:val="0"/>
          <w:numId w:val="105"/>
        </w:numPr>
      </w:pPr>
      <w:r>
        <w:t>delays;</w:t>
      </w:r>
    </w:p>
    <w:p w14:paraId="5AC626B2" w14:textId="77777777" w:rsidR="001F0D49" w:rsidRDefault="00000000">
      <w:pPr>
        <w:numPr>
          <w:ilvl w:val="0"/>
          <w:numId w:val="105"/>
        </w:numPr>
      </w:pPr>
      <w:r>
        <w:t>lower productivity and resilience under overload.</w:t>
      </w:r>
    </w:p>
    <w:p w14:paraId="7EC76968" w14:textId="77777777" w:rsidR="001F0D49" w:rsidRDefault="00000000">
      <w:pPr>
        <w:pStyle w:val="31"/>
      </w:pPr>
      <w:bookmarkStart w:id="128" w:name="d.3.-estimation-logic"/>
      <w:bookmarkEnd w:id="127"/>
      <w:r>
        <w:t>D.3. Estimation logic</w:t>
      </w:r>
    </w:p>
    <w:p w14:paraId="4323A674" w14:textId="77777777" w:rsidR="001F0D49" w:rsidRDefault="00000000">
      <w:pPr>
        <w:pStyle w:val="4"/>
      </w:pPr>
      <w:bookmarkStart w:id="129" w:name="basic-logic"/>
      <w:r>
        <w:t>Basic logic</w:t>
      </w:r>
    </w:p>
    <w:p w14:paraId="49B58ABB" w14:textId="77777777" w:rsidR="001F0D49" w:rsidRDefault="00000000">
      <w:r>
        <w:t xml:space="preserve">The </w:t>
      </w:r>
      <w:r>
        <w:rPr>
          <w:b/>
          <w:bCs/>
        </w:rPr>
        <w:t>global cost of systemic coordination and context losses</w:t>
      </w:r>
      <w:r>
        <w:t xml:space="preserve"> is assembled from four blocks:</w:t>
      </w:r>
    </w:p>
    <w:p w14:paraId="5497F290" w14:textId="77777777" w:rsidR="001F0D49" w:rsidRDefault="00000000">
      <w:pPr>
        <w:numPr>
          <w:ilvl w:val="0"/>
          <w:numId w:val="106"/>
        </w:numPr>
      </w:pPr>
      <w:r>
        <w:rPr>
          <w:b/>
          <w:bCs/>
        </w:rPr>
        <w:t>losses from work around the work</w:t>
      </w:r>
      <w:r>
        <w:t xml:space="preserve"> — meetings, approvals, search, switching, meaning repackaging, and manual coordination;</w:t>
      </w:r>
    </w:p>
    <w:p w14:paraId="644154DA" w14:textId="77777777" w:rsidR="001F0D49" w:rsidRDefault="00000000">
      <w:pPr>
        <w:numPr>
          <w:ilvl w:val="0"/>
          <w:numId w:val="106"/>
        </w:numPr>
      </w:pPr>
      <w:r>
        <w:rPr>
          <w:b/>
          <w:bCs/>
        </w:rPr>
        <w:t>losses from context reconstruction and fragmentation</w:t>
      </w:r>
      <w:r>
        <w:t xml:space="preserve"> — interruption load, app switching, task switching, delayed resumption, and search burden;</w:t>
      </w:r>
    </w:p>
    <w:p w14:paraId="39612788" w14:textId="77777777" w:rsidR="001F0D49" w:rsidRDefault="00000000">
      <w:pPr>
        <w:numPr>
          <w:ilvl w:val="0"/>
          <w:numId w:val="106"/>
        </w:numPr>
      </w:pPr>
      <w:r>
        <w:rPr>
          <w:b/>
          <w:bCs/>
        </w:rPr>
        <w:lastRenderedPageBreak/>
        <w:t>losses from rework and low-quality context transfer</w:t>
      </w:r>
      <w:r>
        <w:t xml:space="preserve"> — repeated cycles, late verification, and correction of work that was poorly assembled or transferred without sufficient context;</w:t>
      </w:r>
    </w:p>
    <w:p w14:paraId="5F365B4E" w14:textId="77777777" w:rsidR="001F0D49" w:rsidRDefault="00000000">
      <w:pPr>
        <w:numPr>
          <w:ilvl w:val="0"/>
          <w:numId w:val="106"/>
        </w:numPr>
      </w:pPr>
      <w:r>
        <w:rPr>
          <w:b/>
          <w:bCs/>
        </w:rPr>
        <w:t>losses from adaptive erosion</w:t>
      </w:r>
      <w:r>
        <w:t xml:space="preserve"> — slower productivity, rising mental burden, burnout, and weaker system resilience under further complexity.</w:t>
      </w:r>
    </w:p>
    <w:p w14:paraId="4359A371" w14:textId="77777777" w:rsidR="001F0D49" w:rsidRDefault="00000000">
      <w:pPr>
        <w:pStyle w:val="4"/>
      </w:pPr>
      <w:bookmarkStart w:id="130" w:name="simplified-working-formula"/>
      <w:bookmarkEnd w:id="129"/>
      <w:r>
        <w:t>Simplified working formula</w:t>
      </w:r>
    </w:p>
    <w:p w14:paraId="60DFF34D" w14:textId="77777777" w:rsidR="001F0D49" w:rsidRDefault="00000000">
      <w:r>
        <w:rPr>
          <w:b/>
          <w:bCs/>
        </w:rPr>
        <w:t>Global systemic coordination and context losses</w:t>
      </w:r>
      <w:r>
        <w:t xml:space="preserve"> ≈</w:t>
      </w:r>
    </w:p>
    <w:p w14:paraId="0A85B53B" w14:textId="77777777" w:rsidR="001F0D49" w:rsidRDefault="00000000">
      <w:pPr>
        <w:pStyle w:val="af"/>
      </w:pPr>
      <w:r>
        <w:rPr>
          <w:b/>
          <w:bCs/>
        </w:rPr>
        <w:t>loss from work about work</w:t>
      </w:r>
    </w:p>
    <w:p w14:paraId="46864D42" w14:textId="77777777" w:rsidR="001F0D49" w:rsidRDefault="00000000">
      <w:pPr>
        <w:numPr>
          <w:ilvl w:val="0"/>
          <w:numId w:val="107"/>
        </w:numPr>
      </w:pPr>
      <w:r>
        <w:rPr>
          <w:b/>
          <w:bCs/>
        </w:rPr>
        <w:t>loss from context reconstruction and switching</w:t>
      </w:r>
      <w:r>
        <w:br/>
      </w:r>
    </w:p>
    <w:p w14:paraId="294EB8FD" w14:textId="77777777" w:rsidR="001F0D49" w:rsidRDefault="00000000">
      <w:pPr>
        <w:numPr>
          <w:ilvl w:val="0"/>
          <w:numId w:val="107"/>
        </w:numPr>
      </w:pPr>
      <w:r>
        <w:rPr>
          <w:b/>
          <w:bCs/>
        </w:rPr>
        <w:t>loss from rework and context-transfer friction</w:t>
      </w:r>
      <w:r>
        <w:br/>
      </w:r>
    </w:p>
    <w:p w14:paraId="4C1B9DD9" w14:textId="77777777" w:rsidR="001F0D49" w:rsidRDefault="00000000">
      <w:pPr>
        <w:numPr>
          <w:ilvl w:val="0"/>
          <w:numId w:val="107"/>
        </w:numPr>
      </w:pPr>
      <w:r>
        <w:rPr>
          <w:b/>
          <w:bCs/>
        </w:rPr>
        <w:t>loss from human overload translated into lower productivity and resilience</w:t>
      </w:r>
    </w:p>
    <w:p w14:paraId="5A8362CD" w14:textId="77777777" w:rsidR="001F0D49" w:rsidRDefault="00000000">
      <w:r>
        <w:t>This is a working integral estimation frame rather than a closed accounting identity.</w:t>
      </w:r>
    </w:p>
    <w:p w14:paraId="7D722B8F" w14:textId="77777777" w:rsidR="001F0D49" w:rsidRDefault="00000000">
      <w:pPr>
        <w:pStyle w:val="31"/>
      </w:pPr>
      <w:bookmarkStart w:id="131" w:name="d.4.-three-levels-of-estimate"/>
      <w:bookmarkEnd w:id="128"/>
      <w:bookmarkEnd w:id="130"/>
      <w:r>
        <w:t>D.4. Three levels of estimate</w:t>
      </w:r>
    </w:p>
    <w:p w14:paraId="1FFE0C08" w14:textId="77777777" w:rsidR="001F0D49" w:rsidRDefault="00000000">
      <w:r>
        <w:t xml:space="preserve">To avoid presenting a preliminary estimate as a “precise world figure,” this appendix uses </w:t>
      </w:r>
      <w:r>
        <w:rPr>
          <w:b/>
          <w:bCs/>
        </w:rPr>
        <w:t>three levels</w:t>
      </w:r>
      <w:r>
        <w:t>.</w:t>
      </w:r>
    </w:p>
    <w:p w14:paraId="702044C7" w14:textId="77777777" w:rsidR="001F0D49" w:rsidRDefault="00000000">
      <w:pPr>
        <w:pStyle w:val="4"/>
      </w:pPr>
      <w:bookmarkStart w:id="132" w:name="hard-lower-anchor"/>
      <w:r>
        <w:t>1. Hard lower anchor</w:t>
      </w:r>
    </w:p>
    <w:p w14:paraId="20FB7723" w14:textId="77777777" w:rsidR="001F0D49" w:rsidRDefault="00000000">
      <w:r>
        <w:rPr>
          <w:b/>
          <w:bCs/>
        </w:rPr>
        <w:t>$0.4+ trillion per year</w:t>
      </w:r>
    </w:p>
    <w:p w14:paraId="6A164278" w14:textId="77777777" w:rsidR="001F0D49" w:rsidRDefault="00000000">
      <w:pPr>
        <w:pStyle w:val="af"/>
      </w:pPr>
      <w:r>
        <w:t>This is the minimum order of magnitude that can already be held as a hard lower anchor.</w:t>
      </w:r>
    </w:p>
    <w:p w14:paraId="7300DDBE" w14:textId="77777777" w:rsidR="001F0D49" w:rsidRDefault="00000000">
      <w:pPr>
        <w:pStyle w:val="af"/>
      </w:pPr>
      <w:r>
        <w:t>Logic:</w:t>
      </w:r>
    </w:p>
    <w:p w14:paraId="0347AE4D" w14:textId="77777777" w:rsidR="001F0D49" w:rsidRDefault="00000000">
      <w:pPr>
        <w:numPr>
          <w:ilvl w:val="0"/>
          <w:numId w:val="108"/>
        </w:numPr>
      </w:pPr>
      <w:r>
        <w:t>even global losses from low engagement and organizational inefficiency alone are already measured in the hundreds of billions of dollars;</w:t>
      </w:r>
    </w:p>
    <w:p w14:paraId="6FF65F37" w14:textId="77777777" w:rsidR="001F0D49" w:rsidRDefault="00000000">
      <w:pPr>
        <w:numPr>
          <w:ilvl w:val="0"/>
          <w:numId w:val="108"/>
        </w:numPr>
      </w:pPr>
      <w:r>
        <w:t>this covers only part of what ATD treats as systemic coordination and context losses;</w:t>
      </w:r>
    </w:p>
    <w:p w14:paraId="59AFB75E" w14:textId="77777777" w:rsidR="001F0D49" w:rsidRDefault="00000000">
      <w:pPr>
        <w:numPr>
          <w:ilvl w:val="0"/>
          <w:numId w:val="108"/>
        </w:numPr>
      </w:pPr>
      <w:r>
        <w:t xml:space="preserve">therefore, </w:t>
      </w:r>
      <w:r>
        <w:rPr>
          <w:b/>
          <w:bCs/>
        </w:rPr>
        <w:t>the “hundreds of billions” level is a lower bound, not an upper one</w:t>
      </w:r>
      <w:r>
        <w:t>.</w:t>
      </w:r>
    </w:p>
    <w:p w14:paraId="451A81C4" w14:textId="77777777" w:rsidR="001F0D49" w:rsidRDefault="00000000">
      <w:pPr>
        <w:pStyle w:val="4"/>
      </w:pPr>
      <w:bookmarkStart w:id="133" w:name="conservative-working-estimate"/>
      <w:bookmarkEnd w:id="132"/>
      <w:r>
        <w:t>2. Conservative working estimate</w:t>
      </w:r>
    </w:p>
    <w:p w14:paraId="24F11645" w14:textId="77777777" w:rsidR="001F0D49" w:rsidRDefault="00000000">
      <w:r>
        <w:rPr>
          <w:b/>
          <w:bCs/>
        </w:rPr>
        <w:t>$2+ trillion per year</w:t>
      </w:r>
    </w:p>
    <w:p w14:paraId="4FF01548" w14:textId="77777777" w:rsidR="001F0D49" w:rsidRDefault="00000000">
      <w:pPr>
        <w:pStyle w:val="af"/>
      </w:pPr>
      <w:r>
        <w:t xml:space="preserve">This is the main reference level within this appendix as a </w:t>
      </w:r>
      <w:r>
        <w:rPr>
          <w:b/>
          <w:bCs/>
        </w:rPr>
        <w:t>conservative working estimate</w:t>
      </w:r>
      <w:r>
        <w:t>.</w:t>
      </w:r>
    </w:p>
    <w:p w14:paraId="486D382F" w14:textId="77777777" w:rsidR="001F0D49" w:rsidRDefault="00000000">
      <w:pPr>
        <w:pStyle w:val="af"/>
      </w:pPr>
      <w:r>
        <w:t>Why this level:</w:t>
      </w:r>
    </w:p>
    <w:p w14:paraId="2111326D" w14:textId="77777777" w:rsidR="001F0D49" w:rsidRDefault="00000000">
      <w:pPr>
        <w:numPr>
          <w:ilvl w:val="0"/>
          <w:numId w:val="109"/>
        </w:numPr>
      </w:pPr>
      <w:r>
        <w:t>it is already clearly above the hard lower anchor;</w:t>
      </w:r>
    </w:p>
    <w:p w14:paraId="2BC840C9" w14:textId="77777777" w:rsidR="001F0D49" w:rsidRDefault="00000000">
      <w:pPr>
        <w:numPr>
          <w:ilvl w:val="0"/>
          <w:numId w:val="109"/>
        </w:numPr>
      </w:pPr>
      <w:r>
        <w:t>it does not require an aggressive reading of the evidence layer;</w:t>
      </w:r>
    </w:p>
    <w:p w14:paraId="3C6A39E8" w14:textId="77777777" w:rsidR="001F0D49" w:rsidRDefault="00000000">
      <w:pPr>
        <w:numPr>
          <w:ilvl w:val="0"/>
          <w:numId w:val="109"/>
        </w:numPr>
      </w:pPr>
      <w:r>
        <w:t>it fits the idea that systemic coordination and context losses should be read as a system-level loss layer visible at economic scale rather than as local team losses.</w:t>
      </w:r>
    </w:p>
    <w:p w14:paraId="523C5FC8" w14:textId="77777777" w:rsidR="001F0D49" w:rsidRDefault="00000000">
      <w:pPr>
        <w:pStyle w:val="4"/>
      </w:pPr>
      <w:bookmarkStart w:id="134" w:name="extended-plausibility-range"/>
      <w:bookmarkEnd w:id="133"/>
      <w:r>
        <w:t>3. Extended plausibility range</w:t>
      </w:r>
    </w:p>
    <w:p w14:paraId="71336813" w14:textId="77777777" w:rsidR="001F0D49" w:rsidRDefault="00000000">
      <w:r>
        <w:rPr>
          <w:b/>
          <w:bCs/>
        </w:rPr>
        <w:t>up to $5+ trillion per year</w:t>
      </w:r>
    </w:p>
    <w:p w14:paraId="5C2C9ABC" w14:textId="77777777" w:rsidR="001F0D49" w:rsidRDefault="00000000">
      <w:pPr>
        <w:pStyle w:val="af"/>
      </w:pPr>
      <w:r>
        <w:t xml:space="preserve">This is an </w:t>
      </w:r>
      <w:r>
        <w:rPr>
          <w:b/>
          <w:bCs/>
        </w:rPr>
        <w:t>extended plausibility range</w:t>
      </w:r>
      <w:r>
        <w:t xml:space="preserve"> if one includes a wider loss layer:</w:t>
      </w:r>
    </w:p>
    <w:p w14:paraId="363905A0" w14:textId="77777777" w:rsidR="001F0D49" w:rsidRDefault="00000000">
      <w:pPr>
        <w:numPr>
          <w:ilvl w:val="0"/>
          <w:numId w:val="110"/>
        </w:numPr>
      </w:pPr>
      <w:r>
        <w:t>work about work;</w:t>
      </w:r>
    </w:p>
    <w:p w14:paraId="4499911C" w14:textId="77777777" w:rsidR="001F0D49" w:rsidRDefault="00000000">
      <w:pPr>
        <w:numPr>
          <w:ilvl w:val="0"/>
          <w:numId w:val="110"/>
        </w:numPr>
      </w:pPr>
      <w:r>
        <w:lastRenderedPageBreak/>
        <w:t>interruptions;</w:t>
      </w:r>
    </w:p>
    <w:p w14:paraId="5260ABAC" w14:textId="77777777" w:rsidR="001F0D49" w:rsidRDefault="00000000">
      <w:pPr>
        <w:numPr>
          <w:ilvl w:val="0"/>
          <w:numId w:val="110"/>
        </w:numPr>
      </w:pPr>
      <w:r>
        <w:t>rework;</w:t>
      </w:r>
    </w:p>
    <w:p w14:paraId="61A6D0C8" w14:textId="77777777" w:rsidR="001F0D49" w:rsidRDefault="00000000">
      <w:pPr>
        <w:numPr>
          <w:ilvl w:val="0"/>
          <w:numId w:val="110"/>
        </w:numPr>
      </w:pPr>
      <w:r>
        <w:t>meeting overload;</w:t>
      </w:r>
    </w:p>
    <w:p w14:paraId="57A466B1" w14:textId="77777777" w:rsidR="001F0D49" w:rsidRDefault="00000000">
      <w:pPr>
        <w:numPr>
          <w:ilvl w:val="0"/>
          <w:numId w:val="110"/>
        </w:numPr>
      </w:pPr>
      <w:r>
        <w:t>search;</w:t>
      </w:r>
    </w:p>
    <w:p w14:paraId="59046C91" w14:textId="77777777" w:rsidR="001F0D49" w:rsidRDefault="00000000">
      <w:pPr>
        <w:numPr>
          <w:ilvl w:val="0"/>
          <w:numId w:val="110"/>
        </w:numPr>
      </w:pPr>
      <w:r>
        <w:t>tool sprawl;</w:t>
      </w:r>
    </w:p>
    <w:p w14:paraId="19C5CF78" w14:textId="77777777" w:rsidR="001F0D49" w:rsidRDefault="00000000">
      <w:pPr>
        <w:numPr>
          <w:ilvl w:val="0"/>
          <w:numId w:val="110"/>
        </w:numPr>
      </w:pPr>
      <w:r>
        <w:t>quality loss;</w:t>
      </w:r>
    </w:p>
    <w:p w14:paraId="54B4EB6F" w14:textId="77777777" w:rsidR="001F0D49" w:rsidRDefault="00000000">
      <w:pPr>
        <w:numPr>
          <w:ilvl w:val="0"/>
          <w:numId w:val="110"/>
        </w:numPr>
      </w:pPr>
      <w:r>
        <w:t>overload-driven erosion of adaptive capacity.</w:t>
      </w:r>
    </w:p>
    <w:p w14:paraId="3BB8EE0C" w14:textId="77777777" w:rsidR="001F0D49" w:rsidRDefault="00000000">
      <w:r>
        <w:rPr>
          <w:noProof/>
        </w:rPr>
        <w:drawing>
          <wp:inline distT="0" distB="0" distL="0" distR="0" wp14:anchorId="524A67E7" wp14:editId="0B80E2E9">
            <wp:extent cx="5892800" cy="2751201"/>
            <wp:effectExtent l="0" t="0" r="0" b="0"/>
            <wp:docPr id="175" name="Picture"/>
            <wp:cNvGraphicFramePr/>
            <a:graphic xmlns:a="http://schemas.openxmlformats.org/drawingml/2006/main">
              <a:graphicData uri="http://schemas.openxmlformats.org/drawingml/2006/picture">
                <pic:pic xmlns:pic="http://schemas.openxmlformats.org/drawingml/2006/picture">
                  <pic:nvPicPr>
                    <pic:cNvPr id="176" name="Picture" descr="images/appendices/atd_app_d3_magnitude_estimate_en.png"/>
                    <pic:cNvPicPr>
                      <a:picLocks noChangeAspect="1" noChangeArrowheads="1"/>
                    </pic:cNvPicPr>
                  </pic:nvPicPr>
                  <pic:blipFill>
                    <a:blip r:embed="rId38"/>
                    <a:stretch>
                      <a:fillRect/>
                    </a:stretch>
                  </pic:blipFill>
                  <pic:spPr bwMode="auto">
                    <a:xfrm>
                      <a:off x="0" y="0"/>
                      <a:ext cx="5892800" cy="2751201"/>
                    </a:xfrm>
                    <a:prstGeom prst="rect">
                      <a:avLst/>
                    </a:prstGeom>
                    <a:noFill/>
                    <a:ln w="9525">
                      <a:noFill/>
                      <a:headEnd/>
                      <a:tailEnd/>
                    </a:ln>
                  </pic:spPr>
                </pic:pic>
              </a:graphicData>
            </a:graphic>
          </wp:inline>
        </w:drawing>
      </w:r>
    </w:p>
    <w:p w14:paraId="40910B57" w14:textId="77777777" w:rsidR="001F0D49" w:rsidRDefault="00000000">
      <w:pPr>
        <w:pStyle w:val="af"/>
      </w:pPr>
      <w:r>
        <w:t>Figure D1. Three levels of the preliminary monetary estimate of systemic coordination and context losses. The diagram assembles a hard lower anchor, a conservative working estimate, and an extended plausibility range as a stratified frame rather than as one “precise world figure.”</w:t>
      </w:r>
    </w:p>
    <w:p w14:paraId="176CDF4D" w14:textId="77777777" w:rsidR="001F0D49" w:rsidRDefault="00000000">
      <w:pPr>
        <w:pStyle w:val="31"/>
      </w:pPr>
      <w:bookmarkStart w:id="135" w:name="d.5.-basis-of-the-range"/>
      <w:bookmarkEnd w:id="131"/>
      <w:bookmarkEnd w:id="134"/>
      <w:r>
        <w:t>D.5. Basis of the range</w:t>
      </w:r>
    </w:p>
    <w:p w14:paraId="46BF4684" w14:textId="77777777" w:rsidR="001F0D49" w:rsidRDefault="00000000">
      <w:r>
        <w:t xml:space="preserve">The estimate is grounded in a </w:t>
      </w:r>
      <w:r>
        <w:rPr>
          <w:b/>
          <w:bCs/>
        </w:rPr>
        <w:t>convergent layer of independent data and proxy signals</w:t>
      </w:r>
      <w:r>
        <w:t>.</w:t>
      </w:r>
    </w:p>
    <w:p w14:paraId="330122FA" w14:textId="77777777" w:rsidR="001F0D49" w:rsidRDefault="00000000">
      <w:pPr>
        <w:pStyle w:val="4"/>
      </w:pPr>
      <w:bookmarkStart w:id="136" w:name="lower-monetary-anchor"/>
      <w:r>
        <w:t>1. Lower monetary anchor</w:t>
      </w:r>
    </w:p>
    <w:p w14:paraId="4DA78F4F" w14:textId="77777777" w:rsidR="001F0D49" w:rsidRDefault="00000000">
      <w:r>
        <w:t>It is needed to show that the issue already operates at least at the level of hundreds of billions rather than in the range of millions or tens of billions.</w:t>
      </w:r>
    </w:p>
    <w:p w14:paraId="3031B646" w14:textId="77777777" w:rsidR="001F0D49" w:rsidRDefault="00000000">
      <w:pPr>
        <w:pStyle w:val="4"/>
      </w:pPr>
      <w:bookmarkStart w:id="137" w:name="coordination-layer"/>
      <w:bookmarkEnd w:id="136"/>
      <w:r>
        <w:t>2. Coordination layer</w:t>
      </w:r>
    </w:p>
    <w:p w14:paraId="7E2A5678" w14:textId="77777777" w:rsidR="001F0D49" w:rsidRDefault="00000000">
      <w:r>
        <w:t>This includes signals such as:</w:t>
      </w:r>
    </w:p>
    <w:p w14:paraId="39443EE4" w14:textId="77777777" w:rsidR="001F0D49" w:rsidRDefault="00000000">
      <w:pPr>
        <w:numPr>
          <w:ilvl w:val="0"/>
          <w:numId w:val="111"/>
        </w:numPr>
      </w:pPr>
      <w:r>
        <w:t>shares of time spent on work about work;</w:t>
      </w:r>
    </w:p>
    <w:p w14:paraId="0A2D9011" w14:textId="77777777" w:rsidR="001F0D49" w:rsidRDefault="00000000">
      <w:pPr>
        <w:numPr>
          <w:ilvl w:val="0"/>
          <w:numId w:val="111"/>
        </w:numPr>
      </w:pPr>
      <w:r>
        <w:t>meeting overload;</w:t>
      </w:r>
    </w:p>
    <w:p w14:paraId="10FC8A7C" w14:textId="77777777" w:rsidR="001F0D49" w:rsidRDefault="00000000">
      <w:pPr>
        <w:numPr>
          <w:ilvl w:val="0"/>
          <w:numId w:val="111"/>
        </w:numPr>
      </w:pPr>
      <w:r>
        <w:t>search burden;</w:t>
      </w:r>
    </w:p>
    <w:p w14:paraId="43597443" w14:textId="77777777" w:rsidR="001F0D49" w:rsidRDefault="00000000">
      <w:pPr>
        <w:numPr>
          <w:ilvl w:val="0"/>
          <w:numId w:val="111"/>
        </w:numPr>
      </w:pPr>
      <w:r>
        <w:t>coordination overload;</w:t>
      </w:r>
    </w:p>
    <w:p w14:paraId="59CE178A" w14:textId="77777777" w:rsidR="001F0D49" w:rsidRDefault="00000000">
      <w:pPr>
        <w:numPr>
          <w:ilvl w:val="0"/>
          <w:numId w:val="111"/>
        </w:numPr>
      </w:pPr>
      <w:r>
        <w:t>hidden communication costs.</w:t>
      </w:r>
    </w:p>
    <w:p w14:paraId="5269E3DF" w14:textId="77777777" w:rsidR="001F0D49" w:rsidRDefault="00000000">
      <w:r>
        <w:t xml:space="preserve">At this level, a few concrete anchors from the evidence layer are especially useful: </w:t>
      </w:r>
      <w:r>
        <w:rPr>
          <w:b/>
          <w:bCs/>
        </w:rPr>
        <w:t>Asana</w:t>
      </w:r>
      <w:r>
        <w:t xml:space="preserve"> reports that roughly </w:t>
      </w:r>
      <w:r>
        <w:rPr>
          <w:b/>
          <w:bCs/>
        </w:rPr>
        <w:t>58% of the workday</w:t>
      </w:r>
      <w:r>
        <w:t xml:space="preserve"> is spent on work about work; </w:t>
      </w:r>
      <w:r>
        <w:rPr>
          <w:b/>
          <w:bCs/>
        </w:rPr>
        <w:t>McKinsey</w:t>
      </w:r>
      <w:r>
        <w:t xml:space="preserve"> estimated that about </w:t>
      </w:r>
      <w:r>
        <w:rPr>
          <w:b/>
          <w:bCs/>
        </w:rPr>
        <w:t>28% of the workweek</w:t>
      </w:r>
      <w:r>
        <w:t xml:space="preserve"> goes to email and about </w:t>
      </w:r>
      <w:r>
        <w:rPr>
          <w:b/>
          <w:bCs/>
        </w:rPr>
        <w:t>19%</w:t>
      </w:r>
      <w:r>
        <w:t xml:space="preserve"> to information search; </w:t>
      </w:r>
      <w:r>
        <w:rPr>
          <w:b/>
          <w:bCs/>
        </w:rPr>
        <w:t>Gallup</w:t>
      </w:r>
      <w:r>
        <w:t xml:space="preserve"> has already framed low-engagement productivity loss in the </w:t>
      </w:r>
      <w:r>
        <w:rPr>
          <w:b/>
          <w:bCs/>
        </w:rPr>
        <w:t>hundreds of billions of dollars</w:t>
      </w:r>
      <w:r>
        <w:t xml:space="preserve"> at global scale. </w:t>
      </w:r>
      <w:r>
        <w:lastRenderedPageBreak/>
        <w:t>These figures should not be summed mechanically. Their role is to show that the loss layer is materially real rather than rhetorical.</w:t>
      </w:r>
    </w:p>
    <w:p w14:paraId="4357BA94" w14:textId="77777777" w:rsidR="001F0D49" w:rsidRDefault="00000000">
      <w:pPr>
        <w:pStyle w:val="4"/>
      </w:pPr>
      <w:bookmarkStart w:id="138" w:name="context-degradation-layer"/>
      <w:bookmarkEnd w:id="137"/>
      <w:r>
        <w:t>3. Context-degradation layer</w:t>
      </w:r>
    </w:p>
    <w:p w14:paraId="179D8E12" w14:textId="77777777" w:rsidR="001F0D49" w:rsidRDefault="00000000">
      <w:r>
        <w:t>This includes:</w:t>
      </w:r>
    </w:p>
    <w:p w14:paraId="125FF4E6" w14:textId="77777777" w:rsidR="001F0D49" w:rsidRDefault="00000000">
      <w:pPr>
        <w:numPr>
          <w:ilvl w:val="0"/>
          <w:numId w:val="112"/>
        </w:numPr>
      </w:pPr>
      <w:r>
        <w:t>interruption burden;</w:t>
      </w:r>
    </w:p>
    <w:p w14:paraId="0642E36A" w14:textId="77777777" w:rsidR="001F0D49" w:rsidRDefault="00000000">
      <w:pPr>
        <w:numPr>
          <w:ilvl w:val="0"/>
          <w:numId w:val="112"/>
        </w:numPr>
      </w:pPr>
      <w:r>
        <w:t>fragmentation;</w:t>
      </w:r>
    </w:p>
    <w:p w14:paraId="4F1B1467" w14:textId="77777777" w:rsidR="001F0D49" w:rsidRDefault="00000000">
      <w:pPr>
        <w:numPr>
          <w:ilvl w:val="0"/>
          <w:numId w:val="112"/>
        </w:numPr>
      </w:pPr>
      <w:r>
        <w:t>task switching;</w:t>
      </w:r>
    </w:p>
    <w:p w14:paraId="5CEA846A" w14:textId="77777777" w:rsidR="001F0D49" w:rsidRDefault="00000000">
      <w:pPr>
        <w:numPr>
          <w:ilvl w:val="0"/>
          <w:numId w:val="112"/>
        </w:numPr>
      </w:pPr>
      <w:r>
        <w:t>app switching;</w:t>
      </w:r>
    </w:p>
    <w:p w14:paraId="2BE6BDE9" w14:textId="77777777" w:rsidR="001F0D49" w:rsidRDefault="00000000">
      <w:pPr>
        <w:numPr>
          <w:ilvl w:val="0"/>
          <w:numId w:val="112"/>
        </w:numPr>
      </w:pPr>
      <w:r>
        <w:t>context-reconstruction costs.</w:t>
      </w:r>
    </w:p>
    <w:p w14:paraId="4E106098" w14:textId="77777777" w:rsidR="001F0D49" w:rsidRDefault="00000000">
      <w:pPr>
        <w:pStyle w:val="4"/>
      </w:pPr>
      <w:bookmarkStart w:id="139" w:name="output-side-erosion-layer"/>
      <w:bookmarkEnd w:id="138"/>
      <w:r>
        <w:t>4. Output-side erosion layer</w:t>
      </w:r>
    </w:p>
    <w:p w14:paraId="655695F6" w14:textId="77777777" w:rsidR="001F0D49" w:rsidRDefault="00000000">
      <w:r>
        <w:t>This includes:</w:t>
      </w:r>
    </w:p>
    <w:p w14:paraId="45C3EA0A" w14:textId="77777777" w:rsidR="001F0D49" w:rsidRDefault="00000000">
      <w:pPr>
        <w:numPr>
          <w:ilvl w:val="0"/>
          <w:numId w:val="113"/>
        </w:numPr>
      </w:pPr>
      <w:r>
        <w:t>productivity slowdown;</w:t>
      </w:r>
    </w:p>
    <w:p w14:paraId="07F65C26" w14:textId="77777777" w:rsidR="001F0D49" w:rsidRDefault="00000000">
      <w:pPr>
        <w:numPr>
          <w:ilvl w:val="0"/>
          <w:numId w:val="113"/>
        </w:numPr>
      </w:pPr>
      <w:r>
        <w:t>lower resilience;</w:t>
      </w:r>
    </w:p>
    <w:p w14:paraId="1139E178" w14:textId="77777777" w:rsidR="001F0D49" w:rsidRDefault="00000000">
      <w:pPr>
        <w:numPr>
          <w:ilvl w:val="0"/>
          <w:numId w:val="113"/>
        </w:numPr>
      </w:pPr>
      <w:r>
        <w:t>rising burden that affects the output side of the system rather than only a local operation.</w:t>
      </w:r>
    </w:p>
    <w:p w14:paraId="748B6CE4" w14:textId="77777777" w:rsidR="001F0D49" w:rsidRDefault="00000000">
      <w:r>
        <w:t xml:space="preserve">The range is therefore derived from a </w:t>
      </w:r>
      <w:r>
        <w:rPr>
          <w:b/>
          <w:bCs/>
        </w:rPr>
        <w:t>convergent layer of monetizable and quasi-monetizable signals</w:t>
      </w:r>
      <w:r>
        <w:t>, not from a single elegant formula.</w:t>
      </w:r>
    </w:p>
    <w:p w14:paraId="23DD5ECA" w14:textId="77777777" w:rsidR="001F0D49" w:rsidRDefault="00000000">
      <w:pPr>
        <w:pStyle w:val="31"/>
      </w:pPr>
      <w:bookmarkStart w:id="140" w:name="d.6.-what-is-included-in-the-estimate"/>
      <w:bookmarkEnd w:id="135"/>
      <w:bookmarkEnd w:id="139"/>
      <w:r>
        <w:t>D.6. What is included in the estimate</w:t>
      </w:r>
    </w:p>
    <w:p w14:paraId="7E8A3DE0" w14:textId="77777777" w:rsidR="001F0D49" w:rsidRDefault="00000000">
      <w:pPr>
        <w:pStyle w:val="4"/>
      </w:pPr>
      <w:bookmarkStart w:id="141" w:name="included-or-partly-included"/>
      <w:r>
        <w:t>Included or partly included</w:t>
      </w:r>
    </w:p>
    <w:p w14:paraId="1874BA0E" w14:textId="77777777" w:rsidR="001F0D49" w:rsidRDefault="00000000">
      <w:pPr>
        <w:numPr>
          <w:ilvl w:val="0"/>
          <w:numId w:val="114"/>
        </w:numPr>
      </w:pPr>
      <w:r>
        <w:t>time losses from work about work;</w:t>
      </w:r>
    </w:p>
    <w:p w14:paraId="51127258" w14:textId="77777777" w:rsidR="001F0D49" w:rsidRDefault="00000000">
      <w:pPr>
        <w:numPr>
          <w:ilvl w:val="0"/>
          <w:numId w:val="114"/>
        </w:numPr>
      </w:pPr>
      <w:r>
        <w:t>coordination overhead;</w:t>
      </w:r>
    </w:p>
    <w:p w14:paraId="4BB969D8" w14:textId="77777777" w:rsidR="001F0D49" w:rsidRDefault="00000000">
      <w:pPr>
        <w:numPr>
          <w:ilvl w:val="0"/>
          <w:numId w:val="114"/>
        </w:numPr>
      </w:pPr>
      <w:r>
        <w:t>search and context-transfer friction;</w:t>
      </w:r>
    </w:p>
    <w:p w14:paraId="231E4F13" w14:textId="77777777" w:rsidR="001F0D49" w:rsidRDefault="00000000">
      <w:pPr>
        <w:numPr>
          <w:ilvl w:val="0"/>
          <w:numId w:val="114"/>
        </w:numPr>
      </w:pPr>
      <w:r>
        <w:t>context-reconstruction costs;</w:t>
      </w:r>
    </w:p>
    <w:p w14:paraId="5CCC49F1" w14:textId="77777777" w:rsidR="001F0D49" w:rsidRDefault="00000000">
      <w:pPr>
        <w:numPr>
          <w:ilvl w:val="0"/>
          <w:numId w:val="114"/>
        </w:numPr>
      </w:pPr>
      <w:r>
        <w:t>rework;</w:t>
      </w:r>
    </w:p>
    <w:p w14:paraId="243D8BAD" w14:textId="77777777" w:rsidR="001F0D49" w:rsidRDefault="00000000">
      <w:pPr>
        <w:numPr>
          <w:ilvl w:val="0"/>
          <w:numId w:val="114"/>
        </w:numPr>
      </w:pPr>
      <w:r>
        <w:t>meeting overload;</w:t>
      </w:r>
    </w:p>
    <w:p w14:paraId="68243F9E" w14:textId="77777777" w:rsidR="001F0D49" w:rsidRDefault="00000000">
      <w:pPr>
        <w:numPr>
          <w:ilvl w:val="0"/>
          <w:numId w:val="114"/>
        </w:numPr>
      </w:pPr>
      <w:r>
        <w:t>part of overload-side losses translated into lower productivity.</w:t>
      </w:r>
    </w:p>
    <w:p w14:paraId="51A96D15" w14:textId="77777777" w:rsidR="001F0D49" w:rsidRDefault="00000000">
      <w:pPr>
        <w:pStyle w:val="4"/>
      </w:pPr>
      <w:bookmarkStart w:id="142" w:name="X16fcaaf80dd96ff7b4933e820833de1b80ca9ba"/>
      <w:bookmarkEnd w:id="141"/>
      <w:r>
        <w:t>Not fully included or only partly included</w:t>
      </w:r>
    </w:p>
    <w:p w14:paraId="6BCAB2EA" w14:textId="77777777" w:rsidR="001F0D49" w:rsidRDefault="00000000">
      <w:pPr>
        <w:numPr>
          <w:ilvl w:val="0"/>
          <w:numId w:val="115"/>
        </w:numPr>
      </w:pPr>
      <w:r>
        <w:t>delayed health costs;</w:t>
      </w:r>
    </w:p>
    <w:p w14:paraId="5A3EB79D" w14:textId="77777777" w:rsidR="001F0D49" w:rsidRDefault="00000000">
      <w:pPr>
        <w:numPr>
          <w:ilvl w:val="0"/>
          <w:numId w:val="115"/>
        </w:numPr>
      </w:pPr>
      <w:r>
        <w:t>the full cost of burnout and turnover;</w:t>
      </w:r>
    </w:p>
    <w:p w14:paraId="3316DE93" w14:textId="77777777" w:rsidR="001F0D49" w:rsidRDefault="00000000">
      <w:pPr>
        <w:numPr>
          <w:ilvl w:val="0"/>
          <w:numId w:val="115"/>
        </w:numPr>
      </w:pPr>
      <w:r>
        <w:t>the full cost of decision errors;</w:t>
      </w:r>
    </w:p>
    <w:p w14:paraId="0F656D65" w14:textId="77777777" w:rsidR="001F0D49" w:rsidRDefault="00000000">
      <w:pPr>
        <w:numPr>
          <w:ilvl w:val="0"/>
          <w:numId w:val="115"/>
        </w:numPr>
      </w:pPr>
      <w:r>
        <w:t>losses in education;</w:t>
      </w:r>
    </w:p>
    <w:p w14:paraId="412273D0" w14:textId="77777777" w:rsidR="001F0D49" w:rsidRDefault="00000000">
      <w:pPr>
        <w:numPr>
          <w:ilvl w:val="0"/>
          <w:numId w:val="115"/>
        </w:numPr>
      </w:pPr>
      <w:r>
        <w:t>parental cognitive overload as an independent monetary layer;</w:t>
      </w:r>
    </w:p>
    <w:p w14:paraId="61C1CE46" w14:textId="77777777" w:rsidR="001F0D49" w:rsidRDefault="00000000">
      <w:pPr>
        <w:numPr>
          <w:ilvl w:val="0"/>
          <w:numId w:val="115"/>
        </w:numPr>
      </w:pPr>
      <w:r>
        <w:t>institutional quality loss;</w:t>
      </w:r>
    </w:p>
    <w:p w14:paraId="631339DB" w14:textId="77777777" w:rsidR="001F0D49" w:rsidRDefault="00000000">
      <w:pPr>
        <w:numPr>
          <w:ilvl w:val="0"/>
          <w:numId w:val="115"/>
        </w:numPr>
      </w:pPr>
      <w:r>
        <w:t>second-order macro effects;</w:t>
      </w:r>
    </w:p>
    <w:p w14:paraId="739F6C02" w14:textId="77777777" w:rsidR="001F0D49" w:rsidRDefault="00000000">
      <w:pPr>
        <w:numPr>
          <w:ilvl w:val="0"/>
          <w:numId w:val="115"/>
        </w:numPr>
      </w:pPr>
      <w:r>
        <w:t>long-horizon civilizational losses.</w:t>
      </w:r>
    </w:p>
    <w:p w14:paraId="45FF86AE" w14:textId="77777777" w:rsidR="001F0D49" w:rsidRDefault="00000000">
      <w:r>
        <w:lastRenderedPageBreak/>
        <w:t xml:space="preserve">Even the extended range therefore </w:t>
      </w:r>
      <w:r>
        <w:rPr>
          <w:b/>
          <w:bCs/>
        </w:rPr>
        <w:t>does not represent a full estimate of the cost of the problem</w:t>
      </w:r>
      <w:r>
        <w:t>.</w:t>
      </w:r>
    </w:p>
    <w:p w14:paraId="76DEA816" w14:textId="77777777" w:rsidR="001F0D49" w:rsidRDefault="00000000">
      <w:pPr>
        <w:pStyle w:val="31"/>
      </w:pPr>
      <w:bookmarkStart w:id="143" w:name="X5065980a251061e693175963d8eaf47b9b777b2"/>
      <w:bookmarkEnd w:id="140"/>
      <w:bookmarkEnd w:id="142"/>
      <w:r>
        <w:t>D.7. Limitations and relation to the main ATD logic</w:t>
      </w:r>
    </w:p>
    <w:p w14:paraId="56E33CE4" w14:textId="77777777" w:rsidR="001F0D49" w:rsidRDefault="00000000">
      <w:pPr>
        <w:numPr>
          <w:ilvl w:val="0"/>
          <w:numId w:val="116"/>
        </w:numPr>
      </w:pPr>
      <w:r>
        <w:rPr>
          <w:b/>
          <w:bCs/>
        </w:rPr>
        <w:t>This is not an official global statistic.</w:t>
      </w:r>
      <w:r>
        <w:t xml:space="preserve"> There is currently no single international standard that directly measures systemic coordination and context losses as a finished global indicator.</w:t>
      </w:r>
    </w:p>
    <w:p w14:paraId="66A3DC0E" w14:textId="77777777" w:rsidR="001F0D49" w:rsidRDefault="00000000">
      <w:pPr>
        <w:numPr>
          <w:ilvl w:val="0"/>
          <w:numId w:val="116"/>
        </w:numPr>
      </w:pPr>
      <w:r>
        <w:rPr>
          <w:b/>
          <w:bCs/>
        </w:rPr>
        <w:t>There are overlaps between sources.</w:t>
      </w:r>
      <w:r>
        <w:t xml:space="preserve"> Some layers overlap: work about work, interruptions, search, coordination overload, and rework. The point is therefore the range logic, not a mechanical sum.</w:t>
      </w:r>
    </w:p>
    <w:p w14:paraId="373DEE23" w14:textId="77777777" w:rsidR="001F0D49" w:rsidRDefault="00000000">
      <w:pPr>
        <w:numPr>
          <w:ilvl w:val="0"/>
          <w:numId w:val="116"/>
        </w:numPr>
      </w:pPr>
      <w:r>
        <w:rPr>
          <w:b/>
          <w:bCs/>
        </w:rPr>
        <w:t>Part of the basis remains proxy-layer evidence.</w:t>
      </w:r>
      <w:r>
        <w:t xml:space="preserve"> Strong product/process signals come not only from official open datasets, but also from corporate telemetry, practitioner reports, and applied process studies.</w:t>
      </w:r>
    </w:p>
    <w:p w14:paraId="5DE58184" w14:textId="77777777" w:rsidR="001F0D49" w:rsidRDefault="00000000">
      <w:pPr>
        <w:numPr>
          <w:ilvl w:val="0"/>
          <w:numId w:val="116"/>
        </w:numPr>
      </w:pPr>
      <w:r>
        <w:rPr>
          <w:b/>
          <w:bCs/>
        </w:rPr>
        <w:t>This is an estimate of magnitude, not a finished measurement system.</w:t>
      </w:r>
      <w:r>
        <w:t xml:space="preserve"> Its purpose is to show scale in terms compatible with the overall ATD mechanism, not to replace the document’s evidentiary layer.</w:t>
      </w:r>
    </w:p>
    <w:p w14:paraId="48A685C3" w14:textId="77777777" w:rsidR="001F0D49" w:rsidRDefault="00000000">
      <w:pPr>
        <w:numPr>
          <w:ilvl w:val="0"/>
          <w:numId w:val="116"/>
        </w:numPr>
      </w:pPr>
      <w:r>
        <w:rPr>
          <w:b/>
          <w:bCs/>
        </w:rPr>
        <w:t>The appendix remains subordinate to the main text.</w:t>
      </w:r>
      <w:r>
        <w:t xml:space="preserve"> It does not prove ATD on its own; it provides a monetary projection of the mechanism already described: </w:t>
      </w:r>
      <w:r>
        <w:rPr>
          <w:b/>
          <w:bCs/>
        </w:rPr>
        <w:t>pressure → context degradation → coordination tax → adaptive erosion</w:t>
      </w:r>
      <w:r>
        <w:t>.</w:t>
      </w:r>
      <w:bookmarkEnd w:id="82"/>
      <w:bookmarkEnd w:id="123"/>
      <w:bookmarkEnd w:id="143"/>
    </w:p>
    <w:sectPr w:rsidR="001F0D49" w:rsidSect="00034616">
      <w:headerReference w:type="default" r:id="rId39"/>
      <w:footerReference w:type="default" r:id="rId40"/>
      <w:pgSz w:w="11906" w:h="16838"/>
      <w:pgMar w:top="1247" w:right="1304" w:bottom="1134" w:left="1304" w:header="567" w:footer="567"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44D9E6" w14:textId="77777777" w:rsidR="00A722CB" w:rsidRDefault="00A722CB">
      <w:pPr>
        <w:spacing w:after="0" w:line="240" w:lineRule="auto"/>
      </w:pPr>
      <w:r>
        <w:separator/>
      </w:r>
    </w:p>
  </w:endnote>
  <w:endnote w:type="continuationSeparator" w:id="0">
    <w:p w14:paraId="43E9F82A" w14:textId="77777777" w:rsidR="00A722CB" w:rsidRDefault="00A722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mbria">
    <w:panose1 w:val="02040503050406030204"/>
    <w:charset w:val="CC"/>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CC"/>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309020205020404"/>
    <w:charset w:val="00"/>
    <w:family w:val="auto"/>
    <w:pitch w:val="variable"/>
    <w:sig w:usb0="00000003" w:usb1="00000000" w:usb2="00000000" w:usb3="00000000" w:csb0="00000001" w:csb1="00000000"/>
  </w:font>
  <w:font w:name="JetBrains Mono">
    <w:panose1 w:val="02000009000000000000"/>
    <w:charset w:val="CC"/>
    <w:family w:val="modern"/>
    <w:pitch w:val="fixed"/>
    <w:sig w:usb0="A00402FF" w:usb1="1200F9FB" w:usb2="0200003C"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518242" w14:textId="77777777" w:rsidR="006F2069" w:rsidRDefault="00A277B1">
    <w:pPr>
      <w:pStyle w:val="a7"/>
      <w:jc w:val="center"/>
    </w:pPr>
    <w:r>
      <w:rPr>
        <w:color w:val="52525B"/>
        <w:sz w:val="18"/>
      </w:rPr>
      <w:t xml:space="preserve">ATD · </w:t>
    </w:r>
    <w:r>
      <w:rPr>
        <w:color w:val="52525B"/>
        <w:sz w:val="18"/>
      </w:rPr>
      <w:fldChar w:fldCharType="begin"/>
    </w:r>
    <w:r>
      <w:rPr>
        <w:color w:val="52525B"/>
        <w:sz w:val="18"/>
      </w:rPr>
      <w:instrText xml:space="preserve"> PAGE </w:instrText>
    </w:r>
    <w:r>
      <w:rPr>
        <w:color w:val="52525B"/>
        <w:sz w:val="18"/>
      </w:rPr>
      <w:fldChar w:fldCharType="separate"/>
    </w:r>
    <w:r>
      <w:rPr>
        <w:color w:val="52525B"/>
        <w:sz w:val="18"/>
      </w:rPr>
      <w:t>1</w:t>
    </w:r>
    <w:r>
      <w:rPr>
        <w:color w:val="52525B"/>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2C4A3B" w14:textId="77777777" w:rsidR="00A722CB" w:rsidRDefault="00A722CB">
      <w:r>
        <w:separator/>
      </w:r>
    </w:p>
  </w:footnote>
  <w:footnote w:type="continuationSeparator" w:id="0">
    <w:p w14:paraId="2B32B64B" w14:textId="77777777" w:rsidR="00A722CB" w:rsidRDefault="00A722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55246C" w14:textId="77777777" w:rsidR="006F2069" w:rsidRPr="00A277B1" w:rsidRDefault="00A277B1" w:rsidP="00A277B1">
    <w:pPr>
      <w:pStyle w:val="a5"/>
      <w:jc w:val="center"/>
    </w:pPr>
    <w:r>
      <w:rPr>
        <w:color w:val="52525B"/>
        <w:sz w:val="18"/>
      </w:rPr>
      <w:t>Adaptation Threshold Dynamics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Cambria" w:hAnsi="Cambria" w:cs="Cambria" w:hint="default"/>
      </w:rPr>
    </w:lvl>
  </w:abstractNum>
  <w:abstractNum w:abstractNumId="5" w15:restartNumberingAfterBreak="0">
    <w:nsid w:val="FFFFFF82"/>
    <w:multiLevelType w:val="singleLevel"/>
    <w:tmpl w:val="F3EAFDEC"/>
    <w:lvl w:ilvl="0">
      <w:start w:val="1"/>
      <w:numFmt w:val="bullet"/>
      <w:pStyle w:val="30"/>
      <w:lvlText w:val="—"/>
      <w:lvlJc w:val="left"/>
      <w:pPr>
        <w:tabs>
          <w:tab w:val="num" w:pos="1080"/>
        </w:tabs>
        <w:ind w:left="1080" w:hanging="360"/>
      </w:pPr>
      <w:rPr>
        <w:rFonts w:ascii="Cambria" w:hAnsi="Cambria" w:cs="Cambria" w:hint="default"/>
      </w:rPr>
    </w:lvl>
  </w:abstractNum>
  <w:abstractNum w:abstractNumId="6" w15:restartNumberingAfterBreak="0">
    <w:nsid w:val="FFFFFF83"/>
    <w:multiLevelType w:val="singleLevel"/>
    <w:tmpl w:val="3D1EFFD4"/>
    <w:lvl w:ilvl="0">
      <w:start w:val="1"/>
      <w:numFmt w:val="bullet"/>
      <w:pStyle w:val="20"/>
      <w:lvlText w:val="—"/>
      <w:lvlJc w:val="left"/>
      <w:pPr>
        <w:tabs>
          <w:tab w:val="num" w:pos="720"/>
        </w:tabs>
        <w:ind w:left="720" w:hanging="360"/>
      </w:pPr>
      <w:rPr>
        <w:rFonts w:ascii="Cambria" w:hAnsi="Cambria" w:cs="Cambria" w:hint="default"/>
      </w:rPr>
    </w:lvl>
  </w:abstractNum>
  <w:abstractNum w:abstractNumId="7" w15:restartNumberingAfterBreak="0">
    <w:nsid w:val="FFFFFF88"/>
    <w:multiLevelType w:val="singleLevel"/>
    <w:tmpl w:val="D0A62B40"/>
    <w:lvl w:ilvl="0">
      <w:start w:val="1"/>
      <w:numFmt w:val="decimal"/>
      <w:pStyle w:val="a"/>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a0"/>
      <w:lvlText w:val="—"/>
      <w:lvlJc w:val="left"/>
      <w:pPr>
        <w:tabs>
          <w:tab w:val="num" w:pos="360"/>
        </w:tabs>
        <w:ind w:left="360" w:hanging="360"/>
      </w:pPr>
      <w:rPr>
        <w:rFonts w:ascii="Cambria" w:hAnsi="Cambria" w:cs="Cambria" w:hint="default"/>
      </w:rPr>
    </w:lvl>
  </w:abstractNum>
  <w:abstractNum w:abstractNumId="9" w15:restartNumberingAfterBreak="0">
    <w:nsid w:val="0000A990"/>
    <w:multiLevelType w:val="multilevel"/>
    <w:tmpl w:val="35C0657A"/>
    <w:lvl w:ilvl="0">
      <w:numFmt w:val="bullet"/>
      <w:lvlText w:val="—"/>
      <w:lvlJc w:val="left"/>
      <w:pPr>
        <w:ind w:left="720" w:hanging="480"/>
      </w:pPr>
      <w:rPr>
        <w:rFonts w:ascii="Cambria" w:hAnsi="Cambria" w:cs="Cambria"/>
      </w:rPr>
    </w:lvl>
    <w:lvl w:ilvl="1">
      <w:numFmt w:val="bullet"/>
      <w:lvlText w:val="—"/>
      <w:lvlJc w:val="left"/>
      <w:pPr>
        <w:ind w:left="1440" w:hanging="480"/>
      </w:pPr>
      <w:rPr>
        <w:rFonts w:ascii="Cambria" w:hAnsi="Cambria" w:cs="Cambria"/>
      </w:rPr>
    </w:lvl>
    <w:lvl w:ilvl="2">
      <w:numFmt w:val="bullet"/>
      <w:lvlText w:val="—"/>
      <w:lvlJc w:val="left"/>
      <w:pPr>
        <w:ind w:left="2160" w:hanging="480"/>
      </w:pPr>
      <w:rPr>
        <w:rFonts w:ascii="Cambria" w:hAnsi="Cambria" w:cs="Cambria"/>
      </w:rPr>
    </w:lvl>
    <w:lvl w:ilvl="3">
      <w:numFmt w:val="bullet"/>
      <w:lvlText w:val="—"/>
      <w:lvlJc w:val="left"/>
      <w:pPr>
        <w:ind w:left="2880" w:hanging="480"/>
      </w:pPr>
      <w:rPr>
        <w:rFonts w:ascii="Cambria" w:hAnsi="Cambria" w:cs="Cambria"/>
      </w:rPr>
    </w:lvl>
    <w:lvl w:ilvl="4">
      <w:numFmt w:val="bullet"/>
      <w:lvlText w:val="—"/>
      <w:lvlJc w:val="left"/>
      <w:pPr>
        <w:ind w:left="3600" w:hanging="480"/>
      </w:pPr>
      <w:rPr>
        <w:rFonts w:ascii="Cambria" w:hAnsi="Cambria" w:cs="Cambria"/>
      </w:rPr>
    </w:lvl>
    <w:lvl w:ilvl="5">
      <w:numFmt w:val="bullet"/>
      <w:lvlText w:val="—"/>
      <w:lvlJc w:val="left"/>
      <w:pPr>
        <w:ind w:left="4320" w:hanging="480"/>
      </w:pPr>
      <w:rPr>
        <w:rFonts w:ascii="Cambria" w:hAnsi="Cambria" w:cs="Cambria"/>
      </w:rPr>
    </w:lvl>
    <w:lvl w:ilvl="6">
      <w:numFmt w:val="bullet"/>
      <w:lvlText w:val="—"/>
      <w:lvlJc w:val="left"/>
      <w:pPr>
        <w:ind w:left="5040" w:hanging="480"/>
      </w:pPr>
      <w:rPr>
        <w:rFonts w:ascii="Cambria" w:hAnsi="Cambria" w:cs="Cambria"/>
      </w:rPr>
    </w:lvl>
    <w:lvl w:ilvl="7">
      <w:numFmt w:val="bullet"/>
      <w:lvlText w:val="—"/>
      <w:lvlJc w:val="left"/>
      <w:pPr>
        <w:ind w:left="5760" w:hanging="480"/>
      </w:pPr>
      <w:rPr>
        <w:rFonts w:ascii="Cambria" w:hAnsi="Cambria" w:cs="Cambria"/>
      </w:rPr>
    </w:lvl>
    <w:lvl w:ilvl="8">
      <w:numFmt w:val="bullet"/>
      <w:lvlText w:val="—"/>
      <w:lvlJc w:val="left"/>
      <w:pPr>
        <w:ind w:left="6480" w:hanging="480"/>
      </w:pPr>
      <w:rPr>
        <w:rFonts w:ascii="Cambria" w:hAnsi="Cambria" w:cs="Cambria"/>
      </w:rPr>
    </w:lvl>
  </w:abstractNum>
  <w:abstractNum w:abstractNumId="10" w15:restartNumberingAfterBreak="0">
    <w:nsid w:val="0000A991"/>
    <w:multiLevelType w:val="multilevel"/>
    <w:tmpl w:val="9AD8D5F0"/>
    <w:lvl w:ilvl="0">
      <w:numFmt w:val="bullet"/>
      <w:lvlText w:val="—"/>
      <w:lvlJc w:val="left"/>
      <w:pPr>
        <w:ind w:left="720" w:hanging="480"/>
      </w:pPr>
      <w:rPr>
        <w:rFonts w:ascii="Cambria" w:hAnsi="Cambria" w:cs="Cambria"/>
      </w:rPr>
    </w:lvl>
    <w:lvl w:ilvl="1">
      <w:numFmt w:val="bullet"/>
      <w:lvlText w:val="—"/>
      <w:lvlJc w:val="left"/>
      <w:pPr>
        <w:ind w:left="1440" w:hanging="480"/>
      </w:pPr>
      <w:rPr>
        <w:rFonts w:ascii="Cambria" w:hAnsi="Cambria" w:cs="Cambria"/>
      </w:rPr>
    </w:lvl>
    <w:lvl w:ilvl="2">
      <w:numFmt w:val="bullet"/>
      <w:lvlText w:val="—"/>
      <w:lvlJc w:val="left"/>
      <w:pPr>
        <w:ind w:left="2160" w:hanging="480"/>
      </w:pPr>
      <w:rPr>
        <w:rFonts w:ascii="Cambria" w:hAnsi="Cambria" w:cs="Cambria"/>
      </w:rPr>
    </w:lvl>
    <w:lvl w:ilvl="3">
      <w:numFmt w:val="bullet"/>
      <w:lvlText w:val="—"/>
      <w:lvlJc w:val="left"/>
      <w:pPr>
        <w:ind w:left="2880" w:hanging="480"/>
      </w:pPr>
      <w:rPr>
        <w:rFonts w:ascii="Cambria" w:hAnsi="Cambria" w:cs="Cambria"/>
      </w:rPr>
    </w:lvl>
    <w:lvl w:ilvl="4">
      <w:numFmt w:val="bullet"/>
      <w:lvlText w:val="—"/>
      <w:lvlJc w:val="left"/>
      <w:pPr>
        <w:ind w:left="3600" w:hanging="480"/>
      </w:pPr>
      <w:rPr>
        <w:rFonts w:ascii="Cambria" w:hAnsi="Cambria" w:cs="Cambria"/>
      </w:rPr>
    </w:lvl>
    <w:lvl w:ilvl="5">
      <w:numFmt w:val="bullet"/>
      <w:lvlText w:val="—"/>
      <w:lvlJc w:val="left"/>
      <w:pPr>
        <w:ind w:left="4320" w:hanging="480"/>
      </w:pPr>
      <w:rPr>
        <w:rFonts w:ascii="Cambria" w:hAnsi="Cambria" w:cs="Cambria"/>
      </w:rPr>
    </w:lvl>
    <w:lvl w:ilvl="6">
      <w:numFmt w:val="bullet"/>
      <w:lvlText w:val="—"/>
      <w:lvlJc w:val="left"/>
      <w:pPr>
        <w:ind w:left="5040" w:hanging="480"/>
      </w:pPr>
      <w:rPr>
        <w:rFonts w:ascii="Cambria" w:hAnsi="Cambria" w:cs="Cambria"/>
      </w:rPr>
    </w:lvl>
    <w:lvl w:ilvl="7">
      <w:numFmt w:val="bullet"/>
      <w:lvlText w:val="—"/>
      <w:lvlJc w:val="left"/>
      <w:pPr>
        <w:ind w:left="5760" w:hanging="480"/>
      </w:pPr>
      <w:rPr>
        <w:rFonts w:ascii="Cambria" w:hAnsi="Cambria" w:cs="Cambria"/>
      </w:rPr>
    </w:lvl>
    <w:lvl w:ilvl="8">
      <w:numFmt w:val="bullet"/>
      <w:lvlText w:val="—"/>
      <w:lvlJc w:val="left"/>
      <w:pPr>
        <w:ind w:left="6480" w:hanging="480"/>
      </w:pPr>
      <w:rPr>
        <w:rFonts w:ascii="Cambria" w:hAnsi="Cambria" w:cs="Cambria"/>
      </w:rPr>
    </w:lvl>
  </w:abstractNum>
  <w:abstractNum w:abstractNumId="11" w15:restartNumberingAfterBreak="0">
    <w:nsid w:val="00A99411"/>
    <w:multiLevelType w:val="multilevel"/>
    <w:tmpl w:val="2A58FD0A"/>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12" w15:restartNumberingAfterBreak="0">
    <w:nsid w:val="035A3195"/>
    <w:multiLevelType w:val="hybridMultilevel"/>
    <w:tmpl w:val="C25246B6"/>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13" w15:restartNumberingAfterBreak="0">
    <w:nsid w:val="04432DA3"/>
    <w:multiLevelType w:val="hybridMultilevel"/>
    <w:tmpl w:val="124662C2"/>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14" w15:restartNumberingAfterBreak="0">
    <w:nsid w:val="0ED37447"/>
    <w:multiLevelType w:val="hybridMultilevel"/>
    <w:tmpl w:val="34343BE0"/>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15" w15:restartNumberingAfterBreak="0">
    <w:nsid w:val="18576942"/>
    <w:multiLevelType w:val="hybridMultilevel"/>
    <w:tmpl w:val="A1B29C04"/>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16" w15:restartNumberingAfterBreak="0">
    <w:nsid w:val="1B136C4A"/>
    <w:multiLevelType w:val="hybridMultilevel"/>
    <w:tmpl w:val="37E83D1A"/>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17" w15:restartNumberingAfterBreak="0">
    <w:nsid w:val="1C075DD7"/>
    <w:multiLevelType w:val="hybridMultilevel"/>
    <w:tmpl w:val="81B8D032"/>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18" w15:restartNumberingAfterBreak="0">
    <w:nsid w:val="1CB0551E"/>
    <w:multiLevelType w:val="hybridMultilevel"/>
    <w:tmpl w:val="2DAED856"/>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19" w15:restartNumberingAfterBreak="0">
    <w:nsid w:val="1E000E25"/>
    <w:multiLevelType w:val="hybridMultilevel"/>
    <w:tmpl w:val="B816B2DA"/>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20" w15:restartNumberingAfterBreak="0">
    <w:nsid w:val="208F34EF"/>
    <w:multiLevelType w:val="hybridMultilevel"/>
    <w:tmpl w:val="03043084"/>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21" w15:restartNumberingAfterBreak="0">
    <w:nsid w:val="235230DD"/>
    <w:multiLevelType w:val="hybridMultilevel"/>
    <w:tmpl w:val="BBC0597E"/>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22" w15:restartNumberingAfterBreak="0">
    <w:nsid w:val="24964617"/>
    <w:multiLevelType w:val="hybridMultilevel"/>
    <w:tmpl w:val="55F07008"/>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23" w15:restartNumberingAfterBreak="0">
    <w:nsid w:val="27663A18"/>
    <w:multiLevelType w:val="hybridMultilevel"/>
    <w:tmpl w:val="D7740F6C"/>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24" w15:restartNumberingAfterBreak="0">
    <w:nsid w:val="28D115E7"/>
    <w:multiLevelType w:val="hybridMultilevel"/>
    <w:tmpl w:val="FDAEBB94"/>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25" w15:restartNumberingAfterBreak="0">
    <w:nsid w:val="2B0D4EF9"/>
    <w:multiLevelType w:val="hybridMultilevel"/>
    <w:tmpl w:val="F154BCC0"/>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26" w15:restartNumberingAfterBreak="0">
    <w:nsid w:val="2BC60CB4"/>
    <w:multiLevelType w:val="hybridMultilevel"/>
    <w:tmpl w:val="2EB4FE16"/>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27" w15:restartNumberingAfterBreak="0">
    <w:nsid w:val="2D746D18"/>
    <w:multiLevelType w:val="hybridMultilevel"/>
    <w:tmpl w:val="FFEEDD9E"/>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28" w15:restartNumberingAfterBreak="0">
    <w:nsid w:val="2DA437A5"/>
    <w:multiLevelType w:val="hybridMultilevel"/>
    <w:tmpl w:val="E2461F04"/>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29" w15:restartNumberingAfterBreak="0">
    <w:nsid w:val="2E4C622C"/>
    <w:multiLevelType w:val="hybridMultilevel"/>
    <w:tmpl w:val="FB929A60"/>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30" w15:restartNumberingAfterBreak="0">
    <w:nsid w:val="2FAF06E9"/>
    <w:multiLevelType w:val="hybridMultilevel"/>
    <w:tmpl w:val="7BFC0AB2"/>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31" w15:restartNumberingAfterBreak="0">
    <w:nsid w:val="3498756C"/>
    <w:multiLevelType w:val="hybridMultilevel"/>
    <w:tmpl w:val="12AA4022"/>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32" w15:restartNumberingAfterBreak="0">
    <w:nsid w:val="383E6A55"/>
    <w:multiLevelType w:val="hybridMultilevel"/>
    <w:tmpl w:val="FA5C4A28"/>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33" w15:restartNumberingAfterBreak="0">
    <w:nsid w:val="3C845F19"/>
    <w:multiLevelType w:val="hybridMultilevel"/>
    <w:tmpl w:val="0DACD4D2"/>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34" w15:restartNumberingAfterBreak="0">
    <w:nsid w:val="3D1A5393"/>
    <w:multiLevelType w:val="hybridMultilevel"/>
    <w:tmpl w:val="E5C8A8C8"/>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35" w15:restartNumberingAfterBreak="0">
    <w:nsid w:val="3DF944D3"/>
    <w:multiLevelType w:val="hybridMultilevel"/>
    <w:tmpl w:val="4DDC833C"/>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36" w15:restartNumberingAfterBreak="0">
    <w:nsid w:val="3E9055BA"/>
    <w:multiLevelType w:val="hybridMultilevel"/>
    <w:tmpl w:val="36409270"/>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37" w15:restartNumberingAfterBreak="0">
    <w:nsid w:val="3EF0475D"/>
    <w:multiLevelType w:val="hybridMultilevel"/>
    <w:tmpl w:val="001C7FBC"/>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38" w15:restartNumberingAfterBreak="0">
    <w:nsid w:val="3FE74F1B"/>
    <w:multiLevelType w:val="hybridMultilevel"/>
    <w:tmpl w:val="F61AEBD4"/>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39" w15:restartNumberingAfterBreak="0">
    <w:nsid w:val="4A914FAE"/>
    <w:multiLevelType w:val="hybridMultilevel"/>
    <w:tmpl w:val="203E3012"/>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40" w15:restartNumberingAfterBreak="0">
    <w:nsid w:val="53BA5B30"/>
    <w:multiLevelType w:val="hybridMultilevel"/>
    <w:tmpl w:val="09CE6408"/>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41" w15:restartNumberingAfterBreak="0">
    <w:nsid w:val="53C14ED8"/>
    <w:multiLevelType w:val="hybridMultilevel"/>
    <w:tmpl w:val="DB76F684"/>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42" w15:restartNumberingAfterBreak="0">
    <w:nsid w:val="5B755DD5"/>
    <w:multiLevelType w:val="hybridMultilevel"/>
    <w:tmpl w:val="DCE27660"/>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43" w15:restartNumberingAfterBreak="0">
    <w:nsid w:val="5BB90D0F"/>
    <w:multiLevelType w:val="hybridMultilevel"/>
    <w:tmpl w:val="4C0E307E"/>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44" w15:restartNumberingAfterBreak="0">
    <w:nsid w:val="5BE77287"/>
    <w:multiLevelType w:val="hybridMultilevel"/>
    <w:tmpl w:val="F636FE78"/>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45" w15:restartNumberingAfterBreak="0">
    <w:nsid w:val="64D63DA6"/>
    <w:multiLevelType w:val="hybridMultilevel"/>
    <w:tmpl w:val="A356A05E"/>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46" w15:restartNumberingAfterBreak="0">
    <w:nsid w:val="687650FA"/>
    <w:multiLevelType w:val="hybridMultilevel"/>
    <w:tmpl w:val="9290322E"/>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47" w15:restartNumberingAfterBreak="0">
    <w:nsid w:val="68EB420E"/>
    <w:multiLevelType w:val="hybridMultilevel"/>
    <w:tmpl w:val="CE3ED168"/>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48" w15:restartNumberingAfterBreak="0">
    <w:nsid w:val="692F0A87"/>
    <w:multiLevelType w:val="hybridMultilevel"/>
    <w:tmpl w:val="3D10F520"/>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49" w15:restartNumberingAfterBreak="0">
    <w:nsid w:val="6A691841"/>
    <w:multiLevelType w:val="hybridMultilevel"/>
    <w:tmpl w:val="56F45474"/>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50" w15:restartNumberingAfterBreak="0">
    <w:nsid w:val="7154740F"/>
    <w:multiLevelType w:val="hybridMultilevel"/>
    <w:tmpl w:val="454CCDC2"/>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51" w15:restartNumberingAfterBreak="0">
    <w:nsid w:val="726723A4"/>
    <w:multiLevelType w:val="hybridMultilevel"/>
    <w:tmpl w:val="1636800E"/>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52" w15:restartNumberingAfterBreak="0">
    <w:nsid w:val="77D3393E"/>
    <w:multiLevelType w:val="hybridMultilevel"/>
    <w:tmpl w:val="5E2C2424"/>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53" w15:restartNumberingAfterBreak="0">
    <w:nsid w:val="79807976"/>
    <w:multiLevelType w:val="hybridMultilevel"/>
    <w:tmpl w:val="1228E826"/>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54" w15:restartNumberingAfterBreak="0">
    <w:nsid w:val="7B912A8C"/>
    <w:multiLevelType w:val="hybridMultilevel"/>
    <w:tmpl w:val="E160B8A8"/>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abstractNum w:abstractNumId="55" w15:restartNumberingAfterBreak="0">
    <w:nsid w:val="7E084716"/>
    <w:multiLevelType w:val="hybridMultilevel"/>
    <w:tmpl w:val="A85C7C7A"/>
    <w:lvl w:ilvl="0" w:tplc="804E967E">
      <w:start w:val="1"/>
      <w:numFmt w:val="bullet"/>
      <w:lvlText w:val="—"/>
      <w:lvlJc w:val="left"/>
      <w:pPr>
        <w:ind w:left="360" w:hanging="360"/>
      </w:pPr>
      <w:rPr>
        <w:rFonts w:ascii="Cambria" w:hAnsi="Cambria" w:cs="Cambria" w:hint="default"/>
      </w:rPr>
    </w:lvl>
    <w:lvl w:ilvl="1" w:tplc="04190003" w:tentative="1">
      <w:start w:val="1"/>
      <w:numFmt w:val="bullet"/>
      <w:lvlText w:val="—"/>
      <w:lvlJc w:val="left"/>
      <w:pPr>
        <w:ind w:left="1080" w:hanging="360"/>
      </w:pPr>
      <w:rPr>
        <w:rFonts w:ascii="Cambria" w:hAnsi="Cambria" w:cs="Cambria" w:hint="default"/>
      </w:rPr>
    </w:lvl>
    <w:lvl w:ilvl="2" w:tplc="04190005" w:tentative="1">
      <w:start w:val="1"/>
      <w:numFmt w:val="bullet"/>
      <w:lvlText w:val="—"/>
      <w:lvlJc w:val="left"/>
      <w:pPr>
        <w:ind w:left="1800" w:hanging="360"/>
      </w:pPr>
      <w:rPr>
        <w:rFonts w:ascii="Cambria" w:hAnsi="Cambria" w:cs="Cambria" w:hint="default"/>
      </w:rPr>
    </w:lvl>
    <w:lvl w:ilvl="3" w:tplc="04190001" w:tentative="1">
      <w:start w:val="1"/>
      <w:numFmt w:val="bullet"/>
      <w:lvlText w:val="—"/>
      <w:lvlJc w:val="left"/>
      <w:pPr>
        <w:ind w:left="2520" w:hanging="360"/>
      </w:pPr>
      <w:rPr>
        <w:rFonts w:ascii="Cambria" w:hAnsi="Cambria" w:cs="Cambria" w:hint="default"/>
      </w:rPr>
    </w:lvl>
    <w:lvl w:ilvl="4" w:tplc="04190003" w:tentative="1">
      <w:start w:val="1"/>
      <w:numFmt w:val="bullet"/>
      <w:lvlText w:val="—"/>
      <w:lvlJc w:val="left"/>
      <w:pPr>
        <w:ind w:left="3240" w:hanging="360"/>
      </w:pPr>
      <w:rPr>
        <w:rFonts w:ascii="Cambria" w:hAnsi="Cambria" w:cs="Cambria" w:hint="default"/>
      </w:rPr>
    </w:lvl>
    <w:lvl w:ilvl="5" w:tplc="04190005" w:tentative="1">
      <w:start w:val="1"/>
      <w:numFmt w:val="bullet"/>
      <w:lvlText w:val="—"/>
      <w:lvlJc w:val="left"/>
      <w:pPr>
        <w:ind w:left="3960" w:hanging="360"/>
      </w:pPr>
      <w:rPr>
        <w:rFonts w:ascii="Cambria" w:hAnsi="Cambria" w:cs="Cambria" w:hint="default"/>
      </w:rPr>
    </w:lvl>
    <w:lvl w:ilvl="6" w:tplc="04190001" w:tentative="1">
      <w:start w:val="1"/>
      <w:numFmt w:val="bullet"/>
      <w:lvlText w:val="—"/>
      <w:lvlJc w:val="left"/>
      <w:pPr>
        <w:ind w:left="4680" w:hanging="360"/>
      </w:pPr>
      <w:rPr>
        <w:rFonts w:ascii="Cambria" w:hAnsi="Cambria" w:cs="Cambria" w:hint="default"/>
      </w:rPr>
    </w:lvl>
    <w:lvl w:ilvl="7" w:tplc="04190003" w:tentative="1">
      <w:start w:val="1"/>
      <w:numFmt w:val="bullet"/>
      <w:lvlText w:val="—"/>
      <w:lvlJc w:val="left"/>
      <w:pPr>
        <w:ind w:left="5400" w:hanging="360"/>
      </w:pPr>
      <w:rPr>
        <w:rFonts w:ascii="Cambria" w:hAnsi="Cambria" w:cs="Cambria" w:hint="default"/>
      </w:rPr>
    </w:lvl>
    <w:lvl w:ilvl="8" w:tplc="04190005" w:tentative="1">
      <w:start w:val="1"/>
      <w:numFmt w:val="bullet"/>
      <w:lvlText w:val="—"/>
      <w:lvlJc w:val="left"/>
      <w:pPr>
        <w:ind w:left="6120" w:hanging="360"/>
      </w:pPr>
      <w:rPr>
        <w:rFonts w:ascii="Cambria" w:hAnsi="Cambria" w:cs="Cambria" w:hint="default"/>
      </w:rPr>
    </w:lvl>
  </w:abstractNum>
  <w:num w:numId="1" w16cid:durableId="1169950160">
    <w:abstractNumId w:val="8"/>
  </w:num>
  <w:num w:numId="2" w16cid:durableId="195044504">
    <w:abstractNumId w:val="6"/>
  </w:num>
  <w:num w:numId="3" w16cid:durableId="1040932823">
    <w:abstractNumId w:val="5"/>
  </w:num>
  <w:num w:numId="4" w16cid:durableId="2019113456">
    <w:abstractNumId w:val="4"/>
  </w:num>
  <w:num w:numId="5" w16cid:durableId="186523300">
    <w:abstractNumId w:val="7"/>
  </w:num>
  <w:num w:numId="6" w16cid:durableId="970794389">
    <w:abstractNumId w:val="3"/>
  </w:num>
  <w:num w:numId="7" w16cid:durableId="181435509">
    <w:abstractNumId w:val="2"/>
  </w:num>
  <w:num w:numId="8" w16cid:durableId="161170132">
    <w:abstractNumId w:val="1"/>
  </w:num>
  <w:num w:numId="9" w16cid:durableId="446890948">
    <w:abstractNumId w:val="0"/>
  </w:num>
  <w:num w:numId="10" w16cid:durableId="554048993">
    <w:abstractNumId w:val="13"/>
  </w:num>
  <w:num w:numId="11" w16cid:durableId="400832809">
    <w:abstractNumId w:val="25"/>
  </w:num>
  <w:num w:numId="12" w16cid:durableId="869732260">
    <w:abstractNumId w:val="35"/>
  </w:num>
  <w:num w:numId="13" w16cid:durableId="882331145">
    <w:abstractNumId w:val="52"/>
  </w:num>
  <w:num w:numId="14" w16cid:durableId="1649476139">
    <w:abstractNumId w:val="44"/>
  </w:num>
  <w:num w:numId="15" w16cid:durableId="1426263630">
    <w:abstractNumId w:val="47"/>
  </w:num>
  <w:num w:numId="16" w16cid:durableId="1672875987">
    <w:abstractNumId w:val="40"/>
  </w:num>
  <w:num w:numId="17" w16cid:durableId="560865880">
    <w:abstractNumId w:val="33"/>
  </w:num>
  <w:num w:numId="18" w16cid:durableId="293023896">
    <w:abstractNumId w:val="50"/>
  </w:num>
  <w:num w:numId="19" w16cid:durableId="1611280243">
    <w:abstractNumId w:val="14"/>
  </w:num>
  <w:num w:numId="20" w16cid:durableId="1184636973">
    <w:abstractNumId w:val="19"/>
  </w:num>
  <w:num w:numId="21" w16cid:durableId="2000376851">
    <w:abstractNumId w:val="23"/>
  </w:num>
  <w:num w:numId="22" w16cid:durableId="1467895143">
    <w:abstractNumId w:val="27"/>
  </w:num>
  <w:num w:numId="23" w16cid:durableId="1368680299">
    <w:abstractNumId w:val="31"/>
  </w:num>
  <w:num w:numId="24" w16cid:durableId="255211394">
    <w:abstractNumId w:val="29"/>
  </w:num>
  <w:num w:numId="25" w16cid:durableId="1012803787">
    <w:abstractNumId w:val="16"/>
  </w:num>
  <w:num w:numId="26" w16cid:durableId="1287345617">
    <w:abstractNumId w:val="46"/>
  </w:num>
  <w:num w:numId="27" w16cid:durableId="1204377">
    <w:abstractNumId w:val="18"/>
  </w:num>
  <w:num w:numId="28" w16cid:durableId="514077654">
    <w:abstractNumId w:val="43"/>
  </w:num>
  <w:num w:numId="29" w16cid:durableId="1480809614">
    <w:abstractNumId w:val="49"/>
  </w:num>
  <w:num w:numId="30" w16cid:durableId="1490245494">
    <w:abstractNumId w:val="15"/>
  </w:num>
  <w:num w:numId="31" w16cid:durableId="200091471">
    <w:abstractNumId w:val="32"/>
  </w:num>
  <w:num w:numId="32" w16cid:durableId="378745264">
    <w:abstractNumId w:val="48"/>
  </w:num>
  <w:num w:numId="33" w16cid:durableId="809709628">
    <w:abstractNumId w:val="34"/>
  </w:num>
  <w:num w:numId="34" w16cid:durableId="1774934687">
    <w:abstractNumId w:val="38"/>
  </w:num>
  <w:num w:numId="35" w16cid:durableId="1480152999">
    <w:abstractNumId w:val="42"/>
  </w:num>
  <w:num w:numId="36" w16cid:durableId="1906526598">
    <w:abstractNumId w:val="41"/>
  </w:num>
  <w:num w:numId="37" w16cid:durableId="52504116">
    <w:abstractNumId w:val="45"/>
  </w:num>
  <w:num w:numId="38" w16cid:durableId="1761442171">
    <w:abstractNumId w:val="21"/>
  </w:num>
  <w:num w:numId="39" w16cid:durableId="1346396237">
    <w:abstractNumId w:val="24"/>
  </w:num>
  <w:num w:numId="40" w16cid:durableId="888877026">
    <w:abstractNumId w:val="17"/>
  </w:num>
  <w:num w:numId="41" w16cid:durableId="60376507">
    <w:abstractNumId w:val="39"/>
  </w:num>
  <w:num w:numId="42" w16cid:durableId="1690253007">
    <w:abstractNumId w:val="51"/>
  </w:num>
  <w:num w:numId="43" w16cid:durableId="1388794017">
    <w:abstractNumId w:val="12"/>
  </w:num>
  <w:num w:numId="44" w16cid:durableId="169180715">
    <w:abstractNumId w:val="55"/>
  </w:num>
  <w:num w:numId="45" w16cid:durableId="1476683088">
    <w:abstractNumId w:val="53"/>
  </w:num>
  <w:num w:numId="46" w16cid:durableId="2125271547">
    <w:abstractNumId w:val="54"/>
  </w:num>
  <w:num w:numId="47" w16cid:durableId="1887403244">
    <w:abstractNumId w:val="37"/>
  </w:num>
  <w:num w:numId="48" w16cid:durableId="526716102">
    <w:abstractNumId w:val="30"/>
  </w:num>
  <w:num w:numId="49" w16cid:durableId="1423452146">
    <w:abstractNumId w:val="20"/>
  </w:num>
  <w:num w:numId="50" w16cid:durableId="1269502267">
    <w:abstractNumId w:val="26"/>
  </w:num>
  <w:num w:numId="51" w16cid:durableId="1259406710">
    <w:abstractNumId w:val="22"/>
  </w:num>
  <w:num w:numId="52" w16cid:durableId="2124882570">
    <w:abstractNumId w:val="36"/>
  </w:num>
  <w:num w:numId="53" w16cid:durableId="1900895262">
    <w:abstractNumId w:val="28"/>
  </w:num>
  <w:num w:numId="54" w16cid:durableId="1847208014">
    <w:abstractNumId w:val="9"/>
  </w:num>
  <w:num w:numId="55" w16cid:durableId="204132129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893493054">
    <w:abstractNumId w:val="10"/>
  </w:num>
  <w:num w:numId="57" w16cid:durableId="146912626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2087070342">
    <w:abstractNumId w:val="10"/>
  </w:num>
  <w:num w:numId="59" w16cid:durableId="194660132">
    <w:abstractNumId w:val="10"/>
  </w:num>
  <w:num w:numId="60" w16cid:durableId="2123987205">
    <w:abstractNumId w:val="10"/>
  </w:num>
  <w:num w:numId="61" w16cid:durableId="1282611532">
    <w:abstractNumId w:val="10"/>
  </w:num>
  <w:num w:numId="62" w16cid:durableId="1072432342">
    <w:abstractNumId w:val="10"/>
  </w:num>
  <w:num w:numId="63" w16cid:durableId="1876891077">
    <w:abstractNumId w:val="10"/>
  </w:num>
  <w:num w:numId="64" w16cid:durableId="453986126">
    <w:abstractNumId w:val="10"/>
  </w:num>
  <w:num w:numId="65" w16cid:durableId="2047676660">
    <w:abstractNumId w:val="10"/>
  </w:num>
  <w:num w:numId="66" w16cid:durableId="1823738323">
    <w:abstractNumId w:val="10"/>
  </w:num>
  <w:num w:numId="67" w16cid:durableId="2096172304">
    <w:abstractNumId w:val="10"/>
  </w:num>
  <w:num w:numId="68" w16cid:durableId="16597663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576549278">
    <w:abstractNumId w:val="10"/>
  </w:num>
  <w:num w:numId="70" w16cid:durableId="1029649374">
    <w:abstractNumId w:val="10"/>
  </w:num>
  <w:num w:numId="71" w16cid:durableId="1763406403">
    <w:abstractNumId w:val="10"/>
  </w:num>
  <w:num w:numId="72" w16cid:durableId="1142385118">
    <w:abstractNumId w:val="10"/>
  </w:num>
  <w:num w:numId="73" w16cid:durableId="1874611087">
    <w:abstractNumId w:val="10"/>
  </w:num>
  <w:num w:numId="74" w16cid:durableId="16809606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288629820">
    <w:abstractNumId w:val="10"/>
  </w:num>
  <w:num w:numId="76" w16cid:durableId="399908321">
    <w:abstractNumId w:val="10"/>
  </w:num>
  <w:num w:numId="77" w16cid:durableId="1168718439">
    <w:abstractNumId w:val="10"/>
  </w:num>
  <w:num w:numId="78" w16cid:durableId="1441728282">
    <w:abstractNumId w:val="10"/>
  </w:num>
  <w:num w:numId="79" w16cid:durableId="205026883">
    <w:abstractNumId w:val="10"/>
  </w:num>
  <w:num w:numId="80" w16cid:durableId="273098435">
    <w:abstractNumId w:val="10"/>
  </w:num>
  <w:num w:numId="81" w16cid:durableId="208286629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894435527">
    <w:abstractNumId w:val="10"/>
  </w:num>
  <w:num w:numId="83" w16cid:durableId="251663060">
    <w:abstractNumId w:val="10"/>
  </w:num>
  <w:num w:numId="84" w16cid:durableId="950665547">
    <w:abstractNumId w:val="10"/>
  </w:num>
  <w:num w:numId="85" w16cid:durableId="94300107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992632001">
    <w:abstractNumId w:val="10"/>
  </w:num>
  <w:num w:numId="87" w16cid:durableId="291983608">
    <w:abstractNumId w:val="10"/>
  </w:num>
  <w:num w:numId="88" w16cid:durableId="1430353405">
    <w:abstractNumId w:val="10"/>
  </w:num>
  <w:num w:numId="89" w16cid:durableId="1142038117">
    <w:abstractNumId w:val="10"/>
  </w:num>
  <w:num w:numId="90" w16cid:durableId="762148193">
    <w:abstractNumId w:val="10"/>
  </w:num>
  <w:num w:numId="91" w16cid:durableId="560792320">
    <w:abstractNumId w:val="10"/>
  </w:num>
  <w:num w:numId="92" w16cid:durableId="1464694835">
    <w:abstractNumId w:val="10"/>
  </w:num>
  <w:num w:numId="93" w16cid:durableId="421605867">
    <w:abstractNumId w:val="10"/>
  </w:num>
  <w:num w:numId="94" w16cid:durableId="1437094478">
    <w:abstractNumId w:val="10"/>
  </w:num>
  <w:num w:numId="95" w16cid:durableId="1583176095">
    <w:abstractNumId w:val="10"/>
  </w:num>
  <w:num w:numId="96" w16cid:durableId="461273621">
    <w:abstractNumId w:val="10"/>
  </w:num>
  <w:num w:numId="97" w16cid:durableId="1353653643">
    <w:abstractNumId w:val="10"/>
  </w:num>
  <w:num w:numId="98" w16cid:durableId="1555312538">
    <w:abstractNumId w:val="10"/>
  </w:num>
  <w:num w:numId="99" w16cid:durableId="34775535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1421364871">
    <w:abstractNumId w:val="10"/>
  </w:num>
  <w:num w:numId="101" w16cid:durableId="214068574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544683380">
    <w:abstractNumId w:val="10"/>
  </w:num>
  <w:num w:numId="103" w16cid:durableId="1047609229">
    <w:abstractNumId w:val="10"/>
  </w:num>
  <w:num w:numId="104" w16cid:durableId="397287850">
    <w:abstractNumId w:val="10"/>
  </w:num>
  <w:num w:numId="105" w16cid:durableId="2003582590">
    <w:abstractNumId w:val="10"/>
  </w:num>
  <w:num w:numId="106" w16cid:durableId="20356384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193933343">
    <w:abstractNumId w:val="10"/>
  </w:num>
  <w:num w:numId="108" w16cid:durableId="847477418">
    <w:abstractNumId w:val="10"/>
  </w:num>
  <w:num w:numId="109" w16cid:durableId="321930459">
    <w:abstractNumId w:val="10"/>
  </w:num>
  <w:num w:numId="110" w16cid:durableId="721054916">
    <w:abstractNumId w:val="10"/>
  </w:num>
  <w:num w:numId="111" w16cid:durableId="1982273129">
    <w:abstractNumId w:val="10"/>
  </w:num>
  <w:num w:numId="112" w16cid:durableId="942687550">
    <w:abstractNumId w:val="10"/>
  </w:num>
  <w:num w:numId="113" w16cid:durableId="1385449154">
    <w:abstractNumId w:val="10"/>
  </w:num>
  <w:num w:numId="114" w16cid:durableId="1409616623">
    <w:abstractNumId w:val="10"/>
  </w:num>
  <w:num w:numId="115" w16cid:durableId="1352297707">
    <w:abstractNumId w:val="10"/>
  </w:num>
  <w:num w:numId="116" w16cid:durableId="213008154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720"/>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00878"/>
    <w:rsid w:val="00034616"/>
    <w:rsid w:val="0006063C"/>
    <w:rsid w:val="0015074B"/>
    <w:rsid w:val="00163A17"/>
    <w:rsid w:val="001C486D"/>
    <w:rsid w:val="001D69DB"/>
    <w:rsid w:val="001F0D49"/>
    <w:rsid w:val="0029639D"/>
    <w:rsid w:val="002F5DAD"/>
    <w:rsid w:val="00326F90"/>
    <w:rsid w:val="003A0CDE"/>
    <w:rsid w:val="00461733"/>
    <w:rsid w:val="00467627"/>
    <w:rsid w:val="00591B3D"/>
    <w:rsid w:val="00645FAE"/>
    <w:rsid w:val="006F2069"/>
    <w:rsid w:val="00980660"/>
    <w:rsid w:val="009B4B3A"/>
    <w:rsid w:val="00A15CDB"/>
    <w:rsid w:val="00A16A0D"/>
    <w:rsid w:val="00A277B1"/>
    <w:rsid w:val="00A379BE"/>
    <w:rsid w:val="00A722CB"/>
    <w:rsid w:val="00AA1D8D"/>
    <w:rsid w:val="00AB6275"/>
    <w:rsid w:val="00AC70CB"/>
    <w:rsid w:val="00B47730"/>
    <w:rsid w:val="00C86448"/>
    <w:rsid w:val="00C907F3"/>
    <w:rsid w:val="00CB0664"/>
    <w:rsid w:val="00CF160C"/>
    <w:rsid w:val="00F86C1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C2D7A5F"/>
  <w15:docId w15:val="{E4DD80A7-26EB-4F06-9117-F733AF186B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FC693F"/>
    <w:pPr>
      <w:spacing w:after="120"/>
    </w:pPr>
    <w:rPr>
      <w:rFonts w:ascii="Cambria" w:eastAsia="Cambria" w:hAnsi="Cambria" w:cs="Cambria"/>
      <w:color w:val="18181B"/>
    </w:rPr>
  </w:style>
  <w:style w:type="paragraph" w:styleId="1">
    <w:name w:val="heading 1"/>
    <w:basedOn w:val="a1"/>
    <w:next w:val="a1"/>
    <w:link w:val="10"/>
    <w:uiPriority w:val="9"/>
    <w:qFormat/>
    <w:rsid w:val="00FC693F"/>
    <w:pPr>
      <w:keepNext/>
      <w:keepLines/>
      <w:pageBreakBefore/>
      <w:spacing w:before="280"/>
      <w:outlineLvl w:val="0"/>
    </w:pPr>
    <w:rPr>
      <w:rFonts w:asciiTheme="majorHAnsi" w:eastAsiaTheme="majorEastAsia" w:hAnsiTheme="majorHAnsi" w:cstheme="majorBidi"/>
      <w:b/>
      <w:bCs/>
      <w:color w:val="9333EA"/>
      <w:sz w:val="32"/>
      <w:szCs w:val="28"/>
    </w:rPr>
  </w:style>
  <w:style w:type="paragraph" w:styleId="21">
    <w:name w:val="heading 2"/>
    <w:basedOn w:val="a1"/>
    <w:next w:val="a1"/>
    <w:link w:val="22"/>
    <w:uiPriority w:val="9"/>
    <w:unhideWhenUsed/>
    <w:qFormat/>
    <w:rsid w:val="00FC693F"/>
    <w:pPr>
      <w:keepNext/>
      <w:keepLines/>
      <w:spacing w:before="200"/>
      <w:outlineLvl w:val="1"/>
    </w:pPr>
    <w:rPr>
      <w:rFonts w:asciiTheme="majorHAnsi" w:eastAsiaTheme="majorEastAsia" w:hAnsiTheme="majorHAnsi" w:cstheme="majorBidi"/>
      <w:b/>
      <w:bCs/>
      <w:color w:val="4338CA"/>
      <w:sz w:val="26"/>
      <w:szCs w:val="26"/>
    </w:rPr>
  </w:style>
  <w:style w:type="paragraph" w:styleId="31">
    <w:name w:val="heading 3"/>
    <w:basedOn w:val="a1"/>
    <w:next w:val="a1"/>
    <w:link w:val="32"/>
    <w:uiPriority w:val="9"/>
    <w:unhideWhenUsed/>
    <w:qFormat/>
    <w:rsid w:val="00FC693F"/>
    <w:pPr>
      <w:keepNext/>
      <w:keepLines/>
      <w:spacing w:before="200" w:after="80"/>
      <w:outlineLvl w:val="2"/>
    </w:pPr>
    <w:rPr>
      <w:rFonts w:asciiTheme="majorHAnsi" w:eastAsiaTheme="majorEastAsia" w:hAnsiTheme="majorHAnsi" w:cstheme="majorBidi"/>
      <w:b/>
      <w:bCs/>
      <w:sz w:val="23"/>
    </w:rPr>
  </w:style>
  <w:style w:type="paragraph" w:styleId="4">
    <w:name w:val="heading 4"/>
    <w:basedOn w:val="a1"/>
    <w:next w:val="a1"/>
    <w:link w:val="40"/>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1"/>
    <w:next w:val="a1"/>
    <w:link w:val="60"/>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1"/>
    <w:next w:val="a1"/>
    <w:link w:val="70"/>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1"/>
    <w:next w:val="a1"/>
    <w:link w:val="80"/>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9">
    <w:name w:val="heading 9"/>
    <w:basedOn w:val="a1"/>
    <w:next w:val="a1"/>
    <w:link w:val="90"/>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iPriority w:val="99"/>
    <w:unhideWhenUsed/>
    <w:rsid w:val="00E618BF"/>
    <w:pPr>
      <w:tabs>
        <w:tab w:val="center" w:pos="4680"/>
        <w:tab w:val="right" w:pos="9360"/>
      </w:tabs>
      <w:spacing w:after="0" w:line="240" w:lineRule="auto"/>
    </w:pPr>
  </w:style>
  <w:style w:type="character" w:customStyle="1" w:styleId="a6">
    <w:name w:val="Верхний колонтитул Знак"/>
    <w:basedOn w:val="a2"/>
    <w:link w:val="a5"/>
    <w:uiPriority w:val="99"/>
    <w:rsid w:val="00E618BF"/>
  </w:style>
  <w:style w:type="paragraph" w:styleId="a7">
    <w:name w:val="footer"/>
    <w:basedOn w:val="a1"/>
    <w:link w:val="a8"/>
    <w:uiPriority w:val="99"/>
    <w:unhideWhenUsed/>
    <w:rsid w:val="00E618BF"/>
    <w:pPr>
      <w:tabs>
        <w:tab w:val="center" w:pos="4680"/>
        <w:tab w:val="right" w:pos="9360"/>
      </w:tabs>
      <w:spacing w:after="0" w:line="240" w:lineRule="auto"/>
    </w:pPr>
  </w:style>
  <w:style w:type="character" w:customStyle="1" w:styleId="a8">
    <w:name w:val="Нижний колонтитул Знак"/>
    <w:basedOn w:val="a2"/>
    <w:link w:val="a7"/>
    <w:uiPriority w:val="99"/>
    <w:rsid w:val="00E618BF"/>
  </w:style>
  <w:style w:type="paragraph" w:styleId="a9">
    <w:name w:val="No Spacing"/>
    <w:uiPriority w:val="1"/>
    <w:qFormat/>
    <w:rsid w:val="00FC693F"/>
    <w:pPr>
      <w:spacing w:after="0" w:line="240" w:lineRule="auto"/>
    </w:pPr>
  </w:style>
  <w:style w:type="character" w:customStyle="1" w:styleId="10">
    <w:name w:val="Заголовок 1 Знак"/>
    <w:basedOn w:val="a2"/>
    <w:link w:val="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22">
    <w:name w:val="Заголовок 2 Знак"/>
    <w:basedOn w:val="a2"/>
    <w:link w:val="21"/>
    <w:uiPriority w:val="9"/>
    <w:rsid w:val="00FC693F"/>
    <w:rPr>
      <w:rFonts w:asciiTheme="majorHAnsi" w:eastAsiaTheme="majorEastAsia" w:hAnsiTheme="majorHAnsi" w:cstheme="majorBidi"/>
      <w:b/>
      <w:bCs/>
      <w:color w:val="4F81BD" w:themeColor="accent1"/>
      <w:sz w:val="26"/>
      <w:szCs w:val="26"/>
    </w:rPr>
  </w:style>
  <w:style w:type="character" w:customStyle="1" w:styleId="32">
    <w:name w:val="Заголовок 3 Знак"/>
    <w:basedOn w:val="a2"/>
    <w:link w:val="31"/>
    <w:uiPriority w:val="9"/>
    <w:rsid w:val="00FC693F"/>
    <w:rPr>
      <w:rFonts w:asciiTheme="majorHAnsi" w:eastAsiaTheme="majorEastAsia" w:hAnsiTheme="majorHAnsi" w:cstheme="majorBidi"/>
      <w:b/>
      <w:bCs/>
      <w:color w:val="4F81BD" w:themeColor="accent1"/>
    </w:rPr>
  </w:style>
  <w:style w:type="paragraph" w:styleId="aa">
    <w:name w:val="Title"/>
    <w:basedOn w:val="a1"/>
    <w:next w:val="a1"/>
    <w:link w:val="ab"/>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b">
    <w:name w:val="Заголовок Знак"/>
    <w:basedOn w:val="a2"/>
    <w:link w:val="aa"/>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ac">
    <w:name w:val="Subtitle"/>
    <w:basedOn w:val="a1"/>
    <w:next w:val="a1"/>
    <w:link w:val="ad"/>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d">
    <w:name w:val="Подзаголовок Знак"/>
    <w:basedOn w:val="a2"/>
    <w:link w:val="ac"/>
    <w:uiPriority w:val="11"/>
    <w:rsid w:val="00FC693F"/>
    <w:rPr>
      <w:rFonts w:asciiTheme="majorHAnsi" w:eastAsiaTheme="majorEastAsia" w:hAnsiTheme="majorHAnsi" w:cstheme="majorBidi"/>
      <w:i/>
      <w:iCs/>
      <w:color w:val="4F81BD" w:themeColor="accent1"/>
      <w:spacing w:val="15"/>
      <w:sz w:val="24"/>
      <w:szCs w:val="24"/>
    </w:rPr>
  </w:style>
  <w:style w:type="paragraph" w:styleId="ae">
    <w:name w:val="List Paragraph"/>
    <w:basedOn w:val="a1"/>
    <w:uiPriority w:val="34"/>
    <w:qFormat/>
    <w:rsid w:val="00FC693F"/>
    <w:pPr>
      <w:ind w:left="720"/>
      <w:contextualSpacing/>
    </w:pPr>
  </w:style>
  <w:style w:type="paragraph" w:styleId="af">
    <w:name w:val="Body Text"/>
    <w:basedOn w:val="a1"/>
    <w:link w:val="af0"/>
    <w:uiPriority w:val="99"/>
    <w:unhideWhenUsed/>
    <w:rsid w:val="00AA1D8D"/>
  </w:style>
  <w:style w:type="character" w:customStyle="1" w:styleId="af0">
    <w:name w:val="Основной текст Знак"/>
    <w:basedOn w:val="a2"/>
    <w:link w:val="af"/>
    <w:uiPriority w:val="99"/>
    <w:rsid w:val="00AA1D8D"/>
  </w:style>
  <w:style w:type="paragraph" w:styleId="23">
    <w:name w:val="Body Text 2"/>
    <w:basedOn w:val="a1"/>
    <w:link w:val="24"/>
    <w:uiPriority w:val="99"/>
    <w:unhideWhenUsed/>
    <w:rsid w:val="00AA1D8D"/>
    <w:pPr>
      <w:spacing w:line="480" w:lineRule="auto"/>
    </w:pPr>
  </w:style>
  <w:style w:type="character" w:customStyle="1" w:styleId="24">
    <w:name w:val="Основной текст 2 Знак"/>
    <w:basedOn w:val="a2"/>
    <w:link w:val="23"/>
    <w:uiPriority w:val="99"/>
    <w:rsid w:val="00AA1D8D"/>
  </w:style>
  <w:style w:type="paragraph" w:styleId="33">
    <w:name w:val="Body Text 3"/>
    <w:basedOn w:val="a1"/>
    <w:link w:val="34"/>
    <w:uiPriority w:val="99"/>
    <w:unhideWhenUsed/>
    <w:rsid w:val="00AA1D8D"/>
    <w:rPr>
      <w:sz w:val="16"/>
      <w:szCs w:val="16"/>
    </w:rPr>
  </w:style>
  <w:style w:type="character" w:customStyle="1" w:styleId="34">
    <w:name w:val="Основной текст 3 Знак"/>
    <w:basedOn w:val="a2"/>
    <w:link w:val="33"/>
    <w:uiPriority w:val="99"/>
    <w:rsid w:val="00AA1D8D"/>
    <w:rPr>
      <w:sz w:val="16"/>
      <w:szCs w:val="16"/>
    </w:rPr>
  </w:style>
  <w:style w:type="paragraph" w:styleId="af1">
    <w:name w:val="List"/>
    <w:basedOn w:val="a1"/>
    <w:uiPriority w:val="99"/>
    <w:unhideWhenUsed/>
    <w:rsid w:val="00AA1D8D"/>
    <w:pPr>
      <w:ind w:left="360" w:hanging="360"/>
      <w:contextualSpacing/>
    </w:pPr>
  </w:style>
  <w:style w:type="paragraph" w:styleId="25">
    <w:name w:val="List 2"/>
    <w:basedOn w:val="a1"/>
    <w:uiPriority w:val="99"/>
    <w:unhideWhenUsed/>
    <w:rsid w:val="00326F90"/>
    <w:pPr>
      <w:ind w:left="720" w:hanging="360"/>
      <w:contextualSpacing/>
    </w:pPr>
  </w:style>
  <w:style w:type="paragraph" w:styleId="35">
    <w:name w:val="List 3"/>
    <w:basedOn w:val="a1"/>
    <w:uiPriority w:val="99"/>
    <w:unhideWhenUsed/>
    <w:rsid w:val="00326F90"/>
    <w:pPr>
      <w:ind w:left="1080" w:hanging="360"/>
      <w:contextualSpacing/>
    </w:pPr>
  </w:style>
  <w:style w:type="paragraph" w:styleId="a0">
    <w:name w:val="List Bullet"/>
    <w:basedOn w:val="a1"/>
    <w:uiPriority w:val="99"/>
    <w:unhideWhenUsed/>
    <w:rsid w:val="00326F90"/>
    <w:pPr>
      <w:numPr>
        <w:numId w:val="1"/>
      </w:numPr>
      <w:contextualSpacing/>
    </w:pPr>
  </w:style>
  <w:style w:type="paragraph" w:styleId="20">
    <w:name w:val="List Bullet 2"/>
    <w:basedOn w:val="a1"/>
    <w:uiPriority w:val="99"/>
    <w:unhideWhenUsed/>
    <w:rsid w:val="00326F90"/>
    <w:pPr>
      <w:numPr>
        <w:numId w:val="2"/>
      </w:numPr>
      <w:contextualSpacing/>
    </w:pPr>
  </w:style>
  <w:style w:type="paragraph" w:styleId="30">
    <w:name w:val="List Bullet 3"/>
    <w:basedOn w:val="a1"/>
    <w:uiPriority w:val="99"/>
    <w:unhideWhenUsed/>
    <w:rsid w:val="00326F90"/>
    <w:pPr>
      <w:numPr>
        <w:numId w:val="3"/>
      </w:numPr>
      <w:contextualSpacing/>
    </w:pPr>
  </w:style>
  <w:style w:type="paragraph" w:styleId="a">
    <w:name w:val="List Number"/>
    <w:basedOn w:val="a1"/>
    <w:uiPriority w:val="99"/>
    <w:unhideWhenUsed/>
    <w:rsid w:val="00326F90"/>
    <w:pPr>
      <w:numPr>
        <w:numId w:val="5"/>
      </w:numPr>
      <w:contextualSpacing/>
    </w:pPr>
  </w:style>
  <w:style w:type="paragraph" w:styleId="2">
    <w:name w:val="List Number 2"/>
    <w:basedOn w:val="a1"/>
    <w:uiPriority w:val="99"/>
    <w:unhideWhenUsed/>
    <w:rsid w:val="0029639D"/>
    <w:pPr>
      <w:numPr>
        <w:numId w:val="6"/>
      </w:numPr>
      <w:contextualSpacing/>
    </w:pPr>
  </w:style>
  <w:style w:type="paragraph" w:styleId="3">
    <w:name w:val="List Number 3"/>
    <w:basedOn w:val="a1"/>
    <w:uiPriority w:val="99"/>
    <w:unhideWhenUsed/>
    <w:rsid w:val="0029639D"/>
    <w:pPr>
      <w:numPr>
        <w:numId w:val="7"/>
      </w:numPr>
      <w:contextualSpacing/>
    </w:pPr>
  </w:style>
  <w:style w:type="paragraph" w:styleId="af2">
    <w:name w:val="List Continue"/>
    <w:basedOn w:val="a1"/>
    <w:uiPriority w:val="99"/>
    <w:unhideWhenUsed/>
    <w:rsid w:val="0029639D"/>
    <w:pPr>
      <w:ind w:left="360"/>
      <w:contextualSpacing/>
    </w:pPr>
  </w:style>
  <w:style w:type="paragraph" w:styleId="26">
    <w:name w:val="List Continue 2"/>
    <w:basedOn w:val="a1"/>
    <w:uiPriority w:val="99"/>
    <w:unhideWhenUsed/>
    <w:rsid w:val="0029639D"/>
    <w:pPr>
      <w:ind w:left="720"/>
      <w:contextualSpacing/>
    </w:pPr>
  </w:style>
  <w:style w:type="paragraph" w:styleId="36">
    <w:name w:val="List Continue 3"/>
    <w:basedOn w:val="a1"/>
    <w:uiPriority w:val="99"/>
    <w:unhideWhenUsed/>
    <w:rsid w:val="0029639D"/>
    <w:pPr>
      <w:ind w:left="1080"/>
      <w:contextualSpacing/>
    </w:pPr>
  </w:style>
  <w:style w:type="paragraph" w:styleId="af3">
    <w:name w:val="macro"/>
    <w:link w:val="af4"/>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af4">
    <w:name w:val="Текст макроса Знак"/>
    <w:basedOn w:val="a2"/>
    <w:link w:val="af3"/>
    <w:uiPriority w:val="99"/>
    <w:rsid w:val="0029639D"/>
    <w:rPr>
      <w:rFonts w:ascii="Courier" w:hAnsi="Courier"/>
      <w:sz w:val="20"/>
      <w:szCs w:val="20"/>
    </w:rPr>
  </w:style>
  <w:style w:type="paragraph" w:styleId="27">
    <w:name w:val="Quote"/>
    <w:basedOn w:val="a1"/>
    <w:next w:val="a1"/>
    <w:link w:val="28"/>
    <w:uiPriority w:val="29"/>
    <w:qFormat/>
    <w:rsid w:val="00FC693F"/>
    <w:rPr>
      <w:i/>
      <w:iCs/>
      <w:color w:val="000000" w:themeColor="text1"/>
    </w:rPr>
  </w:style>
  <w:style w:type="character" w:customStyle="1" w:styleId="28">
    <w:name w:val="Цитата 2 Знак"/>
    <w:basedOn w:val="a2"/>
    <w:link w:val="27"/>
    <w:uiPriority w:val="29"/>
    <w:rsid w:val="00FC693F"/>
    <w:rPr>
      <w:i/>
      <w:iCs/>
      <w:color w:val="000000" w:themeColor="text1"/>
    </w:rPr>
  </w:style>
  <w:style w:type="character" w:customStyle="1" w:styleId="40">
    <w:name w:val="Заголовок 4 Знак"/>
    <w:basedOn w:val="a2"/>
    <w:link w:val="4"/>
    <w:uiPriority w:val="9"/>
    <w:semiHidden/>
    <w:rsid w:val="00FC693F"/>
    <w:rPr>
      <w:rFonts w:asciiTheme="majorHAnsi" w:eastAsiaTheme="majorEastAsia" w:hAnsiTheme="majorHAnsi" w:cstheme="majorBidi"/>
      <w:b/>
      <w:bCs/>
      <w:i/>
      <w:iCs/>
      <w:color w:val="4F81BD" w:themeColor="accent1"/>
    </w:rPr>
  </w:style>
  <w:style w:type="character" w:customStyle="1" w:styleId="50">
    <w:name w:val="Заголовок 5 Знак"/>
    <w:basedOn w:val="a2"/>
    <w:link w:val="5"/>
    <w:uiPriority w:val="9"/>
    <w:semiHidden/>
    <w:rsid w:val="00FC693F"/>
    <w:rPr>
      <w:rFonts w:asciiTheme="majorHAnsi" w:eastAsiaTheme="majorEastAsia" w:hAnsiTheme="majorHAnsi" w:cstheme="majorBidi"/>
      <w:color w:val="243F60" w:themeColor="accent1" w:themeShade="7F"/>
    </w:rPr>
  </w:style>
  <w:style w:type="character" w:customStyle="1" w:styleId="60">
    <w:name w:val="Заголовок 6 Знак"/>
    <w:basedOn w:val="a2"/>
    <w:link w:val="6"/>
    <w:uiPriority w:val="9"/>
    <w:semiHidden/>
    <w:rsid w:val="00FC693F"/>
    <w:rPr>
      <w:rFonts w:asciiTheme="majorHAnsi" w:eastAsiaTheme="majorEastAsia" w:hAnsiTheme="majorHAnsi" w:cstheme="majorBidi"/>
      <w:i/>
      <w:iCs/>
      <w:color w:val="243F60" w:themeColor="accent1" w:themeShade="7F"/>
    </w:rPr>
  </w:style>
  <w:style w:type="character" w:customStyle="1" w:styleId="70">
    <w:name w:val="Заголовок 7 Знак"/>
    <w:basedOn w:val="a2"/>
    <w:link w:val="7"/>
    <w:uiPriority w:val="9"/>
    <w:semiHidden/>
    <w:rsid w:val="00FC693F"/>
    <w:rPr>
      <w:rFonts w:asciiTheme="majorHAnsi" w:eastAsiaTheme="majorEastAsia" w:hAnsiTheme="majorHAnsi" w:cstheme="majorBidi"/>
      <w:i/>
      <w:iCs/>
      <w:color w:val="404040" w:themeColor="text1" w:themeTint="BF"/>
    </w:rPr>
  </w:style>
  <w:style w:type="character" w:customStyle="1" w:styleId="80">
    <w:name w:val="Заголовок 8 Знак"/>
    <w:basedOn w:val="a2"/>
    <w:link w:val="8"/>
    <w:uiPriority w:val="9"/>
    <w:semiHidden/>
    <w:rsid w:val="00FC693F"/>
    <w:rPr>
      <w:rFonts w:asciiTheme="majorHAnsi" w:eastAsiaTheme="majorEastAsia" w:hAnsiTheme="majorHAnsi" w:cstheme="majorBidi"/>
      <w:color w:val="4F81BD" w:themeColor="accent1"/>
      <w:sz w:val="20"/>
      <w:szCs w:val="20"/>
    </w:rPr>
  </w:style>
  <w:style w:type="character" w:customStyle="1" w:styleId="90">
    <w:name w:val="Заголовок 9 Знак"/>
    <w:basedOn w:val="a2"/>
    <w:link w:val="9"/>
    <w:uiPriority w:val="9"/>
    <w:semiHidden/>
    <w:rsid w:val="00FC693F"/>
    <w:rPr>
      <w:rFonts w:asciiTheme="majorHAnsi" w:eastAsiaTheme="majorEastAsia" w:hAnsiTheme="majorHAnsi" w:cstheme="majorBidi"/>
      <w:i/>
      <w:iCs/>
      <w:color w:val="404040" w:themeColor="text1" w:themeTint="BF"/>
      <w:sz w:val="20"/>
      <w:szCs w:val="20"/>
    </w:rPr>
  </w:style>
  <w:style w:type="paragraph" w:styleId="af5">
    <w:name w:val="caption"/>
    <w:basedOn w:val="a1"/>
    <w:next w:val="a1"/>
    <w:uiPriority w:val="35"/>
    <w:semiHidden/>
    <w:unhideWhenUsed/>
    <w:qFormat/>
    <w:rsid w:val="00FC693F"/>
    <w:pPr>
      <w:spacing w:line="240" w:lineRule="auto"/>
    </w:pPr>
    <w:rPr>
      <w:b/>
      <w:bCs/>
      <w:color w:val="4F81BD" w:themeColor="accent1"/>
      <w:sz w:val="18"/>
      <w:szCs w:val="18"/>
    </w:rPr>
  </w:style>
  <w:style w:type="character" w:styleId="af6">
    <w:name w:val="Strong"/>
    <w:basedOn w:val="a2"/>
    <w:uiPriority w:val="22"/>
    <w:qFormat/>
    <w:rsid w:val="00FC693F"/>
    <w:rPr>
      <w:b/>
      <w:bCs/>
    </w:rPr>
  </w:style>
  <w:style w:type="character" w:styleId="af7">
    <w:name w:val="Emphasis"/>
    <w:basedOn w:val="a2"/>
    <w:uiPriority w:val="20"/>
    <w:qFormat/>
    <w:rsid w:val="00FC693F"/>
    <w:rPr>
      <w:i/>
      <w:iCs/>
    </w:rPr>
  </w:style>
  <w:style w:type="paragraph" w:styleId="af8">
    <w:name w:val="Intense Quote"/>
    <w:basedOn w:val="a1"/>
    <w:next w:val="a1"/>
    <w:link w:val="af9"/>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af9">
    <w:name w:val="Выделенная цитата Знак"/>
    <w:basedOn w:val="a2"/>
    <w:link w:val="af8"/>
    <w:uiPriority w:val="30"/>
    <w:rsid w:val="00FC693F"/>
    <w:rPr>
      <w:b/>
      <w:bCs/>
      <w:i/>
      <w:iCs/>
      <w:color w:val="4F81BD" w:themeColor="accent1"/>
    </w:rPr>
  </w:style>
  <w:style w:type="character" w:styleId="afa">
    <w:name w:val="Subtle Emphasis"/>
    <w:basedOn w:val="a2"/>
    <w:uiPriority w:val="19"/>
    <w:qFormat/>
    <w:rsid w:val="00FC693F"/>
    <w:rPr>
      <w:i/>
      <w:iCs/>
      <w:color w:val="808080" w:themeColor="text1" w:themeTint="7F"/>
    </w:rPr>
  </w:style>
  <w:style w:type="character" w:styleId="afb">
    <w:name w:val="Intense Emphasis"/>
    <w:basedOn w:val="a2"/>
    <w:uiPriority w:val="21"/>
    <w:qFormat/>
    <w:rsid w:val="00FC693F"/>
    <w:rPr>
      <w:b/>
      <w:bCs/>
      <w:i/>
      <w:iCs/>
      <w:color w:val="4F81BD" w:themeColor="accent1"/>
    </w:rPr>
  </w:style>
  <w:style w:type="character" w:styleId="afc">
    <w:name w:val="Subtle Reference"/>
    <w:basedOn w:val="a2"/>
    <w:uiPriority w:val="31"/>
    <w:qFormat/>
    <w:rsid w:val="00FC693F"/>
    <w:rPr>
      <w:smallCaps/>
      <w:color w:val="C0504D" w:themeColor="accent2"/>
      <w:u w:val="single"/>
    </w:rPr>
  </w:style>
  <w:style w:type="character" w:styleId="afd">
    <w:name w:val="Intense Reference"/>
    <w:basedOn w:val="a2"/>
    <w:uiPriority w:val="32"/>
    <w:qFormat/>
    <w:rsid w:val="00FC693F"/>
    <w:rPr>
      <w:b/>
      <w:bCs/>
      <w:smallCaps/>
      <w:color w:val="C0504D" w:themeColor="accent2"/>
      <w:spacing w:val="5"/>
      <w:u w:val="single"/>
    </w:rPr>
  </w:style>
  <w:style w:type="character" w:styleId="afe">
    <w:name w:val="Book Title"/>
    <w:basedOn w:val="a2"/>
    <w:uiPriority w:val="33"/>
    <w:qFormat/>
    <w:rsid w:val="00FC693F"/>
    <w:rPr>
      <w:b/>
      <w:bCs/>
      <w:smallCaps/>
      <w:spacing w:val="5"/>
    </w:rPr>
  </w:style>
  <w:style w:type="paragraph" w:styleId="aff">
    <w:name w:val="TOC Heading"/>
    <w:basedOn w:val="1"/>
    <w:next w:val="a1"/>
    <w:uiPriority w:val="39"/>
    <w:unhideWhenUsed/>
    <w:qFormat/>
    <w:rsid w:val="00FC693F"/>
    <w:pPr>
      <w:outlineLvl w:val="9"/>
    </w:pPr>
    <w:rPr>
      <w:rFonts w:ascii="Cambria" w:eastAsia="Cambria" w:hAnsi="Cambria" w:cs="Cambria"/>
      <w:szCs w:val="32"/>
    </w:rPr>
  </w:style>
  <w:style w:type="table" w:styleId="aff0">
    <w:name w:val="Table Grid"/>
    <w:basedOn w:val="a3"/>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1">
    <w:name w:val="Light Shading"/>
    <w:basedOn w:val="a3"/>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3"/>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3"/>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3"/>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3"/>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3"/>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3"/>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2">
    <w:name w:val="Light List"/>
    <w:basedOn w:val="a3"/>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3"/>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3"/>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3"/>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3"/>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3"/>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3"/>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3">
    <w:name w:val="Light Grid"/>
    <w:basedOn w:val="a3"/>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1">
    <w:name w:val="Light Grid Accent 1"/>
    <w:basedOn w:val="a3"/>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1">
    <w:name w:val="Light Grid Accent 2"/>
    <w:basedOn w:val="a3"/>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Light Grid Accent 3"/>
    <w:basedOn w:val="a3"/>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1">
    <w:name w:val="Light Grid Accent 4"/>
    <w:basedOn w:val="a3"/>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1">
    <w:name w:val="Light Grid Accent 5"/>
    <w:basedOn w:val="a3"/>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1">
    <w:name w:val="Light Grid Accent 6"/>
    <w:basedOn w:val="a3"/>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w:basedOn w:val="a3"/>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3"/>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3"/>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3"/>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3"/>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3"/>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3"/>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9">
    <w:name w:val="Medium Shading 2"/>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2">
    <w:name w:val="Medium List 1"/>
    <w:basedOn w:val="a3"/>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3"/>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3"/>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3"/>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3"/>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3"/>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3"/>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a">
    <w:name w:val="Medium List 2"/>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3">
    <w:name w:val="Medium Grid 1"/>
    <w:basedOn w:val="a3"/>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3"/>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1">
    <w:name w:val="Medium Grid 1 Accent 2"/>
    <w:basedOn w:val="a3"/>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1">
    <w:name w:val="Medium Grid 1 Accent 3"/>
    <w:basedOn w:val="a3"/>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1">
    <w:name w:val="Medium Grid 1 Accent 4"/>
    <w:basedOn w:val="a3"/>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1">
    <w:name w:val="Medium Grid 1 Accent 5"/>
    <w:basedOn w:val="a3"/>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1">
    <w:name w:val="Medium Grid 1 Accent 6"/>
    <w:basedOn w:val="a3"/>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b">
    <w:name w:val="Medium Grid 2"/>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1">
    <w:name w:val="Medium Grid 2 Accent 2"/>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1">
    <w:name w:val="Medium Grid 2 Accent 3"/>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1">
    <w:name w:val="Medium Grid 2 Accent 4"/>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1">
    <w:name w:val="Medium Grid 2 Accent 5"/>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1">
    <w:name w:val="Medium Grid 2 Accent 6"/>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7">
    <w:name w:val="Medium Grid 3"/>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4">
    <w:name w:val="Dark List"/>
    <w:basedOn w:val="a3"/>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3"/>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2">
    <w:name w:val="Dark List Accent 2"/>
    <w:basedOn w:val="a3"/>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2">
    <w:name w:val="Dark List Accent 3"/>
    <w:basedOn w:val="a3"/>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2">
    <w:name w:val="Dark List Accent 4"/>
    <w:basedOn w:val="a3"/>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2">
    <w:name w:val="Dark List Accent 5"/>
    <w:basedOn w:val="a3"/>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2">
    <w:name w:val="Dark List Accent 6"/>
    <w:basedOn w:val="a3"/>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5">
    <w:name w:val="Colorful Shading"/>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3"/>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3">
    <w:name w:val="Colorful Shading Accent 4"/>
    <w:basedOn w:val="a3"/>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3"/>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3"/>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6">
    <w:name w:val="Colorful List"/>
    <w:basedOn w:val="a3"/>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3"/>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3"/>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3"/>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3"/>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4">
    <w:name w:val="Colorful List Accent 5"/>
    <w:basedOn w:val="a3"/>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4">
    <w:name w:val="Colorful List Accent 6"/>
    <w:basedOn w:val="a3"/>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7">
    <w:name w:val="Colorful Grid"/>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5">
    <w:name w:val="Colorful Grid Accent 2"/>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5">
    <w:name w:val="Colorful Grid Accent 3"/>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5">
    <w:name w:val="Colorful Grid Accent 4"/>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CoverTitle">
    <w:name w:val="Cover Title"/>
    <w:basedOn w:val="a1"/>
    <w:pPr>
      <w:spacing w:after="200" w:line="240" w:lineRule="auto"/>
    </w:pPr>
    <w:rPr>
      <w:b/>
      <w:sz w:val="48"/>
    </w:rPr>
  </w:style>
  <w:style w:type="paragraph" w:customStyle="1" w:styleId="CoverSubtitle">
    <w:name w:val="Cover Subtitle"/>
    <w:basedOn w:val="a1"/>
    <w:pPr>
      <w:spacing w:after="240"/>
    </w:pPr>
    <w:rPr>
      <w:color w:val="52525B"/>
      <w:sz w:val="24"/>
    </w:rPr>
  </w:style>
  <w:style w:type="paragraph" w:customStyle="1" w:styleId="MetaLabel">
    <w:name w:val="Meta Label"/>
    <w:basedOn w:val="a1"/>
    <w:pPr>
      <w:spacing w:after="20"/>
    </w:pPr>
    <w:rPr>
      <w:b/>
      <w:color w:val="52525B"/>
      <w:sz w:val="18"/>
    </w:rPr>
  </w:style>
  <w:style w:type="paragraph" w:customStyle="1" w:styleId="MetaValue">
    <w:name w:val="Meta Value"/>
    <w:basedOn w:val="a1"/>
    <w:pPr>
      <w:spacing w:after="160"/>
    </w:pPr>
    <w:rPr>
      <w:sz w:val="21"/>
    </w:rPr>
  </w:style>
  <w:style w:type="paragraph" w:customStyle="1" w:styleId="TOCEntry">
    <w:name w:val="TOC Entry"/>
    <w:basedOn w:val="a1"/>
    <w:pPr>
      <w:spacing w:after="40"/>
    </w:pPr>
    <w:rPr>
      <w:sz w:val="21"/>
    </w:rPr>
  </w:style>
  <w:style w:type="paragraph" w:customStyle="1" w:styleId="QuoteCustom">
    <w:name w:val="Quote Custom"/>
    <w:basedOn w:val="a1"/>
    <w:pPr>
      <w:spacing w:before="80" w:after="160"/>
      <w:ind w:left="454" w:right="227"/>
    </w:pPr>
    <w:rPr>
      <w:i/>
      <w:color w:val="52525B"/>
      <w:sz w:val="21"/>
    </w:rPr>
  </w:style>
  <w:style w:type="character" w:styleId="aff8">
    <w:name w:val="Hyperlink"/>
    <w:basedOn w:val="a2"/>
    <w:uiPriority w:val="99"/>
    <w:unhideWhenUsed/>
    <w:rsid w:val="00CF160C"/>
    <w:rPr>
      <w:color w:val="0000FF" w:themeColor="hyperlink"/>
      <w:u w:val="single"/>
    </w:rPr>
  </w:style>
  <w:style w:type="character" w:styleId="aff9">
    <w:name w:val="Unresolved Mention"/>
    <w:basedOn w:val="a2"/>
    <w:uiPriority w:val="99"/>
    <w:semiHidden/>
    <w:unhideWhenUsed/>
    <w:rsid w:val="00CF160C"/>
    <w:rPr>
      <w:color w:val="605E5C"/>
      <w:shd w:val="clear" w:color="auto" w:fill="E1DFDD"/>
    </w:rPr>
  </w:style>
  <w:style w:type="paragraph" w:styleId="14">
    <w:name w:val="toc 1"/>
    <w:basedOn w:val="a1"/>
    <w:next w:val="a1"/>
    <w:autoRedefine/>
    <w:uiPriority w:val="39"/>
    <w:unhideWhenUsed/>
    <w:rsid w:val="003A0CDE"/>
    <w:pPr>
      <w:spacing w:after="100"/>
    </w:pPr>
    <w:rPr>
      <w:rFonts w:asciiTheme="minorHAnsi" w:hAnsiTheme="minorHAnsi"/>
    </w:rPr>
  </w:style>
  <w:style w:type="paragraph" w:styleId="2c">
    <w:name w:val="toc 2"/>
    <w:basedOn w:val="a1"/>
    <w:next w:val="a1"/>
    <w:autoRedefine/>
    <w:uiPriority w:val="39"/>
    <w:unhideWhenUsed/>
    <w:rsid w:val="003A0CDE"/>
    <w:pPr>
      <w:spacing w:after="100"/>
      <w:ind w:left="220"/>
    </w:pPr>
  </w:style>
  <w:style w:type="paragraph" w:styleId="38">
    <w:name w:val="toc 3"/>
    <w:basedOn w:val="a1"/>
    <w:next w:val="a1"/>
    <w:autoRedefine/>
    <w:uiPriority w:val="39"/>
    <w:unhideWhenUsed/>
    <w:rsid w:val="003A0CDE"/>
    <w:pPr>
      <w:spacing w:after="100"/>
      <w:ind w:left="440"/>
    </w:pPr>
  </w:style>
  <w:style w:type="paragraph" w:styleId="41">
    <w:name w:val="toc 4"/>
    <w:basedOn w:val="a1"/>
    <w:next w:val="a1"/>
    <w:autoRedefine/>
    <w:uiPriority w:val="39"/>
    <w:unhideWhenUsed/>
    <w:rsid w:val="003A0CDE"/>
    <w:pPr>
      <w:spacing w:after="100" w:line="278" w:lineRule="auto"/>
      <w:ind w:left="720"/>
    </w:pPr>
    <w:rPr>
      <w:rFonts w:asciiTheme="minorHAnsi" w:eastAsiaTheme="minorEastAsia" w:hAnsiTheme="minorHAnsi"/>
      <w:color w:val="auto"/>
      <w:kern w:val="2"/>
      <w:sz w:val="24"/>
      <w:szCs w:val="24"/>
      <w:lang w:val="ru-RU" w:eastAsia="ru-RU"/>
      <w14:ligatures w14:val="standardContextual"/>
    </w:rPr>
  </w:style>
  <w:style w:type="paragraph" w:styleId="51">
    <w:name w:val="toc 5"/>
    <w:basedOn w:val="a1"/>
    <w:next w:val="a1"/>
    <w:autoRedefine/>
    <w:uiPriority w:val="39"/>
    <w:unhideWhenUsed/>
    <w:rsid w:val="003A0CDE"/>
    <w:pPr>
      <w:spacing w:after="100" w:line="278" w:lineRule="auto"/>
      <w:ind w:left="960"/>
    </w:pPr>
    <w:rPr>
      <w:rFonts w:asciiTheme="minorHAnsi" w:eastAsiaTheme="minorEastAsia" w:hAnsiTheme="minorHAnsi"/>
      <w:color w:val="auto"/>
      <w:kern w:val="2"/>
      <w:sz w:val="24"/>
      <w:szCs w:val="24"/>
      <w:lang w:val="ru-RU" w:eastAsia="ru-RU"/>
      <w14:ligatures w14:val="standardContextual"/>
    </w:rPr>
  </w:style>
  <w:style w:type="paragraph" w:styleId="61">
    <w:name w:val="toc 6"/>
    <w:basedOn w:val="a1"/>
    <w:next w:val="a1"/>
    <w:autoRedefine/>
    <w:uiPriority w:val="39"/>
    <w:unhideWhenUsed/>
    <w:rsid w:val="003A0CDE"/>
    <w:pPr>
      <w:spacing w:after="100" w:line="278" w:lineRule="auto"/>
      <w:ind w:left="1200"/>
    </w:pPr>
    <w:rPr>
      <w:rFonts w:asciiTheme="minorHAnsi" w:eastAsiaTheme="minorEastAsia" w:hAnsiTheme="minorHAnsi"/>
      <w:color w:val="auto"/>
      <w:kern w:val="2"/>
      <w:sz w:val="24"/>
      <w:szCs w:val="24"/>
      <w:lang w:val="ru-RU" w:eastAsia="ru-RU"/>
      <w14:ligatures w14:val="standardContextual"/>
    </w:rPr>
  </w:style>
  <w:style w:type="paragraph" w:styleId="71">
    <w:name w:val="toc 7"/>
    <w:basedOn w:val="a1"/>
    <w:next w:val="a1"/>
    <w:autoRedefine/>
    <w:uiPriority w:val="39"/>
    <w:unhideWhenUsed/>
    <w:rsid w:val="003A0CDE"/>
    <w:pPr>
      <w:spacing w:after="100" w:line="278" w:lineRule="auto"/>
      <w:ind w:left="1440"/>
    </w:pPr>
    <w:rPr>
      <w:rFonts w:asciiTheme="minorHAnsi" w:eastAsiaTheme="minorEastAsia" w:hAnsiTheme="minorHAnsi"/>
      <w:color w:val="auto"/>
      <w:kern w:val="2"/>
      <w:sz w:val="24"/>
      <w:szCs w:val="24"/>
      <w:lang w:val="ru-RU" w:eastAsia="ru-RU"/>
      <w14:ligatures w14:val="standardContextual"/>
    </w:rPr>
  </w:style>
  <w:style w:type="paragraph" w:styleId="81">
    <w:name w:val="toc 8"/>
    <w:basedOn w:val="a1"/>
    <w:next w:val="a1"/>
    <w:autoRedefine/>
    <w:uiPriority w:val="39"/>
    <w:unhideWhenUsed/>
    <w:rsid w:val="003A0CDE"/>
    <w:pPr>
      <w:spacing w:after="100" w:line="278" w:lineRule="auto"/>
      <w:ind w:left="1680"/>
    </w:pPr>
    <w:rPr>
      <w:rFonts w:asciiTheme="minorHAnsi" w:eastAsiaTheme="minorEastAsia" w:hAnsiTheme="minorHAnsi"/>
      <w:color w:val="auto"/>
      <w:kern w:val="2"/>
      <w:sz w:val="24"/>
      <w:szCs w:val="24"/>
      <w:lang w:val="ru-RU" w:eastAsia="ru-RU"/>
      <w14:ligatures w14:val="standardContextual"/>
    </w:rPr>
  </w:style>
  <w:style w:type="paragraph" w:styleId="91">
    <w:name w:val="toc 9"/>
    <w:basedOn w:val="a1"/>
    <w:next w:val="a1"/>
    <w:autoRedefine/>
    <w:uiPriority w:val="39"/>
    <w:unhideWhenUsed/>
    <w:rsid w:val="003A0CDE"/>
    <w:pPr>
      <w:spacing w:after="100" w:line="278" w:lineRule="auto"/>
      <w:ind w:left="1920"/>
    </w:pPr>
    <w:rPr>
      <w:rFonts w:asciiTheme="minorHAnsi" w:eastAsiaTheme="minorEastAsia" w:hAnsiTheme="minorHAnsi"/>
      <w:color w:val="auto"/>
      <w:kern w:val="2"/>
      <w:sz w:val="24"/>
      <w:szCs w:val="24"/>
      <w:lang w:val="ru-RU" w:eastAsia="ru-RU"/>
      <w14:ligatures w14:val="standardContextual"/>
    </w:rPr>
  </w:style>
  <w:style w:type="paragraph" w:customStyle="1" w:styleId="SourceCode">
    <w:name w:val="Source Code"/>
    <w:pPr>
      <w:wordWrap w:val="0"/>
    </w:pPr>
  </w:style>
  <w:style w:type="character" w:customStyle="1" w:styleId="KeywordTok">
    <w:name w:val="KeywordTok"/>
    <w:rPr>
      <w:b/>
      <w:color w:val="007020"/>
    </w:rPr>
  </w:style>
  <w:style w:type="character" w:customStyle="1" w:styleId="DataTypeTok">
    <w:name w:val="DataTypeTok"/>
    <w:rPr>
      <w:color w:val="902000"/>
    </w:rPr>
  </w:style>
  <w:style w:type="character" w:customStyle="1" w:styleId="DecValTok">
    <w:name w:val="DecValTok"/>
    <w:rPr>
      <w:color w:val="40A070"/>
    </w:rPr>
  </w:style>
  <w:style w:type="character" w:customStyle="1" w:styleId="BaseNTok">
    <w:name w:val="BaseNTok"/>
    <w:rPr>
      <w:color w:val="40A070"/>
    </w:rPr>
  </w:style>
  <w:style w:type="character" w:customStyle="1" w:styleId="FloatTok">
    <w:name w:val="FloatTok"/>
    <w:rPr>
      <w:color w:val="40A070"/>
    </w:rPr>
  </w:style>
  <w:style w:type="character" w:customStyle="1" w:styleId="ConstantTok">
    <w:name w:val="ConstantTok"/>
    <w:rPr>
      <w:color w:val="880000"/>
    </w:rPr>
  </w:style>
  <w:style w:type="character" w:customStyle="1" w:styleId="CharTok">
    <w:name w:val="CharTok"/>
    <w:rPr>
      <w:color w:val="4070A0"/>
    </w:rPr>
  </w:style>
  <w:style w:type="character" w:customStyle="1" w:styleId="SpecialCharTok">
    <w:name w:val="SpecialCharTok"/>
    <w:rPr>
      <w:color w:val="4070A0"/>
    </w:rPr>
  </w:style>
  <w:style w:type="character" w:customStyle="1" w:styleId="StringTok">
    <w:name w:val="StringTok"/>
    <w:rPr>
      <w:color w:val="4070A0"/>
    </w:rPr>
  </w:style>
  <w:style w:type="character" w:customStyle="1" w:styleId="VerbatimStringTok">
    <w:name w:val="VerbatimStringTok"/>
    <w:rPr>
      <w:color w:val="4070A0"/>
    </w:rPr>
  </w:style>
  <w:style w:type="character" w:customStyle="1" w:styleId="SpecialStringTok">
    <w:name w:val="SpecialStringTok"/>
    <w:rPr>
      <w:color w:val="BB6688"/>
    </w:rPr>
  </w:style>
  <w:style w:type="character" w:customStyle="1" w:styleId="ImportTok">
    <w:name w:val="ImportTok"/>
    <w:rPr>
      <w:b/>
      <w:color w:val="008000"/>
    </w:rPr>
  </w:style>
  <w:style w:type="character" w:customStyle="1" w:styleId="CommentTok">
    <w:name w:val="CommentTok"/>
    <w:rPr>
      <w:i/>
      <w:color w:val="60A0B0"/>
    </w:rPr>
  </w:style>
  <w:style w:type="character" w:customStyle="1" w:styleId="DocumentationTok">
    <w:name w:val="DocumentationTok"/>
    <w:rPr>
      <w:i/>
      <w:color w:val="BA2121"/>
    </w:rPr>
  </w:style>
  <w:style w:type="character" w:customStyle="1" w:styleId="AnnotationTok">
    <w:name w:val="AnnotationTok"/>
    <w:rPr>
      <w:b/>
      <w:i/>
      <w:color w:val="60A0B0"/>
    </w:rPr>
  </w:style>
  <w:style w:type="character" w:customStyle="1" w:styleId="CommentVarTok">
    <w:name w:val="CommentVarTok"/>
    <w:rPr>
      <w:b/>
      <w:i/>
      <w:color w:val="60A0B0"/>
    </w:rPr>
  </w:style>
  <w:style w:type="character" w:customStyle="1" w:styleId="OtherTok">
    <w:name w:val="OtherTok"/>
    <w:rPr>
      <w:color w:val="007020"/>
    </w:rPr>
  </w:style>
  <w:style w:type="character" w:customStyle="1" w:styleId="FunctionTok">
    <w:name w:val="FunctionTok"/>
    <w:rPr>
      <w:color w:val="06287E"/>
    </w:rPr>
  </w:style>
  <w:style w:type="character" w:customStyle="1" w:styleId="VariableTok">
    <w:name w:val="VariableTok"/>
    <w:rPr>
      <w:color w:val="19177C"/>
    </w:rPr>
  </w:style>
  <w:style w:type="character" w:customStyle="1" w:styleId="ControlFlowTok">
    <w:name w:val="ControlFlowTok"/>
    <w:rPr>
      <w:b/>
      <w:color w:val="007020"/>
    </w:rPr>
  </w:style>
  <w:style w:type="character" w:customStyle="1" w:styleId="OperatorTok">
    <w:name w:val="OperatorTok"/>
    <w:rPr>
      <w:color w:val="666666"/>
    </w:rPr>
  </w:style>
  <w:style w:type="character" w:customStyle="1" w:styleId="BuiltInTok">
    <w:name w:val="BuiltInTok"/>
    <w:rPr>
      <w:color w:val="008000"/>
    </w:rPr>
  </w:style>
  <w:style w:type="character" w:customStyle="1" w:styleId="ExtensionTok">
    <w:name w:val="ExtensionTok"/>
  </w:style>
  <w:style w:type="character" w:customStyle="1" w:styleId="PreprocessorTok">
    <w:name w:val="PreprocessorTok"/>
    <w:rPr>
      <w:color w:val="BC7A00"/>
    </w:rPr>
  </w:style>
  <w:style w:type="character" w:customStyle="1" w:styleId="AttributeTok">
    <w:name w:val="AttributeTok"/>
    <w:rPr>
      <w:color w:val="7D9029"/>
    </w:rPr>
  </w:style>
  <w:style w:type="character" w:customStyle="1" w:styleId="RegionMarkerTok">
    <w:name w:val="RegionMarkerTok"/>
  </w:style>
  <w:style w:type="character" w:customStyle="1" w:styleId="InformationTok">
    <w:name w:val="InformationTok"/>
    <w:rPr>
      <w:b/>
      <w:i/>
      <w:color w:val="60A0B0"/>
    </w:rPr>
  </w:style>
  <w:style w:type="character" w:customStyle="1" w:styleId="WarningTok">
    <w:name w:val="WarningTok"/>
    <w:rPr>
      <w:b/>
      <w:i/>
      <w:color w:val="60A0B0"/>
    </w:rPr>
  </w:style>
  <w:style w:type="character" w:customStyle="1" w:styleId="AlertTok">
    <w:name w:val="AlertTok"/>
    <w:rPr>
      <w:b/>
      <w:color w:val="FF0000"/>
    </w:rPr>
  </w:style>
  <w:style w:type="character" w:customStyle="1" w:styleId="ErrorTok">
    <w:name w:val="ErrorTok"/>
    <w:rPr>
      <w:b/>
      <w:color w:val="FF0000"/>
    </w:rPr>
  </w:style>
  <w:style w:type="character" w:customStyle="1" w:styleId="NormalTok">
    <w:name w:val="NormalTok"/>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oi.org/10.5281/zenodo.19088355" TargetMode="External"/><Relationship Id="rId18" Type="http://schemas.openxmlformats.org/officeDocument/2006/relationships/hyperlink" Target="https://doi.org/10.5281/zenodo.19088921" TargetMode="External"/><Relationship Id="rId26" Type="http://schemas.openxmlformats.org/officeDocument/2006/relationships/image" Target="media/image5.png"/><Relationship Id="rId39" Type="http://schemas.openxmlformats.org/officeDocument/2006/relationships/header" Target="header1.xml"/><Relationship Id="rId21" Type="http://schemas.openxmlformats.org/officeDocument/2006/relationships/hyperlink" Target="https://doi.org/10.5281/zenodo.19089936" TargetMode="External"/><Relationship Id="rId34" Type="http://schemas.openxmlformats.org/officeDocument/2006/relationships/image" Target="media/image13.png"/><Relationship Id="rId42"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s://doi.org/10.5281/zenodo.19077561" TargetMode="External"/><Relationship Id="rId20" Type="http://schemas.openxmlformats.org/officeDocument/2006/relationships/hyperlink" Target="https://doi.org/10.5281/zenodo.19089145" TargetMode="External"/><Relationship Id="rId29" Type="http://schemas.openxmlformats.org/officeDocument/2006/relationships/image" Target="media/image8.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doi.org/10.5281/zenodo.19077660" TargetMode="External"/><Relationship Id="rId24" Type="http://schemas.openxmlformats.org/officeDocument/2006/relationships/image" Target="media/image3.png"/><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yperlink" Target="https://doi.org/10.5281/zenodo.19088884" TargetMode="External"/><Relationship Id="rId23" Type="http://schemas.openxmlformats.org/officeDocument/2006/relationships/image" Target="media/image2.png"/><Relationship Id="rId28" Type="http://schemas.openxmlformats.org/officeDocument/2006/relationships/image" Target="media/image7.png"/><Relationship Id="rId36" Type="http://schemas.openxmlformats.org/officeDocument/2006/relationships/image" Target="media/image15.png"/><Relationship Id="rId10" Type="http://schemas.openxmlformats.org/officeDocument/2006/relationships/hyperlink" Target="https://doi.org/10.5281/zenodo.19033527" TargetMode="External"/><Relationship Id="rId19" Type="http://schemas.openxmlformats.org/officeDocument/2006/relationships/hyperlink" Target="https://doi.org/10.5281/zenodo.19089054" TargetMode="External"/><Relationship Id="rId31"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hyperlink" Target="https://zenodo.org/communities/colaba-space/" TargetMode="External"/><Relationship Id="rId14" Type="http://schemas.openxmlformats.org/officeDocument/2006/relationships/hyperlink" Target="https://doi.org/10.5281/zenodo.19088857" TargetMode="External"/><Relationship Id="rId22" Type="http://schemas.openxmlformats.org/officeDocument/2006/relationships/hyperlink" Target="https://orcid.org/0009-0004-0432-5336" TargetMode="Externa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8" Type="http://schemas.openxmlformats.org/officeDocument/2006/relationships/hyperlink" Target="https://doi.org/10.5281/zenodo.19077256" TargetMode="External"/><Relationship Id="rId3" Type="http://schemas.openxmlformats.org/officeDocument/2006/relationships/settings" Target="settings.xml"/><Relationship Id="rId12" Type="http://schemas.openxmlformats.org/officeDocument/2006/relationships/hyperlink" Target="https://doi.org/10.5281/zenodo.19077811" TargetMode="External"/><Relationship Id="rId17" Type="http://schemas.openxmlformats.org/officeDocument/2006/relationships/hyperlink" Target="https://doi.org/10.5281/zenodo.19088997" TargetMode="External"/><Relationship Id="rId25" Type="http://schemas.openxmlformats.org/officeDocument/2006/relationships/image" Target="media/image4.png"/><Relationship Id="rId33" Type="http://schemas.openxmlformats.org/officeDocument/2006/relationships/image" Target="media/image12.png"/><Relationship Id="rId38"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54</TotalTime>
  <Pages>57</Pages>
  <Words>18223</Words>
  <Characters>103874</Characters>
  <Application>Microsoft Office Word</Application>
  <DocSecurity>0</DocSecurity>
  <Lines>865</Lines>
  <Paragraphs>243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121854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Adaptation Threshold Dynamics (ATD)</dc:title>
  <dc:creator>Andrey Yudin</dc:creator>
  <cp:keywords/>
  <dc:description>Builder fixed for reference cover, TOC pagination, exact author line, and running header/footer.</dc:description>
  <cp:lastModifiedBy>andrey</cp:lastModifiedBy>
  <cp:revision>3</cp:revision>
  <cp:lastPrinted>2026-04-08T01:20:00Z</cp:lastPrinted>
  <dcterms:created xsi:type="dcterms:W3CDTF">2026-04-08T00:23:00Z</dcterms:created>
  <dcterms:modified xsi:type="dcterms:W3CDTF">2026-04-08T01:21:00Z</dcterms:modified>
</cp:coreProperties>
</file>