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</w:tblPr>
      <w:tblGrid>
        <w:gridCol w:w="9792"/>
      </w:tblGrid>
      <w:tr>
        <w:tc>
          <w:tcPr>
            <w:tcW w:type="dxa" w:w="9936"/>
            <w:shd w:fill="FFF4C2"/>
            <w:tcMar>
              <w:top w:w="180" w:type="dxa"/>
              <w:start w:w="180" w:type="dxa"/>
              <w:bottom w:w="160" w:type="dxa"/>
              <w:end w:w="180" w:type="dxa"/>
            </w:tcMar>
          </w:tcPr>
          <w:p>
            <w:pPr>
              <w:jc w:val="left"/>
            </w:pPr>
            <w:r>
              <w:rPr>
                <w:rFonts w:ascii="Aptos" w:hAnsi="Aptos"/>
                <w:b/>
                <w:i w:val="0"/>
                <w:color w:val="6A5400"/>
                <w:sz w:val="36"/>
              </w:rPr>
              <w:t>Repository Milestone Record</w:t>
            </w:r>
          </w:p>
          <w:p>
            <w:pPr>
              <w:jc w:val="left"/>
            </w:pPr>
            <w:r>
              <w:rPr>
                <w:rFonts w:ascii="Aptos" w:hAnsi="Aptos"/>
                <w:b w:val="0"/>
                <w:i w:val="0"/>
                <w:color w:val="6A5400"/>
                <w:sz w:val="21"/>
              </w:rPr>
              <w:t>Public release, publication progress, and open-science engagement update</w:t>
            </w:r>
          </w:p>
        </w:tc>
      </w:tr>
    </w:tbl>
    <w:p/>
    <w:p>
      <w:pPr>
        <w:jc w:val="left"/>
      </w:pPr>
      <w:r>
        <w:rPr>
          <w:rFonts w:ascii="Aptos" w:hAnsi="Aptos"/>
          <w:b/>
          <w:i w:val="0"/>
          <w:color w:val="55606E"/>
          <w:sz w:val="19"/>
        </w:rPr>
        <w:t>Prepared for repository documentation</w:t>
      </w:r>
      <w:r>
        <w:t xml:space="preserve">  |  </w:t>
      </w:r>
      <w:r>
        <w:rPr>
          <w:rFonts w:ascii="Aptos" w:hAnsi="Aptos"/>
          <w:b/>
          <w:i w:val="0"/>
          <w:color w:val="55606E"/>
          <w:sz w:val="19"/>
        </w:rPr>
        <w:t>Destiny Machwaya</w:t>
      </w:r>
      <w:r>
        <w:t xml:space="preserve">  |  </w:t>
      </w:r>
      <w:r>
        <w:rPr>
          <w:rFonts w:ascii="Aptos" w:hAnsi="Aptos"/>
          <w:b/>
          <w:i w:val="0"/>
          <w:color w:val="55606E"/>
          <w:sz w:val="19"/>
        </w:rPr>
        <w:t>March 2026 milestone</w:t>
      </w:r>
    </w:p>
    <w:p>
      <w:pPr>
        <w:spacing w:after="120"/>
      </w:pPr>
      <w:r>
        <w:rPr>
          <w:rFonts w:ascii="Aptos" w:hAnsi="Aptos"/>
          <w:b w:val="0"/>
          <w:i w:val="0"/>
          <w:sz w:val="21"/>
        </w:rPr>
        <w:t>This document records a major milestone across publication, public release, and scientific communication channels associated with the Tensor P2 / QTET research program. It is intended for repository use as a stable summary of what has been completed, what is currently under review, and what remains planned.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8" w:space="0" w:color="E7D57C"/>
          <w:left w:val="single" w:sz="8" w:space="0" w:color="E7D57C"/>
          <w:bottom w:val="single" w:sz="8" w:space="0" w:color="E7D57C"/>
          <w:right w:val="single" w:sz="8" w:space="0" w:color="E7D57C"/>
          <w:insideH w:val="single" w:sz="8" w:space="0" w:color="E7D57C"/>
          <w:insideV w:val="single" w:sz="8" w:space="0" w:color="E7D57C"/>
        </w:tblBorders>
      </w:tblPr>
      <w:tblGrid>
        <w:gridCol w:w="9792"/>
      </w:tblGrid>
      <w:tr>
        <w:tc>
          <w:tcPr>
            <w:tcW w:type="dxa" w:w="9936"/>
            <w:shd w:fill="FFFBEA"/>
            <w:tcMar>
              <w:top w:w="120" w:type="dxa"/>
              <w:start w:w="160" w:type="dxa"/>
              <w:bottom w:w="120" w:type="dxa"/>
              <w:end w:w="160" w:type="dxa"/>
            </w:tcMar>
          </w:tcPr>
          <w:p>
            <w:pPr>
              <w:spacing w:after="0"/>
            </w:pPr>
            <w:r>
              <w:rPr>
                <w:rFonts w:ascii="Aptos" w:hAnsi="Aptos"/>
                <w:b/>
                <w:i w:val="0"/>
                <w:color w:val="7A6200"/>
                <w:sz w:val="21"/>
              </w:rPr>
              <w:t>Milestone summary.</w:t>
            </w:r>
            <w:r>
              <w:rPr>
                <w:rFonts w:ascii="Aptos" w:hAnsi="Aptos"/>
                <w:b w:val="0"/>
                <w:i w:val="0"/>
                <w:sz w:val="20"/>
              </w:rPr>
              <w:t xml:space="preserve"> The hardware manuscript has moved through acceptance and production linkage with a public GitHub release; the monograph is under editorial review; the related string topologies manuscript remains in active peer review; the photonics and biology manuscript tracks are planned but not yet submitted; and the podcast </w:t>
            </w:r>
            <w:r>
              <w:rPr>
                <w:rFonts w:ascii="Aptos" w:hAnsi="Aptos"/>
                <w:b w:val="0"/>
                <w:i/>
                <w:sz w:val="20"/>
              </w:rPr>
              <w:t>Coherent Conversations with Destiny Machwaya</w:t>
            </w:r>
            <w:r>
              <w:rPr>
                <w:rFonts w:ascii="Aptos" w:hAnsi="Aptos"/>
                <w:b w:val="0"/>
                <w:i w:val="0"/>
                <w:sz w:val="20"/>
              </w:rPr>
              <w:t xml:space="preserve"> has launched as a public-facing demonstration of the planned LAW Research Center open scientific dialogue model.</w:t>
            </w:r>
          </w:p>
        </w:tc>
      </w:tr>
    </w:tbl>
    <w:p>
      <w:pPr>
        <w:spacing w:before="200" w:after="60"/>
      </w:pPr>
      <w:r>
        <w:rPr>
          <w:rFonts w:ascii="Aptos" w:hAnsi="Aptos"/>
          <w:b/>
          <w:i w:val="0"/>
          <w:color w:val="223A5E"/>
          <w:sz w:val="25"/>
        </w:rPr>
        <w:t>Current Status</w:t>
      </w:r>
    </w:p>
    <w:tbl>
      <w:tblPr>
        <w:tblStyle w:val="TableGrid"/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8" w:space="0" w:color="D8E0EC"/>
          <w:left w:val="single" w:sz="8" w:space="0" w:color="D8E0EC"/>
          <w:bottom w:val="single" w:sz="8" w:space="0" w:color="D8E0EC"/>
          <w:right w:val="single" w:sz="8" w:space="0" w:color="D8E0EC"/>
          <w:insideH w:val="single" w:sz="8" w:space="0" w:color="D8E0EC"/>
          <w:insideV w:val="single" w:sz="8" w:space="0" w:color="D8E0EC"/>
        </w:tblBorders>
      </w:tblPr>
      <w:tblGrid>
        <w:gridCol w:w="2880"/>
        <w:gridCol w:w="6912"/>
      </w:tblGrid>
      <w:tr>
        <w:tc>
          <w:tcPr>
            <w:tcW w:type="dxa" w:w="4968"/>
            <w:vAlign w:val="center"/>
            <w:shd w:fill="EAF0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sz w:val="20"/>
              </w:rPr>
              <w:t>Area</w:t>
            </w:r>
          </w:p>
        </w:tc>
        <w:tc>
          <w:tcPr>
            <w:tcW w:type="dxa" w:w="4968"/>
            <w:vAlign w:val="center"/>
            <w:shd w:fill="EAF0F8"/>
            <w:tcMar>
              <w:top w:w="100" w:type="dxa"/>
              <w:start w:w="120" w:type="dxa"/>
              <w:bottom w:w="100" w:type="dxa"/>
              <w:end w:w="120" w:type="dxa"/>
            </w:tcMar>
          </w:tcPr>
          <w:p>
            <w:r>
              <w:rPr>
                <w:b/>
                <w:sz w:val="20"/>
              </w:rPr>
              <w:t>Milestone Position</w:t>
            </w:r>
          </w:p>
        </w:tc>
      </w:tr>
      <w:tr>
        <w:tc>
          <w:tcPr>
            <w:tcW w:type="dxa" w:w="2880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Hardware manuscript</w:t>
            </w:r>
          </w:p>
        </w:tc>
        <w:tc>
          <w:tcPr>
            <w:tcW w:type="dxa" w:w="6912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Accepted / in publication pipeline with repository-linked public release and reproducibility artifact.</w:t>
            </w:r>
          </w:p>
        </w:tc>
      </w:tr>
      <w:tr>
        <w:tc>
          <w:tcPr>
            <w:tcW w:type="dxa" w:w="2880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Public code release</w:t>
            </w:r>
          </w:p>
        </w:tc>
        <w:tc>
          <w:tcPr>
            <w:tcW w:type="dxa" w:w="6912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Tensor P2 (P2v2.0) public GitHub release established for benchmarking, replication context, and authorship continuity.</w:t>
            </w:r>
          </w:p>
        </w:tc>
      </w:tr>
      <w:tr>
        <w:tc>
          <w:tcPr>
            <w:tcW w:type="dxa" w:w="2880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Monograph</w:t>
            </w:r>
          </w:p>
        </w:tc>
        <w:tc>
          <w:tcPr>
            <w:tcW w:type="dxa" w:w="6912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"Quantum Time-Energy Theory: A First-Principles Monograph on Coherence, Temporal Ordering, and Cosmological Structure" is submitted and under editorial review.</w:t>
            </w:r>
          </w:p>
        </w:tc>
      </w:tr>
      <w:tr>
        <w:tc>
          <w:tcPr>
            <w:tcW w:type="dxa" w:w="2880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Related manuscript under review</w:t>
            </w:r>
          </w:p>
        </w:tc>
        <w:tc>
          <w:tcPr>
            <w:tcW w:type="dxa" w:w="6912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"Quantum Time-Energy Theory: Resonance-Anchored Coherence in Extended String Topologies" remains in active peer review at Frontiers in Physics.</w:t>
            </w:r>
          </w:p>
        </w:tc>
      </w:tr>
      <w:tr>
        <w:tc>
          <w:tcPr>
            <w:tcW w:type="dxa" w:w="2880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Planned manuscript tracks</w:t>
            </w:r>
          </w:p>
        </w:tc>
        <w:tc>
          <w:tcPr>
            <w:tcW w:type="dxa" w:w="6912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Photonics / optics / nanodiamond and biology-focused manuscripts are planned and in development, but not yet submitted.</w:t>
            </w:r>
          </w:p>
        </w:tc>
      </w:tr>
      <w:tr>
        <w:tc>
          <w:tcPr>
            <w:tcW w:type="dxa" w:w="2880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Public discourse channel</w:t>
            </w:r>
          </w:p>
        </w:tc>
        <w:tc>
          <w:tcPr>
            <w:tcW w:type="dxa" w:w="6912"/>
            <w:vAlign w:val="center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Podcast launched to support first-principles discussion, scientific accessibility, and demonstration of the planned LAW Research Center open-resource debate structure.</w:t>
            </w:r>
          </w:p>
        </w:tc>
      </w:tr>
    </w:tbl>
    <w:p>
      <w:pPr>
        <w:spacing w:before="200" w:after="60"/>
      </w:pPr>
      <w:r>
        <w:rPr>
          <w:rFonts w:ascii="Aptos" w:hAnsi="Aptos"/>
          <w:b/>
          <w:i w:val="0"/>
          <w:color w:val="223A5E"/>
          <w:sz w:val="25"/>
        </w:rPr>
        <w:t>Why This Milestone Matters</w:t>
      </w:r>
    </w:p>
    <w:p>
      <w:pPr>
        <w:pStyle w:val="ListBullet"/>
        <w:spacing w:after="20"/>
      </w:pPr>
      <w:r>
        <w:rPr>
          <w:rFonts w:ascii="Aptos" w:hAnsi="Aptos"/>
          <w:b w:val="0"/>
          <w:i w:val="0"/>
          <w:sz w:val="20"/>
        </w:rPr>
        <w:t>It consolidates a decade of work into a public, traceable record spanning publication, repository infrastructure, and direct scientific communication.</w:t>
      </w:r>
    </w:p>
    <w:p>
      <w:pPr>
        <w:pStyle w:val="ListBullet"/>
        <w:spacing w:after="20"/>
      </w:pPr>
      <w:r>
        <w:rPr>
          <w:rFonts w:ascii="Aptos" w:hAnsi="Aptos"/>
          <w:b w:val="0"/>
          <w:i w:val="0"/>
          <w:sz w:val="20"/>
        </w:rPr>
        <w:t>It strengthens authorship continuity by linking formal publication activity with a timestamped code release and public explanatory ecosystem.</w:t>
      </w:r>
    </w:p>
    <w:p>
      <w:pPr>
        <w:pStyle w:val="ListBullet"/>
        <w:spacing w:after="20"/>
      </w:pPr>
      <w:r>
        <w:rPr>
          <w:rFonts w:ascii="Aptos" w:hAnsi="Aptos"/>
          <w:b w:val="0"/>
          <w:i w:val="0"/>
          <w:sz w:val="20"/>
        </w:rPr>
        <w:t>It establishes an open-science pathway for discussion without overstating pending work: completed, under review, and planned tracks remain clearly separated.</w:t>
      </w:r>
    </w:p>
    <w:p>
      <w:pPr>
        <w:pStyle w:val="ListBullet"/>
        <w:spacing w:after="20"/>
      </w:pPr>
      <w:r>
        <w:rPr>
          <w:rFonts w:ascii="Aptos" w:hAnsi="Aptos"/>
          <w:b w:val="0"/>
          <w:i w:val="0"/>
          <w:sz w:val="20"/>
        </w:rPr>
        <w:t>It marks the beginning of a broader public-facing model for the LAW Research Center, including structured scientific discourse and accessible first-principles engagement.</w:t>
      </w:r>
    </w:p>
    <w:p>
      <w:pPr>
        <w:spacing w:before="200" w:after="60"/>
      </w:pPr>
      <w:r>
        <w:rPr>
          <w:rFonts w:ascii="Aptos" w:hAnsi="Aptos"/>
          <w:b/>
          <w:i w:val="0"/>
          <w:color w:val="223A5E"/>
          <w:sz w:val="25"/>
        </w:rPr>
        <w:t>Repository Note on AI and Public Discussion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single" w:sz="8" w:space="0" w:color="D8E0EC"/>
          <w:left w:val="single" w:sz="8" w:space="0" w:color="D8E0EC"/>
          <w:bottom w:val="single" w:sz="8" w:space="0" w:color="D8E0EC"/>
          <w:right w:val="single" w:sz="8" w:space="0" w:color="D8E0EC"/>
          <w:insideH w:val="single" w:sz="8" w:space="0" w:color="D8E0EC"/>
          <w:insideV w:val="single" w:sz="8" w:space="0" w:color="D8E0EC"/>
        </w:tblBorders>
      </w:tblPr>
      <w:tblGrid>
        <w:gridCol w:w="9792"/>
      </w:tblGrid>
      <w:tr>
        <w:tc>
          <w:tcPr>
            <w:tcW w:type="dxa" w:w="9936"/>
            <w:shd w:fill="F6F8FB"/>
            <w:tcMar>
              <w:top w:w="130" w:type="dxa"/>
              <w:start w:w="160" w:type="dxa"/>
              <w:bottom w:w="130" w:type="dxa"/>
              <w:end w:w="160" w:type="dxa"/>
            </w:tcMar>
          </w:tcPr>
          <w:p>
            <w:r>
              <w:rPr>
                <w:rFonts w:ascii="Aptos" w:hAnsi="Aptos"/>
                <w:b w:val="0"/>
                <w:i w:val="0"/>
                <w:sz w:val="20"/>
              </w:rPr>
              <w:t xml:space="preserve">Use of AI in recorded or repository-linked discussions does not imply partnership, endorsement, affiliation, or formal collaboration with any company unless explicitly stated in a formal public notice. </w:t>
            </w:r>
            <w:r>
              <w:rPr>
                <w:rFonts w:ascii="Aptos" w:hAnsi="Aptos"/>
                <w:b w:val="0"/>
                <w:i w:val="0"/>
                <w:sz w:val="20"/>
              </w:rPr>
              <w:t>Current AI-integrated discussions are intended to demonstrate the potential open-science dialogue model of the planned LAW Research Center.</w:t>
            </w:r>
          </w:p>
        </w:tc>
      </w:tr>
    </w:tbl>
    <w:p>
      <w:pPr>
        <w:spacing w:before="200" w:after="60"/>
      </w:pPr>
      <w:r>
        <w:rPr>
          <w:rFonts w:ascii="Aptos" w:hAnsi="Aptos"/>
          <w:b/>
          <w:i w:val="0"/>
          <w:color w:val="223A5E"/>
          <w:sz w:val="25"/>
        </w:rPr>
        <w:t>Suggested Repository Placement</w:t>
      </w:r>
    </w:p>
    <w:p>
      <w:pPr>
        <w:pStyle w:val="ListBullet"/>
      </w:pPr>
      <w:r>
        <w:rPr>
          <w:rFonts w:ascii="Aptos" w:hAnsi="Aptos"/>
          <w:b w:val="0"/>
          <w:i w:val="0"/>
          <w:sz w:val="20"/>
        </w:rPr>
        <w:t>README milestone section or release notes</w:t>
      </w:r>
    </w:p>
    <w:p>
      <w:pPr>
        <w:pStyle w:val="ListBullet"/>
      </w:pPr>
      <w:r>
        <w:rPr>
          <w:rFonts w:ascii="Aptos" w:hAnsi="Aptos"/>
          <w:b w:val="0"/>
          <w:i w:val="0"/>
          <w:sz w:val="20"/>
        </w:rPr>
        <w:t>Standalone /docs milestone record</w:t>
      </w:r>
    </w:p>
    <w:p>
      <w:pPr>
        <w:pStyle w:val="ListBullet"/>
      </w:pPr>
      <w:r>
        <w:rPr>
          <w:rFonts w:ascii="Aptos" w:hAnsi="Aptos"/>
          <w:b w:val="0"/>
          <w:i w:val="0"/>
          <w:sz w:val="20"/>
        </w:rPr>
        <w:t>Public archive note accompanying repository versions tied to publication events</w:t>
      </w:r>
    </w:p>
    <w:p>
      <w:pPr>
        <w:spacing w:before="200" w:after="60"/>
      </w:pPr>
      <w:r>
        <w:rPr>
          <w:rFonts w:ascii="Aptos" w:hAnsi="Aptos"/>
          <w:b/>
          <w:i w:val="0"/>
          <w:color w:val="223A5E"/>
          <w:sz w:val="25"/>
        </w:rPr>
        <w:t>Short Repository Statement</w:t>
      </w:r>
    </w:p>
    <w:p>
      <w:pPr>
        <w:spacing w:after="0"/>
      </w:pPr>
      <w:r>
        <w:rPr>
          <w:rFonts w:ascii="Aptos" w:hAnsi="Aptos"/>
          <w:b w:val="0"/>
          <w:i w:val="0"/>
          <w:sz w:val="21"/>
        </w:rPr>
        <w:t>This repository milestone records the transition of the Tensor P2 / QTET program into a fully public-facing phase that now includes publication progress, a formal public code release, active scholarly review tracks, and open scientific communication infrastructure. It is intended as a continuity record for completed, pending, and planned work and as a marker of the broader research architecture being established through the planned LAW Research Center.</w:t>
      </w:r>
    </w:p>
    <w:p/>
    <w:p>
      <w:pPr>
        <w:jc w:val="center"/>
      </w:pPr>
      <w:r>
        <w:rPr>
          <w:rFonts w:ascii="Aptos" w:hAnsi="Aptos"/>
          <w:b w:val="0"/>
          <w:i/>
          <w:color w:val="6B7280"/>
          <w:sz w:val="18"/>
        </w:rPr>
        <w:t>Prepared as a repository-facing milestone document for archival and release use.</w:t>
      </w:r>
    </w:p>
    <w:sectPr w:rsidR="00FC693F" w:rsidRPr="0006063C" w:rsidSect="00034616">
      <w:pgSz w:w="12240" w:h="15840"/>
      <w:pgMar w:top="1008" w:right="1152" w:bottom="100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ptos" w:hAnsi="Aptos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ptos" w:hAnsi="Apto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ptos" w:hAnsi="Apto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ptos" w:hAnsi="Apto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 w:ascii="Aptos" w:hAnsi="Aptos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