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77346" w:rsidRPr="00E72C66" w:rsidRDefault="00F77346" w:rsidP="00F77346">
      <w:pPr>
        <w:pStyle w:val="Ttuloresumo"/>
      </w:pPr>
      <w:bookmarkStart w:id="0" w:name="_Toc224132909"/>
      <w:r w:rsidRPr="00E72C66">
        <w:t>RESULTADOS CLÍNICOS DA DESCOMPRESSÃO LOMBAR EM PACIENTES COM ESTENOSE ESPINHAL DEGENERATIVA SEM FUSÃO: UMA REVISÃO SISTEMÁTICA DE LITERATURA</w:t>
      </w:r>
      <w:bookmarkEnd w:id="0"/>
    </w:p>
    <w:p w:rsidR="00F77346" w:rsidRPr="00212382" w:rsidRDefault="00F77346" w:rsidP="00F77346">
      <w:pPr>
        <w:pStyle w:val="doi"/>
      </w:pPr>
      <w:r w:rsidRPr="00212382">
        <w:t xml:space="preserve">doi: </w:t>
      </w:r>
    </w:p>
    <w:p w:rsidR="00F77346" w:rsidRDefault="00F77346" w:rsidP="00F77346">
      <w:pPr>
        <w:pStyle w:val="Nomeemail"/>
      </w:pPr>
      <w:bookmarkStart w:id="1" w:name="_Toc224132910"/>
      <w:r w:rsidRPr="00E72C66">
        <w:t>Maria Eduarda Fadel Lacreta 1; Maria Fernanda Fadel Lacreta 1; Verena Peruche Ramos 1; Larissa Marin Dortes 1; Felipe Rodrigues Resende 2; Julia Regina de Andrade 3</w:t>
      </w:r>
      <w:bookmarkEnd w:id="1"/>
    </w:p>
    <w:p w:rsidR="00F77346" w:rsidRPr="00E72C66" w:rsidRDefault="00F77346" w:rsidP="00F77346">
      <w:pPr>
        <w:pStyle w:val="Nomeemail"/>
      </w:pPr>
      <w:r w:rsidRPr="00E72C66">
        <w:t xml:space="preserve"> </w:t>
      </w:r>
      <w:bookmarkStart w:id="2" w:name="_Toc224132911"/>
      <w:r w:rsidRPr="00E72C66">
        <w:t>(1) Fundação Educacional do Município de Assis (FEMA); (2) Universidade Federal de Goiás; (3) Universidade Estadual de Maringá</w:t>
      </w:r>
      <w:bookmarkEnd w:id="2"/>
    </w:p>
    <w:p w:rsidR="00F77346" w:rsidRPr="00E72C66" w:rsidRDefault="00F77346" w:rsidP="00F77346">
      <w:r w:rsidRPr="00E72C66">
        <w:rPr>
          <w:b/>
        </w:rPr>
        <w:t>Introdução:</w:t>
      </w:r>
      <w:r w:rsidRPr="00E72C66">
        <w:t xml:space="preserve"> A estenose espinhal lombar degenerativa é uma das principais causas de dor lombar e limitação funcional em idosos, sendo a descompressão cirúrgica a intervenção mais realizada. Tradicionalmente, a fusão vertebral tem sido associada em casos de instabilidade, mas a eficácia da descompressão isolada tem sido discutida por oferecer potenciais vantagens operatórias e funcionais. </w:t>
      </w:r>
      <w:r w:rsidRPr="00E72C66">
        <w:rPr>
          <w:b/>
        </w:rPr>
        <w:t>Objetivo(s):</w:t>
      </w:r>
      <w:r w:rsidRPr="00E72C66">
        <w:t xml:space="preserve"> Avaliar, por meio de revisão sistemática, os desfechos clínicos da descompressão lombar isolada em pacientes com estenose espinhal degenerativa, sem fusão vertebral. </w:t>
      </w:r>
      <w:r w:rsidRPr="00E72C66">
        <w:rPr>
          <w:b/>
        </w:rPr>
        <w:t>Metodologia:</w:t>
      </w:r>
      <w:r w:rsidRPr="00E72C66">
        <w:rPr>
          <w:rFonts w:eastAsia="Gungsuh"/>
        </w:rPr>
        <w:t xml:space="preserve"> </w:t>
      </w:r>
      <w:r w:rsidRPr="00E72C66">
        <w:t>A revisão foi conduzida segundo as diretrizes PRISMA, com busca nas bases PubMed, Embase, Cochrane Library, SciELO e LILACS entre 2000 e 2024. Foram utilizados os descritores “lumbar decompression”, “spinal stenosis”, “without fusion” e “clinical outcomes”. Incluíram-se ensaios clínicos randomizados e coortes com seguimento ≥12 meses; excluíram-se revisões sem dados primários, estudos técnicos e pediátricos.</w:t>
      </w:r>
      <w:r w:rsidRPr="00E72C66">
        <w:rPr>
          <w:rFonts w:eastAsia="Gungsuh"/>
        </w:rPr>
        <w:t xml:space="preserve"> </w:t>
      </w:r>
      <w:r w:rsidRPr="00E72C66">
        <w:rPr>
          <w:b/>
        </w:rPr>
        <w:t>Resultados:</w:t>
      </w:r>
      <w:r w:rsidRPr="00E72C66">
        <w:t xml:space="preserve"> Dos 300 artigos identificados, 8 preencheram os critérios de elegibilidade, totalizando mais de 900 pacientes. Os desfechos avaliados incluíram índice de incapacidade de Oswestry (ODI), escala visual analógica de dor (VAS), qualidade de vida (EQ-5D), tempo cirúrgico, sangramento, tempo de internação e taxa de reoperação. A descompressão isolada promoveu melhora significativa no ODI (redução média de 30–40 pontos) e VAS (4–5 pontos), comparável à descompressão com fusão. O tempo cirúrgico foi menor em 40 minutos, com redução de 120–200 mL de sangramento e alta hospitalar 1–2 dias mais precoce. As taxas de reoperação variaram entre 11% e 24%, sem diferença estatística em relação à fusão. Estudos com seguimento de até cinco anos confirmaram manutenção dos benefícios clínicos. </w:t>
      </w:r>
      <w:r w:rsidRPr="00E72C66">
        <w:rPr>
          <w:b/>
        </w:rPr>
        <w:t>Discussão:</w:t>
      </w:r>
      <w:r w:rsidRPr="00E72C66">
        <w:t xml:space="preserve"> A descompressão isolada demonstrou equivalência clínica à técnica com fusão, apresentando vantagens operatórias e menor morbidade, embora as taxas de reoperação devam ser consideradas no planejamento terapêutico. </w:t>
      </w:r>
      <w:r w:rsidRPr="00E72C66">
        <w:rPr>
          <w:b/>
        </w:rPr>
        <w:t>Conclusão:</w:t>
      </w:r>
      <w:r w:rsidRPr="00E72C66">
        <w:t xml:space="preserve"> A descompressão lombar sem fusão é uma estratégia segura e eficaz em pacientes sem instabilidade vertebral, sustentando-se como primeira escolha cirúrgica nessa população. Estudos adicionais, com amostras maiores e seguimento prolongado, são necessários para reforçar essas evidências.</w:t>
      </w:r>
    </w:p>
    <w:p w:rsidR="00F77346" w:rsidRPr="00DA6558" w:rsidRDefault="00F77346" w:rsidP="00F77346">
      <w:r w:rsidRPr="00E72C66">
        <w:rPr>
          <w:b/>
        </w:rPr>
        <w:t>Palavras-chave:</w:t>
      </w:r>
      <w:r w:rsidRPr="00E72C66">
        <w:t xml:space="preserve"> Estenose Espinhal Lombar; Descompressão Cirúrgica; Fusão Vertebral; Resultados Clínicos; Revisão Sistemática.</w:t>
      </w:r>
      <w:r>
        <w:br w:type="page"/>
      </w:r>
    </w:p>
    <w:p w:rsidR="00F47B74" w:rsidRPr="00F77346" w:rsidRDefault="00F47B74" w:rsidP="00F77346"/>
    <w:p/>
    <w:p>
      <w:r>
        <w:t>DOI (pré-reservado): 10.5281/zenodo.19352789</w:t>
      </w:r>
    </w:p>
    <w:sectPr w:rsidR="00F47B74" w:rsidRPr="00F7734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layfair Display Black">
    <w:panose1 w:val="00000A00000000000000"/>
    <w:charset w:val="00"/>
    <w:family w:val="auto"/>
    <w:pitch w:val="variable"/>
    <w:sig w:usb0="00000207" w:usb1="00000000" w:usb2="00000000" w:usb3="00000000" w:csb0="00000097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346"/>
    <w:rsid w:val="002955D4"/>
    <w:rsid w:val="00BC3257"/>
    <w:rsid w:val="00F47B74"/>
    <w:rsid w:val="00F77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7050C-2943-4B57-819E-C77E0B073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773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773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773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773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773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773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773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773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773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773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773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773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7734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77346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7734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7734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7734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7734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773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773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773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773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773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7734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7734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77346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773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77346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77346"/>
    <w:rPr>
      <w:b/>
      <w:bCs/>
      <w:smallCaps/>
      <w:color w:val="2F5496" w:themeColor="accent1" w:themeShade="BF"/>
      <w:spacing w:val="5"/>
    </w:rPr>
  </w:style>
  <w:style w:type="paragraph" w:customStyle="1" w:styleId="Ttuloresumo">
    <w:name w:val="Título_resumo"/>
    <w:basedOn w:val="Ttulo1"/>
    <w:next w:val="Normal"/>
    <w:link w:val="TtuloresumoChar"/>
    <w:qFormat/>
    <w:rsid w:val="00F77346"/>
    <w:pPr>
      <w:spacing w:before="240" w:after="120" w:line="240" w:lineRule="auto"/>
      <w:jc w:val="center"/>
    </w:pPr>
    <w:rPr>
      <w:rFonts w:ascii="Playfair Display Black" w:eastAsia="Times New Roman" w:hAnsi="Playfair Display Black" w:cs="Times New Roman"/>
      <w:b/>
      <w:caps/>
      <w:color w:val="8B1E1E"/>
      <w:kern w:val="0"/>
      <w:sz w:val="28"/>
      <w:szCs w:val="32"/>
      <w:lang w:eastAsia="pt-BR"/>
      <w14:ligatures w14:val="none"/>
    </w:rPr>
  </w:style>
  <w:style w:type="character" w:customStyle="1" w:styleId="TtuloresumoChar">
    <w:name w:val="Título_resumo Char"/>
    <w:basedOn w:val="Fontepargpadro"/>
    <w:link w:val="Ttuloresumo"/>
    <w:rsid w:val="00F77346"/>
    <w:rPr>
      <w:rFonts w:ascii="Playfair Display Black" w:eastAsia="Times New Roman" w:hAnsi="Playfair Display Black" w:cs="Times New Roman"/>
      <w:b/>
      <w:caps/>
      <w:color w:val="8B1E1E"/>
      <w:kern w:val="0"/>
      <w:sz w:val="28"/>
      <w:szCs w:val="32"/>
      <w:lang w:eastAsia="pt-BR"/>
      <w14:ligatures w14:val="none"/>
    </w:rPr>
  </w:style>
  <w:style w:type="paragraph" w:customStyle="1" w:styleId="doi">
    <w:name w:val="doi"/>
    <w:basedOn w:val="Normal"/>
    <w:link w:val="doiChar"/>
    <w:qFormat/>
    <w:rsid w:val="00F77346"/>
    <w:pPr>
      <w:spacing w:after="120" w:line="240" w:lineRule="auto"/>
      <w:jc w:val="center"/>
    </w:pPr>
    <w:rPr>
      <w:rFonts w:ascii="Georgia" w:eastAsia="Times New Roman" w:hAnsi="Georgia" w:cs="Times New Roman"/>
      <w:bCs/>
      <w:i/>
      <w:iCs/>
      <w:caps/>
      <w:kern w:val="0"/>
      <w:lang w:eastAsia="pt-BR"/>
      <w14:ligatures w14:val="none"/>
    </w:rPr>
  </w:style>
  <w:style w:type="character" w:customStyle="1" w:styleId="doiChar">
    <w:name w:val="doi Char"/>
    <w:basedOn w:val="Fontepargpadro"/>
    <w:link w:val="doi"/>
    <w:rsid w:val="00F77346"/>
    <w:rPr>
      <w:rFonts w:ascii="Georgia" w:eastAsia="Times New Roman" w:hAnsi="Georgia" w:cs="Times New Roman"/>
      <w:bCs/>
      <w:i/>
      <w:iCs/>
      <w:caps/>
      <w:kern w:val="0"/>
      <w:lang w:eastAsia="pt-BR"/>
      <w14:ligatures w14:val="none"/>
    </w:rPr>
  </w:style>
  <w:style w:type="paragraph" w:customStyle="1" w:styleId="Nomeemail">
    <w:name w:val="Nome_email"/>
    <w:basedOn w:val="Normal"/>
    <w:link w:val="NomeemailChar"/>
    <w:qFormat/>
    <w:rsid w:val="00F77346"/>
    <w:pPr>
      <w:spacing w:after="360" w:line="240" w:lineRule="auto"/>
      <w:contextualSpacing/>
      <w:jc w:val="center"/>
      <w:outlineLvl w:val="1"/>
    </w:pPr>
    <w:rPr>
      <w:rFonts w:ascii="Georgia" w:eastAsia="Times New Roman" w:hAnsi="Georgia" w:cs="Times New Roman"/>
      <w:bCs/>
      <w:i/>
      <w:iCs/>
      <w:kern w:val="0"/>
      <w:sz w:val="20"/>
      <w:szCs w:val="20"/>
      <w:lang w:eastAsia="pt-BR"/>
      <w14:ligatures w14:val="none"/>
    </w:rPr>
  </w:style>
  <w:style w:type="character" w:customStyle="1" w:styleId="NomeemailChar">
    <w:name w:val="Nome_email Char"/>
    <w:basedOn w:val="Fontepargpadro"/>
    <w:link w:val="Nomeemail"/>
    <w:rsid w:val="00F77346"/>
    <w:rPr>
      <w:rFonts w:ascii="Georgia" w:eastAsia="Times New Roman" w:hAnsi="Georgia" w:cs="Times New Roman"/>
      <w:bCs/>
      <w:i/>
      <w:iCs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449</Words>
  <Characters>2430</Characters>
  <Application>Microsoft Office Word</Application>
  <DocSecurity>0</DocSecurity>
  <Lines>20</Lines>
  <Paragraphs>5</Paragraphs>
  <ScaleCrop>false</ScaleCrop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2026-03-31T12:58:00Z</dcterms:created>
  <dcterms:modified xsi:type="dcterms:W3CDTF">2026-03-31T12:58:00Z</dcterms:modified>
</cp:coreProperties>
</file>