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507A" w:rsidRPr="00E72C66" w:rsidRDefault="0022507A" w:rsidP="0022507A">
      <w:pPr>
        <w:pStyle w:val="Ttuloresumo"/>
      </w:pPr>
      <w:bookmarkStart w:id="0" w:name="_Toc224132894"/>
      <w:r w:rsidRPr="00E72C66">
        <w:t>EFETIVIDADE DA MONITORIZAÇÃO NEUROFISIOLÓGICA INTRAOPERATÓRIA NA PREVENÇÃO DE LESÕES NEUROLÓGICAS EM CIRURGIA ESPINHAL: UMA REVISÃO SISTEMÁTICA DE LITERATURA</w:t>
      </w:r>
      <w:bookmarkEnd w:id="0"/>
    </w:p>
    <w:p w:rsidR="0022507A" w:rsidRPr="00212382" w:rsidRDefault="0022507A" w:rsidP="0022507A">
      <w:pPr>
        <w:pStyle w:val="doi"/>
      </w:pPr>
      <w:r w:rsidRPr="00212382">
        <w:t xml:space="preserve">doi: </w:t>
      </w:r>
    </w:p>
    <w:p w:rsidR="0022507A" w:rsidRDefault="0022507A" w:rsidP="0022507A">
      <w:pPr>
        <w:pStyle w:val="Nomeemail"/>
      </w:pPr>
      <w:bookmarkStart w:id="1" w:name="_Toc224132895"/>
      <w:r w:rsidRPr="00E72C66">
        <w:t>Maria Fernanda Fadel Lacreta 1; Maria Eduarda Fadel Lacreta 1; Verena Peruche Ramos 1; Larissa Marin Dortes 1; Felipe Rodrigues Resende2; Julia Regina de Andrade3</w:t>
      </w:r>
      <w:bookmarkEnd w:id="1"/>
    </w:p>
    <w:p w:rsidR="0022507A" w:rsidRPr="00E72C66" w:rsidRDefault="0022507A" w:rsidP="0022507A">
      <w:pPr>
        <w:pStyle w:val="Nomeemail"/>
      </w:pPr>
      <w:bookmarkStart w:id="2" w:name="_Toc224132896"/>
      <w:r w:rsidRPr="00E72C66">
        <w:t>(1) Fundação Educacional do Município de Assis (FEMA); (2) Universidade Federal de Goiás; (3) Universidade Estadual de Maringá</w:t>
      </w:r>
      <w:bookmarkEnd w:id="2"/>
    </w:p>
    <w:p w:rsidR="0022507A" w:rsidRPr="00E72C66" w:rsidRDefault="0022507A" w:rsidP="0022507A">
      <w:r w:rsidRPr="00E72C66">
        <w:rPr>
          <w:b/>
        </w:rPr>
        <w:t>Introdução:</w:t>
      </w:r>
      <w:r w:rsidRPr="00E72C66">
        <w:t xml:space="preserve"> A monitorização neurofisiológica intraoperatória (IONM) vem sendo amplamente utilizada nas cirurgias da coluna vertebral, sobretudo em procedimentos com alto risco de lesão neurológica. Técnicas como potenciais evocados somatossensitivos (SSEP), motores (MEP) e eletromiografia (EMG) permitem avaliar em tempo real a integridade das vias nervosas e orientar condutas imediatas. O objetivo é reduzir déficits neurológicos e aumentar a segurança cirúrgica, embora persistam controvérsias sobre sua efetividade clínica. </w:t>
      </w:r>
      <w:r w:rsidRPr="00E72C66">
        <w:rPr>
          <w:b/>
        </w:rPr>
        <w:t>Objetivo:</w:t>
      </w:r>
      <w:r w:rsidRPr="00E72C66">
        <w:t xml:space="preserve"> Avaliar a efetividade da IONM na prevenção de complicações neurológicas em cirurgias espinhais, considerando sensibilidade, especificidade, impacto clínico e custo-efetividade. </w:t>
      </w:r>
      <w:r w:rsidRPr="00E72C66">
        <w:rPr>
          <w:b/>
        </w:rPr>
        <w:t>Metodologia:</w:t>
      </w:r>
      <w:r w:rsidRPr="00E72C66">
        <w:t xml:space="preserve"> Revisão sistemática conforme diretrizes PRISMA, com busca nas bases PubMed, Embase, Cochrane Library, LILACS e SciELO, abrangendo estudos de 2010 a 2025. Incluíram-se ensaios clínicos, estudos prospectivos, retrospectivos e metanálises com desfechos clínicos em cirurgias espinhais monitoradas, excluindo revisões narrativas e estudos técnicos. </w:t>
      </w:r>
      <w:r w:rsidRPr="00E72C66">
        <w:rPr>
          <w:b/>
        </w:rPr>
        <w:t>Resultados:</w:t>
      </w:r>
      <w:r w:rsidRPr="00E72C66">
        <w:t xml:space="preserve"> Seis estudos atenderam aos critérios, somando milhares de pacientes. A sensibilidade variou de 60 a 100%, e a especificidade superou 90%, especialmente em protocolos multimodais. Grandes coortes mostraram menor incidência de complicações neurológicas e mortalidade hospitalar com IONM, embora os resultados sobre déficits permanentes sejam heterogêneos. Metanálises indicaram maior benefício em cirurgias cervicais e torácicas, com acréscimo médio de 6% nos custos. </w:t>
      </w:r>
      <w:r w:rsidRPr="00E72C66">
        <w:rPr>
          <w:b/>
        </w:rPr>
        <w:t>Discussão:</w:t>
      </w:r>
      <w:r w:rsidRPr="00E72C66">
        <w:t xml:space="preserve"> A IONM aumenta a segurança intraoperatória e reduz eventos neurológicos, mas o custo e a heterogeneidade dos estudos limitam recomendações amplas. </w:t>
      </w:r>
      <w:r w:rsidRPr="00E72C66">
        <w:rPr>
          <w:b/>
        </w:rPr>
        <w:t>Conclusão:</w:t>
      </w:r>
      <w:r w:rsidRPr="00E72C66">
        <w:t xml:space="preserve"> A IONM é uma ferramenta segura e eficaz, especialmente em cirurgias de alto risco. Estudos multicêntricos, padronizados e de longo seguimento são necessários para confirmar sua efetividade e custo-benefício.</w:t>
      </w:r>
    </w:p>
    <w:p w:rsidR="0022507A" w:rsidRPr="00DA6558" w:rsidRDefault="0022507A" w:rsidP="0022507A">
      <w:r w:rsidRPr="00E72C66">
        <w:rPr>
          <w:b/>
        </w:rPr>
        <w:t>Palavras-chave:</w:t>
      </w:r>
      <w:r w:rsidRPr="00E72C66">
        <w:t xml:space="preserve"> Cirurgia espinhal; Monitorização neurofisiológica; Potenciais evocados; Lesão neurológica; Segurança intraoperatória.</w:t>
      </w:r>
      <w:r>
        <w:br w:type="page"/>
      </w:r>
    </w:p>
    <w:p w:rsidR="00F47B74" w:rsidRPr="0022507A" w:rsidRDefault="00F47B74" w:rsidP="0022507A"/>
    <w:p/>
    <w:p>
      <w:r>
        <w:t>DOI (pré-reservado): 10.5281/zenodo.19352774</w:t>
      </w:r>
    </w:p>
    <w:sectPr w:rsidR="00F47B74" w:rsidRPr="002250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yfair Display Black">
    <w:panose1 w:val="00000A00000000000000"/>
    <w:charset w:val="00"/>
    <w:family w:val="auto"/>
    <w:pitch w:val="variable"/>
    <w:sig w:usb0="00000207" w:usb1="00000000" w:usb2="00000000" w:usb3="00000000" w:csb0="000000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7A"/>
    <w:rsid w:val="0022507A"/>
    <w:rsid w:val="002955D4"/>
    <w:rsid w:val="00BC3257"/>
    <w:rsid w:val="00F4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3E21F9-2ACD-40CC-BD6A-ACCC4FB5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25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5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250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25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250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50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250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250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250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5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25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25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2507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2507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50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2507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250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250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25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25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25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25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25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2507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2507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2507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5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507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2507A"/>
    <w:rPr>
      <w:b/>
      <w:bCs/>
      <w:smallCaps/>
      <w:color w:val="2F5496" w:themeColor="accent1" w:themeShade="BF"/>
      <w:spacing w:val="5"/>
    </w:rPr>
  </w:style>
  <w:style w:type="paragraph" w:customStyle="1" w:styleId="Ttuloresumo">
    <w:name w:val="Título_resumo"/>
    <w:basedOn w:val="Ttulo1"/>
    <w:next w:val="Normal"/>
    <w:link w:val="TtuloresumoChar"/>
    <w:qFormat/>
    <w:rsid w:val="0022507A"/>
    <w:pPr>
      <w:spacing w:before="240" w:after="120" w:line="240" w:lineRule="auto"/>
      <w:jc w:val="center"/>
    </w:pPr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character" w:customStyle="1" w:styleId="TtuloresumoChar">
    <w:name w:val="Título_resumo Char"/>
    <w:basedOn w:val="Fontepargpadro"/>
    <w:link w:val="Ttuloresumo"/>
    <w:rsid w:val="0022507A"/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paragraph" w:customStyle="1" w:styleId="doi">
    <w:name w:val="doi"/>
    <w:basedOn w:val="Normal"/>
    <w:link w:val="doiChar"/>
    <w:qFormat/>
    <w:rsid w:val="0022507A"/>
    <w:pPr>
      <w:spacing w:after="120" w:line="240" w:lineRule="auto"/>
      <w:jc w:val="center"/>
    </w:pPr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character" w:customStyle="1" w:styleId="doiChar">
    <w:name w:val="doi Char"/>
    <w:basedOn w:val="Fontepargpadro"/>
    <w:link w:val="doi"/>
    <w:rsid w:val="0022507A"/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paragraph" w:customStyle="1" w:styleId="Nomeemail">
    <w:name w:val="Nome_email"/>
    <w:basedOn w:val="Normal"/>
    <w:link w:val="NomeemailChar"/>
    <w:qFormat/>
    <w:rsid w:val="0022507A"/>
    <w:pPr>
      <w:spacing w:after="360" w:line="240" w:lineRule="auto"/>
      <w:contextualSpacing/>
      <w:jc w:val="center"/>
      <w:outlineLvl w:val="1"/>
    </w:pPr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  <w:style w:type="character" w:customStyle="1" w:styleId="NomeemailChar">
    <w:name w:val="Nome_email Char"/>
    <w:basedOn w:val="Fontepargpadro"/>
    <w:link w:val="Nomeemail"/>
    <w:rsid w:val="0022507A"/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2126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2026-03-31T12:58:00Z</dcterms:created>
  <dcterms:modified xsi:type="dcterms:W3CDTF">2026-03-31T12:58:00Z</dcterms:modified>
</cp:coreProperties>
</file>