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262CC" w14:textId="77777777" w:rsidR="002066B0" w:rsidRDefault="002066B0">
      <w:pPr>
        <w:spacing w:after="160"/>
      </w:pPr>
    </w:p>
    <w:p w14:paraId="5F44F8D6" w14:textId="77777777" w:rsidR="002066B0" w:rsidRDefault="002066B0">
      <w:pPr>
        <w:spacing w:after="160"/>
      </w:pPr>
    </w:p>
    <w:p w14:paraId="740B0394" w14:textId="77777777" w:rsidR="002066B0" w:rsidRDefault="002066B0">
      <w:pPr>
        <w:spacing w:after="160"/>
      </w:pPr>
    </w:p>
    <w:p w14:paraId="65953CCC" w14:textId="77777777" w:rsidR="002066B0" w:rsidRDefault="00000000">
      <w:pPr>
        <w:spacing w:after="160"/>
        <w:jc w:val="center"/>
      </w:pPr>
      <w:r>
        <w:rPr>
          <w:b/>
          <w:bCs/>
          <w:color w:val="1B3A6B"/>
          <w:sz w:val="52"/>
          <w:szCs w:val="52"/>
        </w:rPr>
        <w:t>PROCUREMENT IN A FRACTURED WORLD:</w:t>
      </w:r>
    </w:p>
    <w:p w14:paraId="294A5E04" w14:textId="77777777" w:rsidR="002066B0" w:rsidRDefault="00000000">
      <w:pPr>
        <w:spacing w:after="400"/>
        <w:jc w:val="center"/>
      </w:pPr>
      <w:r>
        <w:rPr>
          <w:b/>
          <w:bCs/>
          <w:color w:val="2E5FA3"/>
          <w:sz w:val="32"/>
          <w:szCs w:val="32"/>
        </w:rPr>
        <w:t>War, Climate, Geography, Technology, and the Reinvention of Global Sourcing Strategy</w:t>
      </w:r>
    </w:p>
    <w:p w14:paraId="25057541" w14:textId="77777777" w:rsidR="002066B0" w:rsidRDefault="002066B0">
      <w:pPr>
        <w:pBdr>
          <w:bottom w:val="single" w:sz="6" w:space="4" w:color="2E5FA3"/>
        </w:pBdr>
        <w:spacing w:before="200" w:after="200"/>
      </w:pPr>
    </w:p>
    <w:p w14:paraId="5D70021F" w14:textId="77777777" w:rsidR="002066B0" w:rsidRDefault="002066B0">
      <w:pPr>
        <w:spacing w:after="160"/>
      </w:pPr>
    </w:p>
    <w:p w14:paraId="197A2089" w14:textId="567A98FC" w:rsidR="002066B0" w:rsidRDefault="00000EEC" w:rsidP="00000EEC">
      <w:pPr>
        <w:spacing w:after="160"/>
        <w:jc w:val="center"/>
      </w:pPr>
      <w:r w:rsidRPr="00000EEC">
        <w:rPr>
          <w:color w:val="555555"/>
          <w:sz w:val="22"/>
          <w:szCs w:val="22"/>
        </w:rPr>
        <w:t>Working Paper | Strategic Sourcing &amp; Global Governance</w:t>
      </w:r>
    </w:p>
    <w:p w14:paraId="7D3EF970" w14:textId="77777777" w:rsidR="002066B0" w:rsidRDefault="002066B0">
      <w:pPr>
        <w:spacing w:after="160"/>
      </w:pPr>
    </w:p>
    <w:p w14:paraId="73F43D70" w14:textId="77777777" w:rsidR="002066B0" w:rsidRDefault="00000000">
      <w:pPr>
        <w:spacing w:before="120" w:after="120"/>
        <w:jc w:val="center"/>
      </w:pPr>
      <w:r>
        <w:rPr>
          <w:b/>
          <w:bCs/>
          <w:color w:val="333333"/>
        </w:rPr>
        <w:t>Author</w:t>
      </w:r>
    </w:p>
    <w:p w14:paraId="7BE5E659" w14:textId="77777777" w:rsidR="002066B0" w:rsidRDefault="00000000">
      <w:pPr>
        <w:spacing w:before="120" w:after="120"/>
        <w:jc w:val="center"/>
      </w:pPr>
      <w:r>
        <w:rPr>
          <w:b/>
          <w:bCs/>
          <w:color w:val="1B3A6B"/>
          <w:sz w:val="36"/>
          <w:szCs w:val="36"/>
        </w:rPr>
        <w:t>Aditya K</w:t>
      </w:r>
    </w:p>
    <w:p w14:paraId="3DC2DD7E" w14:textId="77777777" w:rsidR="002066B0" w:rsidRDefault="002066B0">
      <w:pPr>
        <w:spacing w:after="160"/>
      </w:pPr>
    </w:p>
    <w:p w14:paraId="77B7F9AB" w14:textId="77777777" w:rsidR="002066B0" w:rsidRDefault="00000000">
      <w:pPr>
        <w:spacing w:before="80" w:after="80"/>
        <w:jc w:val="center"/>
      </w:pPr>
      <w:r>
        <w:rPr>
          <w:color w:val="444444"/>
        </w:rPr>
        <w:t>Independent Researcher</w:t>
      </w:r>
    </w:p>
    <w:p w14:paraId="67F21F96" w14:textId="77777777" w:rsidR="002066B0" w:rsidRDefault="00000000">
      <w:pPr>
        <w:spacing w:before="80" w:after="80"/>
        <w:jc w:val="center"/>
      </w:pPr>
      <w:r>
        <w:rPr>
          <w:color w:val="444444"/>
        </w:rPr>
        <w:t>2025</w:t>
      </w:r>
    </w:p>
    <w:p w14:paraId="4EB2B11B" w14:textId="77777777" w:rsidR="002066B0" w:rsidRDefault="002066B0">
      <w:pPr>
        <w:spacing w:after="160"/>
      </w:pPr>
    </w:p>
    <w:p w14:paraId="38413D10" w14:textId="77777777" w:rsidR="002066B0" w:rsidRDefault="002066B0">
      <w:pPr>
        <w:spacing w:after="160"/>
      </w:pPr>
    </w:p>
    <w:p w14:paraId="39D06A00" w14:textId="77777777" w:rsidR="002066B0" w:rsidRDefault="00000000">
      <w:pPr>
        <w:spacing w:before="80" w:after="80"/>
        <w:jc w:val="center"/>
      </w:pPr>
      <w:r>
        <w:rPr>
          <w:color w:val="888888"/>
          <w:sz w:val="20"/>
          <w:szCs w:val="20"/>
        </w:rPr>
        <w:t>Citation Style: Chicago / Turabian, 17th Edition</w:t>
      </w:r>
    </w:p>
    <w:p w14:paraId="0B7F5E04" w14:textId="77777777" w:rsidR="002066B0" w:rsidRDefault="00000000">
      <w:r>
        <w:br w:type="page"/>
      </w:r>
    </w:p>
    <w:p w14:paraId="30467507" w14:textId="77777777" w:rsidR="002066B0" w:rsidRDefault="00000000">
      <w:pPr>
        <w:pStyle w:val="Heading1"/>
      </w:pPr>
      <w:r>
        <w:lastRenderedPageBreak/>
        <w:t>Abstract</w:t>
      </w:r>
    </w:p>
    <w:p w14:paraId="1A046284" w14:textId="77777777" w:rsidR="002066B0" w:rsidRDefault="00000000">
      <w:pPr>
        <w:spacing w:after="180" w:line="360" w:lineRule="auto"/>
        <w:ind w:firstLine="720"/>
        <w:jc w:val="both"/>
      </w:pPr>
      <w:r>
        <w:t>Global procurement has entered an era of profound and unprecedented disruption. The familiar axioms of procurement strategy — cost minimization, supplier consolidation, just-in-time delivery, and geographic concentration — are being stress-tested by a convergence of forces that no single discipline can fully explain. Armed conflicts in Eastern Europe and the Middle East have shattered energy and commodity markets. Climate change has introduced new categories of geographic and agricultural risk. Tectonic shifts in geopolitical alliances have weaponized trade flows. Rapid technological transformation is simultaneously creating new procurement capabilities and new vulnerabilities.</w:t>
      </w:r>
    </w:p>
    <w:p w14:paraId="354414AE" w14:textId="77777777" w:rsidR="002066B0" w:rsidRDefault="00000000">
      <w:pPr>
        <w:spacing w:after="180" w:line="360" w:lineRule="auto"/>
        <w:ind w:firstLine="720"/>
        <w:jc w:val="both"/>
      </w:pPr>
      <w:r>
        <w:t>This research paper presents a comprehensive, multidimensional analysis of the forces reshaping procurement strategy in the twenty-first century. Drawing on empirical data, case studies, economic theory, and policy analysis, the paper examines how war, climate disruption, geographic constraints, demographic change, digital innovation, and social movements collectively demand a fundamental reimagination of how organizations source, contract, and manage supply relationships. The paper further explores how diverse economies across North America, Europe, Asia, Africa, and Latin America are navigating these challenges and pioneering innovative responses.</w:t>
      </w:r>
    </w:p>
    <w:p w14:paraId="0FDA2FEE" w14:textId="77777777" w:rsidR="002066B0" w:rsidRDefault="00000000">
      <w:pPr>
        <w:spacing w:after="180" w:line="360" w:lineRule="auto"/>
        <w:ind w:firstLine="720"/>
        <w:jc w:val="both"/>
      </w:pPr>
      <w:r>
        <w:t>Key findings demonstrate that the dominant paradigm of efficiency-first, globally integrated procurement is giving way to a new paradigm characterized by resilience, diversification, near-shoring, digital transparency, and ethical sourcing. Organizations that adapt proactively to this new reality are achieving strategic advantage, while those clinging to legacy models face escalating costs, reputational risks, and operational failures. The paper concludes with a forward-looking framework for next-generation procurement strategy and a set of recommendations for practitioners, policymakers, and researchers.</w:t>
      </w:r>
    </w:p>
    <w:p w14:paraId="406D7356" w14:textId="77777777" w:rsidR="002066B0" w:rsidRDefault="002066B0">
      <w:pPr>
        <w:spacing w:after="160"/>
      </w:pPr>
    </w:p>
    <w:p w14:paraId="41EE74B9" w14:textId="77777777" w:rsidR="002066B0" w:rsidRDefault="00000000">
      <w:pPr>
        <w:spacing w:after="120"/>
      </w:pPr>
      <w:r>
        <w:rPr>
          <w:b/>
          <w:bCs/>
          <w:sz w:val="22"/>
          <w:szCs w:val="22"/>
        </w:rPr>
        <w:t xml:space="preserve">Keywords: </w:t>
      </w:r>
      <w:r>
        <w:rPr>
          <w:i/>
          <w:iCs/>
          <w:sz w:val="22"/>
          <w:szCs w:val="22"/>
        </w:rPr>
        <w:t>Global Procurement, Supply Chain Resilience, Geopolitical Risk, Climate Risk, Digital Procurement, War and Trade, Strategic Sourcing, Sustainable Procurement, Emerging Markets, Supply Chain Disruption</w:t>
      </w:r>
    </w:p>
    <w:p w14:paraId="7400A5CF" w14:textId="77777777" w:rsidR="002066B0" w:rsidRDefault="00000000">
      <w:r>
        <w:br w:type="page"/>
      </w:r>
    </w:p>
    <w:p w14:paraId="57E5F6C6" w14:textId="77777777" w:rsidR="002066B0" w:rsidRDefault="00000000">
      <w:pPr>
        <w:pStyle w:val="Heading1"/>
      </w:pPr>
      <w:r>
        <w:lastRenderedPageBreak/>
        <w:t>Table of Contents</w:t>
      </w:r>
    </w:p>
    <w:p w14:paraId="2C38FE72" w14:textId="77777777" w:rsidR="002066B0" w:rsidRDefault="00000000">
      <w:pPr>
        <w:spacing w:before="40" w:after="40"/>
      </w:pPr>
      <w:r>
        <w:rPr>
          <w:sz w:val="22"/>
          <w:szCs w:val="22"/>
        </w:rPr>
        <w:t>Abstract   2</w:t>
      </w:r>
    </w:p>
    <w:p w14:paraId="21862033" w14:textId="77777777" w:rsidR="002066B0" w:rsidRDefault="00000000">
      <w:pPr>
        <w:spacing w:before="80" w:after="80"/>
      </w:pPr>
      <w:r>
        <w:rPr>
          <w:b/>
          <w:bCs/>
          <w:sz w:val="22"/>
          <w:szCs w:val="22"/>
        </w:rPr>
        <w:t>1. Introduction</w:t>
      </w:r>
      <w:r>
        <w:rPr>
          <w:sz w:val="22"/>
          <w:szCs w:val="22"/>
        </w:rPr>
        <w:t xml:space="preserve">   4</w:t>
      </w:r>
    </w:p>
    <w:p w14:paraId="318E14A0" w14:textId="77777777" w:rsidR="002066B0" w:rsidRDefault="00000000">
      <w:pPr>
        <w:spacing w:before="40" w:after="40"/>
      </w:pPr>
      <w:r>
        <w:rPr>
          <w:sz w:val="22"/>
          <w:szCs w:val="22"/>
        </w:rPr>
        <w:t xml:space="preserve">   1.1  The Collapse of the Efficiency Consensus   4</w:t>
      </w:r>
    </w:p>
    <w:p w14:paraId="32BA1EA2" w14:textId="77777777" w:rsidR="002066B0" w:rsidRDefault="00000000">
      <w:pPr>
        <w:spacing w:before="40" w:after="40"/>
      </w:pPr>
      <w:r>
        <w:rPr>
          <w:sz w:val="22"/>
          <w:szCs w:val="22"/>
        </w:rPr>
        <w:t xml:space="preserve">   1.2  Research Objectives and Methodology   5</w:t>
      </w:r>
    </w:p>
    <w:p w14:paraId="293604E5" w14:textId="77777777" w:rsidR="002066B0" w:rsidRDefault="00000000">
      <w:pPr>
        <w:spacing w:before="40" w:after="40"/>
      </w:pPr>
      <w:r>
        <w:rPr>
          <w:sz w:val="22"/>
          <w:szCs w:val="22"/>
        </w:rPr>
        <w:t xml:space="preserve">   1.3  Scope of the Study   5</w:t>
      </w:r>
    </w:p>
    <w:p w14:paraId="18668914" w14:textId="77777777" w:rsidR="002066B0" w:rsidRDefault="00000000">
      <w:pPr>
        <w:spacing w:before="80" w:after="80"/>
      </w:pPr>
      <w:r>
        <w:rPr>
          <w:b/>
          <w:bCs/>
          <w:sz w:val="22"/>
          <w:szCs w:val="22"/>
        </w:rPr>
        <w:t>2. The Architecture of Modern Global Procurement</w:t>
      </w:r>
      <w:r>
        <w:rPr>
          <w:sz w:val="22"/>
          <w:szCs w:val="22"/>
        </w:rPr>
        <w:t xml:space="preserve">   6</w:t>
      </w:r>
    </w:p>
    <w:p w14:paraId="30A58D79" w14:textId="77777777" w:rsidR="002066B0" w:rsidRDefault="00000000">
      <w:pPr>
        <w:spacing w:before="40" w:after="40"/>
      </w:pPr>
      <w:r>
        <w:rPr>
          <w:sz w:val="22"/>
          <w:szCs w:val="22"/>
        </w:rPr>
        <w:t xml:space="preserve">   2.1  Historical Evolution of Procurement Strategy   6</w:t>
      </w:r>
    </w:p>
    <w:p w14:paraId="5A312031" w14:textId="77777777" w:rsidR="002066B0" w:rsidRDefault="00000000">
      <w:pPr>
        <w:spacing w:before="40" w:after="40"/>
      </w:pPr>
      <w:r>
        <w:rPr>
          <w:sz w:val="22"/>
          <w:szCs w:val="22"/>
        </w:rPr>
        <w:t xml:space="preserve">   2.2  The Rise and Limits of Global Value Chains   7</w:t>
      </w:r>
    </w:p>
    <w:p w14:paraId="29ACCB59" w14:textId="77777777" w:rsidR="002066B0" w:rsidRDefault="00000000">
      <w:pPr>
        <w:spacing w:before="40" w:after="40"/>
      </w:pPr>
      <w:r>
        <w:rPr>
          <w:sz w:val="22"/>
          <w:szCs w:val="22"/>
        </w:rPr>
        <w:t xml:space="preserve">   2.3  Key Procurement Models Compared   8</w:t>
      </w:r>
    </w:p>
    <w:p w14:paraId="6501DD1D" w14:textId="77777777" w:rsidR="002066B0" w:rsidRDefault="00000000">
      <w:pPr>
        <w:spacing w:before="80" w:after="80"/>
      </w:pPr>
      <w:r>
        <w:rPr>
          <w:b/>
          <w:bCs/>
          <w:sz w:val="22"/>
          <w:szCs w:val="22"/>
        </w:rPr>
        <w:t>3. War as a Procurement Disruptor</w:t>
      </w:r>
      <w:r>
        <w:rPr>
          <w:sz w:val="22"/>
          <w:szCs w:val="22"/>
        </w:rPr>
        <w:t xml:space="preserve">   9</w:t>
      </w:r>
    </w:p>
    <w:p w14:paraId="138C7BD4" w14:textId="77777777" w:rsidR="002066B0" w:rsidRDefault="00000000">
      <w:pPr>
        <w:spacing w:before="40" w:after="40"/>
      </w:pPr>
      <w:r>
        <w:rPr>
          <w:sz w:val="22"/>
          <w:szCs w:val="22"/>
        </w:rPr>
        <w:t xml:space="preserve">   3.1  The Russia-Ukraine War: Energy, Grain, and Materials   9</w:t>
      </w:r>
    </w:p>
    <w:p w14:paraId="0F7722C6" w14:textId="77777777" w:rsidR="002066B0" w:rsidRDefault="00000000">
      <w:pPr>
        <w:spacing w:before="40" w:after="40"/>
      </w:pPr>
      <w:r>
        <w:rPr>
          <w:sz w:val="22"/>
          <w:szCs w:val="22"/>
        </w:rPr>
        <w:t xml:space="preserve">   3.2  The Middle East Conflict and Red Sea Shipping Crisis   10</w:t>
      </w:r>
    </w:p>
    <w:p w14:paraId="687DC697" w14:textId="77777777" w:rsidR="002066B0" w:rsidRDefault="00000000">
      <w:pPr>
        <w:spacing w:before="40" w:after="40"/>
      </w:pPr>
      <w:r>
        <w:rPr>
          <w:sz w:val="22"/>
          <w:szCs w:val="22"/>
        </w:rPr>
        <w:t xml:space="preserve">   3.3  Sanctions, Export Controls, and Technology Blockades   11</w:t>
      </w:r>
    </w:p>
    <w:p w14:paraId="3C3885B1" w14:textId="77777777" w:rsidR="002066B0" w:rsidRDefault="00000000">
      <w:pPr>
        <w:spacing w:before="40" w:after="40"/>
      </w:pPr>
      <w:r>
        <w:rPr>
          <w:sz w:val="22"/>
          <w:szCs w:val="22"/>
        </w:rPr>
        <w:t xml:space="preserve">   3.4  Defence Procurement in an Age of Rearming Nations   12</w:t>
      </w:r>
    </w:p>
    <w:p w14:paraId="5F6DB449" w14:textId="77777777" w:rsidR="002066B0" w:rsidRDefault="00000000">
      <w:pPr>
        <w:spacing w:before="80" w:after="80"/>
      </w:pPr>
      <w:r>
        <w:rPr>
          <w:b/>
          <w:bCs/>
          <w:sz w:val="22"/>
          <w:szCs w:val="22"/>
        </w:rPr>
        <w:t>4. Geographic and Climate Forces</w:t>
      </w:r>
      <w:r>
        <w:rPr>
          <w:sz w:val="22"/>
          <w:szCs w:val="22"/>
        </w:rPr>
        <w:t xml:space="preserve">   13</w:t>
      </w:r>
    </w:p>
    <w:p w14:paraId="0EAA3E52" w14:textId="77777777" w:rsidR="002066B0" w:rsidRDefault="00000000">
      <w:pPr>
        <w:spacing w:before="40" w:after="40"/>
      </w:pPr>
      <w:r>
        <w:rPr>
          <w:sz w:val="22"/>
          <w:szCs w:val="22"/>
        </w:rPr>
        <w:t xml:space="preserve">   4.1  Climate Change as a Procurement Risk Variable   13</w:t>
      </w:r>
    </w:p>
    <w:p w14:paraId="3425958C" w14:textId="77777777" w:rsidR="002066B0" w:rsidRDefault="00000000">
      <w:pPr>
        <w:spacing w:before="40" w:after="40"/>
      </w:pPr>
      <w:r>
        <w:rPr>
          <w:sz w:val="22"/>
          <w:szCs w:val="22"/>
        </w:rPr>
        <w:t xml:space="preserve">   4.2  Rare Earth Geography and Resource Nationalism   14</w:t>
      </w:r>
    </w:p>
    <w:p w14:paraId="20E6F9D2" w14:textId="77777777" w:rsidR="002066B0" w:rsidRDefault="00000000">
      <w:pPr>
        <w:spacing w:before="40" w:after="40"/>
      </w:pPr>
      <w:r>
        <w:rPr>
          <w:sz w:val="22"/>
          <w:szCs w:val="22"/>
        </w:rPr>
        <w:t xml:space="preserve">   4.3  Port Chokepoints, Landlocked Nations, and Logistics Gaps   15</w:t>
      </w:r>
    </w:p>
    <w:p w14:paraId="580ABE96" w14:textId="77777777" w:rsidR="002066B0" w:rsidRDefault="00000000">
      <w:pPr>
        <w:spacing w:before="80" w:after="80"/>
      </w:pPr>
      <w:r>
        <w:rPr>
          <w:b/>
          <w:bCs/>
          <w:sz w:val="22"/>
          <w:szCs w:val="22"/>
        </w:rPr>
        <w:t>5. Technological Transformation of Procurement</w:t>
      </w:r>
      <w:r>
        <w:rPr>
          <w:sz w:val="22"/>
          <w:szCs w:val="22"/>
        </w:rPr>
        <w:t xml:space="preserve">   16</w:t>
      </w:r>
    </w:p>
    <w:p w14:paraId="2F3E5D68" w14:textId="77777777" w:rsidR="002066B0" w:rsidRDefault="00000000">
      <w:pPr>
        <w:spacing w:before="40" w:after="40"/>
      </w:pPr>
      <w:r>
        <w:rPr>
          <w:sz w:val="22"/>
          <w:szCs w:val="22"/>
        </w:rPr>
        <w:t xml:space="preserve">   5.1  Artificial Intelligence and Predictive Sourcing   16</w:t>
      </w:r>
    </w:p>
    <w:p w14:paraId="06921B41" w14:textId="77777777" w:rsidR="002066B0" w:rsidRDefault="00000000">
      <w:pPr>
        <w:spacing w:before="40" w:after="40"/>
      </w:pPr>
      <w:r>
        <w:rPr>
          <w:sz w:val="22"/>
          <w:szCs w:val="22"/>
        </w:rPr>
        <w:t xml:space="preserve">   5.2  Blockchain for Supply Chain Transparency   17</w:t>
      </w:r>
    </w:p>
    <w:p w14:paraId="2E2C3021" w14:textId="77777777" w:rsidR="002066B0" w:rsidRDefault="00000000">
      <w:pPr>
        <w:spacing w:before="40" w:after="40"/>
      </w:pPr>
      <w:r>
        <w:rPr>
          <w:sz w:val="22"/>
          <w:szCs w:val="22"/>
        </w:rPr>
        <w:t xml:space="preserve">   5.3  Digital Procurement Platforms and E-Tendering   17</w:t>
      </w:r>
    </w:p>
    <w:p w14:paraId="703F3F92" w14:textId="77777777" w:rsidR="002066B0" w:rsidRDefault="00000000">
      <w:pPr>
        <w:spacing w:before="40" w:after="40"/>
      </w:pPr>
      <w:r>
        <w:rPr>
          <w:sz w:val="22"/>
          <w:szCs w:val="22"/>
        </w:rPr>
        <w:t xml:space="preserve">   5.4  Automation, Robotics, and the Future of Manufacturing Supply   18</w:t>
      </w:r>
    </w:p>
    <w:p w14:paraId="4576BF39" w14:textId="77777777" w:rsidR="002066B0" w:rsidRDefault="00000000">
      <w:pPr>
        <w:spacing w:before="80" w:after="80"/>
      </w:pPr>
      <w:r>
        <w:rPr>
          <w:b/>
          <w:bCs/>
          <w:sz w:val="22"/>
          <w:szCs w:val="22"/>
        </w:rPr>
        <w:t>6. Social, Demographic, and Ethical Forces</w:t>
      </w:r>
      <w:r>
        <w:rPr>
          <w:sz w:val="22"/>
          <w:szCs w:val="22"/>
        </w:rPr>
        <w:t xml:space="preserve">   19</w:t>
      </w:r>
    </w:p>
    <w:p w14:paraId="7792B8DB" w14:textId="77777777" w:rsidR="002066B0" w:rsidRDefault="00000000">
      <w:pPr>
        <w:spacing w:before="40" w:after="40"/>
      </w:pPr>
      <w:r>
        <w:rPr>
          <w:sz w:val="22"/>
          <w:szCs w:val="22"/>
        </w:rPr>
        <w:t xml:space="preserve">   6.1  ESG and the Rise of Ethical Procurement   19</w:t>
      </w:r>
    </w:p>
    <w:p w14:paraId="52CAB0E1" w14:textId="77777777" w:rsidR="002066B0" w:rsidRDefault="00000000">
      <w:pPr>
        <w:spacing w:before="40" w:after="40"/>
      </w:pPr>
      <w:r>
        <w:rPr>
          <w:sz w:val="22"/>
          <w:szCs w:val="22"/>
        </w:rPr>
        <w:t xml:space="preserve">   6.2  Labour Rights, Modern Slavery, and Supply Chain Auditing   20</w:t>
      </w:r>
    </w:p>
    <w:p w14:paraId="44F08360" w14:textId="77777777" w:rsidR="002066B0" w:rsidRDefault="00000000">
      <w:pPr>
        <w:spacing w:before="40" w:after="40"/>
      </w:pPr>
      <w:r>
        <w:rPr>
          <w:sz w:val="22"/>
          <w:szCs w:val="22"/>
        </w:rPr>
        <w:t xml:space="preserve">   6.3  Demographic Shifts and the Labour Supply Chain   20</w:t>
      </w:r>
    </w:p>
    <w:p w14:paraId="59ECD955" w14:textId="77777777" w:rsidR="002066B0" w:rsidRDefault="00000000">
      <w:pPr>
        <w:spacing w:before="80" w:after="80"/>
      </w:pPr>
      <w:r>
        <w:rPr>
          <w:b/>
          <w:bCs/>
          <w:sz w:val="22"/>
          <w:szCs w:val="22"/>
        </w:rPr>
        <w:t>7. Emerging Markets as Procurement Innovators</w:t>
      </w:r>
      <w:r>
        <w:rPr>
          <w:sz w:val="22"/>
          <w:szCs w:val="22"/>
        </w:rPr>
        <w:t xml:space="preserve">   21</w:t>
      </w:r>
    </w:p>
    <w:p w14:paraId="6E5A7B73" w14:textId="77777777" w:rsidR="002066B0" w:rsidRDefault="00000000">
      <w:pPr>
        <w:spacing w:before="40" w:after="40"/>
      </w:pPr>
      <w:r>
        <w:rPr>
          <w:sz w:val="22"/>
          <w:szCs w:val="22"/>
        </w:rPr>
        <w:t xml:space="preserve">   7.1  Africa: The Next Sourcing Frontier   21</w:t>
      </w:r>
    </w:p>
    <w:p w14:paraId="203EE85C" w14:textId="77777777" w:rsidR="002066B0" w:rsidRDefault="00000000">
      <w:pPr>
        <w:spacing w:before="40" w:after="40"/>
      </w:pPr>
      <w:r>
        <w:rPr>
          <w:sz w:val="22"/>
          <w:szCs w:val="22"/>
        </w:rPr>
        <w:t xml:space="preserve">   7.2  Southeast Asia and the China Plus One Phenomenon   22</w:t>
      </w:r>
    </w:p>
    <w:p w14:paraId="2864D562" w14:textId="77777777" w:rsidR="002066B0" w:rsidRDefault="00000000">
      <w:pPr>
        <w:spacing w:before="40" w:after="40"/>
      </w:pPr>
      <w:r>
        <w:rPr>
          <w:sz w:val="22"/>
          <w:szCs w:val="22"/>
        </w:rPr>
        <w:t xml:space="preserve">   7.3  South Asian Economies and Digital Public Procurement   22</w:t>
      </w:r>
    </w:p>
    <w:p w14:paraId="3F5AE0C6" w14:textId="77777777" w:rsidR="002066B0" w:rsidRDefault="00000000">
      <w:pPr>
        <w:spacing w:before="80" w:after="80"/>
      </w:pPr>
      <w:r>
        <w:rPr>
          <w:b/>
          <w:bCs/>
          <w:sz w:val="22"/>
          <w:szCs w:val="22"/>
        </w:rPr>
        <w:t>8. The New Procurement Paradigm: Resilience over Efficiency</w:t>
      </w:r>
      <w:r>
        <w:rPr>
          <w:sz w:val="22"/>
          <w:szCs w:val="22"/>
        </w:rPr>
        <w:t xml:space="preserve">   23</w:t>
      </w:r>
    </w:p>
    <w:p w14:paraId="1C6DF368" w14:textId="77777777" w:rsidR="002066B0" w:rsidRDefault="00000000">
      <w:pPr>
        <w:spacing w:before="40" w:after="40"/>
      </w:pPr>
      <w:r>
        <w:rPr>
          <w:sz w:val="22"/>
          <w:szCs w:val="22"/>
        </w:rPr>
        <w:t xml:space="preserve">   8.1  Strategic Stockpiling and Buffer Inventory   23</w:t>
      </w:r>
    </w:p>
    <w:p w14:paraId="411FB0B4" w14:textId="77777777" w:rsidR="002066B0" w:rsidRDefault="00000000">
      <w:pPr>
        <w:spacing w:before="40" w:after="40"/>
      </w:pPr>
      <w:r>
        <w:rPr>
          <w:sz w:val="22"/>
          <w:szCs w:val="22"/>
        </w:rPr>
        <w:t xml:space="preserve">   8.2  Dual and Multi-Sourcing Strategies   24</w:t>
      </w:r>
    </w:p>
    <w:p w14:paraId="77CAADA6" w14:textId="77777777" w:rsidR="002066B0" w:rsidRDefault="00000000">
      <w:pPr>
        <w:spacing w:before="40" w:after="40"/>
      </w:pPr>
      <w:r>
        <w:rPr>
          <w:sz w:val="22"/>
          <w:szCs w:val="22"/>
        </w:rPr>
        <w:t xml:space="preserve">   8.3  Near-Shoring, Friend-Shoring, and Domestic Capacity   24</w:t>
      </w:r>
    </w:p>
    <w:p w14:paraId="3574A55A" w14:textId="77777777" w:rsidR="002066B0" w:rsidRDefault="00000000">
      <w:pPr>
        <w:spacing w:before="80" w:after="80"/>
      </w:pPr>
      <w:r>
        <w:rPr>
          <w:b/>
          <w:bCs/>
          <w:sz w:val="22"/>
          <w:szCs w:val="22"/>
        </w:rPr>
        <w:t>9. Future Directions and Recommendations</w:t>
      </w:r>
      <w:r>
        <w:rPr>
          <w:sz w:val="22"/>
          <w:szCs w:val="22"/>
        </w:rPr>
        <w:t xml:space="preserve">   25</w:t>
      </w:r>
    </w:p>
    <w:p w14:paraId="56F844D6" w14:textId="77777777" w:rsidR="002066B0" w:rsidRDefault="00000000">
      <w:pPr>
        <w:spacing w:before="80" w:after="80"/>
      </w:pPr>
      <w:r>
        <w:rPr>
          <w:b/>
          <w:bCs/>
          <w:sz w:val="22"/>
          <w:szCs w:val="22"/>
        </w:rPr>
        <w:t>10. Conclusion</w:t>
      </w:r>
      <w:r>
        <w:rPr>
          <w:sz w:val="22"/>
          <w:szCs w:val="22"/>
        </w:rPr>
        <w:t xml:space="preserve">   26</w:t>
      </w:r>
    </w:p>
    <w:p w14:paraId="0D75A91A" w14:textId="77777777" w:rsidR="002066B0" w:rsidRDefault="00000000">
      <w:pPr>
        <w:spacing w:before="40" w:after="40"/>
      </w:pPr>
      <w:r>
        <w:rPr>
          <w:sz w:val="22"/>
          <w:szCs w:val="22"/>
        </w:rPr>
        <w:t>References   27</w:t>
      </w:r>
    </w:p>
    <w:p w14:paraId="75E4F860" w14:textId="77777777" w:rsidR="002066B0" w:rsidRDefault="00000000">
      <w:pPr>
        <w:spacing w:before="40" w:after="40"/>
      </w:pPr>
      <w:r>
        <w:rPr>
          <w:sz w:val="22"/>
          <w:szCs w:val="22"/>
        </w:rPr>
        <w:t>Appendix A: Key Data Summary   29</w:t>
      </w:r>
    </w:p>
    <w:p w14:paraId="6C1961F9" w14:textId="77777777" w:rsidR="002066B0" w:rsidRDefault="00000000">
      <w:r>
        <w:lastRenderedPageBreak/>
        <w:br w:type="page"/>
      </w:r>
    </w:p>
    <w:p w14:paraId="24D08B43" w14:textId="77777777" w:rsidR="002066B0" w:rsidRDefault="00000000">
      <w:pPr>
        <w:pStyle w:val="Heading1"/>
      </w:pPr>
      <w:r>
        <w:lastRenderedPageBreak/>
        <w:t>1. Introduction</w:t>
      </w:r>
    </w:p>
    <w:p w14:paraId="6F7B6247" w14:textId="77777777" w:rsidR="002066B0" w:rsidRDefault="00000000">
      <w:pPr>
        <w:pStyle w:val="Heading2"/>
      </w:pPr>
      <w:r>
        <w:t>1.1 The Collapse of the Efficiency Consensus</w:t>
      </w:r>
    </w:p>
    <w:p w14:paraId="6B762EEF" w14:textId="77777777" w:rsidR="002066B0" w:rsidRDefault="00000000">
      <w:pPr>
        <w:spacing w:after="180" w:line="360" w:lineRule="auto"/>
        <w:ind w:firstLine="720"/>
        <w:jc w:val="both"/>
      </w:pPr>
      <w:r>
        <w:t>For nearly four decades following the end of the Cold War, global procurement strategy was governed by a single overriding imperative: efficiency. The intellectual architecture of this era was built on the foundational premise that comparative advantage, freely flowing capital, and frictionless trade would optimize the allocation of productive resources across the globe. Corporations were rewarded for stripping inventory, concentrating suppliers in low-cost geographies, and engineering supply chains to operate with razor-thin margins and minimal redundancy.</w:t>
      </w:r>
    </w:p>
    <w:p w14:paraId="2FF36B74" w14:textId="77777777" w:rsidR="002066B0" w:rsidRDefault="00000000">
      <w:pPr>
        <w:spacing w:after="180" w:line="360" w:lineRule="auto"/>
        <w:ind w:firstLine="720"/>
        <w:jc w:val="both"/>
      </w:pPr>
      <w:r>
        <w:t>The results, for a time, were spectacular. The integration of China into the World Trade Organization in 2001, the expansion of global container shipping, and the liberalization of trade across Asia, Eastern Europe, and Latin America enabled an extraordinary expansion of global commerce. Between 1990 and 2008, world merchandise trade grew at an average annual rate of roughly 6 percent in real terms, far outpacing global GDP growth. Procurement became a strategic lever for competitive advantage, and chief procurement officers were celebrated for driving costs ever lower.</w:t>
      </w:r>
    </w:p>
    <w:p w14:paraId="286E18E2" w14:textId="77777777" w:rsidR="002066B0" w:rsidRDefault="00000000">
      <w:pPr>
        <w:spacing w:after="180" w:line="360" w:lineRule="auto"/>
        <w:ind w:firstLine="720"/>
        <w:jc w:val="both"/>
      </w:pPr>
      <w:r>
        <w:t>The cracks in this edifice were visible before the catastrophic disruptions that followed. The 2011 Tohoku earthquake and tsunami exposed the fragility of single-source semiconductor and automotive supply chains. The 2017 US-China trade tensions introduced tariff uncertainty that procurement teams had not modelled. But it was the convergence of the COVID-19 pandemic (2020-2022), the Russian invasion of Ukraine (February 2022), and the Red Sea shipping crisis (2023-2024) that delivered the definitive verdict: the efficiency-first procurement paradigm had reached its limits.</w:t>
      </w:r>
    </w:p>
    <w:p w14:paraId="22BD647B" w14:textId="77777777" w:rsidR="002066B0" w:rsidRDefault="00000000">
      <w:pPr>
        <w:spacing w:after="180" w:line="360" w:lineRule="auto"/>
        <w:ind w:firstLine="720"/>
        <w:jc w:val="both"/>
      </w:pPr>
      <w:r>
        <w:t>Today, organizations across every sector — from semiconductors to pharmaceuticals, from food processing to defence manufacturing — are engaged in a fundamental reassessment of how they source, what they stockpile, where they locate supply relationships, and how they manage risk across extended, complex supply networks. This transformation is not merely operational. It is strategic, geopolitical, and civilizational in scope.</w:t>
      </w:r>
    </w:p>
    <w:p w14:paraId="56C47602" w14:textId="77777777" w:rsidR="002066B0" w:rsidRDefault="00000000">
      <w:pPr>
        <w:pStyle w:val="Heading2"/>
      </w:pPr>
      <w:r>
        <w:lastRenderedPageBreak/>
        <w:t>1.2 Research Objectives and Methodology</w:t>
      </w:r>
    </w:p>
    <w:p w14:paraId="49F014D3" w14:textId="77777777" w:rsidR="002066B0" w:rsidRDefault="00000000">
      <w:pPr>
        <w:spacing w:after="180" w:line="360" w:lineRule="auto"/>
        <w:ind w:firstLine="720"/>
        <w:jc w:val="both"/>
      </w:pPr>
      <w:r>
        <w:t>This paper pursues five core research objectives. First, it documents and analyzes the principal external forces disrupting global procurement strategy, with particular attention to armed conflict, climate change, geographic constraints, technological transformation, and social movements. Second, it examines the mechanisms through which these forces translate into procurement risk, cost escalation, and strategic vulnerability. Third, it surveys innovative procurement responses being adopted by organizations and governments across diverse geographies and sectors. Fourth, it identifies the characteristics of procurement organizations demonstrating superior resilience. Fifth, it synthesizes these findings into a forward-looking framework for procurement strategy in an era of persistent instability.</w:t>
      </w:r>
    </w:p>
    <w:p w14:paraId="1A5BC449" w14:textId="77777777" w:rsidR="002066B0" w:rsidRDefault="00000000">
      <w:pPr>
        <w:spacing w:after="180" w:line="360" w:lineRule="auto"/>
        <w:ind w:firstLine="720"/>
        <w:jc w:val="both"/>
      </w:pPr>
      <w:r>
        <w:t>The methodology combines systematic literature review, case study analysis, quantitative data synthesis, and comparative institutional analysis. Primary sources include reports from the World Trade Organization, World Bank, International Monetary Fund, United Nations Conference on Trade and Development, and leading procurement research institutions including the Chartered Institute of Procurement and Supply (CIPS) and the Institute for Supply Management (ISM). Case study data draws on published corporate disclosures, industry reports, and academic research across the period 2018 to 2025.</w:t>
      </w:r>
    </w:p>
    <w:p w14:paraId="4D85F1FF" w14:textId="77777777" w:rsidR="002066B0" w:rsidRDefault="00000000">
      <w:pPr>
        <w:pStyle w:val="Heading2"/>
      </w:pPr>
      <w:r>
        <w:t>1.3 Scope of the Study</w:t>
      </w:r>
    </w:p>
    <w:p w14:paraId="26A1966F" w14:textId="77777777" w:rsidR="002066B0" w:rsidRDefault="00000000">
      <w:pPr>
        <w:spacing w:after="180" w:line="360" w:lineRule="auto"/>
        <w:ind w:firstLine="720"/>
        <w:jc w:val="both"/>
      </w:pPr>
      <w:r>
        <w:t>This research encompasses procurement as practiced across public and private sector organizations globally. It covers direct procurement — raw materials, components, and goods for resale — and indirect procurement, encompassing services, infrastructure, and operational supplies. Geographically, the paper draws on examples from North America, Europe, East Asia, South Asia, Southeast Asia, Sub-Saharan Africa, and the Middle East, reflecting the genuinely global nature of the disruptions under examination. While specific national contexts are referenced as illustrative cases, the analysis is comparative and avoids evaluative judgments about the policies of particular governments or political systems.</w:t>
      </w:r>
    </w:p>
    <w:p w14:paraId="2014EF27" w14:textId="77777777" w:rsidR="002066B0" w:rsidRDefault="00000000">
      <w:r>
        <w:br w:type="page"/>
      </w:r>
    </w:p>
    <w:p w14:paraId="5E2761F0" w14:textId="77777777" w:rsidR="002066B0" w:rsidRDefault="00000000">
      <w:pPr>
        <w:pStyle w:val="Heading1"/>
      </w:pPr>
      <w:r>
        <w:lastRenderedPageBreak/>
        <w:t>2. The Architecture of Modern Global Procurement</w:t>
      </w:r>
    </w:p>
    <w:p w14:paraId="27E52BED" w14:textId="77777777" w:rsidR="002066B0" w:rsidRDefault="00000000">
      <w:pPr>
        <w:pStyle w:val="Heading2"/>
      </w:pPr>
      <w:r>
        <w:t>2.1 Historical Evolution of Procurement Strategy</w:t>
      </w:r>
    </w:p>
    <w:p w14:paraId="1DD2E09E" w14:textId="77777777" w:rsidR="002066B0" w:rsidRDefault="00000000">
      <w:pPr>
        <w:spacing w:after="180" w:line="360" w:lineRule="auto"/>
        <w:ind w:firstLine="720"/>
        <w:jc w:val="both"/>
      </w:pPr>
      <w:r>
        <w:t>Procurement as a formal organizational function has evolved through several distinct phases over the past century. In the early industrial era, procurement was fundamentally a transactional activity — the purchasing department placed orders, negotiated prices, and managed vendor relationships with limited strategic ambition. The dominant concern was price, and the dominant skill was negotiation.</w:t>
      </w:r>
    </w:p>
    <w:p w14:paraId="3DFFC5BF" w14:textId="77777777" w:rsidR="002066B0" w:rsidRDefault="00000000">
      <w:pPr>
        <w:spacing w:after="180" w:line="360" w:lineRule="auto"/>
        <w:ind w:firstLine="720"/>
        <w:jc w:val="both"/>
      </w:pPr>
      <w:r>
        <w:t>The post-World War II era introduced the concept of strategic sourcing, driven by the recognition that supply relationships could be a source of competitive advantage rather than merely a cost to be managed. Companies began to analyze their supply base systematically, segment suppliers by criticality and spend, and invest in long-term partnerships with key vendors. The development of collaborative supplier networks in the Japanese automotive industry demonstrated that deep partnerships could generate innovation, quality improvements, and cost efficiency simultaneously.</w:t>
      </w:r>
    </w:p>
    <w:p w14:paraId="1851FAA5" w14:textId="77777777" w:rsidR="002066B0" w:rsidRDefault="00000000">
      <w:pPr>
        <w:spacing w:after="180" w:line="360" w:lineRule="auto"/>
        <w:ind w:firstLine="720"/>
        <w:jc w:val="both"/>
      </w:pPr>
      <w:r>
        <w:t>The globalization era of the 1990s and 2000s introduced a new imperative: global sourcing. Advances in containerization, telecommunications, and trade liberalization made it economically rational to source from suppliers anywhere in the world. The emergence of global value chains (GVCs) — in which different stages of production are distributed across multiple countries based on comparative advantage — became the defining feature of the global economy. The supply chains of leading electronics and consumer goods manufacturers, spanning dozens of countries and thousands of suppliers, became emblematic of this era.</w:t>
      </w:r>
    </w:p>
    <w:p w14:paraId="1C093FA5" w14:textId="77777777" w:rsidR="002066B0" w:rsidRDefault="00000000">
      <w:pPr>
        <w:spacing w:after="180" w:line="360" w:lineRule="auto"/>
        <w:ind w:firstLine="720"/>
        <w:jc w:val="both"/>
      </w:pPr>
      <w:r>
        <w:t>The 2010s saw the rise of digital procurement, as enterprise resource planning (ERP) systems, e-procurement platforms, and supply chain management software enabled greater visibility, automation, and analytical sophistication. Concepts such as supplier relationship management (SRM), category management, and total cost of ownership (TCO) analysis became standard elements of procurement practice in sophisticated organizations.</w:t>
      </w:r>
    </w:p>
    <w:p w14:paraId="29DB5D28" w14:textId="77777777" w:rsidR="002066B0" w:rsidRDefault="00000000">
      <w:pPr>
        <w:spacing w:after="180" w:line="360" w:lineRule="auto"/>
        <w:ind w:firstLine="720"/>
        <w:jc w:val="both"/>
      </w:pPr>
      <w:r>
        <w:t xml:space="preserve">The current decade represents a fifth and distinctly different phase: resilience-oriented procurement. Driven by the disruptions described in subsequent sections of this paper, organizations are fundamentally reconsidering the trade-offs between efficiency and resilience, </w:t>
      </w:r>
      <w:r>
        <w:lastRenderedPageBreak/>
        <w:t>cost and security, globalization and localization. This phase is characterized not by the abandonment of prior advances but by their rebalancing in light of dramatically altered risk environments.</w:t>
      </w:r>
    </w:p>
    <w:p w14:paraId="5F91948E" w14:textId="77777777" w:rsidR="002066B0" w:rsidRDefault="00000000">
      <w:pPr>
        <w:pStyle w:val="Heading2"/>
      </w:pPr>
      <w:r>
        <w:t>2.2 The Rise and Limits of Global Value Chains</w:t>
      </w:r>
    </w:p>
    <w:p w14:paraId="6EFD014C" w14:textId="77777777" w:rsidR="002066B0" w:rsidRDefault="00000000">
      <w:pPr>
        <w:spacing w:after="180" w:line="360" w:lineRule="auto"/>
        <w:ind w:firstLine="720"/>
        <w:jc w:val="both"/>
      </w:pPr>
      <w:r>
        <w:t>Global value chains represent one of the most significant structural transformations in the history of international commerce. By the mid-2010s, GVC-related trade accounted for approximately 70 percent of global merchandise trade, according to World Trade Organization estimates. The archetypal GVC involves raw material extraction in resource-rich developing economies, component manufacturing in low-cost industrial economies, assembly in export-oriented manufacturing hubs, and final consumption in high-income markets.</w:t>
      </w:r>
    </w:p>
    <w:p w14:paraId="7B27A828" w14:textId="77777777" w:rsidR="002066B0" w:rsidRDefault="00000000">
      <w:pPr>
        <w:spacing w:after="180" w:line="360" w:lineRule="auto"/>
        <w:ind w:firstLine="720"/>
        <w:jc w:val="both"/>
      </w:pPr>
      <w:r>
        <w:t>The economic logic of GVCs is compelling. By locating each stage of production where it can be performed most efficiently, GVCs generate cost savings that benefit consumers and competitiveness advantages that benefit firms. They also serve as engines of economic development for participating nations, creating manufacturing employment, technology transfer, and export revenue across multiple geographies simultaneously.</w:t>
      </w:r>
    </w:p>
    <w:p w14:paraId="3B6B07EF" w14:textId="77777777" w:rsidR="002066B0" w:rsidRDefault="00000000">
      <w:pPr>
        <w:spacing w:after="180" w:line="360" w:lineRule="auto"/>
        <w:ind w:firstLine="720"/>
        <w:jc w:val="both"/>
      </w:pPr>
      <w:r>
        <w:t>However, the GVC model contains structural vulnerabilities that became devastatingly apparent during the pandemic period. Geographic concentration of production in single locations creates single points of failure. The pursuit of inventory minimization through just-in-time logistics eliminates buffer capacity to absorb shocks. The complexity and opacity of extended supplier networks make it difficult to identify and manage risks that are several tiers removed from the buying organization. The reliance on long-distance shipping exposes supply chains to logistics disruptions, port congestion, and fuel cost volatility.</w:t>
      </w:r>
    </w:p>
    <w:p w14:paraId="141C29FA" w14:textId="77777777" w:rsidR="002066B0" w:rsidRDefault="00000000">
      <w:pPr>
        <w:spacing w:after="180" w:line="360" w:lineRule="auto"/>
        <w:ind w:firstLine="720"/>
        <w:jc w:val="both"/>
      </w:pPr>
      <w:r>
        <w:t>A McKinsey Global Institute analysis estimated that industries experience supply chain disruptions lasting one month or longer every 3.7 years on average, and major disruptions lasting multiple months every decade. The cumulative economic cost of supply chain disruptions between 2011 and 2023 has been estimated at hundreds of billions of dollars globally, a figure that understates the full economic impact when indirect and secondary effects are included.</w:t>
      </w:r>
    </w:p>
    <w:p w14:paraId="1783209B" w14:textId="77777777" w:rsidR="002066B0" w:rsidRDefault="00000000">
      <w:pPr>
        <w:pStyle w:val="Heading2"/>
      </w:pPr>
      <w:r>
        <w:t>2.3 Key Procurement Models Compared</w:t>
      </w:r>
    </w:p>
    <w:p w14:paraId="1C86AA69" w14:textId="77777777" w:rsidR="002066B0" w:rsidRDefault="002066B0">
      <w:pPr>
        <w:spacing w:after="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1800"/>
        <w:gridCol w:w="1700"/>
        <w:gridCol w:w="1800"/>
        <w:gridCol w:w="2360"/>
      </w:tblGrid>
      <w:tr w:rsidR="002066B0" w14:paraId="49DA3C14" w14:textId="77777777">
        <w:tblPrEx>
          <w:tblCellMar>
            <w:top w:w="0" w:type="dxa"/>
            <w:bottom w:w="0" w:type="dxa"/>
          </w:tblCellMar>
        </w:tblPrEx>
        <w:trPr>
          <w:tblHeader/>
        </w:trPr>
        <w:tc>
          <w:tcPr>
            <w:tcW w:w="17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75443849" w14:textId="77777777" w:rsidR="002066B0" w:rsidRDefault="00000000">
            <w:pPr>
              <w:jc w:val="center"/>
            </w:pPr>
            <w:r>
              <w:rPr>
                <w:b/>
                <w:bCs/>
                <w:color w:val="FFFFFF"/>
                <w:sz w:val="20"/>
                <w:szCs w:val="20"/>
              </w:rPr>
              <w:t>Model</w:t>
            </w:r>
          </w:p>
        </w:tc>
        <w:tc>
          <w:tcPr>
            <w:tcW w:w="18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553046EC" w14:textId="77777777" w:rsidR="002066B0" w:rsidRDefault="00000000">
            <w:pPr>
              <w:jc w:val="center"/>
            </w:pPr>
            <w:r>
              <w:rPr>
                <w:b/>
                <w:bCs/>
                <w:color w:val="FFFFFF"/>
                <w:sz w:val="20"/>
                <w:szCs w:val="20"/>
              </w:rPr>
              <w:t>Core Logic</w:t>
            </w:r>
          </w:p>
        </w:tc>
        <w:tc>
          <w:tcPr>
            <w:tcW w:w="17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381DB60F" w14:textId="77777777" w:rsidR="002066B0" w:rsidRDefault="00000000">
            <w:pPr>
              <w:jc w:val="center"/>
            </w:pPr>
            <w:r>
              <w:rPr>
                <w:b/>
                <w:bCs/>
                <w:color w:val="FFFFFF"/>
                <w:sz w:val="20"/>
                <w:szCs w:val="20"/>
              </w:rPr>
              <w:t>Primary Advantage</w:t>
            </w:r>
          </w:p>
        </w:tc>
        <w:tc>
          <w:tcPr>
            <w:tcW w:w="18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66DE2D9F" w14:textId="77777777" w:rsidR="002066B0" w:rsidRDefault="00000000">
            <w:pPr>
              <w:jc w:val="center"/>
            </w:pPr>
            <w:r>
              <w:rPr>
                <w:b/>
                <w:bCs/>
                <w:color w:val="FFFFFF"/>
                <w:sz w:val="20"/>
                <w:szCs w:val="20"/>
              </w:rPr>
              <w:t>Primary Risk</w:t>
            </w:r>
          </w:p>
        </w:tc>
        <w:tc>
          <w:tcPr>
            <w:tcW w:w="236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7489143C" w14:textId="77777777" w:rsidR="002066B0" w:rsidRDefault="00000000">
            <w:pPr>
              <w:jc w:val="center"/>
            </w:pPr>
            <w:r>
              <w:rPr>
                <w:b/>
                <w:bCs/>
                <w:color w:val="FFFFFF"/>
                <w:sz w:val="20"/>
                <w:szCs w:val="20"/>
              </w:rPr>
              <w:t>Typical Adopters</w:t>
            </w:r>
          </w:p>
        </w:tc>
      </w:tr>
      <w:tr w:rsidR="002066B0" w14:paraId="065C2E1F" w14:textId="77777777">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543FB5E3" w14:textId="77777777" w:rsidR="002066B0" w:rsidRDefault="00000000">
            <w:r>
              <w:rPr>
                <w:sz w:val="20"/>
                <w:szCs w:val="20"/>
              </w:rPr>
              <w:t>Global Sourcing</w:t>
            </w:r>
          </w:p>
        </w:tc>
        <w:tc>
          <w:tcPr>
            <w:tcW w:w="1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B31B183" w14:textId="77777777" w:rsidR="002066B0" w:rsidRDefault="00000000">
            <w:r>
              <w:rPr>
                <w:sz w:val="20"/>
                <w:szCs w:val="20"/>
              </w:rPr>
              <w:t>Source from lowest-cost global supplier</w:t>
            </w:r>
          </w:p>
        </w:tc>
        <w:tc>
          <w:tcPr>
            <w:tcW w:w="17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C73C595" w14:textId="77777777" w:rsidR="002066B0" w:rsidRDefault="00000000">
            <w:r>
              <w:rPr>
                <w:sz w:val="20"/>
                <w:szCs w:val="20"/>
              </w:rPr>
              <w:t>Maximum cost efficiency</w:t>
            </w:r>
          </w:p>
        </w:tc>
        <w:tc>
          <w:tcPr>
            <w:tcW w:w="1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706FBA8B" w14:textId="77777777" w:rsidR="002066B0" w:rsidRDefault="00000000">
            <w:r>
              <w:rPr>
                <w:sz w:val="20"/>
                <w:szCs w:val="20"/>
              </w:rPr>
              <w:t>Geopolitical and logistics disruption</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09546966" w14:textId="77777777" w:rsidR="002066B0" w:rsidRDefault="00000000">
            <w:r>
              <w:rPr>
                <w:sz w:val="20"/>
                <w:szCs w:val="20"/>
              </w:rPr>
              <w:t>Consumer electronics, apparel</w:t>
            </w:r>
          </w:p>
        </w:tc>
      </w:tr>
      <w:tr w:rsidR="002066B0" w14:paraId="3756E8A0" w14:textId="77777777">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9621A5B" w14:textId="77777777" w:rsidR="002066B0" w:rsidRDefault="00000000">
            <w:r>
              <w:rPr>
                <w:sz w:val="20"/>
                <w:szCs w:val="20"/>
              </w:rPr>
              <w:t>Near-Shoring</w:t>
            </w:r>
          </w:p>
        </w:tc>
        <w:tc>
          <w:tcPr>
            <w:tcW w:w="1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399C649" w14:textId="77777777" w:rsidR="002066B0" w:rsidRDefault="00000000">
            <w:r>
              <w:rPr>
                <w:sz w:val="20"/>
                <w:szCs w:val="20"/>
              </w:rPr>
              <w:t>Source from geographically proximate suppliers</w:t>
            </w:r>
          </w:p>
        </w:tc>
        <w:tc>
          <w:tcPr>
            <w:tcW w:w="17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D58C553" w14:textId="77777777" w:rsidR="002066B0" w:rsidRDefault="00000000">
            <w:r>
              <w:rPr>
                <w:sz w:val="20"/>
                <w:szCs w:val="20"/>
              </w:rPr>
              <w:t>Speed, lower logistics risk</w:t>
            </w:r>
          </w:p>
        </w:tc>
        <w:tc>
          <w:tcPr>
            <w:tcW w:w="1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196BCB8" w14:textId="77777777" w:rsidR="002066B0" w:rsidRDefault="00000000">
            <w:r>
              <w:rPr>
                <w:sz w:val="20"/>
                <w:szCs w:val="20"/>
              </w:rPr>
              <w:t>Higher unit costs</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3ED2C831" w14:textId="77777777" w:rsidR="002066B0" w:rsidRDefault="00000000">
            <w:r>
              <w:rPr>
                <w:sz w:val="20"/>
                <w:szCs w:val="20"/>
              </w:rPr>
              <w:t>Automotive, perishables</w:t>
            </w:r>
          </w:p>
        </w:tc>
      </w:tr>
      <w:tr w:rsidR="002066B0" w14:paraId="0E8DA828" w14:textId="77777777">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C272063" w14:textId="77777777" w:rsidR="002066B0" w:rsidRDefault="00000000">
            <w:r>
              <w:rPr>
                <w:sz w:val="20"/>
                <w:szCs w:val="20"/>
              </w:rPr>
              <w:t>Friend-Shoring</w:t>
            </w:r>
          </w:p>
        </w:tc>
        <w:tc>
          <w:tcPr>
            <w:tcW w:w="1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4123CC6" w14:textId="77777777" w:rsidR="002066B0" w:rsidRDefault="00000000">
            <w:r>
              <w:rPr>
                <w:sz w:val="20"/>
                <w:szCs w:val="20"/>
              </w:rPr>
              <w:t>Source only from allied nations</w:t>
            </w:r>
          </w:p>
        </w:tc>
        <w:tc>
          <w:tcPr>
            <w:tcW w:w="17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AB2445B" w14:textId="77777777" w:rsidR="002066B0" w:rsidRDefault="00000000">
            <w:r>
              <w:rPr>
                <w:sz w:val="20"/>
                <w:szCs w:val="20"/>
              </w:rPr>
              <w:t>Geopolitical security</w:t>
            </w:r>
          </w:p>
        </w:tc>
        <w:tc>
          <w:tcPr>
            <w:tcW w:w="1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53F53B63" w14:textId="77777777" w:rsidR="002066B0" w:rsidRDefault="00000000">
            <w:r>
              <w:rPr>
                <w:sz w:val="20"/>
                <w:szCs w:val="20"/>
              </w:rPr>
              <w:t>Reduced competition, cost premium</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01F42720" w14:textId="77777777" w:rsidR="002066B0" w:rsidRDefault="00000000">
            <w:r>
              <w:rPr>
                <w:sz w:val="20"/>
                <w:szCs w:val="20"/>
              </w:rPr>
              <w:t>Defence, semiconductors</w:t>
            </w:r>
          </w:p>
        </w:tc>
      </w:tr>
      <w:tr w:rsidR="002066B0" w14:paraId="42BF2775" w14:textId="77777777">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B78BC7B" w14:textId="77777777" w:rsidR="002066B0" w:rsidRDefault="00000000">
            <w:r>
              <w:rPr>
                <w:sz w:val="20"/>
                <w:szCs w:val="20"/>
              </w:rPr>
              <w:t>Dual Sourcing</w:t>
            </w:r>
          </w:p>
        </w:tc>
        <w:tc>
          <w:tcPr>
            <w:tcW w:w="1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1E3A323" w14:textId="77777777" w:rsidR="002066B0" w:rsidRDefault="00000000">
            <w:r>
              <w:rPr>
                <w:sz w:val="20"/>
                <w:szCs w:val="20"/>
              </w:rPr>
              <w:t>Maintain two qualified suppliers per category</w:t>
            </w:r>
          </w:p>
        </w:tc>
        <w:tc>
          <w:tcPr>
            <w:tcW w:w="17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4F63148" w14:textId="77777777" w:rsidR="002066B0" w:rsidRDefault="00000000">
            <w:r>
              <w:rPr>
                <w:sz w:val="20"/>
                <w:szCs w:val="20"/>
              </w:rPr>
              <w:t>Redundancy and resilience</w:t>
            </w:r>
          </w:p>
        </w:tc>
        <w:tc>
          <w:tcPr>
            <w:tcW w:w="1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53CD8081" w14:textId="77777777" w:rsidR="002066B0" w:rsidRDefault="00000000">
            <w:r>
              <w:rPr>
                <w:sz w:val="20"/>
                <w:szCs w:val="20"/>
              </w:rPr>
              <w:t>Complexity, higher management cost</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0DC7BD8B" w14:textId="77777777" w:rsidR="002066B0" w:rsidRDefault="00000000">
            <w:r>
              <w:rPr>
                <w:sz w:val="20"/>
                <w:szCs w:val="20"/>
              </w:rPr>
              <w:t>Pharmaceuticals, critical components</w:t>
            </w:r>
          </w:p>
        </w:tc>
      </w:tr>
      <w:tr w:rsidR="002066B0" w14:paraId="565ACCF2" w14:textId="77777777">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3A59828E" w14:textId="77777777" w:rsidR="002066B0" w:rsidRDefault="00000000">
            <w:r>
              <w:rPr>
                <w:sz w:val="20"/>
                <w:szCs w:val="20"/>
              </w:rPr>
              <w:t>Strategic Stockpiling</w:t>
            </w:r>
          </w:p>
        </w:tc>
        <w:tc>
          <w:tcPr>
            <w:tcW w:w="1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6F24D44" w14:textId="77777777" w:rsidR="002066B0" w:rsidRDefault="00000000">
            <w:r>
              <w:rPr>
                <w:sz w:val="20"/>
                <w:szCs w:val="20"/>
              </w:rPr>
              <w:t>Maintain buffer inventory of critical items</w:t>
            </w:r>
          </w:p>
        </w:tc>
        <w:tc>
          <w:tcPr>
            <w:tcW w:w="17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88AEEB6" w14:textId="77777777" w:rsidR="002066B0" w:rsidRDefault="00000000">
            <w:r>
              <w:rPr>
                <w:sz w:val="20"/>
                <w:szCs w:val="20"/>
              </w:rPr>
              <w:t>Continuity during disruptions</w:t>
            </w:r>
          </w:p>
        </w:tc>
        <w:tc>
          <w:tcPr>
            <w:tcW w:w="1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34F4A11F" w14:textId="77777777" w:rsidR="002066B0" w:rsidRDefault="00000000">
            <w:r>
              <w:rPr>
                <w:sz w:val="20"/>
                <w:szCs w:val="20"/>
              </w:rPr>
              <w:t>Capital tied up, storage costs</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7D5F668" w14:textId="77777777" w:rsidR="002066B0" w:rsidRDefault="00000000">
            <w:r>
              <w:rPr>
                <w:sz w:val="20"/>
                <w:szCs w:val="20"/>
              </w:rPr>
              <w:t>Governments, healthcare systems</w:t>
            </w:r>
          </w:p>
        </w:tc>
      </w:tr>
      <w:tr w:rsidR="002066B0" w14:paraId="15A28B63" w14:textId="77777777">
        <w:tblPrEx>
          <w:tblCellMar>
            <w:top w:w="0" w:type="dxa"/>
            <w:bottom w:w="0" w:type="dxa"/>
          </w:tblCellMar>
        </w:tblPrEx>
        <w:tc>
          <w:tcPr>
            <w:tcW w:w="17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4753F98" w14:textId="77777777" w:rsidR="002066B0" w:rsidRDefault="00000000">
            <w:r>
              <w:rPr>
                <w:sz w:val="20"/>
                <w:szCs w:val="20"/>
              </w:rPr>
              <w:t>AI-Driven Procurement</w:t>
            </w:r>
          </w:p>
        </w:tc>
        <w:tc>
          <w:tcPr>
            <w:tcW w:w="1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5115A8B2" w14:textId="77777777" w:rsidR="002066B0" w:rsidRDefault="00000000">
            <w:r>
              <w:rPr>
                <w:sz w:val="20"/>
                <w:szCs w:val="20"/>
              </w:rPr>
              <w:t>Use AI to optimize sourcing decisions in real time</w:t>
            </w:r>
          </w:p>
        </w:tc>
        <w:tc>
          <w:tcPr>
            <w:tcW w:w="17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46F5A5E1" w14:textId="77777777" w:rsidR="002066B0" w:rsidRDefault="00000000">
            <w:r>
              <w:rPr>
                <w:sz w:val="20"/>
                <w:szCs w:val="20"/>
              </w:rPr>
              <w:t>Speed, analytical depth, risk foresight</w:t>
            </w:r>
          </w:p>
        </w:tc>
        <w:tc>
          <w:tcPr>
            <w:tcW w:w="1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58E9942F" w14:textId="77777777" w:rsidR="002066B0" w:rsidRDefault="00000000">
            <w:r>
              <w:rPr>
                <w:sz w:val="20"/>
                <w:szCs w:val="20"/>
              </w:rPr>
              <w:t>Data dependency, algorithmic risk</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3E6BB0D" w14:textId="77777777" w:rsidR="002066B0" w:rsidRDefault="00000000">
            <w:r>
              <w:rPr>
                <w:sz w:val="20"/>
                <w:szCs w:val="20"/>
              </w:rPr>
              <w:t>Advanced manufacturers, tech firms</w:t>
            </w:r>
          </w:p>
        </w:tc>
      </w:tr>
    </w:tbl>
    <w:p w14:paraId="17CA0825" w14:textId="77777777" w:rsidR="002066B0" w:rsidRDefault="00000000">
      <w:pPr>
        <w:spacing w:before="80" w:after="200"/>
        <w:jc w:val="center"/>
      </w:pPr>
      <w:r>
        <w:rPr>
          <w:i/>
          <w:iCs/>
          <w:color w:val="555555"/>
          <w:sz w:val="20"/>
          <w:szCs w:val="20"/>
        </w:rPr>
        <w:t>Table 1: Comparative Analysis of Principal Procurement Models (Author's Compilation, 2025)</w:t>
      </w:r>
    </w:p>
    <w:p w14:paraId="3CA7293E" w14:textId="77777777" w:rsidR="002066B0" w:rsidRDefault="00000000">
      <w:r>
        <w:br w:type="page"/>
      </w:r>
    </w:p>
    <w:p w14:paraId="73E5F308" w14:textId="77777777" w:rsidR="002066B0" w:rsidRDefault="00000000">
      <w:pPr>
        <w:pStyle w:val="Heading1"/>
      </w:pPr>
      <w:r>
        <w:lastRenderedPageBreak/>
        <w:t>3. War as a Procurement Disruptor</w:t>
      </w:r>
    </w:p>
    <w:p w14:paraId="57A96CFF" w14:textId="77777777" w:rsidR="002066B0" w:rsidRDefault="00000000">
      <w:pPr>
        <w:spacing w:after="180" w:line="360" w:lineRule="auto"/>
        <w:ind w:firstLine="720"/>
        <w:jc w:val="both"/>
      </w:pPr>
      <w:r>
        <w:t>Armed conflict has always disrupted trade and supply chains. What distinguishes contemporary conflicts from their historical predecessors is the degree of integration of the affected economies into global production networks, the speed with which disruptions propagate across supply chains, and the sophistication of economic warfare tools — including sanctions, export controls, and financial system exclusions — that amplify the commercial impact of military events far beyond the immediate theater of conflict.</w:t>
      </w:r>
    </w:p>
    <w:p w14:paraId="19C74C7A" w14:textId="77777777" w:rsidR="002066B0" w:rsidRDefault="00000000">
      <w:pPr>
        <w:pStyle w:val="Heading2"/>
      </w:pPr>
      <w:r>
        <w:t>3.1 The Russia-Ukraine War: Energy, Grain, and Materials</w:t>
      </w:r>
    </w:p>
    <w:p w14:paraId="0DCDB5FF" w14:textId="77777777" w:rsidR="002066B0" w:rsidRDefault="00000000">
      <w:pPr>
        <w:spacing w:after="180" w:line="360" w:lineRule="auto"/>
        <w:ind w:firstLine="720"/>
        <w:jc w:val="both"/>
      </w:pPr>
      <w:r>
        <w:t>The Russian invasion of Ukraine, launched on February 24, 2022, delivered one of the most severe supply-side shocks to global procurement since the 1973 OPEC oil embargo. Russia and Ukraine collectively accounted for approximately 12 percent of global caloric trade, 30 percent of global wheat exports, 15 percent of global corn exports, 80 percent of global sunflower oil exports, and a significant share of global fertilizer supply. Russia alone supplied roughly 40 percent of the European Union's natural gas prior to the conflict.</w:t>
      </w:r>
    </w:p>
    <w:p w14:paraId="27CBAAAA" w14:textId="77777777" w:rsidR="002066B0" w:rsidRDefault="00000000">
      <w:pPr>
        <w:spacing w:after="180" w:line="360" w:lineRule="auto"/>
        <w:ind w:firstLine="720"/>
        <w:jc w:val="both"/>
      </w:pPr>
      <w:r>
        <w:t>The procurement consequences were immediate and cascading. European energy prices rose by more than 300 percent in the months following the invasion, driving unprecedented increases in production costs across energy-intensive industries including chemicals, metals, glass, ceramics, and fertilizer manufacturing. Food manufacturers faced simultaneous cost pressures from energy, grain, and edible oil prices, compressing margins and forcing fundamental reviews of ingredient sourcing strategies across the sector.</w:t>
      </w:r>
    </w:p>
    <w:p w14:paraId="4B5F09FC" w14:textId="77777777" w:rsidR="002066B0" w:rsidRDefault="00000000">
      <w:pPr>
        <w:spacing w:after="180" w:line="360" w:lineRule="auto"/>
        <w:ind w:firstLine="720"/>
        <w:jc w:val="both"/>
      </w:pPr>
      <w:r>
        <w:t>Ukraine is also a significant supplier of neon gas — a critical input for semiconductor laser production — accounting for approximately 70 percent of global supply before the conflict. The disruption to Ukrainian neon production created localized supply pressures in the semiconductor industry at a moment when chip shortages were already severely constraining automotive and electronics manufacturing globally.</w:t>
      </w:r>
    </w:p>
    <w:p w14:paraId="180ED44D" w14:textId="77777777" w:rsidR="002066B0" w:rsidRDefault="00000000">
      <w:pPr>
        <w:spacing w:after="180" w:line="360" w:lineRule="auto"/>
        <w:ind w:firstLine="720"/>
        <w:jc w:val="both"/>
      </w:pPr>
      <w:r>
        <w:t xml:space="preserve">The procurement responses to Russia-Ukraine disruptions have been instructive. European governments and corporations accelerated investments in liquefied natural gas (LNG) import infrastructure, enabling a rapid diversification of energy supply. Agricultural commodity buyers </w:t>
      </w:r>
      <w:r>
        <w:lastRenderedPageBreak/>
        <w:t>diversified sourcing toward alternative origins in the Americas, Australia, and other Black Sea region producers. The conflict has permanently altered European energy procurement strategy, accelerating timelines for renewable energy investment and domestic production development that would otherwise have taken decades under the efficiency-first paradigm.</w:t>
      </w:r>
    </w:p>
    <w:p w14:paraId="0BF359F4" w14:textId="77777777" w:rsidR="002066B0" w:rsidRDefault="00000000">
      <w:pPr>
        <w:spacing w:after="180" w:line="360" w:lineRule="auto"/>
        <w:ind w:firstLine="720"/>
        <w:jc w:val="both"/>
      </w:pPr>
      <w:r>
        <w:t>The conflict also demonstrated the speed with which financial sanctions can be weaponized as procurement instruments. The exclusion of major Russian banks from the SWIFT financial messaging system, announced in March 2022, effectively made it impossible for many organizations to complete payment transactions with Russian counterparties, regardless of whether their supply relationships were directly covered by trade sanctions. Procurement teams had to rapidly assess and restructure supplier relationships, a process complicated by the opacity of ownership structures, multi-tier supply chain complexity, and the evolving scope of sanctions across jurisdictions.</w:t>
      </w:r>
    </w:p>
    <w:p w14:paraId="11CEA02A" w14:textId="77777777" w:rsidR="002066B0" w:rsidRDefault="00000000">
      <w:pPr>
        <w:pStyle w:val="Heading2"/>
      </w:pPr>
      <w:r>
        <w:t>3.2 The Middle East Conflict and Red Sea Shipping Crisis</w:t>
      </w:r>
    </w:p>
    <w:p w14:paraId="3EE3196A" w14:textId="77777777" w:rsidR="002066B0" w:rsidRDefault="00000000">
      <w:pPr>
        <w:spacing w:after="180" w:line="360" w:lineRule="auto"/>
        <w:ind w:firstLine="720"/>
        <w:jc w:val="both"/>
      </w:pPr>
      <w:r>
        <w:t>The escalation of conflict in the Middle East beginning in late 2023, and the subsequent attacks on commercial shipping in the Red Sea, generated a crisis that demonstrated how a relatively localized military action can produce global procurement disruptions through strategic chokepoint interdiction. The Bab el-Mandeb Strait, connecting the Red Sea to the Gulf of Aden, is one of the world's most critical maritime chokepoints. Under normal conditions, approximately 12 to 15 percent of global trade passes through this corridor, including a substantial share of container shipping between Asia and Europe.</w:t>
      </w:r>
    </w:p>
    <w:p w14:paraId="2952CD27" w14:textId="77777777" w:rsidR="002066B0" w:rsidRDefault="00000000">
      <w:pPr>
        <w:spacing w:after="180" w:line="360" w:lineRule="auto"/>
        <w:ind w:firstLine="720"/>
        <w:jc w:val="both"/>
      </w:pPr>
      <w:r>
        <w:t>Beginning in late 2023, sustained attacks on commercial vessels transiting the Red Sea caused most major shipping lines to divert vessels around the Cape of Good Hope — adding 10 to 14 days and thousands of dollars in additional fuel costs to each voyage. Transit times for goods shipped between Asia and Europe increased by approximately 30 percent. Spot container freight rates on the Asia-to-Europe route increased by more than 200 percent at peak, reversing the dramatic rate declines that had followed post-pandemic normalization of shipping markets.</w:t>
      </w:r>
    </w:p>
    <w:p w14:paraId="68951C3E" w14:textId="77777777" w:rsidR="002066B0" w:rsidRDefault="00000000">
      <w:pPr>
        <w:spacing w:after="180" w:line="360" w:lineRule="auto"/>
        <w:ind w:firstLine="720"/>
        <w:jc w:val="both"/>
      </w:pPr>
      <w:r>
        <w:t xml:space="preserve">The automotive sector was particularly affected, with several European manufacturers temporarily halting production lines due to component shortages caused by extended transit delays. The crisis highlighted the vulnerability of just-in-time manufacturing models to logistics </w:t>
      </w:r>
      <w:r>
        <w:lastRenderedPageBreak/>
        <w:t>disruptions, renewing fundamental debate about optimal inventory levels for critical components across manufacturing industries globally.</w:t>
      </w:r>
    </w:p>
    <w:p w14:paraId="3B6976E0" w14:textId="77777777" w:rsidR="002066B0" w:rsidRDefault="00000000">
      <w:pPr>
        <w:spacing w:after="180" w:line="360" w:lineRule="auto"/>
        <w:ind w:firstLine="720"/>
        <w:jc w:val="both"/>
      </w:pPr>
      <w:r>
        <w:t>From a strategic procurement perspective, the Red Sea crisis accelerated interest in multimodal freight solutions — combining sea, rail, and road transport to reduce dependence on any single maritime route. It also renewed attention to air freight as a resilience option for high-value, time-critical components, despite its significantly higher cost and carbon footprint. Several major procurement organizations responded by developing formal maritime route contingency plans for the first time.</w:t>
      </w:r>
    </w:p>
    <w:p w14:paraId="58024EFB" w14:textId="77777777" w:rsidR="002066B0" w:rsidRDefault="00000000">
      <w:pPr>
        <w:pStyle w:val="Heading2"/>
      </w:pPr>
      <w:r>
        <w:t>3.3 Sanctions, Export Controls, and Technology Blockades</w:t>
      </w:r>
    </w:p>
    <w:p w14:paraId="6B9CEAB1" w14:textId="77777777" w:rsidR="002066B0" w:rsidRDefault="00000000">
      <w:pPr>
        <w:spacing w:after="180" w:line="360" w:lineRule="auto"/>
        <w:ind w:firstLine="720"/>
        <w:jc w:val="both"/>
      </w:pPr>
      <w:r>
        <w:t>The weaponization of trade policy through sanctions and export controls has emerged as a defining feature of early twenty-first century geopolitics, with profound implications for procurement strategy. The United States, European Union, United Kingdom, and their allies have deployed increasingly sophisticated economic warfare tools that restrict the procurement of specific technologies, limit access to financial systems, and impose due diligence obligations on organizations operating in global supply chains.</w:t>
      </w:r>
    </w:p>
    <w:p w14:paraId="7DE47DA3" w14:textId="77777777" w:rsidR="002066B0" w:rsidRDefault="00000000">
      <w:pPr>
        <w:spacing w:after="180" w:line="360" w:lineRule="auto"/>
        <w:ind w:firstLine="720"/>
        <w:jc w:val="both"/>
      </w:pPr>
      <w:r>
        <w:t>The semiconductor sector has been the most dramatically affected by technology export controls. Restrictions on the export of advanced semiconductor manufacturing equipment and chip design software — significantly tightened across multiple regulatory interventions since 2018 — have forced a fundamental restructuring of procurement strategies across the global electronics supply chain. Organizations that had built procurement strategies around specific manufacturing geographies have been required to identify and qualify alternative supply sources, a process that can take years and requires substantial investment in supplier development and qualification.</w:t>
      </w:r>
    </w:p>
    <w:p w14:paraId="41B4C170" w14:textId="77777777" w:rsidR="002066B0" w:rsidRDefault="00000000">
      <w:pPr>
        <w:spacing w:after="180" w:line="360" w:lineRule="auto"/>
        <w:ind w:firstLine="720"/>
        <w:jc w:val="both"/>
      </w:pPr>
      <w:r>
        <w:t>For procurement professionals, the sanctions and export control environment has introduced new compliance obligations that sit at the intersection of law, ethics, and operations. Supply chain due diligence — once focused primarily on quality, cost, and delivery performance — must now encompass legal compliance screening, country-of-origin verification, technology classification, and end-use monitoring. The cost and complexity of this expanded compliance agenda is substantial, particularly for organizations with large, geographically diverse supply bases operating across multiple regulatory jurisdictions.</w:t>
      </w:r>
    </w:p>
    <w:p w14:paraId="4E6DBCD4" w14:textId="77777777" w:rsidR="002066B0" w:rsidRDefault="00000000">
      <w:pPr>
        <w:pStyle w:val="Heading2"/>
      </w:pPr>
      <w:r>
        <w:lastRenderedPageBreak/>
        <w:t>3.4 Defence Procurement in an Age of Rearming Nations</w:t>
      </w:r>
    </w:p>
    <w:p w14:paraId="62F1F45E" w14:textId="77777777" w:rsidR="002066B0" w:rsidRDefault="00000000">
      <w:pPr>
        <w:spacing w:after="180" w:line="360" w:lineRule="auto"/>
        <w:ind w:firstLine="720"/>
        <w:jc w:val="both"/>
      </w:pPr>
      <w:r>
        <w:t>The return of major power competition and the demonstration of conventional military force in Europe have triggered a global wave of defence spending increases with profound implications for defence procurement systems. NATO members have recommitted to alliance spending targets, and several nations have announced plans to substantially exceed historical benchmarks. Nations across Asia, the Middle East, and beyond are similarly accelerating defence modernization programs, creating extraordinary demand pressures on global defence industrial capacity.</w:t>
      </w:r>
    </w:p>
    <w:p w14:paraId="7738B4CE" w14:textId="77777777" w:rsidR="002066B0" w:rsidRDefault="00000000">
      <w:pPr>
        <w:spacing w:after="180" w:line="360" w:lineRule="auto"/>
        <w:ind w:firstLine="720"/>
        <w:jc w:val="both"/>
      </w:pPr>
      <w:r>
        <w:t>Defence procurement presents unique challenges that distinguish it from commercial procurement. The need for security of supply — ensuring that critical military capabilities cannot be denied through adversarial action against supply chains — creates requirements for domestic manufacturing capacity, dual-use technology management, and supplier vetting that have no direct commercial analog. The long procurement cycles of major defence programs, often spanning decades from requirement definition to full operational capability, create challenges for managing technological obsolescence and supplier base evolution in a rapidly changing threat environment.</w:t>
      </w:r>
    </w:p>
    <w:p w14:paraId="557D29F0" w14:textId="77777777" w:rsidR="002066B0" w:rsidRDefault="00000000">
      <w:pPr>
        <w:spacing w:after="180" w:line="360" w:lineRule="auto"/>
        <w:ind w:firstLine="720"/>
        <w:jc w:val="both"/>
      </w:pPr>
      <w:r>
        <w:t>The current rearmament wave has exposed significant weaknesses in defence industrial base capacity across many nations. Decades of efficiency-driven procurement, combined with post-Cold War reductions in defence spending, eroded manufacturing capacity, specialized skills, and supplier ecosystems. Reconstituting this capacity rapidly enough to meet accelerated rearmament timelines is one of the most significant procurement challenges currently facing defence ministries globally, driving urgent policy attention to defence industrial base development and procurement reform.</w:t>
      </w:r>
    </w:p>
    <w:p w14:paraId="3DBEB3A1" w14:textId="77777777" w:rsidR="002066B0" w:rsidRDefault="002066B0">
      <w:pPr>
        <w:spacing w:after="160"/>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2300"/>
        <w:gridCol w:w="2300"/>
        <w:gridCol w:w="2560"/>
      </w:tblGrid>
      <w:tr w:rsidR="002066B0" w14:paraId="0791408F" w14:textId="77777777">
        <w:tblPrEx>
          <w:tblCellMar>
            <w:top w:w="0" w:type="dxa"/>
            <w:bottom w:w="0" w:type="dxa"/>
          </w:tblCellMar>
        </w:tblPrEx>
        <w:trPr>
          <w:tblHeader/>
        </w:trPr>
        <w:tc>
          <w:tcPr>
            <w:tcW w:w="21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57FE005A" w14:textId="77777777" w:rsidR="002066B0" w:rsidRDefault="00000000">
            <w:pPr>
              <w:jc w:val="center"/>
            </w:pPr>
            <w:r>
              <w:rPr>
                <w:b/>
                <w:bCs/>
                <w:color w:val="FFFFFF"/>
                <w:sz w:val="20"/>
                <w:szCs w:val="20"/>
              </w:rPr>
              <w:t>Conflict / Event</w:t>
            </w:r>
          </w:p>
        </w:tc>
        <w:tc>
          <w:tcPr>
            <w:tcW w:w="23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466066DE" w14:textId="77777777" w:rsidR="002066B0" w:rsidRDefault="00000000">
            <w:pPr>
              <w:jc w:val="center"/>
            </w:pPr>
            <w:r>
              <w:rPr>
                <w:b/>
                <w:bCs/>
                <w:color w:val="FFFFFF"/>
                <w:sz w:val="20"/>
                <w:szCs w:val="20"/>
              </w:rPr>
              <w:t>Key Commodities Affected</w:t>
            </w:r>
          </w:p>
        </w:tc>
        <w:tc>
          <w:tcPr>
            <w:tcW w:w="23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7B573B3F" w14:textId="77777777" w:rsidR="002066B0" w:rsidRDefault="00000000">
            <w:pPr>
              <w:jc w:val="center"/>
            </w:pPr>
            <w:r>
              <w:rPr>
                <w:b/>
                <w:bCs/>
                <w:color w:val="FFFFFF"/>
                <w:sz w:val="20"/>
                <w:szCs w:val="20"/>
              </w:rPr>
              <w:t>Estimated Price Impact</w:t>
            </w:r>
          </w:p>
        </w:tc>
        <w:tc>
          <w:tcPr>
            <w:tcW w:w="256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5C88CF9A" w14:textId="77777777" w:rsidR="002066B0" w:rsidRDefault="00000000">
            <w:pPr>
              <w:jc w:val="center"/>
            </w:pPr>
            <w:r>
              <w:rPr>
                <w:b/>
                <w:bCs/>
                <w:color w:val="FFFFFF"/>
                <w:sz w:val="20"/>
                <w:szCs w:val="20"/>
              </w:rPr>
              <w:t>Primary Procurement Response</w:t>
            </w:r>
          </w:p>
        </w:tc>
      </w:tr>
      <w:tr w:rsidR="002066B0" w14:paraId="2DC7BB6B" w14:textId="77777777">
        <w:tblPrEx>
          <w:tblCellMar>
            <w:top w:w="0" w:type="dxa"/>
            <w:bottom w:w="0" w:type="dxa"/>
          </w:tblCellMar>
        </w:tblPrEx>
        <w:tc>
          <w:tcPr>
            <w:tcW w:w="21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A6659DB" w14:textId="77777777" w:rsidR="002066B0" w:rsidRDefault="00000000">
            <w:r>
              <w:rPr>
                <w:sz w:val="20"/>
                <w:szCs w:val="20"/>
              </w:rPr>
              <w:t>Russia-Ukraine War (2022)</w:t>
            </w:r>
          </w:p>
        </w:tc>
        <w:tc>
          <w:tcPr>
            <w:tcW w:w="23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73921154" w14:textId="77777777" w:rsidR="002066B0" w:rsidRDefault="00000000">
            <w:r>
              <w:rPr>
                <w:sz w:val="20"/>
                <w:szCs w:val="20"/>
              </w:rPr>
              <w:t>Natural gas, wheat, sunflower oil, neon, fertilizer</w:t>
            </w:r>
          </w:p>
        </w:tc>
        <w:tc>
          <w:tcPr>
            <w:tcW w:w="23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45AFBD80" w14:textId="77777777" w:rsidR="002066B0" w:rsidRDefault="00000000">
            <w:r>
              <w:rPr>
                <w:sz w:val="20"/>
                <w:szCs w:val="20"/>
              </w:rPr>
              <w:t>Gas +300%, Wheat +60%, Sunflower oil +90%</w:t>
            </w:r>
          </w:p>
        </w:tc>
        <w:tc>
          <w:tcPr>
            <w:tcW w:w="25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0205A641" w14:textId="77777777" w:rsidR="002066B0" w:rsidRDefault="00000000">
            <w:r>
              <w:rPr>
                <w:sz w:val="20"/>
                <w:szCs w:val="20"/>
              </w:rPr>
              <w:t>Energy diversification, agricultural source diversification</w:t>
            </w:r>
          </w:p>
        </w:tc>
      </w:tr>
      <w:tr w:rsidR="002066B0" w14:paraId="41302122" w14:textId="77777777">
        <w:tblPrEx>
          <w:tblCellMar>
            <w:top w:w="0" w:type="dxa"/>
            <w:bottom w:w="0" w:type="dxa"/>
          </w:tblCellMar>
        </w:tblPrEx>
        <w:tc>
          <w:tcPr>
            <w:tcW w:w="21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26DCD5D" w14:textId="77777777" w:rsidR="002066B0" w:rsidRDefault="00000000">
            <w:r>
              <w:rPr>
                <w:sz w:val="20"/>
                <w:szCs w:val="20"/>
              </w:rPr>
              <w:t>Red Sea / Attacks (2023-24)</w:t>
            </w:r>
          </w:p>
        </w:tc>
        <w:tc>
          <w:tcPr>
            <w:tcW w:w="23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96C634B" w14:textId="77777777" w:rsidR="002066B0" w:rsidRDefault="00000000">
            <w:r>
              <w:rPr>
                <w:sz w:val="20"/>
                <w:szCs w:val="20"/>
              </w:rPr>
              <w:t>Container shipping, consumer goods, automotive components</w:t>
            </w:r>
          </w:p>
        </w:tc>
        <w:tc>
          <w:tcPr>
            <w:tcW w:w="23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3E2A0D69" w14:textId="77777777" w:rsidR="002066B0" w:rsidRDefault="00000000">
            <w:r>
              <w:rPr>
                <w:sz w:val="20"/>
                <w:szCs w:val="20"/>
              </w:rPr>
              <w:t>Asia-Europe freight rates +200%+ at peak</w:t>
            </w:r>
          </w:p>
        </w:tc>
        <w:tc>
          <w:tcPr>
            <w:tcW w:w="25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E5154D3" w14:textId="77777777" w:rsidR="002066B0" w:rsidRDefault="00000000">
            <w:r>
              <w:rPr>
                <w:sz w:val="20"/>
                <w:szCs w:val="20"/>
              </w:rPr>
              <w:t>Cape of Good Hope re-routing, inventory increases, multimodal freight</w:t>
            </w:r>
          </w:p>
        </w:tc>
      </w:tr>
      <w:tr w:rsidR="002066B0" w14:paraId="37BEBE8E" w14:textId="77777777">
        <w:tblPrEx>
          <w:tblCellMar>
            <w:top w:w="0" w:type="dxa"/>
            <w:bottom w:w="0" w:type="dxa"/>
          </w:tblCellMar>
        </w:tblPrEx>
        <w:tc>
          <w:tcPr>
            <w:tcW w:w="21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E73E034" w14:textId="77777777" w:rsidR="002066B0" w:rsidRDefault="00000000">
            <w:r>
              <w:rPr>
                <w:sz w:val="20"/>
                <w:szCs w:val="20"/>
              </w:rPr>
              <w:lastRenderedPageBreak/>
              <w:t>US-China Trade Tensions (2018-)</w:t>
            </w:r>
          </w:p>
        </w:tc>
        <w:tc>
          <w:tcPr>
            <w:tcW w:w="23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E6D1656" w14:textId="77777777" w:rsidR="002066B0" w:rsidRDefault="00000000">
            <w:r>
              <w:rPr>
                <w:sz w:val="20"/>
                <w:szCs w:val="20"/>
              </w:rPr>
              <w:t>Electronics, semiconductors, agricultural products</w:t>
            </w:r>
          </w:p>
        </w:tc>
        <w:tc>
          <w:tcPr>
            <w:tcW w:w="23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9FECD5D" w14:textId="77777777" w:rsidR="002066B0" w:rsidRDefault="00000000">
            <w:r>
              <w:rPr>
                <w:sz w:val="20"/>
                <w:szCs w:val="20"/>
              </w:rPr>
              <w:t>Effective tariff rates +15-25% on covered goods</w:t>
            </w:r>
          </w:p>
        </w:tc>
        <w:tc>
          <w:tcPr>
            <w:tcW w:w="25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F1946D1" w14:textId="77777777" w:rsidR="002066B0" w:rsidRDefault="00000000">
            <w:r>
              <w:rPr>
                <w:sz w:val="20"/>
                <w:szCs w:val="20"/>
              </w:rPr>
              <w:t>Supply chain diversification, China Plus One strategies</w:t>
            </w:r>
          </w:p>
        </w:tc>
      </w:tr>
      <w:tr w:rsidR="002066B0" w14:paraId="22584143" w14:textId="77777777">
        <w:tblPrEx>
          <w:tblCellMar>
            <w:top w:w="0" w:type="dxa"/>
            <w:bottom w:w="0" w:type="dxa"/>
          </w:tblCellMar>
        </w:tblPrEx>
        <w:tc>
          <w:tcPr>
            <w:tcW w:w="21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BA12687" w14:textId="77777777" w:rsidR="002066B0" w:rsidRDefault="00000000">
            <w:r>
              <w:rPr>
                <w:sz w:val="20"/>
                <w:szCs w:val="20"/>
              </w:rPr>
              <w:t>COVID-19 Pandemic (2020-22)</w:t>
            </w:r>
          </w:p>
        </w:tc>
        <w:tc>
          <w:tcPr>
            <w:tcW w:w="23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04FD3D2" w14:textId="77777777" w:rsidR="002066B0" w:rsidRDefault="00000000">
            <w:r>
              <w:rPr>
                <w:sz w:val="20"/>
                <w:szCs w:val="20"/>
              </w:rPr>
              <w:t>Semiconductors, PPE, pharmaceuticals, shipping capacity</w:t>
            </w:r>
          </w:p>
        </w:tc>
        <w:tc>
          <w:tcPr>
            <w:tcW w:w="23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17E03C4" w14:textId="77777777" w:rsidR="002066B0" w:rsidRDefault="00000000">
            <w:r>
              <w:rPr>
                <w:sz w:val="20"/>
                <w:szCs w:val="20"/>
              </w:rPr>
              <w:t>Chip prices +200%, PPE +10x in some categories</w:t>
            </w:r>
          </w:p>
        </w:tc>
        <w:tc>
          <w:tcPr>
            <w:tcW w:w="25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0A63664D" w14:textId="77777777" w:rsidR="002066B0" w:rsidRDefault="00000000">
            <w:r>
              <w:rPr>
                <w:sz w:val="20"/>
                <w:szCs w:val="20"/>
              </w:rPr>
              <w:t>Near-shoring, strategic stockpiling, dual sourcing</w:t>
            </w:r>
          </w:p>
        </w:tc>
      </w:tr>
    </w:tbl>
    <w:p w14:paraId="2ECC5E0A" w14:textId="77777777" w:rsidR="002066B0" w:rsidRDefault="00000000">
      <w:pPr>
        <w:spacing w:before="80" w:after="200"/>
        <w:jc w:val="center"/>
      </w:pPr>
      <w:r>
        <w:rPr>
          <w:i/>
          <w:iCs/>
          <w:color w:val="555555"/>
          <w:sz w:val="20"/>
          <w:szCs w:val="20"/>
        </w:rPr>
        <w:t>Table 2: Major Conflict-Driven Procurement Disruptions and Responses, 2018-2025 (Author's Compilation)</w:t>
      </w:r>
    </w:p>
    <w:p w14:paraId="71407009" w14:textId="77777777" w:rsidR="002066B0" w:rsidRDefault="00000000">
      <w:r>
        <w:br w:type="page"/>
      </w:r>
    </w:p>
    <w:p w14:paraId="5016F145" w14:textId="77777777" w:rsidR="002066B0" w:rsidRDefault="00000000">
      <w:pPr>
        <w:pStyle w:val="Heading1"/>
      </w:pPr>
      <w:r>
        <w:lastRenderedPageBreak/>
        <w:t>4. Geographic and Climate Forces</w:t>
      </w:r>
    </w:p>
    <w:p w14:paraId="1B32C267" w14:textId="77777777" w:rsidR="002066B0" w:rsidRDefault="00000000">
      <w:pPr>
        <w:pStyle w:val="Heading2"/>
      </w:pPr>
      <w:r>
        <w:t>4.1 Climate Change as a Procurement Risk Variable</w:t>
      </w:r>
    </w:p>
    <w:p w14:paraId="0558B733" w14:textId="77777777" w:rsidR="002066B0" w:rsidRDefault="00000000">
      <w:pPr>
        <w:spacing w:after="180" w:line="360" w:lineRule="auto"/>
        <w:ind w:firstLine="720"/>
        <w:jc w:val="both"/>
      </w:pPr>
      <w:r>
        <w:t>Climate change represents a slow-moving but structurally transformative procurement risk that intersects with virtually every category of goods and services. Unlike geopolitical disruptions, which can be sudden and acute, climate risks are often chronic and cumulative — gradually altering the availability, reliability, and cost of agricultural commodities, energy, water, and physical infrastructure in ways that compound over time and defy simple mitigation strategies.</w:t>
      </w:r>
    </w:p>
    <w:p w14:paraId="3778C179" w14:textId="77777777" w:rsidR="002066B0" w:rsidRDefault="00000000">
      <w:pPr>
        <w:spacing w:after="180" w:line="360" w:lineRule="auto"/>
        <w:ind w:firstLine="720"/>
        <w:jc w:val="both"/>
      </w:pPr>
      <w:r>
        <w:t>Agricultural procurement is the category most immediately exposed to climate risk. Changing precipitation patterns, increasing frequency of extreme weather events, rising temperatures, and the spread of crop diseases are already affecting yields for key commodity crops in major producing regions. The 2022 European drought — described by climate scientists as the most severe in five centuries — significantly reduced crop yields across the continent. Flooding across parts of South Asia in the same year destroyed substantial cotton crop production, disrupting global textile supply chains from farm to retailer.</w:t>
      </w:r>
    </w:p>
    <w:p w14:paraId="2EA2FD4C" w14:textId="77777777" w:rsidR="002066B0" w:rsidRDefault="00000000">
      <w:pPr>
        <w:spacing w:after="180" w:line="360" w:lineRule="auto"/>
        <w:ind w:firstLine="720"/>
        <w:jc w:val="both"/>
      </w:pPr>
      <w:r>
        <w:t>For procurement professionals, climate risk assessment is rapidly becoming a standard component of supplier evaluation and category management. Organizations in the food and beverage, apparel, and agricultural chemical sectors are developing climate scenario analysis capabilities, mapping the exposure of key sourcing regions to specific physical climate risks, and using this analysis to inform sourcing diversification, contract terms, and supplier development investments across multi-year planning horizons.</w:t>
      </w:r>
    </w:p>
    <w:p w14:paraId="3DDC2B3F" w14:textId="77777777" w:rsidR="002066B0" w:rsidRDefault="00000000">
      <w:pPr>
        <w:spacing w:after="180" w:line="360" w:lineRule="auto"/>
        <w:ind w:firstLine="720"/>
        <w:jc w:val="both"/>
      </w:pPr>
      <w:r>
        <w:t>The transition to a lower-carbon economy creates a further layer of procurement complexity. Carbon pricing mechanisms — including the European Union's Carbon Border Adjustment Mechanism (CBAM), which began phased implementation in 2023 — impose new cost structures on imported goods based on their embodied carbon content. This creates incentives for procurement teams to assess and manage the carbon footprint of their supply chains, and will progressively advantage lower-carbon suppliers over higher-carbon alternatives even where unit prices might favor the latter.</w:t>
      </w:r>
    </w:p>
    <w:p w14:paraId="4273D32C" w14:textId="77777777" w:rsidR="002066B0" w:rsidRDefault="00000000">
      <w:pPr>
        <w:pStyle w:val="Heading2"/>
      </w:pPr>
      <w:r>
        <w:t>4.2 Rare Earth Geography and Resource Nationalism</w:t>
      </w:r>
    </w:p>
    <w:p w14:paraId="70791D2B" w14:textId="77777777" w:rsidR="002066B0" w:rsidRDefault="00000000">
      <w:pPr>
        <w:spacing w:after="180" w:line="360" w:lineRule="auto"/>
        <w:ind w:firstLine="720"/>
        <w:jc w:val="both"/>
      </w:pPr>
      <w:r>
        <w:lastRenderedPageBreak/>
        <w:t>The geography of critical mineral deposits is one of the most profound structural constraints on global procurement strategy, and its importance is growing as the clean energy transition and digitalization drive demand for a widening range of specialized materials. Rare earth elements, lithium, cobalt, nickel, manganese, and copper are essential inputs for electric vehicle batteries, wind turbines, solar panels, advanced electronics, and defence systems. Their geographic distribution is highly concentrated, often located in regions with complex political dynamics.</w:t>
      </w:r>
    </w:p>
    <w:p w14:paraId="7160E0D2" w14:textId="77777777" w:rsidR="002066B0" w:rsidRDefault="00000000">
      <w:pPr>
        <w:spacing w:after="180" w:line="360" w:lineRule="auto"/>
        <w:ind w:firstLine="720"/>
        <w:jc w:val="both"/>
      </w:pPr>
      <w:r>
        <w:t>The global rare earth mining sector is dominated by a small number of producing nations. The Democratic Republic of Congo produces approximately 70 percent of the world's cobalt. Two or three nations account for the majority of global lithium production. One nation holds the largest known nickel reserves. This geographic concentration creates structural dependencies that leave procurement strategies vulnerable to unilateral supply restrictions or policy changes in producing nations.</w:t>
      </w:r>
    </w:p>
    <w:p w14:paraId="2C9DCF34" w14:textId="77777777" w:rsidR="002066B0" w:rsidRDefault="00000000">
      <w:pPr>
        <w:spacing w:after="180" w:line="360" w:lineRule="auto"/>
        <w:ind w:firstLine="720"/>
        <w:jc w:val="both"/>
      </w:pPr>
      <w:r>
        <w:t>Resource nationalism — the tendency of resource-rich governments to assert greater control over the exploitation and export of their natural resources through export restrictions, state ownership requirements, or taxation — has intensified across multiple critical mineral producing regions. Several major mineral-producing nations have imposed export controls on specific materials, signaling a broader willingness to use mineral supply as a geopolitical leverage tool in ways that fundamentally alter procurement risk assessments.</w:t>
      </w:r>
    </w:p>
    <w:p w14:paraId="3D22BB8F" w14:textId="77777777" w:rsidR="002066B0" w:rsidRDefault="00000000">
      <w:pPr>
        <w:spacing w:after="180" w:line="360" w:lineRule="auto"/>
        <w:ind w:firstLine="720"/>
        <w:jc w:val="both"/>
      </w:pPr>
      <w:r>
        <w:t>In response, governments and corporations across advanced and developing economies alike have launched initiatives to diversify critical mineral supply chains, develop domestic processing capacity, invest in recycling and circular economy approaches, and accelerate research into materials substitution. Policy frameworks across multiple major economies reflect the elevation of critical mineral procurement from a commercial matter to a national security priority requiring active state engagement alongside private sector action.</w:t>
      </w:r>
    </w:p>
    <w:p w14:paraId="7882233B" w14:textId="77777777" w:rsidR="002066B0" w:rsidRDefault="00000000">
      <w:pPr>
        <w:pStyle w:val="Heading2"/>
      </w:pPr>
      <w:r>
        <w:t>4.3 Port Chokepoints, Landlocked Nations, and Logistics Gaps</w:t>
      </w:r>
    </w:p>
    <w:p w14:paraId="338E76CF" w14:textId="77777777" w:rsidR="002066B0" w:rsidRDefault="00000000">
      <w:pPr>
        <w:spacing w:after="180" w:line="360" w:lineRule="auto"/>
        <w:ind w:firstLine="720"/>
        <w:jc w:val="both"/>
      </w:pPr>
      <w:r>
        <w:t xml:space="preserve">The physical geography of global trade routes creates structural vulnerabilities that have been repeatedly exposed by both natural and man-made disruptions. The global maritime trade system depends critically on a small number of chokepoints — narrow straits and canals through which a disproportionate share of world trade must pass. The Strait of Malacca, the Strait of </w:t>
      </w:r>
      <w:r>
        <w:lastRenderedPageBreak/>
        <w:t>Hormuz, the Suez Canal, the Panama Canal, the Bab el-Mandeb Strait, the Turkish Straits, and the Taiwan Strait each carry flows of commerce whose disruption would produce cascading global consequences.</w:t>
      </w:r>
    </w:p>
    <w:p w14:paraId="7B70BE15" w14:textId="77777777" w:rsidR="002066B0" w:rsidRDefault="00000000">
      <w:pPr>
        <w:spacing w:after="180" w:line="360" w:lineRule="auto"/>
        <w:ind w:firstLine="720"/>
        <w:jc w:val="both"/>
      </w:pPr>
      <w:r>
        <w:t>The Panama Canal experienced unprecedented operational restrictions in late 2023 and early 2024 due to an extreme drought that reduced water levels in Gatun Lake, which feeds the canal's locks. Daily transits were reduced by approximately one-third, creating significant backlogs and rerouting costs for shipping companies and, ultimately, for the procurement organizations dependent on trans-Pacific and trans-Atlantic trade routes. The episode illustrated the intersection of climate risk with infrastructure vulnerability in a manner that carries significant implications for long-term procurement strategy.</w:t>
      </w:r>
    </w:p>
    <w:p w14:paraId="2F39387F" w14:textId="77777777" w:rsidR="002066B0" w:rsidRDefault="00000000">
      <w:pPr>
        <w:spacing w:after="180" w:line="360" w:lineRule="auto"/>
        <w:ind w:firstLine="720"/>
        <w:jc w:val="both"/>
      </w:pPr>
      <w:r>
        <w:t>Landlocked nations face structural procurement disadvantages that are qualitatively different from those of coastal economies. Without direct maritime access, landlocked countries in Central Asia, sub-Saharan Africa, and Latin America face higher logistics costs, longer transit times, and greater exposure to transit country political risk. For procurement professionals sourcing from or operating in these regions, understanding the specific transit route constraints and alternative logistics corridors is an essential competency that requires sustained investment in regional knowledge and relationship networks.</w:t>
      </w:r>
    </w:p>
    <w:p w14:paraId="41392632" w14:textId="77777777" w:rsidR="002066B0" w:rsidRDefault="00000000">
      <w:r>
        <w:br w:type="page"/>
      </w:r>
    </w:p>
    <w:p w14:paraId="487B1FA2" w14:textId="77777777" w:rsidR="002066B0" w:rsidRDefault="00000000">
      <w:pPr>
        <w:pStyle w:val="Heading1"/>
      </w:pPr>
      <w:r>
        <w:lastRenderedPageBreak/>
        <w:t>5. Technological Transformation of Procurement</w:t>
      </w:r>
    </w:p>
    <w:p w14:paraId="36797107" w14:textId="77777777" w:rsidR="002066B0" w:rsidRDefault="00000000">
      <w:pPr>
        <w:spacing w:after="180" w:line="360" w:lineRule="auto"/>
        <w:ind w:firstLine="720"/>
        <w:jc w:val="both"/>
      </w:pPr>
      <w:r>
        <w:t>Technology is simultaneously the most powerful tool available to procurement professionals navigating the disruptions described in preceding sections and itself a source of new vulnerabilities and strategic complexity. The digitalization of procurement functions, the application of artificial intelligence and machine learning to sourcing decisions, the use of blockchain for supply chain transparency, and the automation of procurement processes are collectively transforming what procurement professionals do and how they create value for their organizations.</w:t>
      </w:r>
    </w:p>
    <w:p w14:paraId="6BF1F7F3" w14:textId="77777777" w:rsidR="002066B0" w:rsidRDefault="00000000">
      <w:pPr>
        <w:pStyle w:val="Heading2"/>
      </w:pPr>
      <w:r>
        <w:t>5.1 Artificial Intelligence and Predictive Sourcing</w:t>
      </w:r>
    </w:p>
    <w:p w14:paraId="3CC22063" w14:textId="77777777" w:rsidR="002066B0" w:rsidRDefault="00000000">
      <w:pPr>
        <w:spacing w:after="180" w:line="360" w:lineRule="auto"/>
        <w:ind w:firstLine="720"/>
        <w:jc w:val="both"/>
      </w:pPr>
      <w:r>
        <w:t>Artificial intelligence is being applied across the procurement value chain in ways that are creating genuine competitive advantage for early-adopter organizations. In spend analysis, machine learning algorithms can automatically classify and analyze expenditure data across thousands of categories and suppliers, identifying savings opportunities, compliance gaps, and risk exposures that would be invisible to manual review. Leading procurement AI platforms can process millions of transaction records and generate actionable insights in minutes rather than the weeks required by traditional analytical approaches.</w:t>
      </w:r>
    </w:p>
    <w:p w14:paraId="7E613A39" w14:textId="77777777" w:rsidR="002066B0" w:rsidRDefault="00000000">
      <w:pPr>
        <w:spacing w:after="180" w:line="360" w:lineRule="auto"/>
        <w:ind w:firstLine="720"/>
        <w:jc w:val="both"/>
      </w:pPr>
      <w:r>
        <w:t>Predictive analytics is perhaps the most strategically significant AI application in procurement. By synthesizing data from multiple sources — including supplier financial health indicators, commodity price forecasts, geopolitical risk indices, weather models, and logistics network performance data — AI systems can anticipate supply disruptions before they materialize and recommend preemptive sourcing actions. Organizations using predictive procurement analytics have demonstrated the ability to reduce the cost and severity of supply disruptions significantly compared to reactive approaches.</w:t>
      </w:r>
    </w:p>
    <w:p w14:paraId="730388C0" w14:textId="77777777" w:rsidR="002066B0" w:rsidRDefault="00000000">
      <w:pPr>
        <w:spacing w:after="180" w:line="360" w:lineRule="auto"/>
        <w:ind w:firstLine="720"/>
        <w:jc w:val="both"/>
      </w:pPr>
      <w:r>
        <w:t xml:space="preserve">Natural language processing capabilities are enabling automated contract review and risk identification, dramatically reducing the time required to analyze large volumes of supplier contracts for problematic clauses, missing protections, and compliance obligations. Generative AI applications are being piloted for supplier negotiation support, category strategy development, and tender documentation generation. While the application of AI to procurement is still maturing, and significant challenges remain around data quality, model explainability, and integration with </w:t>
      </w:r>
      <w:r>
        <w:lastRenderedPageBreak/>
        <w:t>legacy systems, the trajectory of adoption is clearly toward deeper AI integration across all aspects of the procurement function.</w:t>
      </w:r>
    </w:p>
    <w:p w14:paraId="69A22B41" w14:textId="77777777" w:rsidR="002066B0" w:rsidRDefault="00000000">
      <w:pPr>
        <w:pStyle w:val="Heading2"/>
      </w:pPr>
      <w:r>
        <w:t>5.2 Blockchain for Supply Chain Transparency</w:t>
      </w:r>
    </w:p>
    <w:p w14:paraId="0D62400C" w14:textId="77777777" w:rsidR="002066B0" w:rsidRDefault="00000000">
      <w:pPr>
        <w:spacing w:after="180" w:line="360" w:lineRule="auto"/>
        <w:ind w:firstLine="720"/>
        <w:jc w:val="both"/>
      </w:pPr>
      <w:r>
        <w:t>Blockchain technology — distributed ledger systems that create immutable, transparent records of transactions — has attracted substantial interest as a tool for enhancing supply chain visibility and verifying the provenance, authenticity, and ethical credentials of goods. In industries where supply chain integrity is critical — including food safety, pharmaceuticals, luxury goods, and conflict minerals — blockchain-based traceability systems are being deployed to create tamper-resistant records of each step in the production and distribution process.</w:t>
      </w:r>
    </w:p>
    <w:p w14:paraId="0D3FC143" w14:textId="77777777" w:rsidR="002066B0" w:rsidRDefault="00000000">
      <w:pPr>
        <w:spacing w:after="180" w:line="360" w:lineRule="auto"/>
        <w:ind w:firstLine="720"/>
        <w:jc w:val="both"/>
      </w:pPr>
      <w:r>
        <w:t>Several significant real-world implementations have demonstrated both the potential and the practical challenges of blockchain-based supply chain traceability. Food industry blockchain implementations have demonstrated the ability to reduce the time required to trace the origin of a food product from days to seconds — a capability with significant implications for food safety management and recall response. Applications in the pharmaceutical industry have focused on combating the global counterfeit medicine market, which the World Health Organization estimates causes hundreds of thousands of deaths annually.</w:t>
      </w:r>
    </w:p>
    <w:p w14:paraId="61E5E3F5" w14:textId="77777777" w:rsidR="002066B0" w:rsidRDefault="00000000">
      <w:pPr>
        <w:spacing w:after="180" w:line="360" w:lineRule="auto"/>
        <w:ind w:firstLine="720"/>
        <w:jc w:val="both"/>
      </w:pPr>
      <w:r>
        <w:t>The principal challenges limiting broader blockchain adoption in supply chains include the need for widespread adoption across multiple tiers of suppliers, the difficulty of linking physical goods to digital records (the oracle problem), the significant investment required to implement blockchain-compatible data capture at supplier facilities, and the governance complexity of multi-party blockchain networks. Despite these challenges, blockchain-based supply chain transparency tools are increasingly being adopted in industries where provenance verification and regulatory compliance drive strong business cases.</w:t>
      </w:r>
    </w:p>
    <w:p w14:paraId="4B6705D2" w14:textId="77777777" w:rsidR="002066B0" w:rsidRDefault="00000000">
      <w:pPr>
        <w:pStyle w:val="Heading2"/>
      </w:pPr>
      <w:r>
        <w:t>5.3 Digital Procurement Platforms and E-Tendering</w:t>
      </w:r>
    </w:p>
    <w:p w14:paraId="4A571EA2" w14:textId="77777777" w:rsidR="002066B0" w:rsidRDefault="00000000">
      <w:pPr>
        <w:spacing w:after="180" w:line="360" w:lineRule="auto"/>
        <w:ind w:firstLine="720"/>
        <w:jc w:val="both"/>
      </w:pPr>
      <w:r>
        <w:t xml:space="preserve">The digitalization of public procurement through government-run e-procurement platforms represents one of the most significant institutional innovations in procurement in the twenty-first century. E-procurement platforms that centralize government purchasing, enable transparent competitive tendering, automate compliance verification, and make spending data publicly </w:t>
      </w:r>
      <w:r>
        <w:lastRenderedPageBreak/>
        <w:t>available have demonstrated substantial benefits in terms of cost savings, corruption reduction, and supplier market access across multiple national contexts.</w:t>
      </w:r>
    </w:p>
    <w:p w14:paraId="0B3F026C" w14:textId="77777777" w:rsidR="002066B0" w:rsidRDefault="00000000">
      <w:pPr>
        <w:spacing w:after="180" w:line="360" w:lineRule="auto"/>
        <w:ind w:firstLine="720"/>
        <w:jc w:val="both"/>
      </w:pPr>
      <w:r>
        <w:t>Several national e-procurement implementations are widely regarded as global benchmarks. The Korean e-procurement system, KONEPS, established in 2002, handles the vast majority of Korean government procurement, processing hundreds of billions of dollars in annual spending with high transparency and efficiency. The World Bank has identified it as a model for developing country governments seeking to modernize public procurement systems. Several other Asian economies have developed similarly sophisticated digital procurement platforms that are attracting international attention and study.</w:t>
      </w:r>
    </w:p>
    <w:p w14:paraId="0B4CAD59" w14:textId="77777777" w:rsidR="002066B0" w:rsidRDefault="00000000">
      <w:pPr>
        <w:spacing w:after="180" w:line="360" w:lineRule="auto"/>
        <w:ind w:firstLine="720"/>
        <w:jc w:val="both"/>
      </w:pPr>
      <w:r>
        <w:t>Across Asia, Africa, and Latin America, governments are investing in digital public procurement platforms as instruments of governance reform, economic development, and fiscal efficiency. The expansion of digital payment systems, mobile connectivity, and cloud computing infrastructure is enabling the deployment of sophisticated e-procurement tools in contexts where they would have been impractical even a decade ago, creating the foundation for a genuine global convergence in procurement modernization.</w:t>
      </w:r>
    </w:p>
    <w:p w14:paraId="17A2E715" w14:textId="77777777" w:rsidR="002066B0" w:rsidRDefault="00000000">
      <w:pPr>
        <w:pStyle w:val="Heading2"/>
      </w:pPr>
      <w:r>
        <w:t>5.4 Automation, Robotics, and the Future of Manufacturing Supply</w:t>
      </w:r>
    </w:p>
    <w:p w14:paraId="5F87C97F" w14:textId="77777777" w:rsidR="002066B0" w:rsidRDefault="00000000">
      <w:pPr>
        <w:spacing w:after="180" w:line="360" w:lineRule="auto"/>
        <w:ind w:firstLine="720"/>
        <w:jc w:val="both"/>
      </w:pPr>
      <w:r>
        <w:t>The automation of manufacturing processes through robotics, advanced manufacturing technologies, and digital production systems is reshaping the economic geography of production in ways that have profound implications for procurement strategy. As the labor cost advantage that drove the concentration of manufacturing in low-wage economies is progressively eroded by automation, the calculus of global sourcing decisions is fundamentally shifting in ways that will continue to play out over the coming decades.</w:t>
      </w:r>
    </w:p>
    <w:p w14:paraId="774A082A" w14:textId="77777777" w:rsidR="002066B0" w:rsidRDefault="00000000">
      <w:pPr>
        <w:spacing w:after="180" w:line="360" w:lineRule="auto"/>
        <w:ind w:firstLine="720"/>
        <w:jc w:val="both"/>
      </w:pPr>
      <w:r>
        <w:t xml:space="preserve">Highly automated manufacturing facilities can achieve competitive cost positions in higher-wage economies, reducing the transportation and supply chain risk premiums associated with distant, low-cost sourcing. For procurement professionals, the automation transition creates both opportunities and risks. Near-shored, automated suppliers may offer better quality, faster response times, and lower supply chain risk, even where unit prices are not the absolute lowest available globally. Conversely, suppliers in labor-intensive geographies that fail to invest in </w:t>
      </w:r>
      <w:r>
        <w:lastRenderedPageBreak/>
        <w:t>automation may face progressive competitiveness erosion and financial instability, creating supplier risk that procurement teams must actively monitor and manage.</w:t>
      </w:r>
    </w:p>
    <w:p w14:paraId="6E283D33" w14:textId="77777777" w:rsidR="002066B0" w:rsidRDefault="00000000">
      <w:r>
        <w:br w:type="page"/>
      </w:r>
    </w:p>
    <w:p w14:paraId="18C0B6CE" w14:textId="77777777" w:rsidR="002066B0" w:rsidRDefault="00000000">
      <w:pPr>
        <w:pStyle w:val="Heading1"/>
      </w:pPr>
      <w:r>
        <w:lastRenderedPageBreak/>
        <w:t>6. Social, Demographic, and Ethical Forces</w:t>
      </w:r>
    </w:p>
    <w:p w14:paraId="3431B841" w14:textId="77777777" w:rsidR="002066B0" w:rsidRDefault="00000000">
      <w:pPr>
        <w:pStyle w:val="Heading2"/>
      </w:pPr>
      <w:r>
        <w:t>6.1 ESG and the Rise of Ethical Procurement</w:t>
      </w:r>
    </w:p>
    <w:p w14:paraId="72767106" w14:textId="77777777" w:rsidR="002066B0" w:rsidRDefault="00000000">
      <w:pPr>
        <w:spacing w:after="180" w:line="360" w:lineRule="auto"/>
        <w:ind w:firstLine="720"/>
        <w:jc w:val="both"/>
      </w:pPr>
      <w:r>
        <w:t>Environmental, Social, and Governance (ESG) considerations have moved from the periphery to the center of procurement strategy over the past decade, driven by investor pressure, regulatory requirements, consumer expectations, and a growing recognition among corporate leaders that supply chain ethics are both a moral imperative and a material business risk. The social dimension of ESG — encompassing labor rights, worker safety, community impact, and human rights — is particularly acute in procurement, where the decisions of buying organizations cascade across entire supplier ecosystems with consequences for millions of workers globally.</w:t>
      </w:r>
    </w:p>
    <w:p w14:paraId="44DAE419" w14:textId="77777777" w:rsidR="002066B0" w:rsidRDefault="00000000">
      <w:pPr>
        <w:spacing w:after="180" w:line="360" w:lineRule="auto"/>
        <w:ind w:firstLine="720"/>
        <w:jc w:val="both"/>
      </w:pPr>
      <w:r>
        <w:t>A growing body of regulation is mandating supply chain due diligence on human rights and environmental standards. Germany's Supply Chain Due Diligence Act, which came into force in January 2023, requires large companies to identify, prevent, and mitigate human rights and environmental risks across their supply chains, including at supplier and sub-supplier levels. The EU Corporate Sustainability Due Diligence Directive, adopted in 2024, extends similar requirements across the European Union. In the United States, legislation targeting forced labor in specific supply chain geographies creates rebuttable presumptions that impose significant compliance obligations on importers.</w:t>
      </w:r>
    </w:p>
    <w:p w14:paraId="1C6D62BC" w14:textId="77777777" w:rsidR="002066B0" w:rsidRDefault="00000000">
      <w:pPr>
        <w:spacing w:after="180" w:line="360" w:lineRule="auto"/>
        <w:ind w:firstLine="720"/>
        <w:jc w:val="both"/>
      </w:pPr>
      <w:r>
        <w:t>For procurement professionals, the operationalization of ESG commitments requires capabilities and tools that go far beyond traditional procurement competencies. Supplier auditing, code of conduct implementation, responsible sourcing certifications, supply chain mapping to multiple tiers, and stakeholder grievance mechanisms are increasingly standard elements of sophisticated procurement programs. Organizations are increasingly using technology solutions — including AI-powered supplier risk monitoring and blockchain-based traceability — to scale their ESG compliance efforts in ways that manual processes cannot achieve.</w:t>
      </w:r>
    </w:p>
    <w:p w14:paraId="2B717CFF" w14:textId="77777777" w:rsidR="002066B0" w:rsidRDefault="00000000">
      <w:pPr>
        <w:pStyle w:val="Heading2"/>
      </w:pPr>
      <w:r>
        <w:t>6.2 Labour Rights, Modern Slavery, and Supply Chain Auditing</w:t>
      </w:r>
    </w:p>
    <w:p w14:paraId="3BD50D0B" w14:textId="77777777" w:rsidR="002066B0" w:rsidRDefault="00000000">
      <w:pPr>
        <w:spacing w:after="180" w:line="360" w:lineRule="auto"/>
        <w:ind w:firstLine="720"/>
        <w:jc w:val="both"/>
      </w:pPr>
      <w:r>
        <w:t xml:space="preserve">Modern slavery — encompassing forced labor, debt bondage, trafficking, and other forms of severe labor exploitation — is estimated by the International Labour Organization to affect approximately 40 million people globally, with a significant share concentrated in the </w:t>
      </w:r>
      <w:r>
        <w:lastRenderedPageBreak/>
        <w:t>manufacturing, agriculture, fishing, and domestic work sectors that supply global value chains. The reputational, legal, and human cost of complicity in modern slavery is driving major buying organizations to invest in supply chain auditing programs designed to identify and eliminate forced labor from their supply bases.</w:t>
      </w:r>
    </w:p>
    <w:p w14:paraId="776220A1" w14:textId="77777777" w:rsidR="002066B0" w:rsidRDefault="00000000">
      <w:pPr>
        <w:spacing w:after="180" w:line="360" w:lineRule="auto"/>
        <w:ind w:firstLine="720"/>
        <w:jc w:val="both"/>
      </w:pPr>
      <w:r>
        <w:t>Supply chain auditing has itself become a significant industry, with specialized third-party firms offering services from basic compliance checks to deep-dive labor practice assessments. However, the limitations of traditional audit-based approaches are increasingly well documented. Point-in-time audits can be circumvented by sophisticated suppliers, fail to capture dynamics between audit visits, and often cannot reach beyond first-tier suppliers to where the most serious abuses typically occur. Innovative approaches — including worker voice platforms enabling direct, confidential reporting by workers to buying organizations, satellite monitoring of agricultural labor conditions, and statistical supply chain mapping tools — are being developed to address these limitations.</w:t>
      </w:r>
    </w:p>
    <w:p w14:paraId="0A8AC531" w14:textId="77777777" w:rsidR="002066B0" w:rsidRDefault="00000000">
      <w:pPr>
        <w:pStyle w:val="Heading2"/>
      </w:pPr>
      <w:r>
        <w:t>6.3 Demographic Shifts and the Labour Supply Chain</w:t>
      </w:r>
    </w:p>
    <w:p w14:paraId="08BB904B" w14:textId="77777777" w:rsidR="002066B0" w:rsidRDefault="00000000">
      <w:pPr>
        <w:spacing w:after="180" w:line="360" w:lineRule="auto"/>
        <w:ind w:firstLine="720"/>
        <w:jc w:val="both"/>
      </w:pPr>
      <w:r>
        <w:t>Demographic change represents a slow-moving but powerful force reshaping the labor inputs to global supply chains. In advanced economies, aging populations and declining birth rates are creating structural labor shortages in sectors from logistics and manufacturing to agriculture and healthcare. In developing economies, large youth populations are entering labor markets faster than formal sector employment can absorb them, creating both opportunities for labor-intensive manufacturing investment and risks of social instability if economic aspirations are frustrated by inadequate opportunity.</w:t>
      </w:r>
    </w:p>
    <w:p w14:paraId="1E9B3629" w14:textId="77777777" w:rsidR="002066B0" w:rsidRDefault="00000000">
      <w:pPr>
        <w:spacing w:after="180" w:line="360" w:lineRule="auto"/>
        <w:ind w:firstLine="720"/>
        <w:jc w:val="both"/>
      </w:pPr>
      <w:r>
        <w:t>The intersection of demographic change and automation is particularly significant for procurement strategy. In economies where labor shortages are driving wage inflation, automation investment is accelerating, with implications for cost structures and the geographic organization of production. Migration patterns, themselves influenced by climate change, economic opportunity, and conflict, are reshaping labor availability in specific geographies and sectors. Agricultural supply chains in particular are heavily dependent on migrant labor in many producing regions, creating vulnerabilities to changes in immigration policy, cross-border mobility restrictions, and the social and political dynamics of host communities.</w:t>
      </w:r>
    </w:p>
    <w:p w14:paraId="43797D1D" w14:textId="77777777" w:rsidR="002066B0" w:rsidRDefault="00000000">
      <w:r>
        <w:lastRenderedPageBreak/>
        <w:br w:type="page"/>
      </w:r>
    </w:p>
    <w:p w14:paraId="26C1A08C" w14:textId="77777777" w:rsidR="002066B0" w:rsidRDefault="00000000">
      <w:pPr>
        <w:pStyle w:val="Heading1"/>
      </w:pPr>
      <w:r>
        <w:lastRenderedPageBreak/>
        <w:t>7. Emerging Markets as Procurement Innovators</w:t>
      </w:r>
    </w:p>
    <w:p w14:paraId="6D38DA9F" w14:textId="77777777" w:rsidR="002066B0" w:rsidRDefault="00000000">
      <w:pPr>
        <w:spacing w:after="180" w:line="360" w:lineRule="auto"/>
        <w:ind w:firstLine="720"/>
        <w:jc w:val="both"/>
      </w:pPr>
      <w:r>
        <w:t>While the disruptions described in preceding sections have often been framed through the lens of their impact on established supply chain architectures designed by and for advanced economies, emerging markets are not merely passive recipients of global procurement trends. They are increasingly active innovators, developing novel procurement solutions, institutional frameworks, and business models that are attracting global attention and, in some cases, exporting best practices to more advanced economies in a genuine reversal of the traditional direction of knowledge transfer.</w:t>
      </w:r>
    </w:p>
    <w:p w14:paraId="3927F5B5" w14:textId="77777777" w:rsidR="002066B0" w:rsidRDefault="00000000">
      <w:pPr>
        <w:pStyle w:val="Heading2"/>
      </w:pPr>
      <w:r>
        <w:t>7.1 Africa: The Next Sourcing Frontier</w:t>
      </w:r>
    </w:p>
    <w:p w14:paraId="4D09E29E" w14:textId="77777777" w:rsidR="002066B0" w:rsidRDefault="00000000">
      <w:pPr>
        <w:spacing w:after="180" w:line="360" w:lineRule="auto"/>
        <w:ind w:firstLine="720"/>
        <w:jc w:val="both"/>
      </w:pPr>
      <w:r>
        <w:t>Sub-Saharan Africa is increasingly recognized as one of the most significant emerging sourcing destinations of the coming decades. The continent possesses abundant reserves of critical minerals essential for the clean energy transition, including cobalt, lithium, manganese, platinum group metals, and copper. It has the world's youngest and fastest-growing population, providing a demographic dividend that could support labor-intensive manufacturing for decades. The African Continental Free Trade Area (AfCFTA), which entered into force in 2021, is progressively creating the framework for a continental market of 1.4 billion people with significant potential for intra-African supply chain development.</w:t>
      </w:r>
    </w:p>
    <w:p w14:paraId="0F479447" w14:textId="77777777" w:rsidR="002066B0" w:rsidRDefault="00000000">
      <w:pPr>
        <w:spacing w:after="180" w:line="360" w:lineRule="auto"/>
        <w:ind w:firstLine="720"/>
        <w:jc w:val="both"/>
      </w:pPr>
      <w:r>
        <w:t>Several African nations are actively working to move up the value chain in critical minerals, seeking to develop processing and manufacturing capacity rather than simply exporting raw materials. This shift — from commodity exporter to value-added manufacturer — has the potential to significantly increase the economic returns from Africa's resource wealth and create the industrial base for more diversified and resilient economic development across the continent.</w:t>
      </w:r>
    </w:p>
    <w:p w14:paraId="48102935" w14:textId="77777777" w:rsidR="002066B0" w:rsidRDefault="00000000">
      <w:pPr>
        <w:spacing w:after="180" w:line="360" w:lineRule="auto"/>
        <w:ind w:firstLine="720"/>
        <w:jc w:val="both"/>
      </w:pPr>
      <w:r>
        <w:t>For global procurement professionals, Africa represents both an opportunity and a set of distinctive challenges. Infrastructure gaps — particularly in transport, power, and digital connectivity — increase logistics costs and supply chain risk in many markets. Regulatory environments vary significantly across the continent's 55 nations. Political risk requires careful assessment. However, organizations with the patience and local market knowledge to navigate these challenges are finding significant opportunities for cost-competitive sourcing in sectors including apparel, processed foods, chemicals, and components manufacturing.</w:t>
      </w:r>
    </w:p>
    <w:p w14:paraId="2F099FAF" w14:textId="77777777" w:rsidR="002066B0" w:rsidRDefault="00000000">
      <w:pPr>
        <w:pStyle w:val="Heading2"/>
      </w:pPr>
      <w:r>
        <w:lastRenderedPageBreak/>
        <w:t>7.2 Southeast Asia and the China Plus One Phenomenon</w:t>
      </w:r>
    </w:p>
    <w:p w14:paraId="1F3FD6B7" w14:textId="77777777" w:rsidR="002066B0" w:rsidRDefault="00000000">
      <w:pPr>
        <w:spacing w:after="180" w:line="360" w:lineRule="auto"/>
        <w:ind w:firstLine="720"/>
        <w:jc w:val="both"/>
      </w:pPr>
      <w:r>
        <w:t>The China Plus One strategy — whereby multinational corporations maintain their Chinese manufacturing operations while simultaneously developing at least one alternative manufacturing base in another country — has been one of the defining procurement trends of the past decade. Driven initially by rising manufacturing costs in China, and accelerated by trade tensions and pandemic-era supply chain concentration risks, the strategy has channeled significant manufacturing investment into Vietnam, Cambodia, Bangladesh, Indonesia, Thailand, Malaysia, and the Philippines.</w:t>
      </w:r>
    </w:p>
    <w:p w14:paraId="6F1CF1A9" w14:textId="77777777" w:rsidR="002066B0" w:rsidRDefault="00000000">
      <w:pPr>
        <w:spacing w:after="180" w:line="360" w:lineRule="auto"/>
        <w:ind w:firstLine="720"/>
        <w:jc w:val="both"/>
      </w:pPr>
      <w:r>
        <w:t>Vietnam has been among the most successful beneficiaries of this trend. The country's combination of competitive labor costs, improving infrastructure, a relatively stable business environment, active pursuit of bilateral and multilateral trade agreements, and geographic proximity to Chinese component supply chains has made it an attractive manufacturing base for electronics, apparel, footwear, and furniture. Vietnam's export growth trajectory over the past decade illustrates how well-positioned emerging economies can leverage global supply chain restructuring to accelerate development.</w:t>
      </w:r>
    </w:p>
    <w:p w14:paraId="446FCFAA" w14:textId="77777777" w:rsidR="002066B0" w:rsidRDefault="00000000">
      <w:pPr>
        <w:spacing w:after="180" w:line="360" w:lineRule="auto"/>
        <w:ind w:firstLine="720"/>
        <w:jc w:val="both"/>
      </w:pPr>
      <w:r>
        <w:t>However, the China Plus One phenomenon has created its own concentration risks. If too many organizations relocate manufacturing to the same alternative destinations simultaneously, the result may simply be to shift geographic concentration rather than genuinely diversify it. The capacity constraints, infrastructure limitations, and supply chain ecosystem gaps of smaller Southeast Asian economies mean that they cannot fully absorb the manufacturing volumes currently located in China, particularly in sophisticated, capital-intensive sectors requiring deep supplier ecosystems.</w:t>
      </w:r>
    </w:p>
    <w:p w14:paraId="107E7C8F" w14:textId="77777777" w:rsidR="002066B0" w:rsidRDefault="00000000">
      <w:pPr>
        <w:pStyle w:val="Heading2"/>
      </w:pPr>
      <w:r>
        <w:t>7.3 South Asian Economies and Digital Public Procurement</w:t>
      </w:r>
    </w:p>
    <w:p w14:paraId="5F7D3E95" w14:textId="77777777" w:rsidR="002066B0" w:rsidRDefault="00000000">
      <w:pPr>
        <w:spacing w:after="180" w:line="360" w:lineRule="auto"/>
        <w:ind w:firstLine="720"/>
        <w:jc w:val="both"/>
      </w:pPr>
      <w:r>
        <w:t>Several South Asian economies have made significant advances in the digitalization of public procurement, developing platforms and institutional frameworks that are attracting international recognition. Digital public procurement systems offer the potential to increase transparency, reduce corruption, lower transaction costs, and expand access to public contracts for small and medium enterprises — objectives with broad developmental significance across the region and beyond.</w:t>
      </w:r>
    </w:p>
    <w:p w14:paraId="62D6C2A7" w14:textId="77777777" w:rsidR="002066B0" w:rsidRDefault="00000000">
      <w:pPr>
        <w:spacing w:after="180" w:line="360" w:lineRule="auto"/>
        <w:ind w:firstLine="720"/>
        <w:jc w:val="both"/>
      </w:pPr>
      <w:r>
        <w:lastRenderedPageBreak/>
        <w:t>The development of centralized, technology-enabled government procurement portals across multiple South Asian nations has demonstrated that significant efficiency gains are achievable through digitalization, even in complex institutional environments. Key features of successful implementations include centralized vendor registration, standardized tender documentation, electronic bid submission and evaluation, automated compliance checking, and public disclosure of award decisions and contract values. These features collectively increase market efficiency, reduce procurement cycle times, and create audit trails that support accountability and public trust in government spending.</w:t>
      </w:r>
    </w:p>
    <w:p w14:paraId="63F6696A" w14:textId="77777777" w:rsidR="002066B0" w:rsidRDefault="00000000">
      <w:pPr>
        <w:spacing w:after="180" w:line="360" w:lineRule="auto"/>
        <w:ind w:firstLine="720"/>
        <w:jc w:val="both"/>
      </w:pPr>
      <w:r>
        <w:t>The experience of South Asian digital procurement innovation has broader relevance for developing country governments globally. The lessons learned — regarding change management, interoperability with existing financial systems, capacity building for both procuring entities and suppliers, and the governance of digital platforms — represent a body of practical knowledge increasingly shared through international development networks and south-south cooperation frameworks, demonstrating the bidirectional nature of procurement knowledge flows in the contemporary era.</w:t>
      </w:r>
    </w:p>
    <w:p w14:paraId="7F370529" w14:textId="77777777" w:rsidR="002066B0" w:rsidRDefault="00000000">
      <w:r>
        <w:br w:type="page"/>
      </w:r>
    </w:p>
    <w:p w14:paraId="7CCDE72F" w14:textId="77777777" w:rsidR="002066B0" w:rsidRDefault="00000000">
      <w:pPr>
        <w:pStyle w:val="Heading1"/>
      </w:pPr>
      <w:r>
        <w:lastRenderedPageBreak/>
        <w:t>8. The New Procurement Paradigm: Resilience over Efficiency</w:t>
      </w:r>
    </w:p>
    <w:p w14:paraId="022AE87E" w14:textId="77777777" w:rsidR="002066B0" w:rsidRDefault="00000000">
      <w:pPr>
        <w:spacing w:after="180" w:line="360" w:lineRule="auto"/>
        <w:ind w:firstLine="720"/>
        <w:jc w:val="both"/>
      </w:pPr>
      <w:r>
        <w:t>The cumulative evidence of the disruptions surveyed in this paper makes a compelling case that the efficiency-first procurement paradigm is insufficient for the risk environment of the twenty-first century. This section examines the emerging alternative paradigm and the specific strategies through which organizations are building resilience into their procurement architectures. It is important to note that the shift toward resilience does not imply the abandonment of efficiency. Rather, it represents a more sophisticated optimization — one that accounts for the full cost of supply chain risk, including the potentially catastrophic costs of major disruption events, and seeks to achieve the best achievable balance between cost efficiency and supply security.</w:t>
      </w:r>
    </w:p>
    <w:p w14:paraId="4325EB56" w14:textId="77777777" w:rsidR="002066B0" w:rsidRDefault="00000000">
      <w:pPr>
        <w:pStyle w:val="Heading2"/>
      </w:pPr>
      <w:r>
        <w:t>8.1 Strategic Stockpiling and Buffer Inventory</w:t>
      </w:r>
    </w:p>
    <w:p w14:paraId="20C2199D" w14:textId="77777777" w:rsidR="002066B0" w:rsidRDefault="00000000">
      <w:pPr>
        <w:spacing w:after="180" w:line="360" w:lineRule="auto"/>
        <w:ind w:firstLine="720"/>
        <w:jc w:val="both"/>
      </w:pPr>
      <w:r>
        <w:t>The concept of strategic stockpiling — maintaining reserves of critical materials beyond immediate operational needs — has re-emerged as a central element of procurement strategy for both governments and corporations. The COVID-19 pandemic demonstrated the catastrophic consequences of inadequate medical supply stockpiles, prompting governments across the world to establish or significantly expand national strategic reserves of personal protective equipment, pharmaceutical ingredients, medical devices, and vaccines. The experience fundamentally reset organizational thinking about the value of buffer inventory.</w:t>
      </w:r>
    </w:p>
    <w:p w14:paraId="515D5E92" w14:textId="77777777" w:rsidR="002066B0" w:rsidRDefault="00000000">
      <w:pPr>
        <w:spacing w:after="180" w:line="360" w:lineRule="auto"/>
        <w:ind w:firstLine="720"/>
        <w:jc w:val="both"/>
      </w:pPr>
      <w:r>
        <w:t>For corporations, the optimal level of buffer inventory involves a trade-off between the carrying cost of inventory — capital tied up, storage space, obsolescence risk — and the expected cost of disruption events whose probability and severity are themselves uncertain. Advances in supply chain analytics are enabling more sophisticated approaches to this trade-off, using probabilistic modeling of disruption scenarios to derive optimal safety stock levels for specific categories and supplier relationships in ways that replace intuition with rigorous quantitative analysis.</w:t>
      </w:r>
    </w:p>
    <w:p w14:paraId="0601EC45" w14:textId="77777777" w:rsidR="002066B0" w:rsidRDefault="00000000">
      <w:pPr>
        <w:spacing w:after="180" w:line="360" w:lineRule="auto"/>
        <w:ind w:firstLine="720"/>
        <w:jc w:val="both"/>
      </w:pPr>
      <w:r>
        <w:t xml:space="preserve">The pharmaceutical industry has been among the most active in rebuilding strategic inventory positions following the COVID-19 experience. Many pharmaceutical manufacturers and distributors have committed to maintaining significantly higher safety stocks of active pharmaceutical ingredients, finished dosage forms, and critical packaging materials. Regulatory </w:t>
      </w:r>
      <w:r>
        <w:lastRenderedPageBreak/>
        <w:t>requirements in some jurisdictions are formalizing these commitments, mandating minimum inventory levels for essential medicines as a matter of public health security.</w:t>
      </w:r>
    </w:p>
    <w:p w14:paraId="12D1D5C1" w14:textId="77777777" w:rsidR="002066B0" w:rsidRDefault="00000000">
      <w:pPr>
        <w:pStyle w:val="Heading2"/>
      </w:pPr>
      <w:r>
        <w:t>8.2 Dual and Multi-Sourcing Strategies</w:t>
      </w:r>
    </w:p>
    <w:p w14:paraId="170219EB" w14:textId="77777777" w:rsidR="002066B0" w:rsidRDefault="00000000">
      <w:pPr>
        <w:spacing w:after="180" w:line="360" w:lineRule="auto"/>
        <w:ind w:firstLine="720"/>
        <w:jc w:val="both"/>
      </w:pPr>
      <w:r>
        <w:t>Dual sourcing — the deliberate maintenance of at least two qualified suppliers for each critical category — is one of the most widely adopted and effective resilience strategies. By ensuring that a disruption affecting one supplier does not eliminate all supply of a critical input, dual sourcing provides a practical mechanism for continuity assurance that does not require the carrying of large inventory buffers. The implementation of dual sourcing involves real costs: the qualification of an additional supplier, the typically higher unit price paid when volume is split, and the management overhead of maintaining two supplier relationships rather than one.</w:t>
      </w:r>
    </w:p>
    <w:p w14:paraId="46A906D1" w14:textId="77777777" w:rsidR="002066B0" w:rsidRDefault="00000000">
      <w:pPr>
        <w:spacing w:after="180" w:line="360" w:lineRule="auto"/>
        <w:ind w:firstLine="720"/>
        <w:jc w:val="both"/>
      </w:pPr>
      <w:r>
        <w:t>Multi-sourcing — maintaining three or more suppliers per category — provides even greater resilience at commensurately higher cost and complexity. It is most appropriate for categories where supply risk is exceptionally high, where the consequences of supply failure are catastrophic, or where there is significant geographic or geopolitical concentration risk across a dual-source strategy. The semiconductor industry, where geographic concentration of advanced chip manufacturing creates systemic risk, has prompted significant investment in multi-sourcing strategies by major electronics and automotive manufacturers worldwide.</w:t>
      </w:r>
    </w:p>
    <w:p w14:paraId="5D774D7A" w14:textId="77777777" w:rsidR="002066B0" w:rsidRDefault="00000000">
      <w:pPr>
        <w:pStyle w:val="Heading2"/>
      </w:pPr>
      <w:r>
        <w:t>8.3 Near-Shoring, Friend-Shoring, and Domestic Capacity</w:t>
      </w:r>
    </w:p>
    <w:p w14:paraId="44E41B16" w14:textId="77777777" w:rsidR="002066B0" w:rsidRDefault="00000000">
      <w:pPr>
        <w:spacing w:after="180" w:line="360" w:lineRule="auto"/>
        <w:ind w:firstLine="720"/>
        <w:jc w:val="both"/>
      </w:pPr>
      <w:r>
        <w:t>The geographic restructuring of supply chains through near-shoring and friend-shoring represents perhaps the most structurally significant procurement trend of the current decade. Near-shoring involves relocating manufacturing or sourcing to geographically proximate suppliers, reducing logistics lead times and exposure to long-distance supply chain disruptions. Friend-shoring involves preferencing suppliers located in politically allied nations, reducing geopolitical risk at the cost of potentially higher unit prices and a narrower competitive field.</w:t>
      </w:r>
    </w:p>
    <w:p w14:paraId="7DEFE5B1" w14:textId="77777777" w:rsidR="002066B0" w:rsidRDefault="00000000">
      <w:pPr>
        <w:spacing w:after="180" w:line="360" w:lineRule="auto"/>
        <w:ind w:firstLine="720"/>
        <w:jc w:val="both"/>
      </w:pPr>
      <w:r>
        <w:t xml:space="preserve">In North America, near-shoring trends are driving manufacturing investment into Mexico, which offers competitive labor costs, proximity to the US market, and preferential access under regional trade agreements. The automotive, electronics assembly, and medical device sectors are all showing significant near-shoring dynamics, with supply chain restructuring investments that </w:t>
      </w:r>
      <w:r>
        <w:lastRenderedPageBreak/>
        <w:t>will define the geography of North American manufacturing for a generation. In Europe, near-shoring is driving investment into Eastern and Southern European nations as well as North African countries, reflecting similar logic applied to the European market context.</w:t>
      </w:r>
    </w:p>
    <w:p w14:paraId="774BBB2C" w14:textId="77777777" w:rsidR="002066B0" w:rsidRDefault="00000000">
      <w:pPr>
        <w:spacing w:after="180" w:line="360" w:lineRule="auto"/>
        <w:ind w:firstLine="720"/>
        <w:jc w:val="both"/>
      </w:pPr>
      <w:r>
        <w:t>The costs of near-shoring and friend-shoring are real and should not be understated. Manufacturing in geographically proximate or politically allied locations typically commands a significant price premium over the lowest-cost globally available option. Estimates of the cost of near-shoring in key industries typically range from 10 to 25 percent higher unit costs, though this range varies widely by sector and specific geography. The economic rationale for accepting this premium rests on the value of supply security, reduced logistics costs, shorter response times, and the expected benefit of avoiding costly disruption events whose frequency and severity have demonstrably increased.</w:t>
      </w:r>
    </w:p>
    <w:p w14:paraId="2F587B33" w14:textId="77777777" w:rsidR="002066B0" w:rsidRDefault="00000000">
      <w:r>
        <w:br w:type="page"/>
      </w:r>
    </w:p>
    <w:p w14:paraId="707B22E0" w14:textId="77777777" w:rsidR="002066B0" w:rsidRDefault="00000000">
      <w:pPr>
        <w:pStyle w:val="Heading1"/>
      </w:pPr>
      <w:r>
        <w:lastRenderedPageBreak/>
        <w:t>9. Future Directions and Recommendations</w:t>
      </w:r>
    </w:p>
    <w:p w14:paraId="3EF5D2ED" w14:textId="77777777" w:rsidR="002066B0" w:rsidRDefault="00000000">
      <w:pPr>
        <w:spacing w:after="180" w:line="360" w:lineRule="auto"/>
        <w:ind w:firstLine="720"/>
        <w:jc w:val="both"/>
      </w:pPr>
      <w:r>
        <w:t>The analysis presented in this paper points toward a set of forward-looking recommendations for procurement professionals, corporate leaders, policymakers, and researchers. These recommendations are organized around four themes: strategic capability development, architectural resilience, regulatory alignment, and research priorities.</w:t>
      </w:r>
    </w:p>
    <w:p w14:paraId="77A9A922" w14:textId="77777777" w:rsidR="002066B0" w:rsidRDefault="00000000">
      <w:pPr>
        <w:pStyle w:val="Heading2"/>
      </w:pPr>
      <w:r>
        <w:t>9.1 For Procurement Professionals and Corporate Leaders</w:t>
      </w:r>
    </w:p>
    <w:p w14:paraId="42CA71CA" w14:textId="77777777" w:rsidR="002066B0" w:rsidRDefault="00000000">
      <w:pPr>
        <w:pStyle w:val="ListParagraph"/>
        <w:numPr>
          <w:ilvl w:val="0"/>
          <w:numId w:val="2"/>
        </w:numPr>
        <w:spacing w:before="40" w:after="60" w:line="320" w:lineRule="auto"/>
      </w:pPr>
      <w:r>
        <w:t>Develop formal supply chain risk management frameworks that explicitly assess geopolitical, climate, social, and technological risks across all tiers of the supply base, not merely at first-tier supplier level. Risk assessment should be dynamic and continuously updated rather than periodic and static.</w:t>
      </w:r>
    </w:p>
    <w:p w14:paraId="6B7C36B6" w14:textId="77777777" w:rsidR="002066B0" w:rsidRDefault="00000000">
      <w:pPr>
        <w:pStyle w:val="ListParagraph"/>
        <w:numPr>
          <w:ilvl w:val="0"/>
          <w:numId w:val="2"/>
        </w:numPr>
        <w:spacing w:before="40" w:after="60" w:line="320" w:lineRule="auto"/>
      </w:pPr>
      <w:r>
        <w:t>Invest in supply chain mapping tools and processes capable of providing visibility to at least the third tier of the supply chain for critical categories. Many organizations currently have limited visibility beyond first-tier suppliers, creating significant blind spots for risk management.</w:t>
      </w:r>
    </w:p>
    <w:p w14:paraId="174BC647" w14:textId="77777777" w:rsidR="002066B0" w:rsidRDefault="00000000">
      <w:pPr>
        <w:pStyle w:val="ListParagraph"/>
        <w:numPr>
          <w:ilvl w:val="0"/>
          <w:numId w:val="2"/>
        </w:numPr>
        <w:spacing w:before="40" w:after="60" w:line="320" w:lineRule="auto"/>
      </w:pPr>
      <w:r>
        <w:t>Build procurement analytics capabilities that integrate external data sources — including geopolitical risk indices, commodity price forecasts, weather models, and supplier financial health indicators — with internal procurement data to support predictive risk management and proactive sourcing decisions.</w:t>
      </w:r>
    </w:p>
    <w:p w14:paraId="51024378" w14:textId="77777777" w:rsidR="002066B0" w:rsidRDefault="00000000">
      <w:pPr>
        <w:pStyle w:val="ListParagraph"/>
        <w:numPr>
          <w:ilvl w:val="0"/>
          <w:numId w:val="2"/>
        </w:numPr>
        <w:spacing w:before="40" w:after="60" w:line="320" w:lineRule="auto"/>
      </w:pPr>
      <w:r>
        <w:t>Develop explicit sourcing diversification strategies for all critical and strategic categories, with documented target maximum geographic and supplier concentration levels and concrete plans for achieving and maintaining these targets over defined time horizons.</w:t>
      </w:r>
    </w:p>
    <w:p w14:paraId="5EE33CD7" w14:textId="77777777" w:rsidR="002066B0" w:rsidRDefault="00000000">
      <w:pPr>
        <w:pStyle w:val="ListParagraph"/>
        <w:numPr>
          <w:ilvl w:val="0"/>
          <w:numId w:val="2"/>
        </w:numPr>
        <w:spacing w:before="40" w:after="60" w:line="320" w:lineRule="auto"/>
      </w:pPr>
      <w:r>
        <w:t>Integrate ESG due diligence systematically into supplier qualification, selection, and ongoing performance management processes, ensuring that social and environmental performance is weighted alongside traditional commercial criteria across the full procurement lifecycle.</w:t>
      </w:r>
    </w:p>
    <w:p w14:paraId="4EA1F3AC" w14:textId="77777777" w:rsidR="002066B0" w:rsidRDefault="00000000">
      <w:pPr>
        <w:pStyle w:val="ListParagraph"/>
        <w:numPr>
          <w:ilvl w:val="0"/>
          <w:numId w:val="2"/>
        </w:numPr>
        <w:spacing w:before="40" w:after="60" w:line="320" w:lineRule="auto"/>
      </w:pPr>
      <w:r>
        <w:t>Invest in procurement talent development, recognizing that the expanded scope of modern procurement — encompassing geopolitical analysis, climate risk assessment, technology evaluation, and ESG compliance — requires skills that differ significantly from traditional commercial procurement competencies.</w:t>
      </w:r>
    </w:p>
    <w:p w14:paraId="360DF915" w14:textId="77777777" w:rsidR="002066B0" w:rsidRDefault="00000000">
      <w:pPr>
        <w:pStyle w:val="Heading2"/>
      </w:pPr>
      <w:r>
        <w:t>9.2 For Policymakers and Governments</w:t>
      </w:r>
    </w:p>
    <w:p w14:paraId="51196E2C" w14:textId="77777777" w:rsidR="002066B0" w:rsidRDefault="00000000">
      <w:pPr>
        <w:pStyle w:val="ListParagraph"/>
        <w:numPr>
          <w:ilvl w:val="0"/>
          <w:numId w:val="2"/>
        </w:numPr>
        <w:spacing w:before="40" w:after="60" w:line="320" w:lineRule="auto"/>
      </w:pPr>
      <w:r>
        <w:lastRenderedPageBreak/>
        <w:t>Develop and maintain national critical supply chain strategies that identify strategic dependencies, assess vulnerabilities, and establish frameworks for managing supply security in critical sectors including energy, food, health, semiconductors, and critical minerals.</w:t>
      </w:r>
    </w:p>
    <w:p w14:paraId="57A47C21" w14:textId="77777777" w:rsidR="002066B0" w:rsidRDefault="00000000">
      <w:pPr>
        <w:pStyle w:val="ListParagraph"/>
        <w:numPr>
          <w:ilvl w:val="0"/>
          <w:numId w:val="2"/>
        </w:numPr>
        <w:spacing w:before="40" w:after="60" w:line="320" w:lineRule="auto"/>
      </w:pPr>
      <w:r>
        <w:t>Invest in trade infrastructure — including port capacity, logistics networks, digital connectivity, and border management systems — that reduces the vulnerability of national supply chains to physical chokepoint disruptions and logistics bottlenecks.</w:t>
      </w:r>
    </w:p>
    <w:p w14:paraId="5C3AD847" w14:textId="77777777" w:rsidR="002066B0" w:rsidRDefault="00000000">
      <w:pPr>
        <w:pStyle w:val="ListParagraph"/>
        <w:numPr>
          <w:ilvl w:val="0"/>
          <w:numId w:val="2"/>
        </w:numPr>
        <w:spacing w:before="40" w:after="60" w:line="320" w:lineRule="auto"/>
      </w:pPr>
      <w:r>
        <w:t>Design industrial policy frameworks that support the development of domestic and allied-nation manufacturing capacity in strategic sectors, without creating market distortions that undermine long-term competitiveness or provoke retaliatory responses from trading partners.</w:t>
      </w:r>
    </w:p>
    <w:p w14:paraId="5887F0E9" w14:textId="77777777" w:rsidR="002066B0" w:rsidRDefault="00000000">
      <w:pPr>
        <w:pStyle w:val="ListParagraph"/>
        <w:numPr>
          <w:ilvl w:val="0"/>
          <w:numId w:val="2"/>
        </w:numPr>
        <w:spacing w:before="40" w:after="60" w:line="320" w:lineRule="auto"/>
      </w:pPr>
      <w:r>
        <w:t>Modernize public procurement regulations and practices to enable more agile response to supply disruptions, including provisions for emergency procurement, streamlined qualification procedures, and flexible contract management during crisis periods.</w:t>
      </w:r>
    </w:p>
    <w:p w14:paraId="723201AB" w14:textId="77777777" w:rsidR="002066B0" w:rsidRDefault="00000000">
      <w:pPr>
        <w:pStyle w:val="Heading2"/>
      </w:pPr>
      <w:r>
        <w:t>9.3 For Researchers</w:t>
      </w:r>
    </w:p>
    <w:p w14:paraId="0376F3F6" w14:textId="77777777" w:rsidR="002066B0" w:rsidRDefault="00000000">
      <w:pPr>
        <w:pStyle w:val="ListParagraph"/>
        <w:numPr>
          <w:ilvl w:val="0"/>
          <w:numId w:val="2"/>
        </w:numPr>
        <w:spacing w:before="40" w:after="60" w:line="320" w:lineRule="auto"/>
      </w:pPr>
      <w:r>
        <w:t>Develop more rigorous quantitative models of the relationship between procurement resilience investment and expected disruption cost reduction, providing procurement decision-makers with stronger analytical foundations for resilience investment decisions.</w:t>
      </w:r>
    </w:p>
    <w:p w14:paraId="0579DB25" w14:textId="77777777" w:rsidR="002066B0" w:rsidRDefault="00000000">
      <w:pPr>
        <w:pStyle w:val="ListParagraph"/>
        <w:numPr>
          <w:ilvl w:val="0"/>
          <w:numId w:val="2"/>
        </w:numPr>
        <w:spacing w:before="40" w:after="60" w:line="320" w:lineRule="auto"/>
      </w:pPr>
      <w:r>
        <w:t>Investigate the social and distributional effects of near-shoring and friend-shoring trends, particularly their implications for workers and communities in developing economies that may lose manufacturing activity as supply chains restructure.</w:t>
      </w:r>
    </w:p>
    <w:p w14:paraId="2ED8C574" w14:textId="77777777" w:rsidR="002066B0" w:rsidRDefault="00000000">
      <w:pPr>
        <w:pStyle w:val="ListParagraph"/>
        <w:numPr>
          <w:ilvl w:val="0"/>
          <w:numId w:val="2"/>
        </w:numPr>
        <w:spacing w:before="40" w:after="60" w:line="320" w:lineRule="auto"/>
      </w:pPr>
      <w:r>
        <w:t>Conduct longitudinal studies of procurement transformation initiatives to assess actual resilience benefits achieved relative to costs, and identify organizational and contextual factors differentiating successful from unsuccessful resilience investments.</w:t>
      </w:r>
    </w:p>
    <w:p w14:paraId="4D1BB0A8" w14:textId="77777777" w:rsidR="002066B0" w:rsidRDefault="00000000">
      <w:r>
        <w:br w:type="page"/>
      </w:r>
    </w:p>
    <w:p w14:paraId="3A54FBBE" w14:textId="77777777" w:rsidR="002066B0" w:rsidRDefault="00000000">
      <w:pPr>
        <w:pStyle w:val="Heading1"/>
      </w:pPr>
      <w:r>
        <w:lastRenderedPageBreak/>
        <w:t>10. Conclusion</w:t>
      </w:r>
    </w:p>
    <w:p w14:paraId="694A7246" w14:textId="77777777" w:rsidR="002066B0" w:rsidRDefault="00000000">
      <w:pPr>
        <w:spacing w:after="180" w:line="360" w:lineRule="auto"/>
        <w:ind w:firstLine="720"/>
        <w:jc w:val="both"/>
      </w:pPr>
      <w:r>
        <w:t>The central argument of this paper is simple but its implications are profound: the world in which global procurement strategy was designed has ceased to exist, and the strategies optimized for that world are increasingly inadequate for the world that has replaced it. The era of frictionless globalization — in which comparative advantage was the organizing principle of production geography and geopolitical stability could be assumed as a background condition for commercial planning — is over. What has replaced it is more complex, more dynamic, and more demanding of strategic sophistication from procurement professionals at every level.</w:t>
      </w:r>
    </w:p>
    <w:p w14:paraId="680EE7DB" w14:textId="77777777" w:rsidR="002066B0" w:rsidRDefault="00000000">
      <w:pPr>
        <w:spacing w:after="180" w:line="360" w:lineRule="auto"/>
        <w:ind w:firstLine="720"/>
        <w:jc w:val="both"/>
      </w:pPr>
      <w:r>
        <w:t>Armed conflicts in Europe and the Middle East have demonstrated that war can rapidly sever critical supply links and weaponize commodity markets in ways that cascade across global supply chains within days. Climate change is progressively eroding the reliability of agricultural production in key sourcing regions, threatening port and logistics infrastructure, and imposing new carbon cost structures on traded goods. Resource nationalism is introducing supply security risks in critical mineral categories essential for the clean energy and digital transitions. Social movements and regulatory mandates are requiring procurement organizations to take responsibility for labor and environmental practices far beyond their direct supplier relationships.</w:t>
      </w:r>
    </w:p>
    <w:p w14:paraId="1EE1A323" w14:textId="77777777" w:rsidR="002066B0" w:rsidRDefault="00000000">
      <w:pPr>
        <w:spacing w:after="180" w:line="360" w:lineRule="auto"/>
        <w:ind w:firstLine="720"/>
        <w:jc w:val="both"/>
      </w:pPr>
      <w:r>
        <w:t>Against this backdrop of disruption, this paper has also documented significant innovation and adaptation. Procurement organizations are developing new analytical capabilities, adopting new sourcing architectures, embracing new technologies, and building new institutional relationships that equip them to navigate complexity more effectively than ever before. Emerging market economies are developing procurement innovations that challenge the assumption of a linear path of development from less to more sophisticated practice. Governments across the world are recognizing supply chain security as a matter of national strategic importance and developing policy frameworks to support private sector resilience in genuinely novel ways.</w:t>
      </w:r>
    </w:p>
    <w:p w14:paraId="513C42BE" w14:textId="77777777" w:rsidR="002066B0" w:rsidRDefault="00000000">
      <w:pPr>
        <w:spacing w:after="180" w:line="360" w:lineRule="auto"/>
        <w:ind w:firstLine="720"/>
        <w:jc w:val="both"/>
      </w:pPr>
      <w:r>
        <w:t xml:space="preserve">The transition from efficiency-first to resilience-centered procurement is not without cost, and the appropriate balance between cost efficiency and supply security will differ by organization, sector, and risk environment. But the evidence of recent years has decisively demonstrated that the cost of inadequate resilience — measured in production shutdowns, inflationary shocks, national </w:t>
      </w:r>
      <w:r>
        <w:lastRenderedPageBreak/>
        <w:t>security vulnerabilities, and human suffering — can vastly exceed the cost of prudent resilience investment.</w:t>
      </w:r>
    </w:p>
    <w:p w14:paraId="0FD94260" w14:textId="77777777" w:rsidR="002066B0" w:rsidRDefault="00000000">
      <w:pPr>
        <w:spacing w:after="180" w:line="360" w:lineRule="auto"/>
        <w:ind w:firstLine="720"/>
        <w:jc w:val="both"/>
      </w:pPr>
      <w:r>
        <w:t>The procurement function has an extraordinary opportunity in this moment of disruption. By rising to the challenge of building supply chains that are not merely efficient but genuinely resilient — ethically grounded, technologically sophisticated, geographically diversified, and strategically aligned with organizational and societal values — procurement professionals can make a contribution to organizational and societal welfare that extends far beyond the transactional focus that historically defined their role. The fractured world demands nothing less, and the procurement profession is rising to meet it.</w:t>
      </w:r>
    </w:p>
    <w:p w14:paraId="1CD41E11" w14:textId="77777777" w:rsidR="002066B0" w:rsidRDefault="00000000">
      <w:r>
        <w:br w:type="page"/>
      </w:r>
    </w:p>
    <w:p w14:paraId="109226B4" w14:textId="77777777" w:rsidR="002066B0" w:rsidRDefault="00000000">
      <w:pPr>
        <w:pStyle w:val="Heading1"/>
      </w:pPr>
      <w:r>
        <w:lastRenderedPageBreak/>
        <w:t>References</w:t>
      </w:r>
    </w:p>
    <w:p w14:paraId="51E38787" w14:textId="77777777" w:rsidR="002066B0" w:rsidRDefault="00000000">
      <w:pPr>
        <w:spacing w:after="180" w:line="360" w:lineRule="auto"/>
        <w:ind w:firstLine="720"/>
        <w:jc w:val="both"/>
      </w:pPr>
      <w:r>
        <w:t>All references are cited in accordance with the Chicago Manual of Style, 17th edition, Notes-Bibliography system.</w:t>
      </w:r>
    </w:p>
    <w:p w14:paraId="20D33277" w14:textId="77777777" w:rsidR="002066B0" w:rsidRDefault="002066B0">
      <w:pPr>
        <w:spacing w:after="160"/>
      </w:pPr>
    </w:p>
    <w:p w14:paraId="6143D2B3" w14:textId="77777777" w:rsidR="002066B0" w:rsidRDefault="00000000">
      <w:pPr>
        <w:spacing w:after="120" w:line="320" w:lineRule="auto"/>
        <w:ind w:left="720" w:hanging="720"/>
        <w:jc w:val="both"/>
      </w:pPr>
      <w:r>
        <w:rPr>
          <w:sz w:val="22"/>
          <w:szCs w:val="22"/>
        </w:rPr>
        <w:t>Baldwin, Richard. The Great Convergence: Information Technology and the New Globalization. Cambridge, MA: Harvard University Press, 2016.</w:t>
      </w:r>
    </w:p>
    <w:p w14:paraId="01F70435" w14:textId="77777777" w:rsidR="002066B0" w:rsidRDefault="00000000">
      <w:pPr>
        <w:spacing w:after="120" w:line="320" w:lineRule="auto"/>
        <w:ind w:left="720" w:hanging="720"/>
        <w:jc w:val="both"/>
      </w:pPr>
      <w:r>
        <w:rPr>
          <w:sz w:val="22"/>
          <w:szCs w:val="22"/>
        </w:rPr>
        <w:t>Carvalho, Vasco M., Makoto Nirei, Yukiko U. Saito, and Alireza Tahbaz-Salehi. "Supply Chain Disruptions: Evidence from the Great East Japan Earthquake." Quarterly Journal of Economics 136, no. 2 (2021): 1255-1321.</w:t>
      </w:r>
    </w:p>
    <w:p w14:paraId="7C691D4C" w14:textId="77777777" w:rsidR="002066B0" w:rsidRDefault="00000000">
      <w:pPr>
        <w:spacing w:after="120" w:line="320" w:lineRule="auto"/>
        <w:ind w:left="720" w:hanging="720"/>
        <w:jc w:val="both"/>
      </w:pPr>
      <w:r>
        <w:rPr>
          <w:sz w:val="22"/>
          <w:szCs w:val="22"/>
        </w:rPr>
        <w:t>Chartered Institute of Procurement and Supply (CIPS). Global Procurement Risk Report 2024. Stamford: CIPS, 2024.</w:t>
      </w:r>
    </w:p>
    <w:p w14:paraId="6795E7B8" w14:textId="77777777" w:rsidR="002066B0" w:rsidRDefault="00000000">
      <w:pPr>
        <w:spacing w:after="120" w:line="320" w:lineRule="auto"/>
        <w:ind w:left="720" w:hanging="720"/>
        <w:jc w:val="both"/>
      </w:pPr>
      <w:r>
        <w:rPr>
          <w:sz w:val="22"/>
          <w:szCs w:val="22"/>
        </w:rPr>
        <w:t>Evenett, Simon J. "Weaponized Interdependence and Global Trade: Evidence from the Russia Sanctions." Journal of International Economics 139 (2022): 103651.</w:t>
      </w:r>
    </w:p>
    <w:p w14:paraId="7CE75907" w14:textId="77777777" w:rsidR="002066B0" w:rsidRDefault="00000000">
      <w:pPr>
        <w:spacing w:after="120" w:line="320" w:lineRule="auto"/>
        <w:ind w:left="720" w:hanging="720"/>
        <w:jc w:val="both"/>
      </w:pPr>
      <w:r>
        <w:rPr>
          <w:sz w:val="22"/>
          <w:szCs w:val="22"/>
        </w:rPr>
        <w:t>European Commission. European Critical Raw Materials Act: Impact Assessment. Brussels: European Commission, 2023.</w:t>
      </w:r>
    </w:p>
    <w:p w14:paraId="524F63EB" w14:textId="77777777" w:rsidR="002066B0" w:rsidRDefault="00000000">
      <w:pPr>
        <w:spacing w:after="120" w:line="320" w:lineRule="auto"/>
        <w:ind w:left="720" w:hanging="720"/>
        <w:jc w:val="both"/>
      </w:pPr>
      <w:r>
        <w:rPr>
          <w:sz w:val="22"/>
          <w:szCs w:val="22"/>
        </w:rPr>
        <w:t>Food and Agriculture Organization of the United Nations. The State of Food and Agriculture 2023: Revealing the True Cost of Food. Rome: FAO, 2023.</w:t>
      </w:r>
    </w:p>
    <w:p w14:paraId="4AB90A4F" w14:textId="77777777" w:rsidR="002066B0" w:rsidRDefault="00000000">
      <w:pPr>
        <w:spacing w:after="120" w:line="320" w:lineRule="auto"/>
        <w:ind w:left="720" w:hanging="720"/>
        <w:jc w:val="both"/>
      </w:pPr>
      <w:r>
        <w:rPr>
          <w:sz w:val="22"/>
          <w:szCs w:val="22"/>
        </w:rPr>
        <w:t>Gereffi, Gary, John Humphrey, and Timothy Sturgeon. "The Governance of Global Value Chains." Review of International Political Economy 12, no. 1 (2005): 78-104.</w:t>
      </w:r>
    </w:p>
    <w:p w14:paraId="37CD4DAB" w14:textId="77777777" w:rsidR="002066B0" w:rsidRDefault="00000000">
      <w:pPr>
        <w:spacing w:after="120" w:line="320" w:lineRule="auto"/>
        <w:ind w:left="720" w:hanging="720"/>
        <w:jc w:val="both"/>
      </w:pPr>
      <w:r>
        <w:rPr>
          <w:sz w:val="22"/>
          <w:szCs w:val="22"/>
        </w:rPr>
        <w:t>International Labour Organization. Global Estimates of Modern Slavery: Forced Labour and Forced Marriage. Geneva: ILO, 2022.</w:t>
      </w:r>
    </w:p>
    <w:p w14:paraId="5A297236" w14:textId="77777777" w:rsidR="002066B0" w:rsidRDefault="00000000">
      <w:pPr>
        <w:spacing w:after="120" w:line="320" w:lineRule="auto"/>
        <w:ind w:left="720" w:hanging="720"/>
        <w:jc w:val="both"/>
      </w:pPr>
      <w:r>
        <w:rPr>
          <w:sz w:val="22"/>
          <w:szCs w:val="22"/>
        </w:rPr>
        <w:t>International Monetary Fund. World Economic Outlook: Navigating Global Divergences. Washington, DC: IMF, October 2023.</w:t>
      </w:r>
    </w:p>
    <w:p w14:paraId="030F5A56" w14:textId="77777777" w:rsidR="002066B0" w:rsidRDefault="00000000">
      <w:pPr>
        <w:spacing w:after="120" w:line="320" w:lineRule="auto"/>
        <w:ind w:left="720" w:hanging="720"/>
        <w:jc w:val="both"/>
      </w:pPr>
      <w:r>
        <w:rPr>
          <w:sz w:val="22"/>
          <w:szCs w:val="22"/>
        </w:rPr>
        <w:t>Javorcik, Beata. "Global Supply Chains Are Here to Stay, But They Are Changing." VoxEU/CEPR Policy Portal, September 12, 2022.</w:t>
      </w:r>
    </w:p>
    <w:p w14:paraId="7F094B1D" w14:textId="77777777" w:rsidR="002066B0" w:rsidRDefault="00000000">
      <w:pPr>
        <w:spacing w:after="120" w:line="320" w:lineRule="auto"/>
        <w:ind w:left="720" w:hanging="720"/>
        <w:jc w:val="both"/>
      </w:pPr>
      <w:r>
        <w:rPr>
          <w:sz w:val="22"/>
          <w:szCs w:val="22"/>
        </w:rPr>
        <w:t>Kearney. Reshoring Index 2024: Supply Chain Reconfiguration and the New Geography of Manufacturing. Chicago: Kearney, 2024.</w:t>
      </w:r>
    </w:p>
    <w:p w14:paraId="22938862" w14:textId="77777777" w:rsidR="002066B0" w:rsidRDefault="00000000">
      <w:pPr>
        <w:spacing w:after="120" w:line="320" w:lineRule="auto"/>
        <w:ind w:left="720" w:hanging="720"/>
        <w:jc w:val="both"/>
      </w:pPr>
      <w:r>
        <w:rPr>
          <w:sz w:val="22"/>
          <w:szCs w:val="22"/>
        </w:rPr>
        <w:t>Kinkel, Steffen. "Trends in Production Relocation and Backshoring Activities: Changing Patterns in the Course of the Global Economic Crisis." International Journal of Operations and Production Management 32, no. 6 (2012): 696-720.</w:t>
      </w:r>
    </w:p>
    <w:p w14:paraId="10E3D0ED" w14:textId="77777777" w:rsidR="002066B0" w:rsidRDefault="00000000">
      <w:pPr>
        <w:spacing w:after="120" w:line="320" w:lineRule="auto"/>
        <w:ind w:left="720" w:hanging="720"/>
        <w:jc w:val="both"/>
      </w:pPr>
      <w:r>
        <w:rPr>
          <w:sz w:val="22"/>
          <w:szCs w:val="22"/>
        </w:rPr>
        <w:lastRenderedPageBreak/>
        <w:t>Lund, Susan, James Manyika, Jonathan Woetzel, Edward Barriball, Mekala Krishnan, Knut Alicke, and Michael Birshan. Risk, Resilience, and Rebalancing in Global Value Chains. McKinsey Global Institute, August 2020.</w:t>
      </w:r>
    </w:p>
    <w:p w14:paraId="0ED2C5DA" w14:textId="77777777" w:rsidR="002066B0" w:rsidRDefault="00000000">
      <w:pPr>
        <w:spacing w:after="120" w:line="320" w:lineRule="auto"/>
        <w:ind w:left="720" w:hanging="720"/>
        <w:jc w:val="both"/>
      </w:pPr>
      <w:r>
        <w:rPr>
          <w:sz w:val="22"/>
          <w:szCs w:val="22"/>
        </w:rPr>
        <w:t>Manners-Bell, John. Supply Chain Risk: Understanding Emerging Threats to Global Supply Chains. 3rd ed. London: Kogan Page, 2022.</w:t>
      </w:r>
    </w:p>
    <w:p w14:paraId="46FD070C" w14:textId="77777777" w:rsidR="002066B0" w:rsidRDefault="00000000">
      <w:pPr>
        <w:spacing w:after="120" w:line="320" w:lineRule="auto"/>
        <w:ind w:left="720" w:hanging="720"/>
        <w:jc w:val="both"/>
      </w:pPr>
      <w:r>
        <w:rPr>
          <w:sz w:val="22"/>
          <w:szCs w:val="22"/>
        </w:rPr>
        <w:t>Milberg, William, and Deborah Winkler. Outsourcing Economics: Global Value Chains in Capitalist Development. Cambridge: Cambridge University Press, 2013.</w:t>
      </w:r>
    </w:p>
    <w:p w14:paraId="740442CE" w14:textId="77777777" w:rsidR="002066B0" w:rsidRDefault="00000000">
      <w:pPr>
        <w:spacing w:after="120" w:line="320" w:lineRule="auto"/>
        <w:ind w:left="720" w:hanging="720"/>
        <w:jc w:val="both"/>
      </w:pPr>
      <w:r>
        <w:rPr>
          <w:sz w:val="22"/>
          <w:szCs w:val="22"/>
        </w:rPr>
        <w:t>OECD. Interconnected Economies: Benefiting from Global Value Chains. Paris: OECD Publishing, 2013.</w:t>
      </w:r>
    </w:p>
    <w:p w14:paraId="6283C4CE" w14:textId="77777777" w:rsidR="002066B0" w:rsidRDefault="00000000">
      <w:pPr>
        <w:spacing w:after="120" w:line="320" w:lineRule="auto"/>
        <w:ind w:left="720" w:hanging="720"/>
        <w:jc w:val="both"/>
      </w:pPr>
      <w:r>
        <w:rPr>
          <w:sz w:val="22"/>
          <w:szCs w:val="22"/>
        </w:rPr>
        <w:t>Posen, Adam S. "The End of Globalization? What Russia's War in Ukraine Means for the World Economy." Foreign Affairs, March 17, 2022.</w:t>
      </w:r>
    </w:p>
    <w:p w14:paraId="7422094B" w14:textId="77777777" w:rsidR="002066B0" w:rsidRDefault="00000000">
      <w:pPr>
        <w:spacing w:after="120" w:line="320" w:lineRule="auto"/>
        <w:ind w:left="720" w:hanging="720"/>
        <w:jc w:val="both"/>
      </w:pPr>
      <w:r>
        <w:rPr>
          <w:sz w:val="22"/>
          <w:szCs w:val="22"/>
        </w:rPr>
        <w:t>Shih, Willy C. "Global Supply Chains in a Post-Pandemic World." Harvard Business Review, September-October 2020.</w:t>
      </w:r>
    </w:p>
    <w:p w14:paraId="58CB891E" w14:textId="77777777" w:rsidR="002066B0" w:rsidRDefault="00000000">
      <w:pPr>
        <w:spacing w:after="120" w:line="320" w:lineRule="auto"/>
        <w:ind w:left="720" w:hanging="720"/>
        <w:jc w:val="both"/>
      </w:pPr>
      <w:r>
        <w:rPr>
          <w:sz w:val="22"/>
          <w:szCs w:val="22"/>
        </w:rPr>
        <w:t>United Nations Conference on Trade and Development. World Investment Report 2023: Investing in Sustainable Energy for All. Geneva: UNCTAD, 2023.</w:t>
      </w:r>
    </w:p>
    <w:p w14:paraId="13581BF1" w14:textId="77777777" w:rsidR="002066B0" w:rsidRDefault="00000000">
      <w:pPr>
        <w:spacing w:after="120" w:line="320" w:lineRule="auto"/>
        <w:ind w:left="720" w:hanging="720"/>
        <w:jc w:val="both"/>
      </w:pPr>
      <w:r>
        <w:rPr>
          <w:sz w:val="22"/>
          <w:szCs w:val="22"/>
        </w:rPr>
        <w:t>United States Government Accountability Office. Critical Minerals: Actions Needed to Address Risks in Supply Chains. Washington, DC: GAO, 2023.</w:t>
      </w:r>
    </w:p>
    <w:p w14:paraId="3634B070" w14:textId="77777777" w:rsidR="002066B0" w:rsidRDefault="00000000">
      <w:pPr>
        <w:spacing w:after="120" w:line="320" w:lineRule="auto"/>
        <w:ind w:left="720" w:hanging="720"/>
        <w:jc w:val="both"/>
      </w:pPr>
      <w:r>
        <w:rPr>
          <w:sz w:val="22"/>
          <w:szCs w:val="22"/>
        </w:rPr>
        <w:t>World Bank. Doing Business 2020: Comparing Business Regulation in 190 Economies. Washington, DC: World Bank, 2020.</w:t>
      </w:r>
    </w:p>
    <w:p w14:paraId="1E6181E5" w14:textId="77777777" w:rsidR="002066B0" w:rsidRDefault="00000000">
      <w:pPr>
        <w:spacing w:after="120" w:line="320" w:lineRule="auto"/>
        <w:ind w:left="720" w:hanging="720"/>
        <w:jc w:val="both"/>
      </w:pPr>
      <w:r>
        <w:rPr>
          <w:sz w:val="22"/>
          <w:szCs w:val="22"/>
        </w:rPr>
        <w:t>World Economic Forum. The Global Risks Report 2024. Geneva: WEF, 2024.</w:t>
      </w:r>
    </w:p>
    <w:p w14:paraId="1DC0F36D" w14:textId="77777777" w:rsidR="002066B0" w:rsidRDefault="00000000">
      <w:pPr>
        <w:spacing w:after="120" w:line="320" w:lineRule="auto"/>
        <w:ind w:left="720" w:hanging="720"/>
        <w:jc w:val="both"/>
      </w:pPr>
      <w:r>
        <w:rPr>
          <w:sz w:val="22"/>
          <w:szCs w:val="22"/>
        </w:rPr>
        <w:t>World Health Organization. A Study on the Public Health and Socioeconomic Impact of Substandard and Falsified Medical Products. Geneva: WHO, 2017.</w:t>
      </w:r>
    </w:p>
    <w:p w14:paraId="0E477025" w14:textId="77777777" w:rsidR="002066B0" w:rsidRDefault="00000000">
      <w:pPr>
        <w:spacing w:after="120" w:line="320" w:lineRule="auto"/>
        <w:ind w:left="720" w:hanging="720"/>
        <w:jc w:val="both"/>
      </w:pPr>
      <w:r>
        <w:rPr>
          <w:sz w:val="22"/>
          <w:szCs w:val="22"/>
        </w:rPr>
        <w:t>World Trade Organization. Global Value Chain Development Report 2023: Resilience and Reconstruction. Geneva: WTO, 2023.</w:t>
      </w:r>
    </w:p>
    <w:p w14:paraId="65A60339" w14:textId="77777777" w:rsidR="002066B0" w:rsidRDefault="00000000">
      <w:pPr>
        <w:spacing w:after="120" w:line="320" w:lineRule="auto"/>
        <w:ind w:left="720" w:hanging="720"/>
        <w:jc w:val="both"/>
      </w:pPr>
      <w:r>
        <w:rPr>
          <w:sz w:val="22"/>
          <w:szCs w:val="22"/>
        </w:rPr>
        <w:t>Zsidisin, George A., and Bob Ritchie, eds. Supply Chain Risk: A Handbook of Assessment, Management, and Performance. New York: Springer, 2009.</w:t>
      </w:r>
    </w:p>
    <w:p w14:paraId="2CD67BFF" w14:textId="77777777" w:rsidR="002066B0" w:rsidRDefault="00000000">
      <w:r>
        <w:br w:type="page"/>
      </w:r>
    </w:p>
    <w:p w14:paraId="3B5FBAC2" w14:textId="77777777" w:rsidR="002066B0" w:rsidRDefault="00000000">
      <w:pPr>
        <w:pStyle w:val="Heading1"/>
      </w:pPr>
      <w:r>
        <w:lastRenderedPageBreak/>
        <w:t>Appendix A: Key Data Summary Table</w:t>
      </w:r>
    </w:p>
    <w:p w14:paraId="628C6523" w14:textId="77777777" w:rsidR="002066B0" w:rsidRDefault="002066B0">
      <w:pPr>
        <w:spacing w:after="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200"/>
        <w:gridCol w:w="2000"/>
        <w:gridCol w:w="2360"/>
      </w:tblGrid>
      <w:tr w:rsidR="002066B0" w14:paraId="2C06916E" w14:textId="77777777">
        <w:tblPrEx>
          <w:tblCellMar>
            <w:top w:w="0" w:type="dxa"/>
            <w:bottom w:w="0" w:type="dxa"/>
          </w:tblCellMar>
        </w:tblPrEx>
        <w:trPr>
          <w:tblHeader/>
        </w:trPr>
        <w:tc>
          <w:tcPr>
            <w:tcW w:w="28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3F10E68D" w14:textId="77777777" w:rsidR="002066B0" w:rsidRDefault="00000000">
            <w:pPr>
              <w:jc w:val="center"/>
            </w:pPr>
            <w:r>
              <w:rPr>
                <w:b/>
                <w:bCs/>
                <w:color w:val="FFFFFF"/>
                <w:sz w:val="20"/>
                <w:szCs w:val="20"/>
              </w:rPr>
              <w:t>Indicator</w:t>
            </w:r>
          </w:p>
        </w:tc>
        <w:tc>
          <w:tcPr>
            <w:tcW w:w="22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06698C36" w14:textId="77777777" w:rsidR="002066B0" w:rsidRDefault="00000000">
            <w:pPr>
              <w:jc w:val="center"/>
            </w:pPr>
            <w:r>
              <w:rPr>
                <w:b/>
                <w:bCs/>
                <w:color w:val="FFFFFF"/>
                <w:sz w:val="20"/>
                <w:szCs w:val="20"/>
              </w:rPr>
              <w:t>Value / Statistic</w:t>
            </w:r>
          </w:p>
        </w:tc>
        <w:tc>
          <w:tcPr>
            <w:tcW w:w="200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1A34B70E" w14:textId="77777777" w:rsidR="002066B0" w:rsidRDefault="00000000">
            <w:pPr>
              <w:jc w:val="center"/>
            </w:pPr>
            <w:r>
              <w:rPr>
                <w:b/>
                <w:bCs/>
                <w:color w:val="FFFFFF"/>
                <w:sz w:val="20"/>
                <w:szCs w:val="20"/>
              </w:rPr>
              <w:t>Source</w:t>
            </w:r>
          </w:p>
        </w:tc>
        <w:tc>
          <w:tcPr>
            <w:tcW w:w="2360" w:type="dxa"/>
            <w:tcBorders>
              <w:top w:val="single" w:sz="4" w:space="0" w:color="BBBBBB"/>
              <w:left w:val="single" w:sz="4" w:space="0" w:color="BBBBBB"/>
              <w:bottom w:val="single" w:sz="4" w:space="0" w:color="BBBBBB"/>
              <w:right w:val="single" w:sz="4" w:space="0" w:color="BBBBBB"/>
            </w:tcBorders>
            <w:shd w:val="clear" w:color="auto" w:fill="1B3A6B"/>
            <w:tcMar>
              <w:top w:w="100" w:type="dxa"/>
              <w:left w:w="160" w:type="dxa"/>
              <w:bottom w:w="100" w:type="dxa"/>
              <w:right w:w="160" w:type="dxa"/>
            </w:tcMar>
          </w:tcPr>
          <w:p w14:paraId="735F59D7" w14:textId="77777777" w:rsidR="002066B0" w:rsidRDefault="00000000">
            <w:pPr>
              <w:jc w:val="center"/>
            </w:pPr>
            <w:r>
              <w:rPr>
                <w:b/>
                <w:bCs/>
                <w:color w:val="FFFFFF"/>
                <w:sz w:val="20"/>
                <w:szCs w:val="20"/>
              </w:rPr>
              <w:t>Year</w:t>
            </w:r>
          </w:p>
        </w:tc>
      </w:tr>
      <w:tr w:rsidR="002066B0" w14:paraId="251ED9BC"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305FA69" w14:textId="77777777" w:rsidR="002066B0" w:rsidRDefault="00000000">
            <w:r>
              <w:rPr>
                <w:sz w:val="20"/>
                <w:szCs w:val="20"/>
              </w:rPr>
              <w:t>Share of global trade via GVCs</w:t>
            </w:r>
          </w:p>
        </w:tc>
        <w:tc>
          <w:tcPr>
            <w:tcW w:w="22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76452A0" w14:textId="77777777" w:rsidR="002066B0" w:rsidRDefault="00000000">
            <w:r>
              <w:rPr>
                <w:sz w:val="20"/>
                <w:szCs w:val="20"/>
              </w:rPr>
              <w:t>~70%</w:t>
            </w:r>
          </w:p>
        </w:tc>
        <w:tc>
          <w:tcPr>
            <w:tcW w:w="20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0EC2C514" w14:textId="77777777" w:rsidR="002066B0" w:rsidRDefault="00000000">
            <w:r>
              <w:rPr>
                <w:sz w:val="20"/>
                <w:szCs w:val="20"/>
              </w:rPr>
              <w:t>WTO</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10F5AE4" w14:textId="77777777" w:rsidR="002066B0" w:rsidRDefault="00000000">
            <w:r>
              <w:rPr>
                <w:sz w:val="20"/>
                <w:szCs w:val="20"/>
              </w:rPr>
              <w:t>2023</w:t>
            </w:r>
          </w:p>
        </w:tc>
      </w:tr>
      <w:tr w:rsidR="002066B0" w14:paraId="371CF587"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B93D345" w14:textId="77777777" w:rsidR="002066B0" w:rsidRDefault="00000000">
            <w:r>
              <w:rPr>
                <w:sz w:val="20"/>
                <w:szCs w:val="20"/>
              </w:rPr>
              <w:t>Average frequency of 1-month+ supply disruptions per industry</w:t>
            </w:r>
          </w:p>
        </w:tc>
        <w:tc>
          <w:tcPr>
            <w:tcW w:w="22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11CCCF7" w14:textId="77777777" w:rsidR="002066B0" w:rsidRDefault="00000000">
            <w:r>
              <w:rPr>
                <w:sz w:val="20"/>
                <w:szCs w:val="20"/>
              </w:rPr>
              <w:t>Every 3.7 years</w:t>
            </w:r>
          </w:p>
        </w:tc>
        <w:tc>
          <w:tcPr>
            <w:tcW w:w="20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8F003D6" w14:textId="77777777" w:rsidR="002066B0" w:rsidRDefault="00000000">
            <w:r>
              <w:rPr>
                <w:sz w:val="20"/>
                <w:szCs w:val="20"/>
              </w:rPr>
              <w:t>McKinsey Global Institute</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ACFF5FF" w14:textId="77777777" w:rsidR="002066B0" w:rsidRDefault="00000000">
            <w:r>
              <w:rPr>
                <w:sz w:val="20"/>
                <w:szCs w:val="20"/>
              </w:rPr>
              <w:t>2020</w:t>
            </w:r>
          </w:p>
        </w:tc>
      </w:tr>
      <w:tr w:rsidR="002066B0" w14:paraId="1A073F00"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D04173A" w14:textId="77777777" w:rsidR="002066B0" w:rsidRDefault="00000000">
            <w:r>
              <w:rPr>
                <w:sz w:val="20"/>
                <w:szCs w:val="20"/>
              </w:rPr>
              <w:t>Share of world trade through Red Sea (pre-crisis)</w:t>
            </w:r>
          </w:p>
        </w:tc>
        <w:tc>
          <w:tcPr>
            <w:tcW w:w="22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50FC0E72" w14:textId="77777777" w:rsidR="002066B0" w:rsidRDefault="00000000">
            <w:r>
              <w:rPr>
                <w:sz w:val="20"/>
                <w:szCs w:val="20"/>
              </w:rPr>
              <w:t>12-15%</w:t>
            </w:r>
          </w:p>
        </w:tc>
        <w:tc>
          <w:tcPr>
            <w:tcW w:w="20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70C30759" w14:textId="77777777" w:rsidR="002066B0" w:rsidRDefault="00000000">
            <w:r>
              <w:rPr>
                <w:sz w:val="20"/>
                <w:szCs w:val="20"/>
              </w:rPr>
              <w:t>Lloyd's List</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04FDDCAB" w14:textId="77777777" w:rsidR="002066B0" w:rsidRDefault="00000000">
            <w:r>
              <w:rPr>
                <w:sz w:val="20"/>
                <w:szCs w:val="20"/>
              </w:rPr>
              <w:t>2023</w:t>
            </w:r>
          </w:p>
        </w:tc>
      </w:tr>
      <w:tr w:rsidR="002066B0" w14:paraId="18921A7A"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308A34A" w14:textId="77777777" w:rsidR="002066B0" w:rsidRDefault="00000000">
            <w:r>
              <w:rPr>
                <w:sz w:val="20"/>
                <w:szCs w:val="20"/>
              </w:rPr>
              <w:t>Russia-Ukraine share of global wheat exports</w:t>
            </w:r>
          </w:p>
        </w:tc>
        <w:tc>
          <w:tcPr>
            <w:tcW w:w="22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D6D21E1" w14:textId="77777777" w:rsidR="002066B0" w:rsidRDefault="00000000">
            <w:r>
              <w:rPr>
                <w:sz w:val="20"/>
                <w:szCs w:val="20"/>
              </w:rPr>
              <w:t>~30%</w:t>
            </w:r>
          </w:p>
        </w:tc>
        <w:tc>
          <w:tcPr>
            <w:tcW w:w="20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EB97FF6" w14:textId="77777777" w:rsidR="002066B0" w:rsidRDefault="00000000">
            <w:r>
              <w:rPr>
                <w:sz w:val="20"/>
                <w:szCs w:val="20"/>
              </w:rPr>
              <w:t>FAO</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D6F0EA8" w14:textId="77777777" w:rsidR="002066B0" w:rsidRDefault="00000000">
            <w:r>
              <w:rPr>
                <w:sz w:val="20"/>
                <w:szCs w:val="20"/>
              </w:rPr>
              <w:t>2022</w:t>
            </w:r>
          </w:p>
        </w:tc>
      </w:tr>
      <w:tr w:rsidR="002066B0" w14:paraId="1B9E1673"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380E6CD3" w14:textId="77777777" w:rsidR="002066B0" w:rsidRDefault="00000000">
            <w:r>
              <w:rPr>
                <w:sz w:val="20"/>
                <w:szCs w:val="20"/>
              </w:rPr>
              <w:t>Global rare earth mining concentration (top nation)</w:t>
            </w:r>
          </w:p>
        </w:tc>
        <w:tc>
          <w:tcPr>
            <w:tcW w:w="22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C719E77" w14:textId="77777777" w:rsidR="002066B0" w:rsidRDefault="00000000">
            <w:r>
              <w:rPr>
                <w:sz w:val="20"/>
                <w:szCs w:val="20"/>
              </w:rPr>
              <w:t>~60%</w:t>
            </w:r>
          </w:p>
        </w:tc>
        <w:tc>
          <w:tcPr>
            <w:tcW w:w="20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4DD8FD77" w14:textId="77777777" w:rsidR="002066B0" w:rsidRDefault="00000000">
            <w:r>
              <w:rPr>
                <w:sz w:val="20"/>
                <w:szCs w:val="20"/>
              </w:rPr>
              <w:t>USGS</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880ADF4" w14:textId="77777777" w:rsidR="002066B0" w:rsidRDefault="00000000">
            <w:r>
              <w:rPr>
                <w:sz w:val="20"/>
                <w:szCs w:val="20"/>
              </w:rPr>
              <w:t>2024</w:t>
            </w:r>
          </w:p>
        </w:tc>
      </w:tr>
      <w:tr w:rsidR="002066B0" w14:paraId="48F5AF1B"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1AD00515" w14:textId="77777777" w:rsidR="002066B0" w:rsidRDefault="00000000">
            <w:r>
              <w:rPr>
                <w:sz w:val="20"/>
                <w:szCs w:val="20"/>
              </w:rPr>
              <w:t>DRC share of global cobalt production</w:t>
            </w:r>
          </w:p>
        </w:tc>
        <w:tc>
          <w:tcPr>
            <w:tcW w:w="22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395FBF29" w14:textId="77777777" w:rsidR="002066B0" w:rsidRDefault="00000000">
            <w:r>
              <w:rPr>
                <w:sz w:val="20"/>
                <w:szCs w:val="20"/>
              </w:rPr>
              <w:t>~70%</w:t>
            </w:r>
          </w:p>
        </w:tc>
        <w:tc>
          <w:tcPr>
            <w:tcW w:w="20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9355B24" w14:textId="77777777" w:rsidR="002066B0" w:rsidRDefault="00000000">
            <w:r>
              <w:rPr>
                <w:sz w:val="20"/>
                <w:szCs w:val="20"/>
              </w:rPr>
              <w:t>USGS</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EF64659" w14:textId="77777777" w:rsidR="002066B0" w:rsidRDefault="00000000">
            <w:r>
              <w:rPr>
                <w:sz w:val="20"/>
                <w:szCs w:val="20"/>
              </w:rPr>
              <w:t>2024</w:t>
            </w:r>
          </w:p>
        </w:tc>
      </w:tr>
      <w:tr w:rsidR="002066B0" w14:paraId="67B79C1D"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44B7282" w14:textId="77777777" w:rsidR="002066B0" w:rsidRDefault="00000000">
            <w:r>
              <w:rPr>
                <w:sz w:val="20"/>
                <w:szCs w:val="20"/>
              </w:rPr>
              <w:t>Persons affected by modern slavery globally</w:t>
            </w:r>
          </w:p>
        </w:tc>
        <w:tc>
          <w:tcPr>
            <w:tcW w:w="22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D749495" w14:textId="77777777" w:rsidR="002066B0" w:rsidRDefault="00000000">
            <w:r>
              <w:rPr>
                <w:sz w:val="20"/>
                <w:szCs w:val="20"/>
              </w:rPr>
              <w:t>~40 million</w:t>
            </w:r>
          </w:p>
        </w:tc>
        <w:tc>
          <w:tcPr>
            <w:tcW w:w="20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6C74EA2C" w14:textId="77777777" w:rsidR="002066B0" w:rsidRDefault="00000000">
            <w:r>
              <w:rPr>
                <w:sz w:val="20"/>
                <w:szCs w:val="20"/>
              </w:rPr>
              <w:t>ILO</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5C489637" w14:textId="77777777" w:rsidR="002066B0" w:rsidRDefault="00000000">
            <w:r>
              <w:rPr>
                <w:sz w:val="20"/>
                <w:szCs w:val="20"/>
              </w:rPr>
              <w:t>2022</w:t>
            </w:r>
          </w:p>
        </w:tc>
      </w:tr>
      <w:tr w:rsidR="002066B0" w14:paraId="1CA1D490"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09ECE01A" w14:textId="77777777" w:rsidR="002066B0" w:rsidRDefault="00000000">
            <w:r>
              <w:rPr>
                <w:sz w:val="20"/>
                <w:szCs w:val="20"/>
              </w:rPr>
              <w:t>Asia-Europe container freight rate increase (Red Sea crisis)</w:t>
            </w:r>
          </w:p>
        </w:tc>
        <w:tc>
          <w:tcPr>
            <w:tcW w:w="22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5F5DF792" w14:textId="77777777" w:rsidR="002066B0" w:rsidRDefault="00000000">
            <w:r>
              <w:rPr>
                <w:sz w:val="20"/>
                <w:szCs w:val="20"/>
              </w:rPr>
              <w:t>+200%+ at peak</w:t>
            </w:r>
          </w:p>
        </w:tc>
        <w:tc>
          <w:tcPr>
            <w:tcW w:w="20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32EF89BC" w14:textId="77777777" w:rsidR="002066B0" w:rsidRDefault="00000000">
            <w:r>
              <w:rPr>
                <w:sz w:val="20"/>
                <w:szCs w:val="20"/>
              </w:rPr>
              <w:t>Freightos Baltic Index</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A83C824" w14:textId="77777777" w:rsidR="002066B0" w:rsidRDefault="00000000">
            <w:r>
              <w:rPr>
                <w:sz w:val="20"/>
                <w:szCs w:val="20"/>
              </w:rPr>
              <w:t>2024</w:t>
            </w:r>
          </w:p>
        </w:tc>
      </w:tr>
      <w:tr w:rsidR="002066B0" w14:paraId="19AF487D"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076456BB" w14:textId="77777777" w:rsidR="002066B0" w:rsidRDefault="00000000">
            <w:r>
              <w:rPr>
                <w:sz w:val="20"/>
                <w:szCs w:val="20"/>
              </w:rPr>
              <w:t>European gas price increase post-Ukraine invasion</w:t>
            </w:r>
          </w:p>
        </w:tc>
        <w:tc>
          <w:tcPr>
            <w:tcW w:w="22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F60032D" w14:textId="77777777" w:rsidR="002066B0" w:rsidRDefault="00000000">
            <w:r>
              <w:rPr>
                <w:sz w:val="20"/>
                <w:szCs w:val="20"/>
              </w:rPr>
              <w:t>+300%+</w:t>
            </w:r>
          </w:p>
        </w:tc>
        <w:tc>
          <w:tcPr>
            <w:tcW w:w="20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1669484" w14:textId="77777777" w:rsidR="002066B0" w:rsidRDefault="00000000">
            <w:r>
              <w:rPr>
                <w:sz w:val="20"/>
                <w:szCs w:val="20"/>
              </w:rPr>
              <w:t>European Energy Exchange</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275C4427" w14:textId="77777777" w:rsidR="002066B0" w:rsidRDefault="00000000">
            <w:r>
              <w:rPr>
                <w:sz w:val="20"/>
                <w:szCs w:val="20"/>
              </w:rPr>
              <w:t>2022</w:t>
            </w:r>
          </w:p>
        </w:tc>
      </w:tr>
      <w:tr w:rsidR="002066B0" w14:paraId="4BE92D8E"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47C9F5A" w14:textId="77777777" w:rsidR="002066B0" w:rsidRDefault="00000000">
            <w:r>
              <w:rPr>
                <w:sz w:val="20"/>
                <w:szCs w:val="20"/>
              </w:rPr>
              <w:t>Estimated additional transit days via Cape of Good Hope</w:t>
            </w:r>
          </w:p>
        </w:tc>
        <w:tc>
          <w:tcPr>
            <w:tcW w:w="22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BFA2585" w14:textId="77777777" w:rsidR="002066B0" w:rsidRDefault="00000000">
            <w:r>
              <w:rPr>
                <w:sz w:val="20"/>
                <w:szCs w:val="20"/>
              </w:rPr>
              <w:t>10-14 days per voyage</w:t>
            </w:r>
          </w:p>
        </w:tc>
        <w:tc>
          <w:tcPr>
            <w:tcW w:w="20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767E59D2" w14:textId="77777777" w:rsidR="002066B0" w:rsidRDefault="00000000">
            <w:r>
              <w:rPr>
                <w:sz w:val="20"/>
                <w:szCs w:val="20"/>
              </w:rPr>
              <w:t>Lloyd's List</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848CCE4" w14:textId="77777777" w:rsidR="002066B0" w:rsidRDefault="00000000">
            <w:r>
              <w:rPr>
                <w:sz w:val="20"/>
                <w:szCs w:val="20"/>
              </w:rPr>
              <w:t>2024</w:t>
            </w:r>
          </w:p>
        </w:tc>
      </w:tr>
      <w:tr w:rsidR="002066B0" w14:paraId="1C1BBB39"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4B857B8C" w14:textId="77777777" w:rsidR="002066B0" w:rsidRDefault="00000000">
            <w:r>
              <w:rPr>
                <w:sz w:val="20"/>
                <w:szCs w:val="20"/>
              </w:rPr>
              <w:t>Panama Canal transit reduction during 2023-24 drought</w:t>
            </w:r>
          </w:p>
        </w:tc>
        <w:tc>
          <w:tcPr>
            <w:tcW w:w="22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5AE19754" w14:textId="77777777" w:rsidR="002066B0" w:rsidRDefault="00000000">
            <w:r>
              <w:rPr>
                <w:sz w:val="20"/>
                <w:szCs w:val="20"/>
              </w:rPr>
              <w:t>~33% fewer daily transits</w:t>
            </w:r>
          </w:p>
        </w:tc>
        <w:tc>
          <w:tcPr>
            <w:tcW w:w="200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1B7759D2" w14:textId="77777777" w:rsidR="002066B0" w:rsidRDefault="00000000">
            <w:r>
              <w:rPr>
                <w:sz w:val="20"/>
                <w:szCs w:val="20"/>
              </w:rPr>
              <w:t>Panama Canal Authority</w:t>
            </w:r>
          </w:p>
        </w:tc>
        <w:tc>
          <w:tcPr>
            <w:tcW w:w="2360" w:type="dxa"/>
            <w:tcBorders>
              <w:top w:val="single" w:sz="4" w:space="0" w:color="BBBBBB"/>
              <w:left w:val="single" w:sz="4" w:space="0" w:color="BBBBBB"/>
              <w:bottom w:val="single" w:sz="4" w:space="0" w:color="BBBBBB"/>
              <w:right w:val="single" w:sz="4" w:space="0" w:color="BBBBBB"/>
            </w:tcBorders>
            <w:shd w:val="clear" w:color="auto" w:fill="EDF3FB"/>
            <w:tcMar>
              <w:top w:w="80" w:type="dxa"/>
              <w:left w:w="160" w:type="dxa"/>
              <w:bottom w:w="80" w:type="dxa"/>
              <w:right w:w="160" w:type="dxa"/>
            </w:tcMar>
          </w:tcPr>
          <w:p w14:paraId="4CBD7AC5" w14:textId="77777777" w:rsidR="002066B0" w:rsidRDefault="00000000">
            <w:r>
              <w:rPr>
                <w:sz w:val="20"/>
                <w:szCs w:val="20"/>
              </w:rPr>
              <w:t>2024</w:t>
            </w:r>
          </w:p>
        </w:tc>
      </w:tr>
      <w:tr w:rsidR="002066B0" w14:paraId="424BCF08" w14:textId="77777777">
        <w:tblPrEx>
          <w:tblCellMar>
            <w:top w:w="0" w:type="dxa"/>
            <w:bottom w:w="0" w:type="dxa"/>
          </w:tblCellMar>
        </w:tblPrEx>
        <w:tc>
          <w:tcPr>
            <w:tcW w:w="28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6EEA4382" w14:textId="77777777" w:rsidR="002066B0" w:rsidRDefault="00000000">
            <w:r>
              <w:rPr>
                <w:sz w:val="20"/>
                <w:szCs w:val="20"/>
              </w:rPr>
              <w:t>Share of global neon gas supplied by Ukraine (pre-war)</w:t>
            </w:r>
          </w:p>
        </w:tc>
        <w:tc>
          <w:tcPr>
            <w:tcW w:w="22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2C2CCF35" w14:textId="77777777" w:rsidR="002066B0" w:rsidRDefault="00000000">
            <w:r>
              <w:rPr>
                <w:sz w:val="20"/>
                <w:szCs w:val="20"/>
              </w:rPr>
              <w:t>~70%</w:t>
            </w:r>
          </w:p>
        </w:tc>
        <w:tc>
          <w:tcPr>
            <w:tcW w:w="200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4E15FD31" w14:textId="77777777" w:rsidR="002066B0" w:rsidRDefault="00000000">
            <w:r>
              <w:rPr>
                <w:sz w:val="20"/>
                <w:szCs w:val="20"/>
              </w:rPr>
              <w:t>RAND Corporation</w:t>
            </w:r>
          </w:p>
        </w:tc>
        <w:tc>
          <w:tcPr>
            <w:tcW w:w="2360" w:type="dxa"/>
            <w:tcBorders>
              <w:top w:val="single" w:sz="4" w:space="0" w:color="BBBBBB"/>
              <w:left w:val="single" w:sz="4" w:space="0" w:color="BBBBBB"/>
              <w:bottom w:val="single" w:sz="4" w:space="0" w:color="BBBBBB"/>
              <w:right w:val="single" w:sz="4" w:space="0" w:color="BBBBBB"/>
            </w:tcBorders>
            <w:shd w:val="clear" w:color="auto" w:fill="FFFFFF"/>
            <w:tcMar>
              <w:top w:w="80" w:type="dxa"/>
              <w:left w:w="160" w:type="dxa"/>
              <w:bottom w:w="80" w:type="dxa"/>
              <w:right w:w="160" w:type="dxa"/>
            </w:tcMar>
          </w:tcPr>
          <w:p w14:paraId="3C9F31F1" w14:textId="77777777" w:rsidR="002066B0" w:rsidRDefault="00000000">
            <w:r>
              <w:rPr>
                <w:sz w:val="20"/>
                <w:szCs w:val="20"/>
              </w:rPr>
              <w:t>2022</w:t>
            </w:r>
          </w:p>
        </w:tc>
      </w:tr>
    </w:tbl>
    <w:p w14:paraId="71522FA2" w14:textId="77777777" w:rsidR="002066B0" w:rsidRDefault="00000000">
      <w:pPr>
        <w:spacing w:before="80" w:after="200"/>
        <w:jc w:val="center"/>
      </w:pPr>
      <w:r>
        <w:rPr>
          <w:i/>
          <w:iCs/>
          <w:color w:val="555555"/>
          <w:sz w:val="20"/>
          <w:szCs w:val="20"/>
        </w:rPr>
        <w:t>Appendix Table A1: Key Procurement Disruption Data Points Referenced in This Study</w:t>
      </w:r>
    </w:p>
    <w:sectPr w:rsidR="002066B0">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AB910" w14:textId="77777777" w:rsidR="00305C96" w:rsidRDefault="00305C96">
      <w:r>
        <w:separator/>
      </w:r>
    </w:p>
  </w:endnote>
  <w:endnote w:type="continuationSeparator" w:id="0">
    <w:p w14:paraId="50E4C7C8" w14:textId="77777777" w:rsidR="00305C96" w:rsidRDefault="0030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DF3B6" w14:textId="77777777" w:rsidR="002066B0" w:rsidRDefault="00000000">
    <w:pPr>
      <w:pBdr>
        <w:top w:val="single" w:sz="4" w:space="4" w:color="2E5FA3"/>
      </w:pBdr>
      <w:jc w:val="center"/>
    </w:pPr>
    <w:r>
      <w:rPr>
        <w:color w:val="888888"/>
        <w:sz w:val="18"/>
        <w:szCs w:val="18"/>
      </w:rPr>
      <w:t xml:space="preserve">Page </w:t>
    </w:r>
    <w:r>
      <w:rPr>
        <w:color w:val="888888"/>
        <w:sz w:val="18"/>
        <w:szCs w:val="18"/>
      </w:rPr>
      <w:fldChar w:fldCharType="begin"/>
    </w:r>
    <w:r>
      <w:rPr>
        <w:color w:val="888888"/>
        <w:sz w:val="18"/>
        <w:szCs w:val="18"/>
      </w:rPr>
      <w:instrText>PAGE</w:instrText>
    </w:r>
    <w:r>
      <w:rPr>
        <w:color w:val="888888"/>
        <w:sz w:val="18"/>
        <w:szCs w:val="18"/>
      </w:rPr>
      <w:fldChar w:fldCharType="separate"/>
    </w:r>
    <w:r w:rsidR="00000EEC">
      <w:rPr>
        <w:noProof/>
        <w:color w:val="888888"/>
        <w:sz w:val="18"/>
        <w:szCs w:val="18"/>
      </w:rPr>
      <w:t>1</w:t>
    </w:r>
    <w:r>
      <w:rPr>
        <w:color w:val="888888"/>
        <w:sz w:val="18"/>
        <w:szCs w:val="18"/>
      </w:rPr>
      <w:fldChar w:fldCharType="end"/>
    </w:r>
    <w:r>
      <w:rPr>
        <w:color w:val="888888"/>
        <w:sz w:val="18"/>
        <w:szCs w:val="18"/>
      </w:rPr>
      <w:t xml:space="preserve"> of </w:t>
    </w:r>
    <w:r>
      <w:rPr>
        <w:color w:val="888888"/>
        <w:sz w:val="18"/>
        <w:szCs w:val="18"/>
      </w:rPr>
      <w:fldChar w:fldCharType="begin"/>
    </w:r>
    <w:r>
      <w:rPr>
        <w:color w:val="888888"/>
        <w:sz w:val="18"/>
        <w:szCs w:val="18"/>
      </w:rPr>
      <w:instrText>NUMPAGES</w:instrText>
    </w:r>
    <w:r>
      <w:rPr>
        <w:color w:val="888888"/>
        <w:sz w:val="18"/>
        <w:szCs w:val="18"/>
      </w:rPr>
      <w:fldChar w:fldCharType="separate"/>
    </w:r>
    <w:r w:rsidR="00000EEC">
      <w:rPr>
        <w:noProof/>
        <w:color w:val="888888"/>
        <w:sz w:val="18"/>
        <w:szCs w:val="18"/>
      </w:rPr>
      <w:t>2</w:t>
    </w:r>
    <w:r>
      <w:rPr>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3A01" w14:textId="77777777" w:rsidR="00305C96" w:rsidRDefault="00305C96">
      <w:r>
        <w:separator/>
      </w:r>
    </w:p>
  </w:footnote>
  <w:footnote w:type="continuationSeparator" w:id="0">
    <w:p w14:paraId="50B4BACB" w14:textId="77777777" w:rsidR="00305C96" w:rsidRDefault="0030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8F94" w14:textId="77777777" w:rsidR="002066B0" w:rsidRDefault="00000000">
    <w:pPr>
      <w:pBdr>
        <w:bottom w:val="single" w:sz="4" w:space="4" w:color="2E5FA3"/>
      </w:pBdr>
    </w:pPr>
    <w:r>
      <w:rPr>
        <w:i/>
        <w:iCs/>
        <w:color w:val="666666"/>
        <w:sz w:val="18"/>
        <w:szCs w:val="18"/>
      </w:rPr>
      <w:t>Procurement in a Fractured World  |  Aditya K  |  Independent Research  |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8482A"/>
    <w:multiLevelType w:val="hybridMultilevel"/>
    <w:tmpl w:val="69568A44"/>
    <w:lvl w:ilvl="0" w:tplc="F2BCB672">
      <w:start w:val="1"/>
      <w:numFmt w:val="bullet"/>
      <w:lvlText w:val="•"/>
      <w:lvlJc w:val="left"/>
      <w:pPr>
        <w:ind w:left="720" w:hanging="360"/>
      </w:pPr>
    </w:lvl>
    <w:lvl w:ilvl="1" w:tplc="B2E811DC">
      <w:numFmt w:val="decimal"/>
      <w:lvlText w:val=""/>
      <w:lvlJc w:val="left"/>
    </w:lvl>
    <w:lvl w:ilvl="2" w:tplc="668A20C2">
      <w:numFmt w:val="decimal"/>
      <w:lvlText w:val=""/>
      <w:lvlJc w:val="left"/>
    </w:lvl>
    <w:lvl w:ilvl="3" w:tplc="F7DA0342">
      <w:numFmt w:val="decimal"/>
      <w:lvlText w:val=""/>
      <w:lvlJc w:val="left"/>
    </w:lvl>
    <w:lvl w:ilvl="4" w:tplc="55949380">
      <w:numFmt w:val="decimal"/>
      <w:lvlText w:val=""/>
      <w:lvlJc w:val="left"/>
    </w:lvl>
    <w:lvl w:ilvl="5" w:tplc="17D81028">
      <w:numFmt w:val="decimal"/>
      <w:lvlText w:val=""/>
      <w:lvlJc w:val="left"/>
    </w:lvl>
    <w:lvl w:ilvl="6" w:tplc="4DD42AF4">
      <w:numFmt w:val="decimal"/>
      <w:lvlText w:val=""/>
      <w:lvlJc w:val="left"/>
    </w:lvl>
    <w:lvl w:ilvl="7" w:tplc="31561194">
      <w:numFmt w:val="decimal"/>
      <w:lvlText w:val=""/>
      <w:lvlJc w:val="left"/>
    </w:lvl>
    <w:lvl w:ilvl="8" w:tplc="99F6FEC8">
      <w:numFmt w:val="decimal"/>
      <w:lvlText w:val=""/>
      <w:lvlJc w:val="left"/>
    </w:lvl>
  </w:abstractNum>
  <w:abstractNum w:abstractNumId="1" w15:restartNumberingAfterBreak="0">
    <w:nsid w:val="4D5B6ED3"/>
    <w:multiLevelType w:val="hybridMultilevel"/>
    <w:tmpl w:val="180E18E4"/>
    <w:lvl w:ilvl="0" w:tplc="5692B4B4">
      <w:start w:val="1"/>
      <w:numFmt w:val="bullet"/>
      <w:lvlText w:val="●"/>
      <w:lvlJc w:val="left"/>
      <w:pPr>
        <w:ind w:left="720" w:hanging="360"/>
      </w:pPr>
    </w:lvl>
    <w:lvl w:ilvl="1" w:tplc="0F020F7E">
      <w:start w:val="1"/>
      <w:numFmt w:val="bullet"/>
      <w:lvlText w:val="○"/>
      <w:lvlJc w:val="left"/>
      <w:pPr>
        <w:ind w:left="1440" w:hanging="360"/>
      </w:pPr>
    </w:lvl>
    <w:lvl w:ilvl="2" w:tplc="DB62EA3C">
      <w:start w:val="1"/>
      <w:numFmt w:val="bullet"/>
      <w:lvlText w:val="■"/>
      <w:lvlJc w:val="left"/>
      <w:pPr>
        <w:ind w:left="2160" w:hanging="360"/>
      </w:pPr>
    </w:lvl>
    <w:lvl w:ilvl="3" w:tplc="9C7A684E">
      <w:start w:val="1"/>
      <w:numFmt w:val="bullet"/>
      <w:lvlText w:val="●"/>
      <w:lvlJc w:val="left"/>
      <w:pPr>
        <w:ind w:left="2880" w:hanging="360"/>
      </w:pPr>
    </w:lvl>
    <w:lvl w:ilvl="4" w:tplc="1A0807C6">
      <w:start w:val="1"/>
      <w:numFmt w:val="bullet"/>
      <w:lvlText w:val="○"/>
      <w:lvlJc w:val="left"/>
      <w:pPr>
        <w:ind w:left="3600" w:hanging="360"/>
      </w:pPr>
    </w:lvl>
    <w:lvl w:ilvl="5" w:tplc="AC302F68">
      <w:start w:val="1"/>
      <w:numFmt w:val="bullet"/>
      <w:lvlText w:val="■"/>
      <w:lvlJc w:val="left"/>
      <w:pPr>
        <w:ind w:left="4320" w:hanging="360"/>
      </w:pPr>
    </w:lvl>
    <w:lvl w:ilvl="6" w:tplc="F894E6D2">
      <w:start w:val="1"/>
      <w:numFmt w:val="bullet"/>
      <w:lvlText w:val="●"/>
      <w:lvlJc w:val="left"/>
      <w:pPr>
        <w:ind w:left="5040" w:hanging="360"/>
      </w:pPr>
    </w:lvl>
    <w:lvl w:ilvl="7" w:tplc="B20293BA">
      <w:start w:val="1"/>
      <w:numFmt w:val="bullet"/>
      <w:lvlText w:val="●"/>
      <w:lvlJc w:val="left"/>
      <w:pPr>
        <w:ind w:left="5760" w:hanging="360"/>
      </w:pPr>
    </w:lvl>
    <w:lvl w:ilvl="8" w:tplc="D7DE1A3C">
      <w:start w:val="1"/>
      <w:numFmt w:val="bullet"/>
      <w:lvlText w:val="●"/>
      <w:lvlJc w:val="left"/>
      <w:pPr>
        <w:ind w:left="6480" w:hanging="360"/>
      </w:pPr>
    </w:lvl>
  </w:abstractNum>
  <w:abstractNum w:abstractNumId="2" w15:restartNumberingAfterBreak="0">
    <w:nsid w:val="57E81B8D"/>
    <w:multiLevelType w:val="hybridMultilevel"/>
    <w:tmpl w:val="3C363882"/>
    <w:lvl w:ilvl="0" w:tplc="57B66040">
      <w:start w:val="1"/>
      <w:numFmt w:val="decimal"/>
      <w:lvlText w:val="%1."/>
      <w:lvlJc w:val="left"/>
      <w:pPr>
        <w:ind w:left="720" w:hanging="360"/>
      </w:pPr>
    </w:lvl>
    <w:lvl w:ilvl="1" w:tplc="F4FE558C">
      <w:numFmt w:val="decimal"/>
      <w:lvlText w:val=""/>
      <w:lvlJc w:val="left"/>
    </w:lvl>
    <w:lvl w:ilvl="2" w:tplc="347A7FCC">
      <w:numFmt w:val="decimal"/>
      <w:lvlText w:val=""/>
      <w:lvlJc w:val="left"/>
    </w:lvl>
    <w:lvl w:ilvl="3" w:tplc="251CFB40">
      <w:numFmt w:val="decimal"/>
      <w:lvlText w:val=""/>
      <w:lvlJc w:val="left"/>
    </w:lvl>
    <w:lvl w:ilvl="4" w:tplc="6F34B7C2">
      <w:numFmt w:val="decimal"/>
      <w:lvlText w:val=""/>
      <w:lvlJc w:val="left"/>
    </w:lvl>
    <w:lvl w:ilvl="5" w:tplc="245E97E4">
      <w:numFmt w:val="decimal"/>
      <w:lvlText w:val=""/>
      <w:lvlJc w:val="left"/>
    </w:lvl>
    <w:lvl w:ilvl="6" w:tplc="7F74E5D4">
      <w:numFmt w:val="decimal"/>
      <w:lvlText w:val=""/>
      <w:lvlJc w:val="left"/>
    </w:lvl>
    <w:lvl w:ilvl="7" w:tplc="9F5C2B9E">
      <w:numFmt w:val="decimal"/>
      <w:lvlText w:val=""/>
      <w:lvlJc w:val="left"/>
    </w:lvl>
    <w:lvl w:ilvl="8" w:tplc="A64E91E6">
      <w:numFmt w:val="decimal"/>
      <w:lvlText w:val=""/>
      <w:lvlJc w:val="left"/>
    </w:lvl>
  </w:abstractNum>
  <w:num w:numId="1" w16cid:durableId="2139685402">
    <w:abstractNumId w:val="1"/>
    <w:lvlOverride w:ilvl="0">
      <w:startOverride w:val="1"/>
    </w:lvlOverride>
  </w:num>
  <w:num w:numId="2" w16cid:durableId="701271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6B0"/>
    <w:rsid w:val="00000EEC"/>
    <w:rsid w:val="002066B0"/>
    <w:rsid w:val="00305C96"/>
    <w:rsid w:val="0060393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DEA7"/>
  <w15:docId w15:val="{9CCBF364-FA87-4D3F-8934-0A63C6BE4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80" w:after="200"/>
      <w:outlineLvl w:val="0"/>
    </w:pPr>
    <w:rPr>
      <w:b/>
      <w:bCs/>
      <w:color w:val="1B3A6B"/>
      <w:sz w:val="36"/>
      <w:szCs w:val="36"/>
    </w:rPr>
  </w:style>
  <w:style w:type="paragraph" w:styleId="Heading2">
    <w:name w:val="heading 2"/>
    <w:uiPriority w:val="9"/>
    <w:unhideWhenUsed/>
    <w:qFormat/>
    <w:pPr>
      <w:spacing w:before="320" w:after="140"/>
      <w:outlineLvl w:val="1"/>
    </w:pPr>
    <w:rPr>
      <w:b/>
      <w:bCs/>
      <w:color w:val="2E5FA3"/>
      <w:sz w:val="28"/>
      <w:szCs w:val="28"/>
    </w:rPr>
  </w:style>
  <w:style w:type="paragraph" w:styleId="Heading3">
    <w:name w:val="heading 3"/>
    <w:uiPriority w:val="9"/>
    <w:semiHidden/>
    <w:unhideWhenUsed/>
    <w:qFormat/>
    <w:pPr>
      <w:spacing w:before="240" w:after="100"/>
      <w:outlineLvl w:val="2"/>
    </w:pPr>
    <w:rPr>
      <w:b/>
      <w:bCs/>
      <w:i/>
      <w:iCs/>
      <w:color w:val="44444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37</Pages>
  <Words>8892</Words>
  <Characters>58424</Characters>
  <Application>Microsoft Office Word</Application>
  <DocSecurity>0</DocSecurity>
  <Lines>1043</Lines>
  <Paragraphs>380</Paragraphs>
  <ScaleCrop>false</ScaleCrop>
  <Company/>
  <LinksUpToDate>false</LinksUpToDate>
  <CharactersWithSpaces>66936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Tender Division - KLK</cp:lastModifiedBy>
  <cp:revision>2</cp:revision>
  <dcterms:created xsi:type="dcterms:W3CDTF">2026-03-31T11:43:00Z</dcterms:created>
  <dcterms:modified xsi:type="dcterms:W3CDTF">2026-03-31T11:57:00Z</dcterms:modified>
</cp:coreProperties>
</file>