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280"/>
              <w:left w:type="dxa" w:w="240"/>
              <w:bottom w:type="dxa" w:w="280"/>
              <w:right w:type="dxa" w:w="240"/>
            </w:tcMar>
          </w:tcPr>
          <w:p>
            <w:pPr>
              <w:spacing w:before="0" w:after="120"/>
              <w:jc w:val="center"/>
            </w:pPr>
            <w:r>
              <w:rPr>
                <w:rFonts w:ascii="Arial" w:cs="Arial" w:eastAsia="Arial" w:hAnsi="Arial"/>
                <w:b/>
                <w:bCs/>
                <w:color w:val="FFFFFF"/>
                <w:sz w:val="40"/>
                <w:szCs w:val="40"/>
              </w:rPr>
              <w:t xml:space="preserve">HYBRID PROSECUTORIAL RESEARCH STANDARD</w:t>
            </w:r>
          </w:p>
          <w:p>
            <w:pPr>
              <w:spacing w:before="0" w:after="120"/>
              <w:jc w:val="center"/>
            </w:pPr>
            <w:r>
              <w:rPr>
                <w:rFonts w:ascii="Arial" w:cs="Arial" w:eastAsia="Arial" w:hAnsi="Arial"/>
                <w:b/>
                <w:bCs/>
                <w:color w:val="FFFFFF"/>
                <w:sz w:val="80"/>
                <w:szCs w:val="80"/>
              </w:rPr>
              <w:t xml:space="preserve">HPRS</w:t>
            </w:r>
          </w:p>
          <w:p>
            <w:pPr>
              <w:spacing w:before="0" w:after="60"/>
              <w:jc w:val="center"/>
            </w:pPr>
            <w:r>
              <w:rPr>
                <w:rFonts w:ascii="Arial" w:cs="Arial" w:eastAsia="Arial" w:hAnsi="Arial"/>
                <w:b/>
                <w:bCs/>
                <w:color w:val="D4AF37"/>
                <w:sz w:val="28"/>
                <w:szCs w:val="28"/>
              </w:rPr>
              <w:t xml:space="preserve">COMPLETE GOVERNING STANDARD</w:t>
            </w:r>
          </w:p>
          <w:p>
            <w:pPr>
              <w:spacing w:before="0" w:after="0"/>
              <w:jc w:val="center"/>
            </w:pPr>
            <w:r>
              <w:rPr>
                <w:rFonts w:ascii="Arial" w:cs="Arial" w:eastAsia="Arial" w:hAnsi="Arial"/>
                <w:i/>
                <w:iCs/>
                <w:color w:val="CCCCCC"/>
                <w:sz w:val="24"/>
                <w:szCs w:val="24"/>
              </w:rPr>
              <w:t xml:space="preserve">Integrated Manual with Validation Checklist</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360"/>
        <w:gridCol w:w="3360"/>
        <w:gridCol w:w="3360"/>
      </w:tblGrid>
      <w:tr>
        <w:tc>
          <w:tcPr>
            <w:tcBorders>
              <w:top w:val="single" w:color="CCCCCC" w:sz="1"/>
              <w:left w:val="single" w:color="CCCCCC" w:sz="1"/>
              <w:bottom w:val="single" w:color="CCCCCC" w:sz="1"/>
              <w:right w:val="single" w:color="CCCCCC" w:sz="1"/>
            </w:tcBorders>
            <w:shd w:fill="F4F4F4" w:val="clear"/>
            <w:tcMar>
              <w:top w:type="dxa" w:w="100"/>
              <w:left w:type="dxa" w:w="120"/>
              <w:bottom w:type="dxa" w:w="100"/>
              <w:right w:type="dxa" w:w="120"/>
            </w:tcMar>
          </w:tcPr>
          <w:p>
            <w:r>
              <w:rPr>
                <w:rFonts w:ascii="Arial" w:cs="Arial" w:eastAsia="Arial" w:hAnsi="Arial"/>
                <w:b/>
                <w:bCs/>
                <w:color w:val="1B2F4E"/>
                <w:sz w:val="18"/>
                <w:szCs w:val="18"/>
              </w:rPr>
              <w:t xml:space="preserve">Document Type</w:t>
            </w:r>
          </w:p>
          <w:p>
            <w:r>
              <w:rPr>
                <w:rFonts w:ascii="Times New Roman" w:cs="Times New Roman" w:eastAsia="Times New Roman" w:hAnsi="Times New Roman"/>
                <w:color w:val="2C2C2C"/>
                <w:sz w:val="20"/>
                <w:szCs w:val="20"/>
              </w:rPr>
              <w:t xml:space="preserve">L1 Universal Infrastructure</w:t>
            </w:r>
          </w:p>
        </w:tc>
        <w:tc>
          <w:tcPr>
            <w:tcBorders>
              <w:top w:val="single" w:color="CCCCCC" w:sz="1"/>
              <w:left w:val="single" w:color="CCCCCC" w:sz="1"/>
              <w:bottom w:val="single" w:color="CCCCCC" w:sz="1"/>
              <w:right w:val="single" w:color="CCCCCC" w:sz="1"/>
            </w:tcBorders>
            <w:shd w:fill="F4F4F4" w:val="clear"/>
            <w:tcMar>
              <w:top w:type="dxa" w:w="100"/>
              <w:left w:type="dxa" w:w="120"/>
              <w:bottom w:type="dxa" w:w="100"/>
              <w:right w:type="dxa" w:w="120"/>
            </w:tcMar>
          </w:tcPr>
          <w:p>
            <w:r>
              <w:rPr>
                <w:rFonts w:ascii="Arial" w:cs="Arial" w:eastAsia="Arial" w:hAnsi="Arial"/>
                <w:b/>
                <w:bCs/>
                <w:color w:val="1B2F4E"/>
                <w:sz w:val="18"/>
                <w:szCs w:val="18"/>
              </w:rPr>
              <w:t xml:space="preserve">Standard Version</w:t>
            </w:r>
          </w:p>
          <w:p>
            <w:r>
              <w:rPr>
                <w:rFonts w:ascii="Times New Roman" w:cs="Times New Roman" w:eastAsia="Times New Roman" w:hAnsi="Times New Roman"/>
                <w:color w:val="2C2C2C"/>
                <w:sz w:val="20"/>
                <w:szCs w:val="20"/>
              </w:rPr>
              <w:t xml:space="preserve">HPRS 1.0  ·  2026</w:t>
            </w:r>
          </w:p>
        </w:tc>
        <w:tc>
          <w:tcPr>
            <w:tcBorders>
              <w:top w:val="single" w:color="CCCCCC" w:sz="1"/>
              <w:left w:val="single" w:color="CCCCCC" w:sz="1"/>
              <w:bottom w:val="single" w:color="CCCCCC" w:sz="1"/>
              <w:right w:val="single" w:color="CCCCCC" w:sz="1"/>
            </w:tcBorders>
            <w:shd w:fill="F4F4F4" w:val="clear"/>
            <w:tcMar>
              <w:top w:type="dxa" w:w="100"/>
              <w:left w:type="dxa" w:w="120"/>
              <w:bottom w:type="dxa" w:w="100"/>
              <w:right w:type="dxa" w:w="120"/>
            </w:tcMar>
          </w:tcPr>
          <w:p>
            <w:r>
              <w:rPr>
                <w:rFonts w:ascii="Arial" w:cs="Arial" w:eastAsia="Arial" w:hAnsi="Arial"/>
                <w:b/>
                <w:bCs/>
                <w:color w:val="1B2F4E"/>
                <w:sz w:val="18"/>
                <w:szCs w:val="18"/>
              </w:rPr>
              <w:t xml:space="preserve">Developed By</w:t>
            </w:r>
          </w:p>
          <w:p>
            <w:r>
              <w:rPr>
                <w:rFonts w:ascii="Times New Roman" w:cs="Times New Roman" w:eastAsia="Times New Roman" w:hAnsi="Times New Roman"/>
                <w:color w:val="2C2C2C"/>
                <w:sz w:val="20"/>
                <w:szCs w:val="20"/>
              </w:rPr>
              <w:t xml:space="preserve">C.B. Tinker  ·  2026</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READER'S INTRODUCTION</w:t>
            </w:r>
          </w:p>
        </w:tc>
      </w:tr>
    </w:tbl>
    <w:p>
      <w:pPr>
        <w:spacing w:before="60" w:after="60"/>
      </w:pPr>
    </w:p>
    <w:p>
      <w:pPr>
        <w:spacing w:before="0" w:after="160"/>
      </w:pPr>
      <w:r>
        <w:rPr>
          <w:rFonts w:ascii="Arial" w:cs="Arial" w:eastAsia="Arial" w:hAnsi="Arial"/>
          <w:b/>
          <w:bCs/>
          <w:color w:val="1B2F4E"/>
          <w:sz w:val="28"/>
          <w:szCs w:val="28"/>
        </w:rPr>
        <w:t xml:space="preserve">What This Manual Provides</w:t>
      </w:r>
    </w:p>
    <w:p>
      <w:pPr>
        <w:spacing w:before="0" w:after="120"/>
      </w:pPr>
      <w:r>
        <w:rPr>
          <w:rFonts w:ascii="Times New Roman" w:cs="Times New Roman" w:eastAsia="Times New Roman" w:hAnsi="Times New Roman"/>
          <w:color w:val="2C2C2C"/>
          <w:sz w:val="22"/>
          <w:szCs w:val="22"/>
        </w:rPr>
        <w:t xml:space="preserve">The Hybrid Prosecutorial Research Standard (HPRS) is a formal methodology designed for one specific problem that no existing citation or research standard was built to solve: how to conduct rigorous scholarly work that simultaneously makes claims in two or more distinct academic disciplines — each with its own citation rules, evidentiary thresholds, and expert audience — without sacrificing the standards of any of them.</w:t>
      </w:r>
    </w:p>
    <w:p>
      <w:pPr>
        <w:spacing w:before="60" w:after="60"/>
      </w:pPr>
    </w:p>
    <w:p>
      <w:pPr>
        <w:spacing w:before="0" w:after="120"/>
      </w:pPr>
      <w:r>
        <w:rPr>
          <w:rFonts w:ascii="Times New Roman" w:cs="Times New Roman" w:eastAsia="Times New Roman" w:hAnsi="Times New Roman"/>
          <w:color w:val="2C2C2C"/>
          <w:sz w:val="22"/>
          <w:szCs w:val="22"/>
        </w:rPr>
        <w:t xml:space="preserve">This volume is the complete HPRS governing document. It combines two instruments into a single publication:</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7680"/>
      </w:tblGrid>
      <w:tr>
        <w:tc>
          <w:tcPr>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r>
              <w:rPr>
                <w:rFonts w:ascii="Arial" w:cs="Arial" w:eastAsia="Arial" w:hAnsi="Arial"/>
                <w:b/>
                <w:bCs/>
                <w:color w:val="FFFFFF"/>
                <w:sz w:val="18"/>
                <w:szCs w:val="18"/>
              </w:rPr>
              <w:t xml:space="preserve">Instrument</w:t>
            </w:r>
          </w:p>
        </w:tc>
        <w:tc>
          <w:tcPr>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r>
              <w:rPr>
                <w:rFonts w:ascii="Arial" w:cs="Arial" w:eastAsia="Arial" w:hAnsi="Arial"/>
                <w:b/>
                <w:bCs/>
                <w:color w:val="FFFFFF"/>
                <w:sz w:val="18"/>
                <w:szCs w:val="18"/>
              </w:rPr>
              <w:t xml:space="preserve">What It Does</w:t>
            </w:r>
          </w:p>
        </w:tc>
      </w:tr>
      <w:tr>
        <w:tc>
          <w:tcPr>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b/>
                <w:bCs/>
                <w:color w:val="2C2C2C"/>
                <w:sz w:val="20"/>
                <w:szCs w:val="20"/>
              </w:rPr>
              <w:t xml:space="preserve">HPRS Integrated Manual (Parts I–VIII)</w:t>
            </w:r>
          </w:p>
        </w:tc>
        <w:tc>
          <w:tcPr>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Defines the standard itself: its six scholarly registers, the Claim Transparency Framework, the citation conflict-resolution hierarchy, all style and formatting rules, and all fourteen operational modules governing research, drafting, and pre-publication clearance.</w:t>
            </w:r>
          </w:p>
        </w:tc>
      </w:tr>
      <w:tr>
        <w:tc>
          <w:tcPr>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b/>
                <w:bCs/>
                <w:color w:val="2C2C2C"/>
                <w:sz w:val="20"/>
                <w:szCs w:val="20"/>
              </w:rPr>
              <w:t xml:space="preserve">HPRS Validation Checklist (Gates 1–5)</w:t>
            </w:r>
          </w:p>
        </w:tc>
        <w:tc>
          <w:tcPr>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post-development audit instrument. Completed once per document before publication. Walks the reviewer sequentially through five clearance gates — flag clearance, CTF disclosure, legal precision, cross-document consistency, and final integrity — in the order they must be cleared.</w:t>
            </w:r>
          </w:p>
        </w:tc>
      </w:tr>
    </w:tbl>
    <w:p>
      <w:pPr>
        <w:spacing w:before="60" w:after="60"/>
      </w:pPr>
    </w:p>
    <w:p>
      <w:pPr>
        <w:spacing w:before="0" w:after="160"/>
      </w:pPr>
      <w:r>
        <w:rPr>
          <w:rFonts w:ascii="Arial" w:cs="Arial" w:eastAsia="Arial" w:hAnsi="Arial"/>
          <w:b/>
          <w:bCs/>
          <w:color w:val="1B2F4E"/>
          <w:sz w:val="26"/>
          <w:szCs w:val="26"/>
        </w:rPr>
        <w:t xml:space="preserve">The Problem This Standard Solves</w:t>
      </w:r>
    </w:p>
    <w:p>
      <w:pPr>
        <w:spacing w:before="0" w:after="120"/>
      </w:pPr>
      <w:r>
        <w:rPr>
          <w:rFonts w:ascii="Times New Roman" w:cs="Times New Roman" w:eastAsia="Times New Roman" w:hAnsi="Times New Roman"/>
          <w:color w:val="2C2C2C"/>
          <w:sz w:val="22"/>
          <w:szCs w:val="22"/>
        </w:rPr>
        <w:t xml:space="preserve">Every major scholarly citation standard — APA 7th Edition, Chicago 17th Edition, Bluebook 21st Edition, CSE 8th Edition, and GPO Style — was designed for a single disciplinary domain. APA governs psychology and social sciences. Chicago governs history and humanities. Bluebook governs legal writing. CSE governs natural sciences. GPO governs U.S. government publications.</w:t>
      </w:r>
    </w:p>
    <w:p>
      <w:pPr>
        <w:spacing w:before="60" w:after="60"/>
      </w:pPr>
    </w:p>
    <w:p>
      <w:pPr>
        <w:spacing w:before="0" w:after="120"/>
      </w:pPr>
      <w:r>
        <w:rPr>
          <w:rFonts w:ascii="Times New Roman" w:cs="Times New Roman" w:eastAsia="Times New Roman" w:hAnsi="Times New Roman"/>
          <w:color w:val="2C2C2C"/>
          <w:sz w:val="22"/>
          <w:szCs w:val="22"/>
        </w:rPr>
        <w:t xml:space="preserve">When research occupies two or more of these domains simultaneously — making mathematical probability claims that drive legal and policy conclusions, or citing peer-reviewed science in the same argument as federal regulatory text — no single standard is adequate, and applying them naively produces direct, unresolvable conflicts in citation format, heading structure, quotation thresholds, and mathematical disclosure requirements.</w:t>
      </w:r>
    </w:p>
    <w:p>
      <w:pPr>
        <w:spacing w:before="60" w:after="60"/>
      </w:pPr>
    </w:p>
    <w:p>
      <w:pPr>
        <w:spacing w:before="0" w:after="120"/>
      </w:pPr>
      <w:r>
        <w:rPr>
          <w:rFonts w:ascii="Times New Roman" w:cs="Times New Roman" w:eastAsia="Times New Roman" w:hAnsi="Times New Roman"/>
          <w:color w:val="2C2C2C"/>
          <w:sz w:val="22"/>
          <w:szCs w:val="22"/>
        </w:rPr>
        <w:t xml:space="preserve">The HPRS was built to occupy the space none of these standards covers alone. It does not replace any of them within their domains. It synthesizes all five into a single decision architecture, resolves every identified inter-standard conflict through a documented hierarchy, and adds original requirements for the situations none of the five standards addresses — most critically, the Claim Transparency Framework for compounded cross-domain probability arguments.</w:t>
      </w:r>
    </w:p>
    <w:p>
      <w:pPr>
        <w:spacing w:before="60" w:after="60"/>
      </w:pPr>
    </w:p>
    <w:p>
      <w:pPr>
        <w:spacing w:before="0" w:after="160"/>
      </w:pPr>
      <w:r>
        <w:rPr>
          <w:rFonts w:ascii="Arial" w:cs="Arial" w:eastAsia="Arial" w:hAnsi="Arial"/>
          <w:b/>
          <w:bCs/>
          <w:color w:val="1B2F4E"/>
          <w:sz w:val="26"/>
          <w:szCs w:val="26"/>
        </w:rPr>
        <w:t xml:space="preserve">Who This Manual Is For</w:t>
      </w:r>
    </w:p>
    <w:p>
      <w:pPr>
        <w:spacing w:before="0" w:after="120"/>
      </w:pPr>
      <w:r>
        <w:rPr>
          <w:rFonts w:ascii="Times New Roman" w:cs="Times New Roman" w:eastAsia="Times New Roman" w:hAnsi="Times New Roman"/>
          <w:color w:val="2C2C2C"/>
          <w:sz w:val="22"/>
          <w:szCs w:val="22"/>
        </w:rPr>
        <w:t xml:space="preserve">This manual is for any researcher whose work simultaneously occupies two or more of the six HPRS scholarly registers: Quantitative/Mathematical (R1), Empirical Science (R2), Legal/Regulatory (R3), Institutional/Policy (R4), Epistemological (R5), and Rhetorical (R6). The standard is domain-agnostic — it applies to any field of inquiry that crosses disciplinary lines. A researcher adopts the HPRS by completing the Collection Intake Sequence in Module 1 and instantiating the collection-specific L2 instruments.</w:t>
      </w:r>
    </w:p>
    <w:p>
      <w:pPr>
        <w:spacing w:before="60" w:after="60"/>
      </w:pPr>
    </w:p>
    <w:p>
      <w:pPr>
        <w:spacing w:before="0" w:after="120"/>
      </w:pPr>
      <w:r>
        <w:rPr>
          <w:rFonts w:ascii="Times New Roman" w:cs="Times New Roman" w:eastAsia="Times New Roman" w:hAnsi="Times New Roman"/>
          <w:color w:val="2C2C2C"/>
          <w:sz w:val="22"/>
          <w:szCs w:val="22"/>
        </w:rPr>
        <w:t xml:space="preserve">It is also for reviewers, critics, and readers who want to understand the framework under which a specific HPRS-governed document was produced — and under which any challenge to that document must be engaged. The HPRS's challenge-response protocol (Module 12) defines precisely what kind of objection constitutes a valid falsification versus a procedural complaint, and what the researcher's obligations are in response to each.</w:t>
      </w:r>
    </w:p>
    <w:p>
      <w:pPr>
        <w:spacing w:before="60" w:after="60"/>
      </w:pPr>
    </w:p>
    <w:p>
      <w:pPr>
        <w:spacing w:before="0" w:after="160"/>
      </w:pPr>
      <w:r>
        <w:rPr>
          <w:rFonts w:ascii="Arial" w:cs="Arial" w:eastAsia="Arial" w:hAnsi="Arial"/>
          <w:b/>
          <w:bCs/>
          <w:color w:val="1B2F4E"/>
          <w:sz w:val="26"/>
          <w:szCs w:val="26"/>
        </w:rPr>
        <w:t xml:space="preserve">How This Volume Is Organized</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3000"/>
        <w:gridCol w:w="4680"/>
      </w:tblGrid>
      <w:tr>
        <w:trPr>
          <w:tblHeader/>
        </w:trPr>
        <w:tc>
          <w:tcPr>
            <w:tcW w:type="dxa" w:w="24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Part / Section</w:t>
            </w:r>
          </w:p>
        </w:tc>
        <w:tc>
          <w:tcPr>
            <w:tcW w:type="dxa" w:w="3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Title</w:t>
            </w:r>
          </w:p>
        </w:tc>
        <w:tc>
          <w:tcPr>
            <w:tcW w:type="dxa" w:w="46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What It Contains</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Part I</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Standard: Definition, Necessity, and Architecture</w:t>
            </w:r>
          </w:p>
        </w:tc>
        <w:tc>
          <w:tcPr>
            <w:tcW w:type="dxa" w:w="4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Why the HPRS was created; the Foundational Principle (non-relaxation of component standards); the Three-Layer Architecture (L1, L2, L3)</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Part II</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Six Fixed Scholarly Registers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Definitions, governing standards, and expert audiences for R1 through R6; multi-register claim requirements</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Part III</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HPRS Claim Transparency Framework</w:t>
            </w:r>
          </w:p>
        </w:tc>
        <w:tc>
          <w:tcPr>
            <w:tcW w:type="dxa" w:w="4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five claim tiers (T1–T5); Methodological Note format; the four-part independence argument; the Asymmetry Principle; the falsifiability requirement</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Part IV</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Citation Architecture and Conflict Resolution</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five component standards and their domains; the subordination hierarchy; the Conflict Resolution Decision Tree; all 20 documented inter-standard conflicts and their resolutions</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Part V</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Style and Visual Standards</w:t>
            </w:r>
          </w:p>
        </w:tc>
        <w:tc>
          <w:tcPr>
            <w:tcW w:type="dxa" w:w="4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Fixed non-negotiable elements; the five callout types; variable elements defined at collection intake; prohibited formatting elements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Parts VI–VII</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Operational Modules 1–14</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Collection intake; claim-type verification; cross-document consistency; domain checklist construction; inline flag system; epigraph protocol; pending verification register; online source fidelity; implicit baseline identification; AI disclosure; copyright; challenge response; defined terms; AI source conflict disclosure</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Part VIII</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Pre-Publication Clearance Sequence</w:t>
            </w:r>
          </w:p>
        </w:tc>
        <w:tc>
          <w:tcPr>
            <w:tcW w:type="dxa" w:w="4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five sequential publication gates; Gate 5 sign-off as publication authorization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Appendix</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Official Verification Sources Quick Reference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Authoritative sources for all regulatory, statutory, scientific, and governmental citation verification</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Validation Checklist</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Gates 1–5 Audit Instrument</w:t>
            </w:r>
          </w:p>
        </w:tc>
        <w:tc>
          <w:tcPr>
            <w:tcW w:type="dxa" w:w="4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Post-development validation checklist; Section A collection intake confirmation; Gates 1–5 with pass/fail/N/A for every HPRS requirement; Correction Justification Log</w:t>
            </w:r>
          </w:p>
        </w:tc>
      </w:tr>
    </w:tbl>
    <w:p>
      <w:pPr>
        <w:spacing w:before="60" w:after="60"/>
      </w:pPr>
    </w:p>
    <w:p>
      <w:pPr>
        <w:spacing w:before="0" w:after="160"/>
      </w:pPr>
      <w:r>
        <w:rPr>
          <w:rFonts w:ascii="Arial" w:cs="Arial" w:eastAsia="Arial" w:hAnsi="Arial"/>
          <w:b/>
          <w:bCs/>
          <w:color w:val="1B2F4E"/>
          <w:sz w:val="26"/>
          <w:szCs w:val="26"/>
        </w:rPr>
        <w:t xml:space="preserve">The Non-Relaxation Principle</w:t>
      </w:r>
    </w:p>
    <w:p>
      <w:pPr>
        <w:spacing w:before="0" w:after="120"/>
      </w:pPr>
      <w:r>
        <w:rPr>
          <w:rFonts w:ascii="Times New Roman" w:cs="Times New Roman" w:eastAsia="Times New Roman" w:hAnsi="Times New Roman"/>
          <w:color w:val="2C2C2C"/>
          <w:sz w:val="22"/>
          <w:szCs w:val="22"/>
        </w:rPr>
        <w:t xml:space="preserve">The HPRS's foundational principle is that the synthesis adds requirements and removes none. Every component standard retains its full force within its domain. A claim in the Legal/Regulatory Register must meet Bluebook 21 standards. A claim in the Empirical Science Register must meet CSE 8 standards. A claim in the Quantitative/Mathematical Register must meet the HPRS Claim Transparency Framework — which is more demanding than any single standard's provision for mathematical claims, because no single standard was designed for original cross-domain compounded methodology.</w:t>
      </w:r>
    </w:p>
    <w:p>
      <w:pPr>
        <w:spacing w:before="60" w:after="60"/>
      </w:pPr>
    </w:p>
    <w:p>
      <w:pPr>
        <w:spacing w:before="0" w:after="120"/>
      </w:pPr>
      <w:r>
        <w:rPr>
          <w:rFonts w:ascii="Times New Roman" w:cs="Times New Roman" w:eastAsia="Times New Roman" w:hAnsi="Times New Roman"/>
          <w:color w:val="2C2C2C"/>
          <w:sz w:val="22"/>
          <w:szCs w:val="22"/>
        </w:rPr>
        <w:t xml:space="preserve">This volume is the complete expression of that principle. It is intended to be read before collection-level work begins, returned to during drafting whenever a citation or methodological question arises, and used as the basis for the Validation Checklist review before any document governed by the HPRS is published.</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1B2F4E" w:sz="4"/>
              <w:left w:val="single" w:color="1B2F4E" w:sz="4"/>
              <w:bottom w:val="single" w:color="1B2F4E" w:sz="4"/>
              <w:right w:val="single" w:color="1B2F4E" w:sz="4"/>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A Note on Version</w:t>
            </w:r>
          </w:p>
          <w:p>
            <w:pPr>
              <w:spacing w:before="0" w:after="60"/>
            </w:pPr>
            <w:r>
              <w:rPr>
                <w:rFonts w:ascii="Times New Roman" w:cs="Times New Roman" w:eastAsia="Times New Roman" w:hAnsi="Times New Roman"/>
                <w:color w:val="2C2C2C"/>
                <w:sz w:val="22"/>
                <w:szCs w:val="22"/>
              </w:rPr>
              <w:t xml:space="preserve">This document governs HPRS Version 1.0 (2026). The standard itself never changes between collections — only the collection-specific L2 instruments do. Any formal amendment to the standard constitutes a new version and is documented as such. All collections governed by HPRS 1.0 remain under 1.0 until a formal migration to a subsequent version is completed.</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I — THE STANDARD: DEFINITION, NECESSITY, AND ARCHITECTURE</w:t>
            </w:r>
          </w:p>
        </w:tc>
      </w:tr>
    </w:tbl>
    <w:p>
      <w:pPr>
        <w:spacing w:before="60" w:after="60"/>
      </w:pPr>
    </w:p>
    <w:p>
      <w:pPr>
        <w:spacing w:before="0" w:after="120"/>
      </w:pPr>
      <w:r>
        <w:rPr>
          <w:rFonts w:ascii="Arial" w:cs="Arial" w:eastAsia="Arial" w:hAnsi="Arial"/>
          <w:b/>
          <w:bCs/>
          <w:color w:val="1B2F4E"/>
          <w:sz w:val="24"/>
          <w:szCs w:val="24"/>
        </w:rPr>
        <w:t xml:space="preserve">1.1  Why a New Standard Was Required</w:t>
      </w:r>
    </w:p>
    <w:p>
      <w:pPr>
        <w:spacing w:before="0" w:after="120"/>
      </w:pPr>
      <w:r>
        <w:rPr>
          <w:rFonts w:ascii="Times New Roman" w:cs="Times New Roman" w:eastAsia="Times New Roman" w:hAnsi="Times New Roman"/>
          <w:color w:val="2C2C2C"/>
          <w:sz w:val="22"/>
          <w:szCs w:val="22"/>
        </w:rPr>
        <w:t xml:space="preserve">Each of the five established scholarly citation and formatting standards governs a single disciplinary domain. APA 7th Edition governs psychology and social sciences. Chicago 17th Edition governs history and humanities. Bluebook 21st Edition governs legal writing. CSE 8th Edition governs natural sciences. GPO Style governs U.S. government publications. When research simultaneously occupies two or more of these domains — making claims that must withstand scrutiny from multiple expert communities at once — no single standard is sufficient, and applying them naively produces direct conflicts.</w:t>
      </w:r>
    </w:p>
    <w:p>
      <w:pPr>
        <w:spacing w:before="60" w:after="60"/>
      </w:pPr>
    </w:p>
    <w:p>
      <w:pPr>
        <w:spacing w:before="0" w:after="120"/>
      </w:pPr>
      <w:r>
        <w:rPr>
          <w:rFonts w:ascii="Times New Roman" w:cs="Times New Roman" w:eastAsia="Times New Roman" w:hAnsi="Times New Roman"/>
          <w:color w:val="2C2C2C"/>
          <w:sz w:val="22"/>
          <w:szCs w:val="22"/>
        </w:rPr>
        <w:t xml:space="preserve">The HPRS was created to occupy the space none of these standards covers alone. It does not replace any of them within their domains. It synthesizes them into a single decision architecture for cross-disciplinary work, resolving every identified conflict through a documented hierarchy, and adding original requirements for situations none of the five standards addresses.</w:t>
      </w:r>
    </w:p>
    <w:p>
      <w:pPr>
        <w:spacing w:before="60" w:after="60"/>
      </w:pPr>
    </w:p>
    <w:p>
      <w:pPr>
        <w:spacing w:before="0" w:after="120"/>
      </w:pPr>
      <w:r>
        <w:rPr>
          <w:rFonts w:ascii="Arial" w:cs="Arial" w:eastAsia="Arial" w:hAnsi="Arial"/>
          <w:b/>
          <w:bCs/>
          <w:color w:val="1B2F4E"/>
          <w:sz w:val="24"/>
          <w:szCs w:val="24"/>
        </w:rPr>
        <w:t xml:space="preserve">1.2  The HPRS Foundational Principle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9B1C1C" w:sz="4"/>
              <w:left w:val="single" w:color="9B1C1C" w:sz="4"/>
              <w:bottom w:val="single" w:color="9B1C1C" w:sz="4"/>
              <w:right w:val="single" w:color="9B1C1C" w:sz="4"/>
            </w:tcBorders>
            <w:shd w:fill="FDECEA" w:val="clear"/>
            <w:tcMar>
              <w:top w:type="dxa" w:w="120"/>
              <w:left w:type="dxa" w:w="160"/>
              <w:bottom w:type="dxa" w:w="120"/>
              <w:right w:type="dxa" w:w="160"/>
            </w:tcMar>
          </w:tcPr>
          <w:p>
            <w:pPr>
              <w:spacing w:before="0" w:after="80"/>
            </w:pPr>
            <w:r>
              <w:rPr>
                <w:rFonts w:ascii="Arial" w:cs="Arial" w:eastAsia="Arial" w:hAnsi="Arial"/>
                <w:b/>
                <w:bCs/>
                <w:color w:val="9B1C1C"/>
                <w:sz w:val="22"/>
                <w:szCs w:val="22"/>
              </w:rPr>
              <w:t xml:space="preserve">FOUNDATIONAL PRINCIPLE — NON-NEGOTIABLE</w:t>
            </w:r>
          </w:p>
          <w:p>
            <w:pPr>
              <w:spacing w:before="0" w:after="60"/>
            </w:pPr>
            <w:r>
              <w:rPr>
                <w:rFonts w:ascii="Times New Roman" w:cs="Times New Roman" w:eastAsia="Times New Roman" w:hAnsi="Times New Roman"/>
                <w:color w:val="2C2C2C"/>
                <w:sz w:val="22"/>
                <w:szCs w:val="22"/>
              </w:rPr>
              <w:t xml:space="preserve">The HPRS is not a relaxation of existing standards. It is a formally defined synthesis that adds requirements and removes none. Every component standard retains its full force within its domain. A claim in the Legal/Regulatory Register must meet Bluebook 21 standards. A claim in the Empirical Science Register must meet CSE 8 standards. A claim in the Quantitative/Mathematical Register must meet the HPRS Claim Transparency Framework — which is more demanding than any single standard's provision for mathematical claims, because no single standard was designed for original cross-domain compounded methodology.</w:t>
            </w:r>
          </w:p>
          <w:p>
            <w:pPr>
              <w:spacing w:before="0" w:after="60"/>
            </w:pPr>
            <w:r>
              <w:rPr>
                <w:rFonts w:ascii="Times New Roman" w:cs="Times New Roman" w:eastAsia="Times New Roman" w:hAnsi="Times New Roman"/>
                <w:color w:val="2C2C2C"/>
                <w:sz w:val="22"/>
                <w:szCs w:val="22"/>
              </w:rPr>
              <w:t xml:space="preserve"/>
            </w:r>
          </w:p>
          <w:p>
            <w:pPr>
              <w:spacing w:before="0" w:after="60"/>
            </w:pPr>
            <w:r>
              <w:rPr>
                <w:rFonts w:ascii="Times New Roman" w:cs="Times New Roman" w:eastAsia="Times New Roman" w:hAnsi="Times New Roman"/>
                <w:color w:val="2C2C2C"/>
                <w:sz w:val="22"/>
                <w:szCs w:val="22"/>
              </w:rPr>
              <w:t xml:space="preserve">The synthesis adds one requirement above all others: every claim must be traceable to its governing standard, and every deviation from that standard must be documented in a Deviation Record before it is applied to any document.</w:t>
            </w:r>
          </w:p>
        </w:tc>
      </w:tr>
    </w:tbl>
    <w:p>
      <w:pPr>
        <w:spacing w:before="60" w:after="60"/>
      </w:pPr>
    </w:p>
    <w:p>
      <w:pPr>
        <w:spacing w:before="0" w:after="120"/>
      </w:pPr>
      <w:r>
        <w:rPr>
          <w:rFonts w:ascii="Arial" w:cs="Arial" w:eastAsia="Arial" w:hAnsi="Arial"/>
          <w:b/>
          <w:bCs/>
          <w:color w:val="1B2F4E"/>
          <w:sz w:val="24"/>
          <w:szCs w:val="24"/>
        </w:rPr>
        <w:t xml:space="preserve">1.3  The Three-Layer Architecture</w:t>
      </w:r>
    </w:p>
    <w:p>
      <w:pPr>
        <w:spacing w:before="0" w:after="120"/>
      </w:pPr>
      <w:r>
        <w:rPr>
          <w:rFonts w:ascii="Times New Roman" w:cs="Times New Roman" w:eastAsia="Times New Roman" w:hAnsi="Times New Roman"/>
          <w:color w:val="2C2C2C"/>
          <w:sz w:val="22"/>
          <w:szCs w:val="22"/>
        </w:rPr>
        <w:t xml:space="preserve">Every instrument in the HPRS belongs to exactly one of three layers. The layer determines when it is created, who can modify it, and whether it is universal or collection-specific.</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3800"/>
        <w:gridCol w:w="3280"/>
      </w:tblGrid>
      <w:tr>
        <w:trPr>
          <w:tblHeader/>
        </w:trPr>
        <w:tc>
          <w:tcPr>
            <w:tcW w:type="dxa" w:w="1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Layer</w:t>
            </w:r>
          </w:p>
        </w:tc>
        <w:tc>
          <w:tcPr>
            <w:tcW w:type="dxa" w:w="2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Name</w:t>
            </w:r>
          </w:p>
        </w:tc>
        <w:tc>
          <w:tcPr>
            <w:tcW w:type="dxa" w:w="3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Definition</w:t>
            </w:r>
          </w:p>
        </w:tc>
        <w:tc>
          <w:tcPr>
            <w:tcW w:type="dxa" w:w="32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Created / Modified By</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L1</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Universal Infrastructure</w:t>
            </w:r>
          </w:p>
        </w:tc>
        <w:tc>
          <w:tcPr>
            <w:tcW w:type="dxa" w:w="3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Governs every collection under HPRS regardless of domain, subject matter, or claim type. Content is identical for all collections. This manual is an L1 document.</w:t>
            </w:r>
          </w:p>
        </w:tc>
        <w:tc>
          <w:tcPr>
            <w:tcW w:type="dxa" w:w="3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Created once when HPRS is established. Modified only through a formal version amendment. No collection-level customization permitted.</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L2</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Collection-Specific Application</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Governs one specific collection. Generated by applying L1 templates to the specific domains, claim types, and source types of that collection. Different for every collection.</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Created at collection intake using the Collection Intake Sequence (Module 1). Modified only when the collection's scope changes materially.</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L3</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Per-Document Running Records</w:t>
            </w:r>
          </w:p>
        </w:tc>
        <w:tc>
          <w:tcPr>
            <w:tcW w:type="dxa" w:w="3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Governs one specific document within a collection during drafting and pre-publication review. Running checklists, correction records, and verification registers completed during composition.</w:t>
            </w:r>
          </w:p>
        </w:tc>
        <w:tc>
          <w:tcPr>
            <w:tcW w:type="dxa" w:w="3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Created and maintained for each document as it is drafted. Retained in the research file permanently.</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II — THE SIX FIXED SCHOLARLY REGISTERS</w:t>
            </w:r>
          </w:p>
        </w:tc>
      </w:tr>
    </w:tbl>
    <w:p>
      <w:pPr>
        <w:spacing w:before="60" w:after="60"/>
      </w:pPr>
    </w:p>
    <w:p>
      <w:pPr>
        <w:spacing w:before="0" w:after="120"/>
      </w:pPr>
      <w:r>
        <w:rPr>
          <w:rFonts w:ascii="Times New Roman" w:cs="Times New Roman" w:eastAsia="Times New Roman" w:hAnsi="Times New Roman"/>
          <w:color w:val="2C2C2C"/>
          <w:sz w:val="22"/>
          <w:szCs w:val="22"/>
        </w:rPr>
        <w:t xml:space="preserve">The HPRS defines six fixed scholarly registers. Every collection governed by the HPRS operates in at least one of these registers. A cross-disciplinary collection operates in two or more simultaneously. The register designation is established at collection intake and determines which citation standards, verification protocols, and evidentiary thresholds apply to each claim.</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00"/>
        <w:gridCol w:w="3000"/>
        <w:gridCol w:w="2600"/>
        <w:gridCol w:w="2280"/>
      </w:tblGrid>
      <w:tr>
        <w:trPr>
          <w:tblHeader/>
        </w:trPr>
        <w:tc>
          <w:tcPr>
            <w:tcW w:type="dxa" w:w="2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Register</w:t>
            </w:r>
          </w:p>
        </w:tc>
        <w:tc>
          <w:tcPr>
            <w:tcW w:type="dxa" w:w="3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Definition</w:t>
            </w:r>
          </w:p>
        </w:tc>
        <w:tc>
          <w:tcPr>
            <w:tcW w:type="dxa" w:w="26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Governing Standard Within HPRS</w:t>
            </w:r>
          </w:p>
        </w:tc>
        <w:tc>
          <w:tcPr>
            <w:tcW w:type="dxa" w:w="22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Expert Audience</w:t>
            </w:r>
          </w:p>
        </w:tc>
      </w:tr>
      <w:tr>
        <w:tc>
          <w:tcPr>
            <w:tcW w:type="dxa" w:w="2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R1 — Quantitative / Mathematical</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Claims involving original calculations, probability figures, statistical analysis, combinatorial arguments, or mathematical proofs.</w:t>
            </w:r>
          </w:p>
        </w:tc>
        <w:tc>
          <w:tcPr>
            <w:tcW w:type="dxa" w:w="2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HPRS Claim Transparency Framework (Part III). Full methodology disclosure required for all non-sourced figures.</w:t>
            </w:r>
          </w:p>
        </w:tc>
        <w:tc>
          <w:tcPr>
            <w:tcW w:type="dxa" w:w="2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Mathematicians, statisticians, probability theorists, quantitative social scientists</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R2 — Empirical Science</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Claims derived from peer-reviewed natural science literature. Source claims must be traceable to primary peer-reviewed publications.</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CSE 8 for author list and DOI format. Chicago 17 for title case and note structure. Retraction status verification required.</w:t>
            </w:r>
          </w:p>
        </w:tc>
        <w:tc>
          <w:tcPr>
            <w:tcW w:type="dxa" w:w="2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Scientists in relevant disciplines, peer-review community, science journalists</w:t>
            </w:r>
          </w:p>
        </w:tc>
      </w:tr>
      <w:tr>
        <w:tc>
          <w:tcPr>
            <w:tcW w:type="dxa" w:w="2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R3 — Legal / Regulatory</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Claims derived from statutes, regulations, administrative codes, case law, regulatory guidance, and formal legal instruments.</w:t>
            </w:r>
          </w:p>
        </w:tc>
        <w:tc>
          <w:tcPr>
            <w:tcW w:type="dxa" w:w="2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Bluebook 21st Edition governs all legal citation format embedded within Chicago endnotes. Full subsection-level precision required.</w:t>
            </w:r>
          </w:p>
        </w:tc>
        <w:tc>
          <w:tcPr>
            <w:tcW w:type="dxa" w:w="2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Lawyers, judges, government attorneys, regulatory practitioners, administrative law scholars</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R4 — Institutional / Policy</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Claims derived from government reports, inspector general findings, congressional testimony, agency data, and policy analysis literature.</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GPO Style for agency names and report numbers. Chicago 17 for note structure. Page-level citation required for all statistical claims.</w:t>
            </w:r>
          </w:p>
        </w:tc>
        <w:tc>
          <w:tcPr>
            <w:tcW w:type="dxa" w:w="2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Policy analysts, government officials, public administration scholars, investigative journalists</w:t>
            </w:r>
          </w:p>
        </w:tc>
      </w:tr>
      <w:tr>
        <w:tc>
          <w:tcPr>
            <w:tcW w:type="dxa" w:w="2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R5 — Epistemological</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Claims about the nature, limits, and validity of knowledge itself: falsifiability arguments, design inference, philosophy of science, and methodological justification.</w:t>
            </w:r>
          </w:p>
        </w:tc>
        <w:tc>
          <w:tcPr>
            <w:tcW w:type="dxa" w:w="2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Chicago 17 for citation structure. HPRS requires an explicit falsifiability statement for every domain argument.</w:t>
            </w:r>
          </w:p>
        </w:tc>
        <w:tc>
          <w:tcPr>
            <w:tcW w:type="dxa" w:w="2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Philosophers of science, logicians, epistemologists, methodologists</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R6 — Rhetorical</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Claims made through the structure, voice, and persuasive architecture of the work itself. The register in which all other registers are synthesized for a reader.</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Plain Language Act standards. Chicago 17 for structural integrity. Rhetorical claims must be explicitly labeled as interpretive.</w:t>
            </w:r>
          </w:p>
        </w:tc>
        <w:tc>
          <w:tcPr>
            <w:tcW w:type="dxa" w:w="2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General educated readers, non-specialist critics, any audience the work is designed to persuade</w:t>
            </w:r>
          </w:p>
        </w:tc>
      </w:tr>
    </w:tbl>
    <w:p>
      <w:pPr>
        <w:spacing w:before="60" w:after="60"/>
      </w:pPr>
    </w:p>
    <w:p>
      <w:pPr>
        <w:spacing w:before="0" w:after="120"/>
      </w:pPr>
      <w:r>
        <w:rPr>
          <w:rFonts w:ascii="Arial" w:cs="Arial" w:eastAsia="Arial" w:hAnsi="Arial"/>
          <w:b/>
          <w:bCs/>
          <w:color w:val="1B2F4E"/>
          <w:sz w:val="24"/>
          <w:szCs w:val="24"/>
        </w:rPr>
        <w:t xml:space="preserve">2.1  Multi-Register Claims — The Tier 5 Requirement</w:t>
      </w:r>
    </w:p>
    <w:p>
      <w:pPr>
        <w:spacing w:before="0" w:after="120"/>
      </w:pPr>
      <w:r>
        <w:rPr>
          <w:rFonts w:ascii="Times New Roman" w:cs="Times New Roman" w:eastAsia="Times New Roman" w:hAnsi="Times New Roman"/>
          <w:color w:val="2C2C2C"/>
          <w:sz w:val="22"/>
          <w:szCs w:val="22"/>
        </w:rPr>
        <w:t xml:space="preserve">When a single claim simultaneously operates as evidence in two or more registers, it is a multi-register claim and must meet the evidentiary standard of each register independently. Stating that a claim satisfies one register does not exempt it from the requirements of the others. The Claim Transparency Framework Tier 5 designation (Part III) is mandatory for all multi-register claims.</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1B2F4E" w:sz="4"/>
              <w:left w:val="single" w:color="1B2F4E" w:sz="4"/>
              <w:bottom w:val="single" w:color="1B2F4E" w:sz="4"/>
              <w:right w:val="single" w:color="1B2F4E" w:sz="4"/>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Example: Multi-Register Claim Structure (Schematic)</w:t>
            </w:r>
          </w:p>
          <w:p>
            <w:pPr>
              <w:spacing w:before="0" w:after="60"/>
            </w:pPr>
            <w:r>
              <w:rPr>
                <w:rFonts w:ascii="Times New Roman" w:cs="Times New Roman" w:eastAsia="Times New Roman" w:hAnsi="Times New Roman"/>
                <w:color w:val="2C2C2C"/>
                <w:sz w:val="22"/>
                <w:szCs w:val="22"/>
              </w:rPr>
              <w:t xml:space="preserve">A compounded probability argument that draws inputs from the Empirical Science Register (R2) and applies them to an Institutional/Policy conclusion (R4) must: cite its scientific inputs to peer-reviewed primary sources (R2 standard); disclose its calculation methodology in a Methodological Note (R1 standard); and state why the institutional conclusion follows from the mathematical argument (R5 standard). The rhetorical framing of that conclusion must be labeled as interpretive (R6 standard). All four register requirements apply simultaneously to a single claim.</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III — THE HPRS CLAIM TRANSPARENCY FRAMEWORK</w:t>
            </w:r>
          </w:p>
        </w:tc>
      </w:tr>
    </w:tbl>
    <w:p>
      <w:pPr>
        <w:spacing w:before="60" w:after="60"/>
      </w:pPr>
    </w:p>
    <w:p>
      <w:pPr>
        <w:spacing w:before="0" w:after="120"/>
      </w:pPr>
      <w:r>
        <w:rPr>
          <w:rFonts w:ascii="Times New Roman" w:cs="Times New Roman" w:eastAsia="Times New Roman" w:hAnsi="Times New Roman"/>
          <w:color w:val="2C2C2C"/>
          <w:sz w:val="22"/>
          <w:szCs w:val="22"/>
        </w:rPr>
        <w:t xml:space="preserve">The Claim Transparency Framework (CTF) is the HPRS's original contribution to research methodology. No existing standard — APA 7, Chicago 17, Bluebook 21, CSE 8, or GPO Style — provides a systematic classification and disclosure protocol for mathematical and statistical claims in cross-disciplinary work. The CTF fills that gap. It is mandatory for every quantitative, probabilistic, or mathematical claim in any HPRS-governed collection.</w:t>
      </w:r>
    </w:p>
    <w:p>
      <w:pPr>
        <w:spacing w:before="60" w:after="60"/>
      </w:pPr>
    </w:p>
    <w:p>
      <w:pPr>
        <w:spacing w:before="0" w:after="120"/>
      </w:pPr>
      <w:r>
        <w:rPr>
          <w:rFonts w:ascii="Arial" w:cs="Arial" w:eastAsia="Arial" w:hAnsi="Arial"/>
          <w:b/>
          <w:bCs/>
          <w:color w:val="1B2F4E"/>
          <w:sz w:val="24"/>
          <w:szCs w:val="24"/>
        </w:rPr>
        <w:t xml:space="preserve">3.1  The Five Tiers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3500"/>
        <w:gridCol w:w="3580"/>
      </w:tblGrid>
      <w:tr>
        <w:trPr>
          <w:tblHeader/>
        </w:trPr>
        <w:tc>
          <w:tcPr>
            <w:tcW w:type="dxa" w:w="1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Tier</w:t>
            </w:r>
          </w:p>
        </w:tc>
        <w:tc>
          <w:tcPr>
            <w:tcW w:type="dxa" w:w="2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Name</w:t>
            </w:r>
          </w:p>
        </w:tc>
        <w:tc>
          <w:tcPr>
            <w:tcW w:type="dxa" w:w="35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Definition</w:t>
            </w:r>
          </w:p>
        </w:tc>
        <w:tc>
          <w:tcPr>
            <w:tcW w:type="dxa" w:w="35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Required Disclosure</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1</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Directly Sourced</w:t>
            </w:r>
          </w:p>
        </w:tc>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figure taken verbatim from a peer-reviewed publication or primary government document. The researcher performed no calculation.</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Full citation to source with author, year, publication, and page or table. No calculation disclosure required.</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2</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Derived from Sourced Data</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figure computed by the researcher using data or inputs taken from one or more cited sources. The sources are cited; the arithmetic is the researcher's.</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Label as 'Author's calculation from [Source(s)]'. Calculation method disclosed in endnote or Methodological Note. Inputs cited at Tier 1 standard.</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3</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Original Calculation</w:t>
            </w:r>
          </w:p>
        </w:tc>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figure computed entirely by the researcher using original methodology applied to a defined dataset or set of assumptions. No single source contains this figure.</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Label as 'Author's original calculation'. Full Methodological Note (MN) required. All inputs, operations, assumptions, and limitations disclosed.</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4</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Compounded Probability</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probability figure produced by multiplying independent domain probabilities, each of which is itself a Tier 1, 2, or 3 figure.</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1/2/3 disclosure for each component. Four-part independence argument per Section 3.3. Label as 'Author's compounded probability calculation'. Full Methodological Note required.</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5</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Cross-Register Claim</w:t>
            </w:r>
          </w:p>
        </w:tc>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claim that simultaneously operates as evidence in two or more HPRS registers and must meet the evidentiary standard of each register independently.</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Identify every register the claim operates in. Demonstrate compliance with each register's evidentiary standard independently. Full Methodological Note required.</w:t>
            </w:r>
          </w:p>
        </w:tc>
      </w:tr>
    </w:tbl>
    <w:p>
      <w:pPr>
        <w:spacing w:before="60" w:after="60"/>
      </w:pPr>
    </w:p>
    <w:p>
      <w:pPr>
        <w:spacing w:before="0" w:after="120"/>
      </w:pPr>
      <w:r>
        <w:rPr>
          <w:rFonts w:ascii="Arial" w:cs="Arial" w:eastAsia="Arial" w:hAnsi="Arial"/>
          <w:b/>
          <w:bCs/>
          <w:color w:val="1B2F4E"/>
          <w:sz w:val="24"/>
          <w:szCs w:val="24"/>
        </w:rPr>
        <w:t xml:space="preserve">3.2  The Methodological Note Format</w:t>
      </w:r>
    </w:p>
    <w:p>
      <w:pPr>
        <w:spacing w:before="0" w:after="120"/>
      </w:pPr>
      <w:r>
        <w:rPr>
          <w:rFonts w:ascii="Times New Roman" w:cs="Times New Roman" w:eastAsia="Times New Roman" w:hAnsi="Times New Roman"/>
          <w:color w:val="2C2C2C"/>
          <w:sz w:val="22"/>
          <w:szCs w:val="22"/>
        </w:rPr>
        <w:t xml:space="preserve">Every Tier 3, 4, or 5 claim requires a Methodological Note (MN). The MN is a fixed-format callout that appears in the document at the point of the claim. It is not an endnote — it is an inline disclosure. The format is fixed; no elements may be omitted. A Tier 4 or 5 claim that omits the Independence Argument is not published under HPRS.</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B8860B" w:sz="4"/>
              <w:left w:val="single" w:color="B8860B" w:sz="4"/>
              <w:bottom w:val="single" w:color="B8860B" w:sz="4"/>
              <w:right w:val="single" w:color="B8860B" w:sz="4"/>
            </w:tcBorders>
            <w:shd w:fill="FEF9E7" w:val="clear"/>
            <w:tcMar>
              <w:top w:type="dxa" w:w="120"/>
              <w:left w:type="dxa" w:w="160"/>
              <w:bottom w:type="dxa" w:w="120"/>
              <w:right w:type="dxa" w:w="160"/>
            </w:tcMar>
          </w:tcPr>
          <w:p>
            <w:pPr>
              <w:spacing w:before="0" w:after="80"/>
            </w:pPr>
            <w:r>
              <w:rPr>
                <w:rFonts w:ascii="Arial" w:cs="Arial" w:eastAsia="Arial" w:hAnsi="Arial"/>
                <w:b/>
                <w:bCs/>
                <w:color w:val="B8860B"/>
                <w:sz w:val="22"/>
                <w:szCs w:val="22"/>
              </w:rPr>
              <w:t xml:space="preserve">METHODOLOGICAL NOTE  MN-[Number]: [Claim Title]</w:t>
            </w:r>
          </w:p>
          <w:p>
            <w:pPr>
              <w:spacing w:before="0" w:after="60"/>
            </w:pPr>
            <w:r>
              <w:rPr>
                <w:rFonts w:ascii="Times New Roman" w:cs="Times New Roman" w:eastAsia="Times New Roman" w:hAnsi="Times New Roman"/>
                <w:color w:val="2C2C2C"/>
                <w:sz w:val="22"/>
                <w:szCs w:val="22"/>
              </w:rPr>
              <w:t xml:space="preserve">Claim Class:          Tier [1/2/3/4/5] — [description of how this claim was produced]</w:t>
            </w:r>
          </w:p>
          <w:p>
            <w:pPr>
              <w:spacing w:before="0" w:after="60"/>
            </w:pPr>
            <w:r>
              <w:rPr>
                <w:rFonts w:ascii="Times New Roman" w:cs="Times New Roman" w:eastAsia="Times New Roman" w:hAnsi="Times New Roman"/>
                <w:color w:val="2C2C2C"/>
                <w:sz w:val="22"/>
                <w:szCs w:val="22"/>
              </w:rPr>
              <w:t xml:space="preserve">Register(s):          [List every HPRS register this claim operates in]</w:t>
            </w:r>
          </w:p>
          <w:p>
            <w:pPr>
              <w:spacing w:before="0" w:after="60"/>
            </w:pPr>
            <w:r>
              <w:rPr>
                <w:rFonts w:ascii="Times New Roman" w:cs="Times New Roman" w:eastAsia="Times New Roman" w:hAnsi="Times New Roman"/>
                <w:color w:val="2C2C2C"/>
                <w:sz w:val="22"/>
                <w:szCs w:val="22"/>
              </w:rPr>
              <w:t xml:space="preserve">Component Inputs:     [Each input figure with its source citation and Tier designation]</w:t>
            </w:r>
          </w:p>
          <w:p>
            <w:pPr>
              <w:spacing w:before="0" w:after="60"/>
            </w:pPr>
            <w:r>
              <w:rPr>
                <w:rFonts w:ascii="Times New Roman" w:cs="Times New Roman" w:eastAsia="Times New Roman" w:hAnsi="Times New Roman"/>
                <w:color w:val="2C2C2C"/>
                <w:sz w:val="22"/>
                <w:szCs w:val="22"/>
              </w:rPr>
              <w:t xml:space="preserve">Independence Arg.:    [For Tier 4/5 only: explain why each domain is statistically independent]</w:t>
            </w:r>
          </w:p>
          <w:p>
            <w:pPr>
              <w:spacing w:before="0" w:after="60"/>
            </w:pPr>
            <w:r>
              <w:rPr>
                <w:rFonts w:ascii="Times New Roman" w:cs="Times New Roman" w:eastAsia="Times New Roman" w:hAnsi="Times New Roman"/>
                <w:color w:val="2C2C2C"/>
                <w:sz w:val="22"/>
                <w:szCs w:val="22"/>
              </w:rPr>
              <w:t xml:space="preserve">Operations:           [Step-by-step calculation showing all arithmetic]</w:t>
            </w:r>
          </w:p>
          <w:p>
            <w:pPr>
              <w:spacing w:before="0" w:after="60"/>
            </w:pPr>
            <w:r>
              <w:rPr>
                <w:rFonts w:ascii="Times New Roman" w:cs="Times New Roman" w:eastAsia="Times New Roman" w:hAnsi="Times New Roman"/>
                <w:color w:val="2C2C2C"/>
                <w:sz w:val="22"/>
                <w:szCs w:val="22"/>
              </w:rPr>
              <w:t xml:space="preserve">Falsification:        [Exactly what published evidence would invalidate this figure]</w:t>
            </w:r>
          </w:p>
          <w:p>
            <w:pPr>
              <w:spacing w:before="0" w:after="60"/>
            </w:pPr>
            <w:r>
              <w:rPr>
                <w:rFonts w:ascii="Times New Roman" w:cs="Times New Roman" w:eastAsia="Times New Roman" w:hAnsi="Times New Roman"/>
                <w:color w:val="2C2C2C"/>
                <w:sz w:val="22"/>
                <w:szCs w:val="22"/>
              </w:rPr>
              <w:t xml:space="preserve">Limitations:          [Known limits, assumptions, or disputed components]</w:t>
            </w:r>
          </w:p>
        </w:tc>
      </w:tr>
    </w:tbl>
    <w:p>
      <w:pPr>
        <w:spacing w:before="60" w:after="60"/>
      </w:pPr>
    </w:p>
    <w:p>
      <w:pPr>
        <w:spacing w:before="0" w:after="120"/>
      </w:pPr>
      <w:r>
        <w:rPr>
          <w:rFonts w:ascii="Arial" w:cs="Arial" w:eastAsia="Arial" w:hAnsi="Arial"/>
          <w:b/>
          <w:bCs/>
          <w:color w:val="1B2F4E"/>
          <w:sz w:val="24"/>
          <w:szCs w:val="24"/>
        </w:rPr>
        <w:t xml:space="preserve">3.3  The Four-Part Independence Argument</w:t>
      </w:r>
    </w:p>
    <w:p>
      <w:pPr>
        <w:spacing w:before="0" w:after="120"/>
      </w:pPr>
      <w:r>
        <w:rPr>
          <w:rFonts w:ascii="Times New Roman" w:cs="Times New Roman" w:eastAsia="Times New Roman" w:hAnsi="Times New Roman"/>
          <w:color w:val="2C2C2C"/>
          <w:sz w:val="22"/>
          <w:szCs w:val="22"/>
        </w:rPr>
        <w:t xml:space="preserve">Every Tier 4 or 5 compounded probability claim requires an explicit independence argument addressing all four of the following elements. An argument that addresses fewer than four elements is incomplete and constitutes an open flag under the [INDEPENDENCE NEEDED] inline flag protocol (Module 5).</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7280"/>
      </w:tblGrid>
      <w:tr>
        <w:trPr>
          <w:tblHeader/>
        </w:trPr>
        <w:tc>
          <w:tcPr>
            <w:tcW w:type="dxa" w:w="2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Element</w:t>
            </w:r>
          </w:p>
        </w:tc>
        <w:tc>
          <w:tcPr>
            <w:tcW w:type="dxa" w:w="72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What Must Be Demonstrated</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 — Operational Independence</w:t>
            </w:r>
          </w:p>
        </w:tc>
        <w:tc>
          <w:tcPr>
            <w:tcW w:type="dxa" w:w="7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Each domain measures a distinct phenomenon at a distinct level of observable reality. State the phenomenon and the observational level for each domain. Domains measuring the same phenomenon at the same level are not independent.</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2 — Causal Independence</w:t>
            </w:r>
          </w:p>
        </w:tc>
        <w:tc>
          <w:tcPr>
            <w:tcW w:type="dxa" w:w="7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demonstrated causal pathway connects the outcome in Domain A to the outcome in Domain B. If a causal pathway is known or suspected, it must be disclosed and its effect on the independence assumption addressed.</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3 — Methodological Independence</w:t>
            </w:r>
          </w:p>
        </w:tc>
        <w:tc>
          <w:tcPr>
            <w:tcW w:type="dxa" w:w="7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Each domain's probability figure was produced by a distinct research program using distinct methodology. Figures produced by the same research team using correlated methods are not methodologically independent.</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4 — Variable Independence</w:t>
            </w:r>
          </w:p>
        </w:tc>
        <w:tc>
          <w:tcPr>
            <w:tcW w:type="dxa" w:w="7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shared variable appears in both domain calculations. If a variable appears in multiple domains, the correlation structure must be stated and the compounded figure recalculated under the stated correlation.</w:t>
            </w:r>
          </w:p>
        </w:tc>
      </w:tr>
    </w:tbl>
    <w:p>
      <w:pPr>
        <w:spacing w:before="60" w:after="60"/>
      </w:pPr>
    </w:p>
    <w:p>
      <w:pPr>
        <w:spacing w:before="0" w:after="120"/>
      </w:pPr>
      <w:r>
        <w:rPr>
          <w:rFonts w:ascii="Arial" w:cs="Arial" w:eastAsia="Arial" w:hAnsi="Arial"/>
          <w:b/>
          <w:bCs/>
          <w:color w:val="1B2F4E"/>
          <w:sz w:val="24"/>
          <w:szCs w:val="24"/>
        </w:rPr>
        <w:t xml:space="preserve">3.4  The Asymmetry Principle</w:t>
      </w:r>
    </w:p>
    <w:p>
      <w:pPr>
        <w:spacing w:before="0" w:after="120"/>
      </w:pPr>
      <w:r>
        <w:rPr>
          <w:rFonts w:ascii="Times New Roman" w:cs="Times New Roman" w:eastAsia="Times New Roman" w:hAnsi="Times New Roman"/>
          <w:color w:val="2C2C2C"/>
          <w:sz w:val="22"/>
          <w:szCs w:val="22"/>
        </w:rPr>
        <w:t xml:space="preserve">Every document containing a Tier 4 or 5 compounded figure must include an explicit statement of the Asymmetry Principle as it applies to that figure. The Asymmetry Principle states: the argument does not require the compounded figure to be precise — it requires the figure to be directionally correct. If the conclusion holds even when every component figure is corrected by several orders of magnitude, that must be stated, and the magnitude of correction that would first threaten the conclusion must be specified.</w:t>
      </w:r>
    </w:p>
    <w:p>
      <w:pPr>
        <w:spacing w:before="60" w:after="60"/>
      </w:pPr>
    </w:p>
    <w:p>
      <w:pPr>
        <w:spacing w:before="0" w:after="120"/>
      </w:pPr>
      <w:r>
        <w:rPr>
          <w:rFonts w:ascii="Arial" w:cs="Arial" w:eastAsia="Arial" w:hAnsi="Arial"/>
          <w:b/>
          <w:bCs/>
          <w:color w:val="1B2F4E"/>
          <w:sz w:val="24"/>
          <w:szCs w:val="24"/>
        </w:rPr>
        <w:t xml:space="preserve">3.5  The Falsifiability Requirement</w:t>
      </w:r>
    </w:p>
    <w:p>
      <w:pPr>
        <w:spacing w:before="0" w:after="120"/>
      </w:pPr>
      <w:r>
        <w:rPr>
          <w:rFonts w:ascii="Times New Roman" w:cs="Times New Roman" w:eastAsia="Times New Roman" w:hAnsi="Times New Roman"/>
          <w:color w:val="2C2C2C"/>
          <w:sz w:val="22"/>
          <w:szCs w:val="22"/>
        </w:rPr>
        <w:t xml:space="preserve">Every domain argument in an HPRS-governed document — in any register — must include an explicit falsifiability statement. A claim that cannot be falsified is not a scholarly claim under the HPRS; it is an assertion.</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1B2F4E" w:sz="4"/>
              <w:left w:val="single" w:color="1B2F4E" w:sz="4"/>
              <w:bottom w:val="single" w:color="1B2F4E" w:sz="4"/>
              <w:right w:val="single" w:color="1B2F4E" w:sz="4"/>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FALSIFIABILITY STATEMENT FORMAT</w:t>
            </w:r>
          </w:p>
          <w:p>
            <w:pPr>
              <w:spacing w:before="0" w:after="60"/>
            </w:pPr>
            <w:r>
              <w:rPr>
                <w:rFonts w:ascii="Times New Roman" w:cs="Times New Roman" w:eastAsia="Times New Roman" w:hAnsi="Times New Roman"/>
                <w:color w:val="2C2C2C"/>
                <w:sz w:val="22"/>
                <w:szCs w:val="22"/>
              </w:rPr>
              <w:t xml:space="preserve">This claim is falsified by: [state specific evidence that would disprove it].</w:t>
            </w:r>
          </w:p>
          <w:p>
            <w:pPr>
              <w:spacing w:before="0" w:after="60"/>
            </w:pPr>
            <w:r>
              <w:rPr>
                <w:rFonts w:ascii="Times New Roman" w:cs="Times New Roman" w:eastAsia="Times New Roman" w:hAnsi="Times New Roman"/>
                <w:color w:val="2C2C2C"/>
                <w:sz w:val="22"/>
                <w:szCs w:val="22"/>
              </w:rPr>
              <w:t xml:space="preserve">A valid falsification must: [state the evidentiary standard — e.g., Class A peer-reviewed source, counter-calculation meeting CTF Tier 3 standard].</w:t>
            </w:r>
          </w:p>
          <w:p>
            <w:pPr>
              <w:spacing w:before="0" w:after="60"/>
            </w:pPr>
            <w:r>
              <w:rPr>
                <w:rFonts w:ascii="Times New Roman" w:cs="Times New Roman" w:eastAsia="Times New Roman" w:hAnsi="Times New Roman"/>
                <w:color w:val="2C2C2C"/>
                <w:sz w:val="22"/>
                <w:szCs w:val="22"/>
              </w:rPr>
              <w:t xml:space="preserve">The following objections do not constitute falsification of this claim because they do not engage its operative premise: [list anticipated objections that are insufficient].</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IV — CITATION ARCHITECTURE AND INTER-STANDARD CONFLICT RESOLUTION</w:t>
            </w:r>
          </w:p>
        </w:tc>
      </w:tr>
    </w:tbl>
    <w:p>
      <w:pPr>
        <w:spacing w:before="60" w:after="60"/>
      </w:pPr>
    </w:p>
    <w:p>
      <w:pPr>
        <w:spacing w:before="0" w:after="120"/>
      </w:pPr>
      <w:r>
        <w:rPr>
          <w:rFonts w:ascii="Times New Roman" w:cs="Times New Roman" w:eastAsia="Times New Roman" w:hAnsi="Times New Roman"/>
          <w:color w:val="2C2C2C"/>
          <w:sz w:val="22"/>
          <w:szCs w:val="22"/>
        </w:rPr>
        <w:t xml:space="preserve">The HPRS governs work that simultaneously cites peer-reviewed science, legal statutes and regulations, government reports, and historical scholarship. When those standards conflict — which they do in at least twenty documented ways — the HPRS applies a defined resolution hierarchy rather than leaving the researcher to choose arbitrarily.</w:t>
      </w:r>
    </w:p>
    <w:p>
      <w:pPr>
        <w:spacing w:before="60" w:after="60"/>
      </w:pPr>
    </w:p>
    <w:p>
      <w:pPr>
        <w:spacing w:before="0" w:after="120"/>
      </w:pPr>
      <w:r>
        <w:rPr>
          <w:rFonts w:ascii="Arial" w:cs="Arial" w:eastAsia="Arial" w:hAnsi="Arial"/>
          <w:b/>
          <w:bCs/>
          <w:color w:val="1B2F4E"/>
          <w:sz w:val="24"/>
          <w:szCs w:val="24"/>
        </w:rPr>
        <w:t xml:space="preserve">4.1  The Five Component Standards and Their Domains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3000"/>
        <w:gridCol w:w="4280"/>
      </w:tblGrid>
      <w:tr>
        <w:trPr>
          <w:tblHeader/>
        </w:trPr>
        <w:tc>
          <w:tcPr>
            <w:tcW w:type="dxa" w:w="2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Standard</w:t>
            </w:r>
          </w:p>
        </w:tc>
        <w:tc>
          <w:tcPr>
            <w:tcW w:type="dxa" w:w="3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Primary Domain</w:t>
            </w:r>
          </w:p>
        </w:tc>
        <w:tc>
          <w:tcPr>
            <w:tcW w:type="dxa" w:w="42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Role in HPRS</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Chicago 17th Edition</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Humanities, history, cross-disciplinary scholarship</w:t>
            </w:r>
          </w:p>
        </w:tc>
        <w:tc>
          <w:tcPr>
            <w:tcW w:type="dxa" w:w="4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Primary citation architecture. Governs all non-legal, non-government sources. Numbered endnotes (Notes-Bibliography system) are the HPRS citation architecture.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Bluebook 21st Edition</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Legal writing, law review, judicial opinions</w:t>
            </w:r>
          </w:p>
        </w:tc>
        <w:tc>
          <w:tcPr>
            <w:tcW w:type="dxa" w:w="4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Governs all legal citations embedded within Chicago endnotes: statutes, regulations, C.F.R., FAR/DFARS, case law. Governs internal format of legal citations only.</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CSE 8th Edition</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Natural and biological sciences</w:t>
            </w:r>
          </w:p>
        </w:tc>
        <w:tc>
          <w:tcPr>
            <w:tcW w:type="dxa" w:w="4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Governs author list completeness and DOI format for peer-reviewed science citations. Subordinated to Chicago on title case and journal name format.</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GPO Style Manual</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 government publications</w:t>
            </w:r>
          </w:p>
        </w:tc>
        <w:tc>
          <w:tcPr>
            <w:tcW w:type="dxa" w:w="4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Governs government agency full names, report number formatting, and congressional document titles. Applied within the Chicago endnote framework.</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APA 7th Edition</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Psychology, social sciences</w:t>
            </w:r>
          </w:p>
        </w:tc>
        <w:tc>
          <w:tcPr>
            <w:tcW w:type="dxa" w:w="4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Formally subordinated on structural questions. APA's 40-word block quotation threshold is adopted as the HPRS standard.</w:t>
            </w:r>
          </w:p>
        </w:tc>
      </w:tr>
    </w:tbl>
    <w:p>
      <w:pPr>
        <w:spacing w:before="60" w:after="60"/>
      </w:pPr>
    </w:p>
    <w:p>
      <w:pPr>
        <w:spacing w:before="0" w:after="120"/>
      </w:pPr>
      <w:r>
        <w:rPr>
          <w:rFonts w:ascii="Arial" w:cs="Arial" w:eastAsia="Arial" w:hAnsi="Arial"/>
          <w:b/>
          <w:bCs/>
          <w:color w:val="1B2F4E"/>
          <w:sz w:val="24"/>
          <w:szCs w:val="24"/>
        </w:rPr>
        <w:t xml:space="preserve">4.2  The Standard Subordination Hierarchy</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000"/>
        <w:gridCol w:w="2400"/>
        <w:gridCol w:w="5680"/>
      </w:tblGrid>
      <w:tr>
        <w:trPr>
          <w:tblHeader/>
        </w:trPr>
        <w:tc>
          <w:tcPr>
            <w:tcW w:type="dxa" w:w="2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Rank</w:t>
            </w:r>
          </w:p>
        </w:tc>
        <w:tc>
          <w:tcPr>
            <w:tcW w:type="dxa" w:w="24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Standard</w:t>
            </w:r>
          </w:p>
        </w:tc>
        <w:tc>
          <w:tcPr>
            <w:tcW w:type="dxa" w:w="56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Domain of Governance</w:t>
            </w:r>
          </w:p>
        </w:tc>
      </w:tr>
      <w:tr>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 — Primary</w:t>
            </w:r>
          </w:p>
        </w:tc>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Chicago 17</w:t>
            </w:r>
          </w:p>
        </w:tc>
        <w:tc>
          <w:tcPr>
            <w:tcW w:type="dxa" w:w="5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Citation architecture for all non-legal, non-government sources. Note format, title case, bibliography structure.</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2 — Legal</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Bluebook 21</w:t>
            </w:r>
          </w:p>
        </w:tc>
        <w:tc>
          <w:tcPr>
            <w:tcW w:type="dxa" w:w="5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legal citations: statutes, regulations, C.F.R., FAR/DFARS, case law. Governs internal format only.</w:t>
            </w:r>
          </w:p>
        </w:tc>
      </w:tr>
      <w:tr>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3 — Scientific</w:t>
            </w:r>
          </w:p>
        </w:tc>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CSE 8</w:t>
            </w:r>
          </w:p>
        </w:tc>
        <w:tc>
          <w:tcPr>
            <w:tcW w:type="dxa" w:w="5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Author list completeness (up to 10) and DOI format for peer-reviewed science citations.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4 — Government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GPO Style</w:t>
            </w:r>
          </w:p>
        </w:tc>
        <w:tc>
          <w:tcPr>
            <w:tcW w:type="dxa" w:w="5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Government agency names, report numbers, congressional document titles.</w:t>
            </w:r>
          </w:p>
        </w:tc>
      </w:tr>
      <w:tr>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5 — Original</w:t>
            </w:r>
          </w:p>
        </w:tc>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HPRS Rules</w:t>
            </w:r>
          </w:p>
        </w:tc>
        <w:tc>
          <w:tcPr>
            <w:tcW w:type="dxa" w:w="5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situations not addressed by the four ranked standards: Claim Transparency Framework, compounded probability methodology, falsifiability statements, inline flag system.</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Subordinated</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APA 7</w:t>
            </w:r>
          </w:p>
        </w:tc>
        <w:tc>
          <w:tcPr>
            <w:tcW w:type="dxa" w:w="5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Referenced only for the 40-word block quotation threshold.</w:t>
            </w:r>
          </w:p>
        </w:tc>
      </w:tr>
    </w:tbl>
    <w:p>
      <w:pPr>
        <w:spacing w:before="60" w:after="60"/>
      </w:pPr>
    </w:p>
    <w:p>
      <w:pPr>
        <w:spacing w:before="0" w:after="120"/>
      </w:pPr>
      <w:r>
        <w:rPr>
          <w:rFonts w:ascii="Arial" w:cs="Arial" w:eastAsia="Arial" w:hAnsi="Arial"/>
          <w:b/>
          <w:bCs/>
          <w:color w:val="1B2F4E"/>
          <w:sz w:val="24"/>
          <w:szCs w:val="24"/>
        </w:rPr>
        <w:t xml:space="preserve">4.3  The Conflict Resolution Decision Tree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0"/>
        <w:gridCol w:w="3400"/>
        <w:gridCol w:w="5980"/>
      </w:tblGrid>
      <w:tr>
        <w:trPr>
          <w:tblHeader/>
        </w:trPr>
        <w:tc>
          <w:tcPr>
            <w:tcW w:type="dxa" w:w="7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Step</w:t>
            </w:r>
          </w:p>
        </w:tc>
        <w:tc>
          <w:tcPr>
            <w:tcW w:type="dxa" w:w="34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Question</w:t>
            </w:r>
          </w:p>
        </w:tc>
        <w:tc>
          <w:tcPr>
            <w:tcW w:type="dxa" w:w="59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Governing Logic</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w:t>
            </w:r>
          </w:p>
        </w:tc>
        <w:tc>
          <w:tcPr>
            <w:tcW w:type="dxa" w:w="3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Does this source type fall within a single standard's exclusive domain?</w:t>
            </w:r>
          </w:p>
        </w:tc>
        <w:tc>
          <w:tcPr>
            <w:tcW w:type="dxa" w:w="59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yes, that standard governs without conflict. Apply the governing standard in full.</w:t>
            </w:r>
          </w:p>
        </w:tc>
      </w:tr>
      <w:tr>
        <w:tc>
          <w:tcPr>
            <w:tcW w:type="dxa" w:w="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2</w:t>
            </w:r>
          </w:p>
        </w:tc>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 two or more standards conflict on this specific point?</w:t>
            </w:r>
          </w:p>
        </w:tc>
        <w:tc>
          <w:tcPr>
            <w:tcW w:type="dxa" w:w="59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yes, identify the conflict category: Structural, Format, or Silence Gap. Apply the subordination hierarchy in Section 4.2.</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3</w:t>
            </w:r>
          </w:p>
        </w:tc>
        <w:tc>
          <w:tcPr>
            <w:tcW w:type="dxa" w:w="3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Does the conflict involve reader comprehension across multiple expert audiences?</w:t>
            </w:r>
          </w:p>
        </w:tc>
        <w:tc>
          <w:tcPr>
            <w:tcW w:type="dxa" w:w="59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yes, prefer the format most recognizable to the most expert audiences simultaneously.</w:t>
            </w:r>
          </w:p>
        </w:tc>
      </w:tr>
      <w:tr>
        <w:tc>
          <w:tcPr>
            <w:tcW w:type="dxa" w:w="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4</w:t>
            </w:r>
          </w:p>
        </w:tc>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Does any standard address this situation at all?</w:t>
            </w:r>
          </w:p>
        </w:tc>
        <w:tc>
          <w:tcPr>
            <w:tcW w:type="dxa" w:w="59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no standard addresses it (Silence Gap), create an original HPRS rule. Document in a new Deviation Record.</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5</w:t>
            </w:r>
          </w:p>
        </w:tc>
        <w:tc>
          <w:tcPr>
            <w:tcW w:type="dxa" w:w="3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Is the decision consistent with all prior decisions in this collection?</w:t>
            </w:r>
          </w:p>
        </w:tc>
        <w:tc>
          <w:tcPr>
            <w:tcW w:type="dxa" w:w="59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Before applying any new rule, check all existing Deviation Records for consistency.</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4.4  The Deviation Record Format</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1B2F4E" w:sz="4"/>
              <w:left w:val="single" w:color="1B2F4E" w:sz="4"/>
              <w:bottom w:val="single" w:color="1B2F4E" w:sz="4"/>
              <w:right w:val="single" w:color="1B2F4E" w:sz="4"/>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DEVIATION RECORD FORMAT</w:t>
            </w:r>
          </w:p>
          <w:p>
            <w:pPr>
              <w:spacing w:before="0" w:after="60"/>
            </w:pPr>
            <w:r>
              <w:rPr>
                <w:rFonts w:ascii="Times New Roman" w:cs="Times New Roman" w:eastAsia="Times New Roman" w:hAnsi="Times New Roman"/>
                <w:color w:val="2C2C2C"/>
                <w:sz w:val="22"/>
                <w:szCs w:val="22"/>
              </w:rPr>
              <w:t xml:space="preserve">Deviation Record ID:   Assign the next sequential ID (C-xx citation, F-xx format, M-xx mathematical, S-xx series)</w:t>
            </w:r>
          </w:p>
          <w:p>
            <w:pPr>
              <w:spacing w:before="0" w:after="60"/>
            </w:pPr>
            <w:r>
              <w:rPr>
                <w:rFonts w:ascii="Times New Roman" w:cs="Times New Roman" w:eastAsia="Times New Roman" w:hAnsi="Times New Roman"/>
                <w:color w:val="2C2C2C"/>
                <w:sz w:val="22"/>
                <w:szCs w:val="22"/>
              </w:rPr>
              <w:t xml:space="preserve">Conflict Title:        Brief descriptive name for the conflict</w:t>
            </w:r>
          </w:p>
          <w:p>
            <w:pPr>
              <w:spacing w:before="0" w:after="60"/>
            </w:pPr>
            <w:r>
              <w:rPr>
                <w:rFonts w:ascii="Times New Roman" w:cs="Times New Roman" w:eastAsia="Times New Roman" w:hAnsi="Times New Roman"/>
                <w:color w:val="2C2C2C"/>
                <w:sz w:val="22"/>
                <w:szCs w:val="22"/>
              </w:rPr>
              <w:t xml:space="preserve">Standards in Conflict: List each standard and its specific requirement on this point</w:t>
            </w:r>
          </w:p>
          <w:p>
            <w:pPr>
              <w:spacing w:before="0" w:after="60"/>
            </w:pPr>
            <w:r>
              <w:rPr>
                <w:rFonts w:ascii="Times New Roman" w:cs="Times New Roman" w:eastAsia="Times New Roman" w:hAnsi="Times New Roman"/>
                <w:color w:val="2C2C2C"/>
                <w:sz w:val="22"/>
                <w:szCs w:val="22"/>
              </w:rPr>
              <w:t xml:space="preserve">Conflict Category:     Structural / Format / Silence Gap</w:t>
            </w:r>
          </w:p>
          <w:p>
            <w:pPr>
              <w:spacing w:before="0" w:after="60"/>
            </w:pPr>
            <w:r>
              <w:rPr>
                <w:rFonts w:ascii="Times New Roman" w:cs="Times New Roman" w:eastAsia="Times New Roman" w:hAnsi="Times New Roman"/>
                <w:color w:val="2C2C2C"/>
                <w:sz w:val="22"/>
                <w:szCs w:val="22"/>
              </w:rPr>
              <w:t xml:space="preserve">Severity:              HIGH (structural) / MED (format) / LOW (silence gap)</w:t>
            </w:r>
          </w:p>
          <w:p>
            <w:pPr>
              <w:spacing w:before="0" w:after="60"/>
            </w:pPr>
            <w:r>
              <w:rPr>
                <w:rFonts w:ascii="Times New Roman" w:cs="Times New Roman" w:eastAsia="Times New Roman" w:hAnsi="Times New Roman"/>
                <w:color w:val="2C2C2C"/>
                <w:sz w:val="22"/>
                <w:szCs w:val="22"/>
              </w:rPr>
              <w:t xml:space="preserve">HPRS Decision:         State the specific rule being applied — actionable and unambiguous</w:t>
            </w:r>
          </w:p>
          <w:p>
            <w:pPr>
              <w:spacing w:before="0" w:after="60"/>
            </w:pPr>
            <w:r>
              <w:rPr>
                <w:rFonts w:ascii="Times New Roman" w:cs="Times New Roman" w:eastAsia="Times New Roman" w:hAnsi="Times New Roman"/>
                <w:color w:val="2C2C2C"/>
                <w:sz w:val="22"/>
                <w:szCs w:val="22"/>
              </w:rPr>
              <w:t xml:space="preserve">Decision Tree Step:    Which step(s) of Section 4.3 produced this decision</w:t>
            </w:r>
          </w:p>
          <w:p>
            <w:pPr>
              <w:spacing w:before="0" w:after="60"/>
            </w:pPr>
            <w:r>
              <w:rPr>
                <w:rFonts w:ascii="Times New Roman" w:cs="Times New Roman" w:eastAsia="Times New Roman" w:hAnsi="Times New Roman"/>
                <w:color w:val="2C2C2C"/>
                <w:sz w:val="22"/>
                <w:szCs w:val="22"/>
              </w:rPr>
              <w:t xml:space="preserve">Governing Authority:   The standard, principle, or HPRS original rule that governs</w:t>
            </w:r>
          </w:p>
          <w:p>
            <w:pPr>
              <w:spacing w:before="0" w:after="60"/>
            </w:pPr>
            <w:r>
              <w:rPr>
                <w:rFonts w:ascii="Times New Roman" w:cs="Times New Roman" w:eastAsia="Times New Roman" w:hAnsi="Times New Roman"/>
                <w:color w:val="2C2C2C"/>
                <w:sz w:val="22"/>
                <w:szCs w:val="22"/>
              </w:rPr>
              <w:t xml:space="preserve">Rationale:             Full explanation of why this decision best serves multi-audience credibility</w:t>
            </w:r>
          </w:p>
          <w:p>
            <w:pPr>
              <w:spacing w:before="0" w:after="60"/>
            </w:pPr>
            <w:r>
              <w:rPr>
                <w:rFonts w:ascii="Times New Roman" w:cs="Times New Roman" w:eastAsia="Times New Roman" w:hAnsi="Times New Roman"/>
                <w:color w:val="2C2C2C"/>
                <w:sz w:val="22"/>
                <w:szCs w:val="22"/>
              </w:rPr>
              <w:t xml:space="preserve">Consistency Check:     Confirm the decision does not contradict any prior Deviation Record</w:t>
            </w:r>
          </w:p>
          <w:p>
            <w:pPr>
              <w:spacing w:before="0" w:after="60"/>
            </w:pPr>
            <w:r>
              <w:rPr>
                <w:rFonts w:ascii="Times New Roman" w:cs="Times New Roman" w:eastAsia="Times New Roman" w:hAnsi="Times New Roman"/>
                <w:color w:val="2C2C2C"/>
                <w:sz w:val="22"/>
                <w:szCs w:val="22"/>
              </w:rPr>
              <w:t xml:space="preserve">Reviewer &amp; Date:       Required before the decision is applied to any document</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4.5  The Twenty Documented Inter-Standard Conflicts — Category C: Citation Format</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800"/>
        <w:gridCol w:w="3200"/>
        <w:gridCol w:w="4700"/>
        <w:gridCol w:w="1380"/>
      </w:tblGrid>
      <w:tr>
        <w:trPr>
          <w:tblHeader/>
        </w:trPr>
        <w:tc>
          <w:tcPr>
            <w:tcW w:type="dxa" w:w="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ID</w:t>
            </w:r>
          </w:p>
        </w:tc>
        <w:tc>
          <w:tcPr>
            <w:tcW w:type="dxa" w:w="3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Conflict</w:t>
            </w:r>
          </w:p>
        </w:tc>
        <w:tc>
          <w:tcPr>
            <w:tcW w:type="dxa" w:w="47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HPRS Decision</w:t>
            </w:r>
          </w:p>
        </w:tc>
        <w:tc>
          <w:tcPr>
            <w:tcW w:type="dxa" w:w="13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Severity</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C-01</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In-text citation vs. numbered endnote system</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Numbered endnotes [Chicago Notes-Bibliography]. APA in-text system subordinated.</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HIGH</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C-02</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Author name format</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Chicago 17 format: Last, F.M., and Last, F.M.</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C-03</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Article title capitalization</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Title Case [Chicago 17] for all article and book titles.</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C-04</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Journal name format</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Unabbreviated, italicized, Title Case [APA/Chicago aligned].</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C-05</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Page pinpoint format</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Chicago bare number in endnotes. Bluebook 'at' used only for case law pinpoints.</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C-06</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Short forms / ibid</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Chicago shortened notes after first full citation. No ibid. Bluebook supra in legal endnotes only.</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C-07</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Et al. threshold</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authors listed up to 10 [Chicago/CSE]. Et al. after 10.</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C-08</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Legal citation format</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Bluebook 21 governs all legal citations. APA App. 11 and Chicago legal format both subordinated.</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HIGH</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C-09</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Government report format</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GPO + Chicago hybrid: full agency name + full title + report number + date + page.</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C-10</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Statute format</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Bluebook format governs. APA App. 11 aligns. No conflict in practice.</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LOW</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C-11</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Case name format</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Italicized in all endnote and text uses.</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C-12</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FAR/DFARS citation</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HPRS original rule: cite both clause number AND C.F.R. location with full subsection path.</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LOW</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4.5  Category F: Formatting Conflicts</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800"/>
        <w:gridCol w:w="3200"/>
        <w:gridCol w:w="4700"/>
        <w:gridCol w:w="1380"/>
      </w:tblGrid>
      <w:tr>
        <w:trPr>
          <w:tblHeader/>
        </w:trPr>
        <w:tc>
          <w:tcPr>
            <w:tcW w:type="dxa" w:w="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ID</w:t>
            </w:r>
          </w:p>
        </w:tc>
        <w:tc>
          <w:tcPr>
            <w:tcW w:type="dxa" w:w="3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Conflict</w:t>
            </w:r>
          </w:p>
        </w:tc>
        <w:tc>
          <w:tcPr>
            <w:tcW w:type="dxa" w:w="47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HPRS Decision</w:t>
            </w:r>
          </w:p>
        </w:tc>
        <w:tc>
          <w:tcPr>
            <w:tcW w:type="dxa" w:w="13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Severity</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F-01</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Heading format system</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HPRS 4-level shaded-banner system. APA 5-level hierarchy subordinated.</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HIGH</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F-02</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Block quotation threshold</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40-word threshold [APA — most conservative]. Chicago 100-word threshold subordinated.</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MED</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F-03</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Running head vs. header</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Published document running header [Chicago/GPO]. APA running head not used.</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HIGH</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F-04</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Abstract requirement</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Series Position Note replaces abstract [HPRS original].</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HIGH</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F-05</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Page number position</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Footer, right-aligned [published document standard].</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LOW</w:t>
            </w:r>
          </w:p>
        </w:tc>
      </w:tr>
      <w:tr>
        <w:tc>
          <w:tcPr>
            <w:tcW w:type="dxa" w:w="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F-06</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DOI format</w:t>
            </w:r>
          </w:p>
        </w:tc>
        <w:tc>
          <w:tcPr>
            <w:tcW w:type="dxa" w:w="4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https://doi.org/xxxx [APA/Chicago aligned].</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LOW</w:t>
            </w:r>
          </w:p>
        </w:tc>
      </w:tr>
      <w:tr>
        <w:tc>
          <w:tcPr>
            <w:tcW w:type="dxa" w:w="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F-07</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Reference list vs. endnotes</w:t>
            </w:r>
          </w:p>
        </w:tc>
        <w:tc>
          <w:tcPr>
            <w:tcW w:type="dxa" w:w="4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Numbered endnotes labeled 'Source Notes'. No separate reference list.</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HIGH</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1B2F4E" w:sz="4"/>
              <w:left w:val="single" w:color="1B2F4E" w:sz="4"/>
              <w:bottom w:val="single" w:color="1B2F4E" w:sz="4"/>
              <w:right w:val="single" w:color="1B2F4E" w:sz="4"/>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Category M: Mathematical and Methodological — Original HPRS Rules (No Conflicts)</w:t>
            </w:r>
          </w:p>
          <w:p>
            <w:pPr>
              <w:spacing w:before="0" w:after="60"/>
            </w:pPr>
            <w:r>
              <w:rPr>
                <w:rFonts w:ascii="Times New Roman" w:cs="Times New Roman" w:eastAsia="Times New Roman" w:hAnsi="Times New Roman"/>
                <w:color w:val="2C2C2C"/>
                <w:sz w:val="22"/>
                <w:szCs w:val="22"/>
              </w:rPr>
              <w:t xml:space="preserve">The four M-decisions below are original HPRS rules because no existing standard addresses cross-disciplinary compounded probability methodology, falsifiability requirements, or scope limitation disclosure.</w:t>
            </w:r>
          </w:p>
          <w:p>
            <w:pPr>
              <w:spacing w:before="0" w:after="60"/>
            </w:pPr>
            <w:r>
              <w:rPr>
                <w:rFonts w:ascii="Times New Roman" w:cs="Times New Roman" w:eastAsia="Times New Roman" w:hAnsi="Times New Roman"/>
                <w:color w:val="2C2C2C"/>
                <w:sz w:val="22"/>
                <w:szCs w:val="22"/>
              </w:rPr>
              <w:t xml:space="preserve"/>
            </w:r>
          </w:p>
          <w:p>
            <w:pPr>
              <w:spacing w:before="0" w:after="60"/>
            </w:pPr>
            <w:r>
              <w:rPr>
                <w:rFonts w:ascii="Times New Roman" w:cs="Times New Roman" w:eastAsia="Times New Roman" w:hAnsi="Times New Roman"/>
                <w:color w:val="2C2C2C"/>
                <w:sz w:val="22"/>
                <w:szCs w:val="22"/>
              </w:rPr>
              <w:t xml:space="preserve">M-01: Mathematical claim classification — HPRS Claim Transparency Framework, Tiers 1–5 (Part III).</w:t>
            </w:r>
          </w:p>
          <w:p>
            <w:pPr>
              <w:spacing w:before="0" w:after="60"/>
            </w:pPr>
            <w:r>
              <w:rPr>
                <w:rFonts w:ascii="Times New Roman" w:cs="Times New Roman" w:eastAsia="Times New Roman" w:hAnsi="Times New Roman"/>
                <w:color w:val="2C2C2C"/>
                <w:sz w:val="22"/>
                <w:szCs w:val="22"/>
              </w:rPr>
              <w:t xml:space="preserve">M-02: Compounded probability disclosure — HPRS Methodological Note with four-part independence argument (Section 3.3).</w:t>
            </w:r>
          </w:p>
          <w:p>
            <w:pPr>
              <w:spacing w:before="0" w:after="60"/>
            </w:pPr>
            <w:r>
              <w:rPr>
                <w:rFonts w:ascii="Times New Roman" w:cs="Times New Roman" w:eastAsia="Times New Roman" w:hAnsi="Times New Roman"/>
                <w:color w:val="2C2C2C"/>
                <w:sz w:val="22"/>
                <w:szCs w:val="22"/>
              </w:rPr>
              <w:t xml:space="preserve">M-03: Falsifiability statement — HPRS requires explicit falsifiability statement per domain argument (Section 3.5).</w:t>
            </w:r>
          </w:p>
          <w:p>
            <w:pPr>
              <w:spacing w:before="0" w:after="60"/>
            </w:pPr>
            <w:r>
              <w:rPr>
                <w:rFonts w:ascii="Times New Roman" w:cs="Times New Roman" w:eastAsia="Times New Roman" w:hAnsi="Times New Roman"/>
                <w:color w:val="2C2C2C"/>
                <w:sz w:val="22"/>
                <w:szCs w:val="22"/>
              </w:rPr>
              <w:t xml:space="preserve">M-04: Scope limitation disclosure — Required when a sourced figure is applied to a broader argument than its original research scope.</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V — STYLE AND VISUAL STANDARDS</w:t>
            </w:r>
          </w:p>
        </w:tc>
      </w:tr>
    </w:tbl>
    <w:p>
      <w:pPr>
        <w:spacing w:before="60" w:after="60"/>
      </w:pPr>
    </w:p>
    <w:p>
      <w:pPr>
        <w:spacing w:before="0" w:after="120"/>
      </w:pPr>
      <w:r>
        <w:rPr>
          <w:rFonts w:ascii="Arial" w:cs="Arial" w:eastAsia="Arial" w:hAnsi="Arial"/>
          <w:b/>
          <w:bCs/>
          <w:color w:val="1B2F4E"/>
          <w:sz w:val="24"/>
          <w:szCs w:val="24"/>
        </w:rPr>
        <w:t xml:space="preserve">5.1  Design Principles — Priority Order</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0"/>
        <w:gridCol w:w="2400"/>
        <w:gridCol w:w="6680"/>
      </w:tblGrid>
      <w:tr>
        <w:trPr>
          <w:tblHeader/>
        </w:trPr>
        <w:tc>
          <w:tcPr>
            <w:tcW w:type="dxa" w:w="1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Priority</w:t>
            </w:r>
          </w:p>
        </w:tc>
        <w:tc>
          <w:tcPr>
            <w:tcW w:type="dxa" w:w="24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Principle</w:t>
            </w:r>
          </w:p>
        </w:tc>
        <w:tc>
          <w:tcPr>
            <w:tcW w:type="dxa" w:w="66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Meaning</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w:t>
            </w:r>
          </w:p>
        </w:tc>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Credibility</w:t>
            </w:r>
          </w:p>
        </w:tc>
        <w:tc>
          <w:tcPr>
            <w:tcW w:type="dxa" w:w="6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visual design signals academic and legal seriousness. No decorative elements that reduce scholarly authority.</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2</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Consistency</w:t>
            </w:r>
          </w:p>
        </w:tc>
        <w:tc>
          <w:tcPr>
            <w:tcW w:type="dxa" w:w="6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document in the collection is visually recognizable as part of the same body of work.</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3</w:t>
            </w:r>
          </w:p>
        </w:tc>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Differentiation</w:t>
            </w:r>
          </w:p>
        </w:tc>
        <w:tc>
          <w:tcPr>
            <w:tcW w:type="dxa" w:w="66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Each document is immediately distinguishable from the others within the collection.</w:t>
            </w:r>
          </w:p>
        </w:tc>
      </w:tr>
    </w:tbl>
    <w:p>
      <w:pPr>
        <w:spacing w:before="60" w:after="60"/>
      </w:pPr>
    </w:p>
    <w:p>
      <w:pPr>
        <w:spacing w:before="0" w:after="120"/>
      </w:pPr>
      <w:r>
        <w:rPr>
          <w:rFonts w:ascii="Arial" w:cs="Arial" w:eastAsia="Arial" w:hAnsi="Arial"/>
          <w:b/>
          <w:bCs/>
          <w:color w:val="1B2F4E"/>
          <w:sz w:val="24"/>
          <w:szCs w:val="24"/>
        </w:rPr>
        <w:t xml:space="preserve">5.2  Fixed Non-Negotiable Elements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000"/>
        <w:gridCol w:w="7080"/>
      </w:tblGrid>
      <w:tr>
        <w:trPr>
          <w:tblHeader/>
        </w:trPr>
        <w:tc>
          <w:tcPr>
            <w:tcW w:type="dxa" w:w="3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Element</w:t>
            </w:r>
          </w:p>
        </w:tc>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Fixed Specification</w:t>
            </w:r>
          </w:p>
        </w:tc>
      </w:tr>
      <w:tr>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Font system</w:t>
            </w:r>
          </w:p>
        </w:tc>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Exactly three typefaces: Times New Roman (body text, table cells, endnotes, block quotations); Arial (all headings H1–H4, table headers, callout labels, cover, header/footer); Courier New (all inline flags, citation strings requiring exact reproduction)</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Body text size</w:t>
            </w:r>
          </w:p>
        </w:tc>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11 pt (22 half-points in docx) — no variation</w:t>
            </w:r>
          </w:p>
        </w:tc>
      </w:tr>
      <w:tr>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Page size</w:t>
            </w:r>
          </w:p>
        </w:tc>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 Letter 8.5" × 11" — never A4</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Margins</w:t>
            </w:r>
          </w:p>
        </w:tc>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0.75" on all four sides — uniform</w:t>
            </w:r>
          </w:p>
        </w:tc>
      </w:tr>
      <w:tr>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Line spacing</w:t>
            </w:r>
          </w:p>
        </w:tc>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Single throughout — no 1.5× or double spacing; use space-before/after values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Body text color</w:t>
            </w:r>
          </w:p>
        </w:tc>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#2C2C2C charcoal — never pure black; never gray below #555</w:t>
            </w:r>
          </w:p>
        </w:tc>
      </w:tr>
      <w:tr>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Page numbers</w:t>
            </w:r>
          </w:p>
        </w:tc>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Footer, right-aligned, Arial 8pt #888888</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Block quotation threshold</w:t>
            </w:r>
          </w:p>
        </w:tc>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40+ words — per APA 7 (most conservative standard)</w:t>
            </w:r>
          </w:p>
        </w:tc>
      </w:tr>
      <w:tr>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Table border weight</w:t>
            </w:r>
          </w:p>
        </w:tc>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1pt single, color #CCCCCC</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Alternating row fill</w:t>
            </w:r>
          </w:p>
        </w:tc>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#F4F4F4 (odd rows) / #FFFFFF (even rows)</w:t>
            </w:r>
          </w:p>
        </w:tc>
      </w:tr>
      <w:tr>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Table header text</w:t>
            </w:r>
          </w:p>
        </w:tc>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Arial 9pt Bold White — no exceptions</w:t>
            </w:r>
          </w:p>
        </w:tc>
      </w:tr>
    </w:tbl>
    <w:p>
      <w:pPr>
        <w:spacing w:before="60" w:after="60"/>
      </w:pPr>
    </w:p>
    <w:p>
      <w:pPr>
        <w:spacing w:before="0" w:after="120"/>
      </w:pPr>
      <w:r>
        <w:rPr>
          <w:rFonts w:ascii="Arial" w:cs="Arial" w:eastAsia="Arial" w:hAnsi="Arial"/>
          <w:b/>
          <w:bCs/>
          <w:color w:val="1B2F4E"/>
          <w:sz w:val="24"/>
          <w:szCs w:val="24"/>
        </w:rPr>
        <w:t xml:space="preserve">5.3  The Five Fixed Callout Types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00"/>
        <w:gridCol w:w="2900"/>
        <w:gridCol w:w="1800"/>
        <w:gridCol w:w="1800"/>
        <w:gridCol w:w="1380"/>
      </w:tblGrid>
      <w:tr>
        <w:trPr>
          <w:tblHeader/>
        </w:trPr>
        <w:tc>
          <w:tcPr>
            <w:tcW w:type="dxa" w:w="2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Type</w:t>
            </w:r>
          </w:p>
        </w:tc>
        <w:tc>
          <w:tcPr>
            <w:tcW w:type="dxa" w:w="2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Purpose</w:t>
            </w:r>
          </w:p>
        </w:tc>
        <w:tc>
          <w:tcPr>
            <w:tcW w:type="dxa" w:w="1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Background</w:t>
            </w:r>
          </w:p>
        </w:tc>
        <w:tc>
          <w:tcPr>
            <w:tcW w:type="dxa" w:w="1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Border</w:t>
            </w:r>
          </w:p>
        </w:tc>
        <w:tc>
          <w:tcPr>
            <w:tcW w:type="dxa" w:w="13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Label Color</w:t>
            </w:r>
          </w:p>
        </w:tc>
      </w:tr>
      <w:tr>
        <w:tc>
          <w:tcPr>
            <w:tcW w:type="dxa" w:w="2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Type 1 — Informational</w:t>
            </w:r>
          </w:p>
        </w:tc>
        <w:tc>
          <w:tcPr>
            <w:tcW w:type="dxa" w:w="2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Thesis statements, series position notes, key definitions, important claims</w:t>
            </w:r>
          </w:p>
        </w:tc>
        <w:tc>
          <w:tcPr>
            <w:tcW w:type="dxa" w:w="1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#EEF4FB pale blue</w:t>
            </w:r>
          </w:p>
        </w:tc>
        <w:tc>
          <w:tcPr>
            <w:tcW w:type="dxa" w:w="1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Collection accent color</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Collection accent color</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Type 2 — Methodological Note</w:t>
            </w:r>
          </w:p>
        </w:tc>
        <w:tc>
          <w:tcPr>
            <w:tcW w:type="dxa" w:w="2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CTF Tier 3/4/5 methodology disclosures — NEVER used for other content</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#FEF9E7 pale gold</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#B8860B dark gold</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#B8860B dark gold</w:t>
            </w:r>
          </w:p>
        </w:tc>
      </w:tr>
      <w:tr>
        <w:tc>
          <w:tcPr>
            <w:tcW w:type="dxa" w:w="2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Type 3 — Warning / Critical Flag</w:t>
            </w:r>
          </w:p>
        </w:tc>
        <w:tc>
          <w:tcPr>
            <w:tcW w:type="dxa" w:w="2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Absolute requirements, zero-tolerance rules, critical errors</w:t>
            </w:r>
          </w:p>
        </w:tc>
        <w:tc>
          <w:tcPr>
            <w:tcW w:type="dxa" w:w="1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#FDECEA pale red</w:t>
            </w:r>
          </w:p>
        </w:tc>
        <w:tc>
          <w:tcPr>
            <w:tcW w:type="dxa" w:w="1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#9B1C1C crimson</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#9B1C1C crimson</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Type 4 — Approved / Cleared</w:t>
            </w:r>
          </w:p>
        </w:tc>
        <w:tc>
          <w:tcPr>
            <w:tcW w:type="dxa" w:w="2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Gate clearances, audit completions — signals approval state only</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#E8F5E9 pale green</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#1E4D2B forest green</w:t>
            </w:r>
          </w:p>
        </w:tc>
        <w:tc>
          <w:tcPr>
            <w:tcW w:type="dxa" w:w="13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#1E4D2B forest green</w:t>
            </w:r>
          </w:p>
        </w:tc>
      </w:tr>
      <w:tr>
        <w:tc>
          <w:tcPr>
            <w:tcW w:type="dxa" w:w="2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Type 5 — Definition</w:t>
            </w:r>
          </w:p>
        </w:tc>
        <w:tc>
          <w:tcPr>
            <w:tcW w:type="dxa" w:w="2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Formal definitions of HPRS or collection-specific terms</w:t>
            </w:r>
          </w:p>
        </w:tc>
        <w:tc>
          <w:tcPr>
            <w:tcW w:type="dxa" w:w="1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#EEF4FB pale blue</w:t>
            </w:r>
          </w:p>
        </w:tc>
        <w:tc>
          <w:tcPr>
            <w:tcW w:type="dxa" w:w="1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#1B2F4E navy</w:t>
            </w:r>
          </w:p>
        </w:tc>
        <w:tc>
          <w:tcPr>
            <w:tcW w:type="dxa" w:w="13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#1B2F4E navy</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9B1C1C" w:sz="4"/>
              <w:left w:val="single" w:color="9B1C1C" w:sz="4"/>
              <w:bottom w:val="single" w:color="9B1C1C" w:sz="4"/>
              <w:right w:val="single" w:color="9B1C1C" w:sz="4"/>
            </w:tcBorders>
            <w:shd w:fill="FDECEA" w:val="clear"/>
            <w:tcMar>
              <w:top w:type="dxa" w:w="120"/>
              <w:left w:type="dxa" w:w="160"/>
              <w:bottom w:type="dxa" w:w="120"/>
              <w:right w:type="dxa" w:w="160"/>
            </w:tcMar>
          </w:tcPr>
          <w:p>
            <w:pPr>
              <w:spacing w:before="0" w:after="80"/>
            </w:pPr>
            <w:r>
              <w:rPr>
                <w:rFonts w:ascii="Arial" w:cs="Arial" w:eastAsia="Arial" w:hAnsi="Arial"/>
                <w:b/>
                <w:bCs/>
                <w:color w:val="9B1C1C"/>
                <w:sz w:val="22"/>
                <w:szCs w:val="22"/>
              </w:rPr>
              <w:t xml:space="preserve">STYLE VIOLATIONS — ANY OF THESE REQUIRES CORRECTION BEFORE PUBLICATION</w:t>
            </w:r>
          </w:p>
          <w:p>
            <w:pPr>
              <w:spacing w:before="0" w:after="60"/>
            </w:pPr>
            <w:r>
              <w:rPr>
                <w:rFonts w:ascii="Times New Roman" w:cs="Times New Roman" w:eastAsia="Times New Roman" w:hAnsi="Times New Roman"/>
                <w:color w:val="2C2C2C"/>
                <w:sz w:val="22"/>
                <w:szCs w:val="22"/>
              </w:rPr>
              <w:t xml:space="preserve">Any typeface other than Times New Roman, Arial, Courier New — violates three-font rule.</w:t>
            </w:r>
          </w:p>
          <w:p>
            <w:pPr>
              <w:spacing w:before="0" w:after="60"/>
            </w:pPr>
            <w:r>
              <w:rPr>
                <w:rFonts w:ascii="Times New Roman" w:cs="Times New Roman" w:eastAsia="Times New Roman" w:hAnsi="Times New Roman"/>
                <w:color w:val="2C2C2C"/>
                <w:sz w:val="22"/>
                <w:szCs w:val="22"/>
              </w:rPr>
              <w:t xml:space="preserve">First-line indented paragraphs — HPRS uses block paragraphs exclusively.</w:t>
            </w:r>
          </w:p>
          <w:p>
            <w:pPr>
              <w:spacing w:before="0" w:after="60"/>
            </w:pPr>
            <w:r>
              <w:rPr>
                <w:rFonts w:ascii="Times New Roman" w:cs="Times New Roman" w:eastAsia="Times New Roman" w:hAnsi="Times New Roman"/>
                <w:color w:val="2C2C2C"/>
                <w:sz w:val="22"/>
                <w:szCs w:val="22"/>
              </w:rPr>
              <w:t xml:space="preserve">Double-spaced body text — single line spacing only; use space-before/after values.</w:t>
            </w:r>
          </w:p>
          <w:p>
            <w:pPr>
              <w:spacing w:before="0" w:after="60"/>
            </w:pPr>
            <w:r>
              <w:rPr>
                <w:rFonts w:ascii="Times New Roman" w:cs="Times New Roman" w:eastAsia="Times New Roman" w:hAnsi="Times New Roman"/>
                <w:color w:val="2C2C2C"/>
                <w:sz w:val="22"/>
                <w:szCs w:val="22"/>
              </w:rPr>
              <w:t xml:space="preserve">Colored body text (other than defined heading colors) — body text is always #2C2C2C.</w:t>
            </w:r>
          </w:p>
          <w:p>
            <w:pPr>
              <w:spacing w:before="0" w:after="60"/>
            </w:pPr>
            <w:r>
              <w:rPr>
                <w:rFonts w:ascii="Times New Roman" w:cs="Times New Roman" w:eastAsia="Times New Roman" w:hAnsi="Times New Roman"/>
                <w:color w:val="2C2C2C"/>
                <w:sz w:val="22"/>
                <w:szCs w:val="22"/>
              </w:rPr>
              <w:t xml:space="preserve">Underlined text in body — reserved for hyperlinks only.</w:t>
            </w:r>
          </w:p>
          <w:p>
            <w:pPr>
              <w:spacing w:before="0" w:after="60"/>
            </w:pPr>
            <w:r>
              <w:rPr>
                <w:rFonts w:ascii="Times New Roman" w:cs="Times New Roman" w:eastAsia="Times New Roman" w:hAnsi="Times New Roman"/>
                <w:color w:val="2C2C2C"/>
                <w:sz w:val="22"/>
                <w:szCs w:val="22"/>
              </w:rPr>
              <w:t xml:space="preserve">Decorative borders, shadows, or gradients — no drop shadows or gradient fills.</w:t>
            </w:r>
          </w:p>
          <w:p>
            <w:pPr>
              <w:spacing w:before="0" w:after="60"/>
            </w:pPr>
            <w:r>
              <w:rPr>
                <w:rFonts w:ascii="Times New Roman" w:cs="Times New Roman" w:eastAsia="Times New Roman" w:hAnsi="Times New Roman"/>
                <w:color w:val="2C2C2C"/>
                <w:sz w:val="22"/>
                <w:szCs w:val="22"/>
              </w:rPr>
              <w:t xml:space="preserve">Centered body paragraphs (non-cover) — left-aligned only.</w:t>
            </w:r>
          </w:p>
          <w:p>
            <w:pPr>
              <w:spacing w:before="0" w:after="60"/>
            </w:pPr>
            <w:r>
              <w:rPr>
                <w:rFonts w:ascii="Times New Roman" w:cs="Times New Roman" w:eastAsia="Times New Roman" w:hAnsi="Times New Roman"/>
                <w:color w:val="2C2C2C"/>
                <w:sz w:val="22"/>
                <w:szCs w:val="22"/>
              </w:rPr>
              <w:t xml:space="preserve">Light-colored accent on table header row — all accents must pass WCAG AA contrast against white text.</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VI — OPERATIONAL MODULES 1–7: DRAFTING AND VERIFICATION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9B1C1C" w:sz="4"/>
              <w:left w:val="single" w:color="9B1C1C" w:sz="4"/>
              <w:bottom w:val="single" w:color="9B1C1C" w:sz="4"/>
              <w:right w:val="single" w:color="9B1C1C" w:sz="4"/>
            </w:tcBorders>
            <w:shd w:fill="FDECEA" w:val="clear"/>
            <w:tcMar>
              <w:top w:type="dxa" w:w="120"/>
              <w:left w:type="dxa" w:w="160"/>
              <w:bottom w:type="dxa" w:w="120"/>
              <w:right w:type="dxa" w:w="160"/>
            </w:tcMar>
          </w:tcPr>
          <w:p>
            <w:pPr>
              <w:spacing w:before="0" w:after="80"/>
            </w:pPr>
            <w:r>
              <w:rPr>
                <w:rFonts w:ascii="Arial" w:cs="Arial" w:eastAsia="Arial" w:hAnsi="Arial"/>
                <w:b/>
                <w:bCs/>
                <w:color w:val="9B1C1C"/>
                <w:sz w:val="22"/>
                <w:szCs w:val="22"/>
              </w:rPr>
              <w:t xml:space="preserve">MODULE 1 — COLLECTION INTAKE SEQUENCE: CRITICAL</w:t>
            </w:r>
          </w:p>
          <w:p>
            <w:pPr>
              <w:spacing w:before="0" w:after="60"/>
            </w:pPr>
            <w:r>
              <w:rPr>
                <w:rFonts w:ascii="Times New Roman" w:cs="Times New Roman" w:eastAsia="Times New Roman" w:hAnsi="Times New Roman"/>
                <w:color w:val="2C2C2C"/>
                <w:sz w:val="22"/>
                <w:szCs w:val="22"/>
              </w:rPr>
              <w:t xml:space="preserve">Drafting may not begin until the Collection Intake Sequence sign-off is complete. Documents drafted without completed intake cannot be cleared by the pre-publication sequence.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0"/>
        <w:gridCol w:w="5600"/>
        <w:gridCol w:w="3780"/>
      </w:tblGrid>
      <w:tr>
        <w:trPr>
          <w:tblHeader/>
        </w:trPr>
        <w:tc>
          <w:tcPr>
            <w:tcW w:type="dxa" w:w="7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Step</w:t>
            </w:r>
          </w:p>
        </w:tc>
        <w:tc>
          <w:tcPr>
            <w:tcW w:type="dxa" w:w="56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Action</w:t>
            </w:r>
          </w:p>
        </w:tc>
        <w:tc>
          <w:tcPr>
            <w:tcW w:type="dxa" w:w="37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Output Document</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w:t>
            </w:r>
          </w:p>
        </w:tc>
        <w:tc>
          <w:tcPr>
            <w:tcW w:type="dxa" w:w="5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Read this Manual (Part I–VI). Confirm understanding of the standard before collection-specific work begins.</w:t>
            </w:r>
          </w:p>
        </w:tc>
        <w:tc>
          <w:tcPr>
            <w:tcW w:type="dxa" w:w="37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None — confirmation only</w:t>
            </w:r>
          </w:p>
        </w:tc>
      </w:tr>
      <w:tr>
        <w:tc>
          <w:tcPr>
            <w:tcW w:type="dxa" w:w="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2</w:t>
            </w:r>
          </w:p>
        </w:tc>
        <w:tc>
          <w:tcPr>
            <w:tcW w:type="dxa" w:w="5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Complete the Collection Profile Form. Record: collection title, author, HPRS version, all domain types, claim types, source types, original calculations, defined terms, AI tools used.</w:t>
            </w:r>
          </w:p>
        </w:tc>
        <w:tc>
          <w:tcPr>
            <w:tcW w:type="dxa" w:w="37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C-01 Collection Profile Form</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3</w:t>
            </w:r>
          </w:p>
        </w:tc>
        <w:tc>
          <w:tcPr>
            <w:tcW w:type="dxa" w:w="5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Complete the Module Applicability Checklist. Mark each module REQUIRED, CONDITIONAL, or NOT APPLICABLE.</w:t>
            </w:r>
          </w:p>
        </w:tc>
        <w:tc>
          <w:tcPr>
            <w:tcW w:type="dxa" w:w="37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C-02 Module Applicability Checklist</w:t>
            </w:r>
          </w:p>
        </w:tc>
      </w:tr>
      <w:tr>
        <w:tc>
          <w:tcPr>
            <w:tcW w:type="dxa" w:w="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4</w:t>
            </w:r>
          </w:p>
        </w:tc>
        <w:tc>
          <w:tcPr>
            <w:tcW w:type="dxa" w:w="5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Build Domain Verification Checklists for each domain present.</w:t>
            </w:r>
          </w:p>
        </w:tc>
        <w:tc>
          <w:tcPr>
            <w:tcW w:type="dxa" w:w="37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C-03 Domain Verification Checklists</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5</w:t>
            </w:r>
          </w:p>
        </w:tc>
        <w:tc>
          <w:tcPr>
            <w:tcW w:type="dxa" w:w="5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Populate the Master Defined Terms Glossary with all specialized terms identified in Step 2.</w:t>
            </w:r>
          </w:p>
        </w:tc>
        <w:tc>
          <w:tcPr>
            <w:tcW w:type="dxa" w:w="37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C-04 Defined Terms Glossary</w:t>
            </w:r>
          </w:p>
        </w:tc>
      </w:tr>
      <w:tr>
        <w:tc>
          <w:tcPr>
            <w:tcW w:type="dxa" w:w="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6</w:t>
            </w:r>
          </w:p>
        </w:tc>
        <w:tc>
          <w:tcPr>
            <w:tcW w:type="dxa" w:w="5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Create the Mathematical Appendix shell. Populate the Calculation Register header.</w:t>
            </w:r>
          </w:p>
        </w:tc>
        <w:tc>
          <w:tcPr>
            <w:tcW w:type="dxa" w:w="37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C-05 Mathematical Appendix</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7</w:t>
            </w:r>
          </w:p>
        </w:tc>
        <w:tc>
          <w:tcPr>
            <w:tcW w:type="dxa" w:w="5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Complete the Collection Style Sheet. Assign accent colors; confirm WCAG AA compliance.</w:t>
            </w:r>
          </w:p>
        </w:tc>
        <w:tc>
          <w:tcPr>
            <w:tcW w:type="dxa" w:w="37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C-06 Collection Style Sheet</w:t>
            </w:r>
          </w:p>
        </w:tc>
      </w:tr>
      <w:tr>
        <w:tc>
          <w:tcPr>
            <w:tcW w:type="dxa" w:w="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8</w:t>
            </w:r>
          </w:p>
        </w:tc>
        <w:tc>
          <w:tcPr>
            <w:tcW w:type="dxa" w:w="5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Initialize the Pending Verification Register. Enter any Tier 3/4/5 figures that may require deferral.</w:t>
            </w:r>
          </w:p>
        </w:tc>
        <w:tc>
          <w:tcPr>
            <w:tcW w:type="dxa" w:w="37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C-07 Pending Verification Register</w:t>
            </w:r>
          </w:p>
        </w:tc>
      </w:tr>
      <w:tr>
        <w:tc>
          <w:tcPr>
            <w:tcW w:type="dxa" w:w="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9</w:t>
            </w:r>
          </w:p>
        </w:tc>
        <w:tc>
          <w:tcPr>
            <w:tcW w:type="dxa" w:w="5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Initialize the AI Source Conflict Log. Enter all AI tools being used.</w:t>
            </w:r>
          </w:p>
        </w:tc>
        <w:tc>
          <w:tcPr>
            <w:tcW w:type="dxa" w:w="37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C-08 AI Source Conflict Log</w:t>
            </w:r>
          </w:p>
        </w:tc>
      </w:tr>
      <w:tr>
        <w:tc>
          <w:tcPr>
            <w:tcW w:type="dxa" w:w="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10</w:t>
            </w:r>
          </w:p>
        </w:tc>
        <w:tc>
          <w:tcPr>
            <w:tcW w:type="dxa" w:w="5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Sign off on collection intake. Confirm all L2 instruments are initialized. Drafting is authorized.</w:t>
            </w:r>
          </w:p>
        </w:tc>
        <w:tc>
          <w:tcPr>
            <w:tcW w:type="dxa" w:w="37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Intake Sign-Off Record</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Module 2 — Claim-Type Verification Protocols</w:t>
            </w:r>
          </w:p>
        </w:tc>
      </w:tr>
    </w:tbl>
    <w:p>
      <w:pPr>
        <w:spacing w:before="60" w:after="60"/>
      </w:pPr>
    </w:p>
    <w:p>
      <w:pPr>
        <w:spacing w:before="0" w:after="120"/>
      </w:pPr>
      <w:r>
        <w:rPr>
          <w:rFonts w:ascii="Times New Roman" w:cs="Times New Roman" w:eastAsia="Times New Roman" w:hAnsi="Times New Roman"/>
          <w:color w:val="2C2C2C"/>
          <w:sz w:val="22"/>
          <w:szCs w:val="22"/>
        </w:rPr>
        <w:t xml:space="preserve">Every source type used in an HPRS-governed collection requires a source-type-specific verification protocol. A citation that fails its verification protocol is an evidentiary error, not a formatting error.</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2A — Peer-Reviewed Scientific Sources (R2)</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500"/>
        <w:gridCol w:w="2580"/>
      </w:tblGrid>
      <w:tr>
        <w:trPr>
          <w:tblHeader/>
        </w:trPr>
        <w:tc>
          <w:tcPr>
            <w:tcW w:type="dxa" w:w="75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Verification Requirement</w:t>
            </w:r>
          </w:p>
        </w:tc>
        <w:tc>
          <w:tcPr>
            <w:tcW w:type="dxa" w:w="25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Standard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DOI accessed at doi.org and resolves to the correct article</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Author names spelled correctly and in correct order</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Claim attributed to source is actually made in source — not inferred or extended without disclosure</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Source has not been retracted — verified at retractionwatch.com</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sourced figure applied beyond original research scope: scope disclosure present per Section 3.4</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 when applicable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2B — Legal and Regulatory Sources (R3)</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500"/>
        <w:gridCol w:w="2580"/>
      </w:tblGrid>
      <w:tr>
        <w:trPr>
          <w:tblHeader/>
        </w:trPr>
        <w:tc>
          <w:tcPr>
            <w:tcW w:type="dxa" w:w="75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Verification Requirement</w:t>
            </w:r>
          </w:p>
        </w:tc>
        <w:tc>
          <w:tcPr>
            <w:tcW w:type="dxa" w:w="25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Standard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FAR/DFARS: citation verified at acquisition.gov — the official source</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Citation includes the most granular subsection level: Part → Subpart → Section → Subsection → Paragraph</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Described content actually appears at the cited subsection — not at a parent or adjacent section</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FAR clause number also cites the C.F.R. location (e.g., 48 C.F.R. § [number])</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Clause has not been amended, suspended, or subject to a class deviation</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C.F.R.: citation verified at ecfr.gov; effective date confirmed</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U.S.C.: citation verified at uscode.house.gov; statute has not been repealed or renumbered</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quoted: quote verified verbatim against current official text</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2D — Mathematical and Statistical Claims (R1)</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500"/>
        <w:gridCol w:w="2580"/>
      </w:tblGrid>
      <w:tr>
        <w:trPr>
          <w:tblHeader/>
        </w:trPr>
        <w:tc>
          <w:tcPr>
            <w:tcW w:type="dxa" w:w="75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Verification Requirement</w:t>
            </w:r>
          </w:p>
        </w:tc>
        <w:tc>
          <w:tcPr>
            <w:tcW w:type="dxa" w:w="25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Standard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mathematical claim classified as CTF Tier 1, 2, 3, 4, or 5</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3: Methodological Note written; all inputs, operations, and assumptions disclosed</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4: Methodological Note written; four-part independence argument complete</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5: every register the claim operates in identified; each register's evidentiary standard met independently</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Module 3 — Cross-Document Consistency Audit</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500"/>
        <w:gridCol w:w="2580"/>
      </w:tblGrid>
      <w:tr>
        <w:trPr>
          <w:tblHeader/>
        </w:trPr>
        <w:tc>
          <w:tcPr>
            <w:tcW w:type="dxa" w:w="75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Consistency Check</w:t>
            </w:r>
          </w:p>
        </w:tc>
        <w:tc>
          <w:tcPr>
            <w:tcW w:type="dxa" w:w="25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Requirement</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quantitative figure appearing in more than one document has the same value in all documents</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defined term is used consistently — the same term has the same meaning in every document</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central thesis statement is worded consistently across all documents that state it</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r>
        <w:tc>
          <w:tcPr>
            <w:tcW w:type="dxa" w:w="7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Any figure described as a 'floor estimate' or 'conservative figure' is described consistently</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Module 5 — The Inline Flag System</w:t>
            </w:r>
          </w:p>
        </w:tc>
      </w:tr>
    </w:tbl>
    <w:p>
      <w:pPr>
        <w:spacing w:before="60" w:after="60"/>
      </w:pPr>
    </w:p>
    <w:p>
      <w:pPr>
        <w:spacing w:before="0" w:after="120"/>
      </w:pPr>
      <w:r>
        <w:rPr>
          <w:rFonts w:ascii="Times New Roman" w:cs="Times New Roman" w:eastAsia="Times New Roman" w:hAnsi="Times New Roman"/>
          <w:color w:val="2C2C2C"/>
          <w:sz w:val="22"/>
          <w:szCs w:val="22"/>
        </w:rPr>
        <w:t xml:space="preserve">The inline flag system is the HPRS's real-time drafting control mechanism. Every flag is a placeholder that requires resolution before the document is cleared for publication. No document may be published with an open flag.</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2000"/>
        <w:gridCol w:w="2700"/>
        <w:gridCol w:w="2580"/>
      </w:tblGrid>
      <w:tr>
        <w:trPr>
          <w:tblHeader/>
        </w:trPr>
        <w:tc>
          <w:tcPr>
            <w:tcW w:type="dxa" w:w="2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Flag Marker</w:t>
            </w:r>
          </w:p>
        </w:tc>
        <w:tc>
          <w:tcPr>
            <w:tcW w:type="dxa" w:w="2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Color</w:t>
            </w:r>
          </w:p>
        </w:tc>
        <w:tc>
          <w:tcPr>
            <w:tcW w:type="dxa" w:w="27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Trigger Condition</w:t>
            </w:r>
          </w:p>
        </w:tc>
        <w:tc>
          <w:tcPr>
            <w:tcW w:type="dxa" w:w="25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Required Action</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[VERIFY CITATION]</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Crimson #9B1C1C</w:t>
            </w:r>
          </w:p>
        </w:tc>
        <w:tc>
          <w:tcPr>
            <w:tcW w:type="dxa" w:w="2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Citation provided but accuracy is uncertain</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Independently verify source at cited location; confirm all bibliographic elements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[VERIFY LOCATION]</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Crimson #9B1C1C</w:t>
            </w:r>
          </w:p>
        </w:tc>
        <w:tc>
          <w:tcPr>
            <w:tcW w:type="dxa" w:w="2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Correct source cited but subsection may not be precise</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 to the cited subsection. Confirm the described content appears there.</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[CITATION NEEDED]</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Dark Gold #B8860B</w:t>
            </w:r>
          </w:p>
        </w:tc>
        <w:tc>
          <w:tcPr>
            <w:tcW w:type="dxa" w:w="2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Factual, legal, or mathematical claim present without any citation</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Locate primary source; insert full HPRS citation; assign CTF tier if mathematical</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[CLASS NEEDED]</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Dark Gold #B8860B</w:t>
            </w:r>
          </w:p>
        </w:tc>
        <w:tc>
          <w:tcPr>
            <w:tcW w:type="dxa" w:w="2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Mathematical claim present without CTF Tier designation</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Assign Tier 1–5; if Tier 3, 4, or 5, write the required Methodological Note</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[INDEPENDENCE NEEDED]</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Dark Gold #B8860B</w:t>
            </w:r>
          </w:p>
        </w:tc>
        <w:tc>
          <w:tcPr>
            <w:tcW w:type="dxa" w:w="2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Compounded probability used without four-part independence argument</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Write the four-part independence argument per Part III Section 3.3</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[FALSIFIABILITY NEEDED]</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Forest Green #1E4D2B</w:t>
            </w:r>
          </w:p>
        </w:tc>
        <w:tc>
          <w:tcPr>
            <w:tcW w:type="dxa" w:w="2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Domain argument present without a falsifiability statement</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Write the falsifiability statement per Part III Section 3.5</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[SCOPE DISCLOSURE]</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Dark Gold #B8860B</w:t>
            </w:r>
          </w:p>
        </w:tc>
        <w:tc>
          <w:tcPr>
            <w:tcW w:type="dxa" w:w="2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Sourced figure applied beyond the scope of original research</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Add scope limitation disclosure per Part III Section 3.4</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[CHECK CURRENT VER]</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Purple #5B2C8D</w:t>
            </w:r>
          </w:p>
        </w:tc>
        <w:tc>
          <w:tcPr>
            <w:tcW w:type="dxa" w:w="2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Regulatory or statutory citation; version currency unverified</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Check eCFR.gov or uscode.house.gov for amendments since citation date</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[PRIMARY SRC NEEDED]</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Purple #5B2C8D</w:t>
            </w:r>
          </w:p>
        </w:tc>
        <w:tc>
          <w:tcPr>
            <w:tcW w:type="dxa" w:w="2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Currently citing secondary source only for a factual or legal claim</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Find and substitute primary source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[PARAPHRASE — NOT QUOTE]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Crimson #9B1C1C</w:t>
            </w:r>
          </w:p>
        </w:tc>
        <w:tc>
          <w:tcPr>
            <w:tcW w:type="dxa" w:w="2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Content in quotation marks may be paraphrased rather than verbatim</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Compare to original source character by character; correct or remove quotation marks</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[ISOMORPHISM BRIDGE NEEDED]</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Navy #1B2F4E</w:t>
            </w:r>
          </w:p>
        </w:tc>
        <w:tc>
          <w:tcPr>
            <w:tcW w:type="dxa" w:w="2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Cross-domain structural claim made without identifying the shared architectural property</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Identify the shared structural property; document why it operates equivalently across domains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[SUBJECT TO REVIEW]</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Dark Gold #B8860B</w:t>
            </w:r>
          </w:p>
        </w:tc>
        <w:tc>
          <w:tcPr>
            <w:tcW w:type="dxa" w:w="2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Self-flagged figure awaiting external expert verification</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Enter in Pending Verification Register (Module 7); do not publish without resolution</w:t>
            </w:r>
          </w:p>
        </w:tc>
      </w:tr>
      <w:tr>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[ONLINE SOURCE — VERIFY STABLE]</w:t>
            </w:r>
          </w:p>
        </w:tc>
        <w:tc>
          <w:tcPr>
            <w:tcW w:type="dxa" w:w="2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Purple #5B2C8D</w:t>
            </w:r>
          </w:p>
        </w:tc>
        <w:tc>
          <w:tcPr>
            <w:tcW w:type="dxa" w:w="27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Citation to a URL or online database that may move or change</w:t>
            </w:r>
          </w:p>
        </w:tc>
        <w:tc>
          <w:tcPr>
            <w:tcW w:type="dxa" w:w="2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Apply Module 8 Online Source Fidelity Protocol; capture archived version</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[BASELINE IMPLICIT]</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Dark Gold #B8860B</w:t>
            </w:r>
          </w:p>
        </w:tc>
        <w:tc>
          <w:tcPr>
            <w:tcW w:type="dxa" w:w="27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Argument depends on a baseline figure that is not explicitly cited</w:t>
            </w:r>
          </w:p>
        </w:tc>
        <w:tc>
          <w:tcPr>
            <w:tcW w:type="dxa" w:w="2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Identify and cite the baseline per Module 9; assign CTF tier</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VII — OPERATIONAL MODULES 8–14: ADVANCED PROTOCOLS</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Module 8 — Online Source Fidelity Protocol</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400"/>
        <w:gridCol w:w="4080"/>
      </w:tblGrid>
      <w:tr>
        <w:trPr>
          <w:tblHeader/>
        </w:trPr>
        <w:tc>
          <w:tcPr>
            <w:tcW w:type="dxa" w:w="26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Source Stability Tier</w:t>
            </w:r>
          </w:p>
        </w:tc>
        <w:tc>
          <w:tcPr>
            <w:tcW w:type="dxa" w:w="34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Examples</w:t>
            </w:r>
          </w:p>
        </w:tc>
        <w:tc>
          <w:tcPr>
            <w:tcW w:type="dxa" w:w="4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Required Action</w:t>
            </w:r>
          </w:p>
        </w:tc>
      </w:tr>
      <w:tr>
        <w:tc>
          <w:tcPr>
            <w:tcW w:type="dxa" w:w="2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1 — Legally Stable (.gov)</w:t>
            </w:r>
          </w:p>
        </w:tc>
        <w:tc>
          <w:tcPr>
            <w:tcW w:type="dxa" w:w="3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acquisition.gov, ecfr.gov, uscode.house.gov</w:t>
            </w:r>
          </w:p>
        </w:tc>
        <w:tc>
          <w:tcPr>
            <w:tcW w:type="dxa" w:w="4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Cite with access date. Re-verify before publication if more than 90 days since last verification.</w:t>
            </w:r>
          </w:p>
        </w:tc>
      </w:tr>
      <w:tr>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2 — Agency Database</w:t>
            </w:r>
          </w:p>
        </w:tc>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GAO reports, IG reports, declassified repositories</w:t>
            </w:r>
          </w:p>
        </w:tc>
        <w:tc>
          <w:tcPr>
            <w:tcW w:type="dxa" w:w="4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Cite with report number, title, date, and access date.</w:t>
            </w:r>
          </w:p>
        </w:tc>
      </w:tr>
      <w:tr>
        <w:tc>
          <w:tcPr>
            <w:tcW w:type="dxa" w:w="26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3 — Institutional Website</w:t>
            </w:r>
          </w:p>
        </w:tc>
        <w:tc>
          <w:tcPr>
            <w:tcW w:type="dxa" w:w="3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University databases, think tank publications</w:t>
            </w:r>
          </w:p>
        </w:tc>
        <w:tc>
          <w:tcPr>
            <w:tcW w:type="dxa" w:w="4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Cite with access date and Wayback Machine URL. Maintain local PDF copy.</w:t>
            </w:r>
          </w:p>
        </w:tc>
      </w:tr>
      <w:tr>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Tier 4 — General Web</w:t>
            </w:r>
          </w:p>
        </w:tc>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News articles, blog posts, general websites</w:t>
            </w:r>
          </w:p>
        </w:tc>
        <w:tc>
          <w:tcPr>
            <w:tcW w:type="dxa" w:w="4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Use for corroboration only. Never use as primary source for a factual claim.</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Module 10 — AI Drafting Disclosure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800"/>
        <w:gridCol w:w="6280"/>
      </w:tblGrid>
      <w:tr>
        <w:trPr>
          <w:tblHeader/>
        </w:trPr>
        <w:tc>
          <w:tcPr>
            <w:tcW w:type="dxa" w:w="3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AI Use Type</w:t>
            </w:r>
          </w:p>
        </w:tc>
        <w:tc>
          <w:tcPr>
            <w:tcW w:type="dxa" w:w="62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HPRS Treatment</w:t>
            </w:r>
          </w:p>
        </w:tc>
      </w:tr>
      <w:tr>
        <w:tc>
          <w:tcPr>
            <w:tcW w:type="dxa" w:w="3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used to draft prose explanations of researcher-derived calculations</w:t>
            </w:r>
          </w:p>
        </w:tc>
        <w:tc>
          <w:tcPr>
            <w:tcW w:type="dxa" w:w="6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Disclosure required in relevant MN. Any error in the explanation is the researcher's error at the point of publication.</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used to search for and identify sources</w:t>
            </w:r>
          </w:p>
        </w:tc>
        <w:tc>
          <w:tcPr>
            <w:tcW w:type="dxa" w:w="6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Sources must be independently verified per Module 2. AI-suggested citations are not verified citations.</w:t>
            </w:r>
          </w:p>
        </w:tc>
      </w:tr>
      <w:tr>
        <w:tc>
          <w:tcPr>
            <w:tcW w:type="dxa" w:w="3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used to format, structure, or organize the document</w:t>
            </w:r>
          </w:p>
        </w:tc>
        <w:tc>
          <w:tcPr>
            <w:tcW w:type="dxa" w:w="6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Disclosure at the collection level. No claim-level disclosure required.</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used as the source of a probability figure, factual claim, or analytical conclusion</w:t>
            </w:r>
          </w:p>
        </w:tc>
        <w:tc>
          <w:tcPr>
            <w:tcW w:type="dxa" w:w="6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NOT PERMITTED under HPRS. AI-generated figures may not be published as HPRS-cleared claims without independent verification.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9B1C1C" w:sz="4"/>
              <w:left w:val="single" w:color="9B1C1C" w:sz="4"/>
              <w:bottom w:val="single" w:color="9B1C1C" w:sz="4"/>
              <w:right w:val="single" w:color="9B1C1C" w:sz="4"/>
            </w:tcBorders>
            <w:shd w:fill="FDECEA" w:val="clear"/>
            <w:tcMar>
              <w:top w:type="dxa" w:w="120"/>
              <w:left w:type="dxa" w:w="160"/>
              <w:bottom w:type="dxa" w:w="120"/>
              <w:right w:type="dxa" w:w="160"/>
            </w:tcMar>
          </w:tcPr>
          <w:p>
            <w:pPr>
              <w:spacing w:before="0" w:after="80"/>
            </w:pPr>
            <w:r>
              <w:rPr>
                <w:rFonts w:ascii="Arial" w:cs="Arial" w:eastAsia="Arial" w:hAnsi="Arial"/>
                <w:b/>
                <w:bCs/>
                <w:color w:val="9B1C1C"/>
                <w:sz w:val="22"/>
                <w:szCs w:val="22"/>
              </w:rPr>
              <w:t xml:space="preserve">REQUIRED AI DRAFTING DISCLOSURE STATEMENT</w:t>
            </w:r>
          </w:p>
          <w:p>
            <w:pPr>
              <w:spacing w:before="0" w:after="60"/>
            </w:pPr>
            <w:r>
              <w:rPr>
                <w:rFonts w:ascii="Times New Roman" w:cs="Times New Roman" w:eastAsia="Times New Roman" w:hAnsi="Times New Roman"/>
                <w:color w:val="2C2C2C"/>
                <w:sz w:val="22"/>
                <w:szCs w:val="22"/>
              </w:rPr>
              <w:t xml:space="preserve">This document was produced with AI assistance in [describe: prose drafting / source identification / structural organization / other]. AI tools used: [list]. AI tools were not used as the authoritative source of any factual claim, probability figure, or analytical conclusion. All claims in this document represent the researcher's intellectual work. Any error in this document is the researcher's error, not the AI tool's, because the researcher accepted responsibility for every claim at the point of publication.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Module 12 — Response to Challenge Protocol</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2800"/>
        <w:gridCol w:w="4880"/>
      </w:tblGrid>
      <w:tr>
        <w:trPr>
          <w:tblHeader/>
        </w:trPr>
        <w:tc>
          <w:tcPr>
            <w:tcW w:type="dxa" w:w="24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Challenge Type</w:t>
            </w:r>
          </w:p>
        </w:tc>
        <w:tc>
          <w:tcPr>
            <w:tcW w:type="dxa" w:w="2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Definition</w:t>
            </w:r>
          </w:p>
        </w:tc>
        <w:tc>
          <w:tcPr>
            <w:tcW w:type="dxa" w:w="48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Required Response</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Procedural Objection</w:t>
            </w:r>
          </w:p>
        </w:tc>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Objection based on form: 'This does not comply with APA 7,' 'This has not been peer reviewed'</w:t>
            </w:r>
          </w:p>
        </w:tc>
        <w:tc>
          <w:tcPr>
            <w:tcW w:type="dxa" w:w="48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Cite the relevant Deviation Record or HPRS module governing the decision. A procedural objection answered by a documented HPRS decision is closed.</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Factual Challenge</w:t>
            </w:r>
          </w:p>
        </w:tc>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claim that a cited source does not say what the document states it says</w:t>
            </w:r>
          </w:p>
        </w:tc>
        <w:tc>
          <w:tcPr>
            <w:tcW w:type="dxa" w:w="4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Verify the citation against the primary source. If the challenge is correct: issue a correction. If incorrect: state the specific location in the source.</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Mathematical Challenge</w:t>
            </w:r>
          </w:p>
        </w:tc>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claim that a CTF Tier 3, 4, or 5 figure is incorrect</w:t>
            </w:r>
          </w:p>
        </w:tc>
        <w:tc>
          <w:tcPr>
            <w:tcW w:type="dxa" w:w="48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challenge must meet the evidentiary standard stated in the figure's Falsification Condition. A verbal objection is not a mathematical falsification.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Independence Challenge</w:t>
            </w:r>
          </w:p>
        </w:tc>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 claim that domains treated as independent share a common variable</w:t>
            </w:r>
          </w:p>
        </w:tc>
        <w:tc>
          <w:tcPr>
            <w:tcW w:type="dxa" w:w="4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challenger must identify the specific shared variable and state the correlation coefficient. The researcher must refute or recalculate under the stated correlation.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Module 14 — AI Source Conflict Disclosure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3200"/>
        <w:gridCol w:w="4480"/>
      </w:tblGrid>
      <w:tr>
        <w:trPr>
          <w:tblHeader/>
        </w:trPr>
        <w:tc>
          <w:tcPr>
            <w:tcW w:type="dxa" w:w="24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Conflict Type</w:t>
            </w:r>
          </w:p>
        </w:tc>
        <w:tc>
          <w:tcPr>
            <w:tcW w:type="dxa" w:w="3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Definition</w:t>
            </w:r>
          </w:p>
        </w:tc>
        <w:tc>
          <w:tcPr>
            <w:tcW w:type="dxa" w:w="44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Required Action</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Fabricated Citation</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suggests a source that does not exist — plausible details that resolve to nothing at doi.org</w:t>
            </w:r>
          </w:p>
        </w:tc>
        <w:tc>
          <w:tcPr>
            <w:tcW w:type="dxa" w:w="44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Flag with [VERIFY CITATION]. Independently verify. If source does not exist: delete and find a real primary source.</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Transposed Content</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correctly identifies a source but attributes content to the wrong section, subsection, or page</w:t>
            </w:r>
          </w:p>
        </w:tc>
        <w:tc>
          <w:tcPr>
            <w:tcW w:type="dxa" w:w="4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Flag with [VERIFY LOCATION]. Verify the specific subsection independently.</w:t>
            </w:r>
          </w:p>
        </w:tc>
      </w:tr>
      <w:tr>
        <w:tc>
          <w:tcPr>
            <w:tcW w:type="dxa" w:w="24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Version Confusion</w:t>
            </w:r>
          </w:p>
        </w:tc>
        <w:tc>
          <w:tcPr>
            <w:tcW w:type="dxa" w:w="3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cites an outdated or superseded version of a statute, regulation, or standard</w:t>
            </w:r>
          </w:p>
        </w:tc>
        <w:tc>
          <w:tcPr>
            <w:tcW w:type="dxa" w:w="44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Flag with [CHECK CURRENT VER]. Verify currency against eCFR.gov or uscode.house.gov.</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Conflated Sources</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conflates two similar sources — correct author, wrong title; correct title, wrong journal</w:t>
            </w:r>
          </w:p>
        </w:tc>
        <w:tc>
          <w:tcPr>
            <w:tcW w:type="dxa" w:w="4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Flag with [VERIFY CITATION]. Verify every bibliographic element independently.</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PART VIII — PRE-PUBLICATION CLEARANCE SEQUENCE</w:t>
            </w:r>
          </w:p>
        </w:tc>
      </w:tr>
    </w:tbl>
    <w:p>
      <w:pPr>
        <w:spacing w:before="60" w:after="60"/>
      </w:pPr>
    </w:p>
    <w:p>
      <w:pPr>
        <w:spacing w:before="0" w:after="120"/>
      </w:pPr>
      <w:r>
        <w:rPr>
          <w:rFonts w:ascii="Times New Roman" w:cs="Times New Roman" w:eastAsia="Times New Roman" w:hAnsi="Times New Roman"/>
          <w:color w:val="2C2C2C"/>
          <w:sz w:val="22"/>
          <w:szCs w:val="22"/>
        </w:rPr>
        <w:t xml:space="preserve">The Pre-Publication Clearance Sequence is the final gate before any document in an HPRS-governed collection is published. It is a sequential process — each gate must be cleared before the next is entered. Simultaneous gate-clearing is not permitted.</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0"/>
        <w:gridCol w:w="2800"/>
        <w:gridCol w:w="6280"/>
      </w:tblGrid>
      <w:tr>
        <w:trPr>
          <w:tblHeader/>
        </w:trPr>
        <w:tc>
          <w:tcPr>
            <w:tcW w:type="dxa" w:w="1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Gate</w:t>
            </w:r>
          </w:p>
        </w:tc>
        <w:tc>
          <w:tcPr>
            <w:tcW w:type="dxa" w:w="28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Name</w:t>
            </w:r>
          </w:p>
        </w:tc>
        <w:tc>
          <w:tcPr>
            <w:tcW w:type="dxa" w:w="62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What Is Verified</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Gate 1</w:t>
            </w:r>
          </w:p>
        </w:tc>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Flag Clearance</w:t>
            </w:r>
          </w:p>
        </w:tc>
        <w:tc>
          <w:tcPr>
            <w:tcW w:type="dxa" w:w="6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inline flags of any type remain in the document</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Gate 2</w:t>
            </w:r>
          </w:p>
        </w:tc>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CTF Disclosure</w:t>
            </w:r>
          </w:p>
        </w:tc>
        <w:tc>
          <w:tcPr>
            <w:tcW w:type="dxa" w:w="6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mathematical claim has a Tier designation; every Tier 3/4/5 claim has a complete Methodological Note; every Tier 4/5 claim has a four-part independence argument</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Gate 3</w:t>
            </w:r>
          </w:p>
        </w:tc>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Legal and Regulatory Precision</w:t>
            </w:r>
          </w:p>
        </w:tc>
        <w:tc>
          <w:tcPr>
            <w:tcW w:type="dxa" w:w="6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FAR/DFARS citation verified at acquisition.gov to subsection level; every C.F.R. citation verified at ecfr.gov; every U.S.C. citation verified at uscode.house.gov</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Gate 4</w:t>
            </w:r>
          </w:p>
        </w:tc>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Cross-Document Consistency</w:t>
            </w:r>
          </w:p>
        </w:tc>
        <w:tc>
          <w:tcPr>
            <w:tcW w:type="dxa" w:w="6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quantitative figures consistent with all prior documents; all defined terms used consistently; all cross-document references correct</w:t>
            </w:r>
          </w:p>
        </w:tc>
      </w:tr>
      <w:tr>
        <w:tc>
          <w:tcPr>
            <w:tcW w:type="dxa" w:w="1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Gate 5</w:t>
            </w:r>
          </w:p>
        </w:tc>
        <w:tc>
          <w:tcPr>
            <w:tcW w:type="dxa" w:w="28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Final Integrity</w:t>
            </w:r>
          </w:p>
        </w:tc>
        <w:tc>
          <w:tcPr>
            <w:tcW w:type="dxa" w:w="62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claim is sourced or labeled as researcher's analysis; no quotation marks around paraphrased text; no source is misrepresented; all Correction Justification Records completed</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B8860B" w:sz="4"/>
              <w:left w:val="single" w:color="B8860B" w:sz="4"/>
              <w:bottom w:val="single" w:color="B8860B" w:sz="4"/>
              <w:right w:val="single" w:color="B8860B" w:sz="4"/>
            </w:tcBorders>
            <w:shd w:fill="FEF9E7" w:val="clear"/>
            <w:tcMar>
              <w:top w:type="dxa" w:w="120"/>
              <w:left w:type="dxa" w:w="160"/>
              <w:bottom w:type="dxa" w:w="120"/>
              <w:right w:type="dxa" w:w="160"/>
            </w:tcMar>
          </w:tcPr>
          <w:p>
            <w:pPr>
              <w:spacing w:before="0" w:after="80"/>
            </w:pPr>
            <w:r>
              <w:rPr>
                <w:rFonts w:ascii="Arial" w:cs="Arial" w:eastAsia="Arial" w:hAnsi="Arial"/>
                <w:b/>
                <w:bCs/>
                <w:color w:val="B8860B"/>
                <w:sz w:val="22"/>
                <w:szCs w:val="22"/>
              </w:rPr>
              <w:t xml:space="preserve">PUBLICATION AUTHORIZATION — GATE 5 SIGN-OFF</w:t>
            </w:r>
          </w:p>
          <w:p>
            <w:pPr>
              <w:spacing w:before="0" w:after="60"/>
            </w:pPr>
            <w:r>
              <w:rPr>
                <w:rFonts w:ascii="Times New Roman" w:cs="Times New Roman" w:eastAsia="Times New Roman" w:hAnsi="Times New Roman"/>
                <w:color w:val="2C2C2C"/>
                <w:sz w:val="22"/>
                <w:szCs w:val="22"/>
              </w:rPr>
              <w:t xml:space="preserve">A document that clears all five gates meets the full HPRS standard. It is defensible to scholars, scientists, legal critics, logicians, and domain experts simultaneously.</w:t>
            </w:r>
          </w:p>
          <w:p>
            <w:pPr>
              <w:spacing w:before="0" w:after="60"/>
            </w:pPr>
            <w:r>
              <w:rPr>
                <w:rFonts w:ascii="Times New Roman" w:cs="Times New Roman" w:eastAsia="Times New Roman" w:hAnsi="Times New Roman"/>
                <w:color w:val="2C2C2C"/>
                <w:sz w:val="22"/>
                <w:szCs w:val="22"/>
              </w:rPr>
              <w:t xml:space="preserve"/>
            </w:r>
          </w:p>
          <w:p>
            <w:pPr>
              <w:spacing w:before="0" w:after="60"/>
            </w:pPr>
            <w:r>
              <w:rPr>
                <w:rFonts w:ascii="Times New Roman" w:cs="Times New Roman" w:eastAsia="Times New Roman" w:hAnsi="Times New Roman"/>
                <w:color w:val="2C2C2C"/>
                <w:sz w:val="22"/>
                <w:szCs w:val="22"/>
              </w:rPr>
              <w:t xml:space="preserve">Gate 5 sign-off constitutes publication authorization for this document under HPRS Version 1.0.</w:t>
            </w:r>
          </w:p>
          <w:p>
            <w:pPr>
              <w:spacing w:before="0" w:after="60"/>
            </w:pPr>
            <w:r>
              <w:rPr>
                <w:rFonts w:ascii="Times New Roman" w:cs="Times New Roman" w:eastAsia="Times New Roman" w:hAnsi="Times New Roman"/>
                <w:color w:val="2C2C2C"/>
                <w:sz w:val="22"/>
                <w:szCs w:val="22"/>
              </w:rPr>
              <w:t xml:space="preserve"/>
            </w:r>
          </w:p>
          <w:p>
            <w:pPr>
              <w:spacing w:before="0" w:after="60"/>
            </w:pPr>
            <w:r>
              <w:rPr>
                <w:rFonts w:ascii="Times New Roman" w:cs="Times New Roman" w:eastAsia="Times New Roman" w:hAnsi="Times New Roman"/>
                <w:color w:val="2C2C2C"/>
                <w:sz w:val="22"/>
                <w:szCs w:val="22"/>
              </w:rPr>
              <w:t xml:space="preserve">Reviewer: ________________________   Date: ________________________</w:t>
            </w:r>
          </w:p>
          <w:p>
            <w:pPr>
              <w:spacing w:before="0" w:after="60"/>
            </w:pPr>
            <w:r>
              <w:rPr>
                <w:rFonts w:ascii="Times New Roman" w:cs="Times New Roman" w:eastAsia="Times New Roman" w:hAnsi="Times New Roman"/>
                <w:color w:val="2C2C2C"/>
                <w:sz w:val="22"/>
                <w:szCs w:val="22"/>
              </w:rPr>
              <w:t xml:space="preserve">Collection: ______________________   Document: _____________________</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APPENDIX — OFFICIAL VERIFICATION SOURCES QUICK REFERENCE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500"/>
        <w:gridCol w:w="3000"/>
        <w:gridCol w:w="3580"/>
      </w:tblGrid>
      <w:tr>
        <w:trPr>
          <w:tblHeader/>
        </w:trPr>
        <w:tc>
          <w:tcPr>
            <w:tcW w:type="dxa" w:w="35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What to Verify</w:t>
            </w:r>
          </w:p>
        </w:tc>
        <w:tc>
          <w:tcPr>
            <w:tcW w:type="dxa" w:w="30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Official Source</w:t>
            </w:r>
          </w:p>
        </w:tc>
        <w:tc>
          <w:tcPr>
            <w:tcW w:type="dxa" w:w="35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vAlign w:val="center"/>
          </w:tcPr>
          <w:p>
            <w:r>
              <w:rPr>
                <w:rFonts w:ascii="Arial" w:cs="Arial" w:eastAsia="Arial" w:hAnsi="Arial"/>
                <w:b/>
                <w:bCs/>
                <w:color w:val="FFFFFF"/>
                <w:sz w:val="18"/>
                <w:szCs w:val="18"/>
              </w:rPr>
              <w:t xml:space="preserve">Notes</w:t>
            </w:r>
          </w:p>
        </w:tc>
      </w:tr>
      <w:tr>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FAR and DFARS clauses</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acquisition.gov</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Cite to subsection level; verify clause has not been amended</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C.F.R. provisions (current)</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ecfr.gov</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Use canonical section URL; confirm effective date</w:t>
            </w:r>
          </w:p>
        </w:tc>
      </w:tr>
      <w:tr>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Federal Register (rules and history)</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federalregister.gov / govinfo.gov</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Check for final rules amending any cited provision</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 Statutes (U.S.C.)</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uscode.house.gov</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Confirm section has not been repealed or renumbered</w:t>
            </w:r>
          </w:p>
        </w:tc>
      </w:tr>
      <w:tr>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Public Laws (enacted text)</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govinfo.gov/app/collection/plaw</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Use for enactment history arguments</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GAO Reports</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gao.gov/reports</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Verify report number is exact; confirm not superseded</w:t>
            </w:r>
          </w:p>
        </w:tc>
      </w:tr>
      <w:tr>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DOD Inspector General Reports</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dodig.mil/reports-and-publications</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Verify report number and publication date</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Case Law (free)</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scholar.google.com / courtlistener.com</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Confirm case has not been overruled</w:t>
            </w:r>
          </w:p>
        </w:tc>
      </w:tr>
      <w:tr>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Case Law (authoritative)</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westlaw.com / lexisnexis.com</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Required for published legal arguments</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DOI verification</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doi.org</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peer-reviewed source DOIs must resolve here</w:t>
            </w:r>
          </w:p>
        </w:tc>
      </w:tr>
      <w:tr>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Journal article retraction status</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retractionwatch.com</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Check before finalizing any scientific citation</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CIA Declassified Documents</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cia.gov/readingroom</w:t>
            </w:r>
          </w:p>
        </w:tc>
        <w:tc>
          <w:tcPr>
            <w:tcW w:type="dxa" w:w="35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Verify declassification status before citing</w:t>
            </w:r>
          </w:p>
        </w:tc>
      </w:tr>
      <w:tr>
        <w:tc>
          <w:tcPr>
            <w:tcW w:type="dxa" w:w="35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Congressional Testimony</w:t>
            </w:r>
          </w:p>
        </w:tc>
        <w:tc>
          <w:tcPr>
            <w:tcW w:type="dxa" w:w="30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congress.gov / C-SPAN.org</w:t>
            </w:r>
          </w:p>
        </w:tc>
        <w:tc>
          <w:tcPr>
            <w:tcW w:type="dxa" w:w="35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Verify date and committee</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1B2F4E" w:val="clear"/>
            <w:tcMar>
              <w:top w:type="dxa" w:w="140"/>
              <w:left w:type="dxa" w:w="180"/>
              <w:bottom w:type="dxa" w:w="140"/>
              <w:right w:type="dxa" w:w="180"/>
            </w:tcMar>
          </w:tcPr>
          <w:p>
            <w:pPr>
              <w:jc w:val="center"/>
            </w:pPr>
            <w:r>
              <w:rPr>
                <w:rFonts w:ascii="Arial" w:cs="Arial" w:eastAsia="Arial" w:hAnsi="Arial"/>
                <w:b/>
                <w:bCs/>
                <w:color w:val="FFFFFF"/>
                <w:sz w:val="26"/>
                <w:szCs w:val="26"/>
              </w:rPr>
              <w:t xml:space="preserve">HPRS VALIDATION CHECKLIST — POST-DEVELOPMENT AUDIT INSTRUMENT</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360"/>
        <w:gridCol w:w="3360"/>
        <w:gridCol w:w="3360"/>
      </w:tblGrid>
      <w:tr>
        <w:tc>
          <w:tcPr>
            <w:tcBorders>
              <w:top w:val="single" w:color="CCCCCC" w:sz="1"/>
              <w:left w:val="single" w:color="CCCCCC" w:sz="1"/>
              <w:bottom w:val="single" w:color="CCCCCC" w:sz="1"/>
              <w:right w:val="single" w:color="CCCCCC" w:sz="1"/>
            </w:tcBorders>
            <w:shd w:fill="F4F4F4" w:val="clear"/>
            <w:tcMar>
              <w:top w:type="dxa" w:w="100"/>
              <w:left w:type="dxa" w:w="120"/>
              <w:bottom w:type="dxa" w:w="100"/>
              <w:right w:type="dxa" w:w="120"/>
            </w:tcMar>
          </w:tcPr>
          <w:p>
            <w:r>
              <w:rPr>
                <w:rFonts w:ascii="Arial" w:cs="Arial" w:eastAsia="Arial" w:hAnsi="Arial"/>
                <w:b/>
                <w:bCs/>
                <w:color w:val="1B2F4E"/>
                <w:sz w:val="18"/>
                <w:szCs w:val="18"/>
              </w:rPr>
              <w:t xml:space="preserve">Document / Collection Title:</w:t>
            </w:r>
          </w:p>
          <w:p>
            <w:r>
              <w:rPr>
                <w:rFonts w:ascii="Times New Roman" w:cs="Times New Roman" w:eastAsia="Times New Roman" w:hAnsi="Times New Roman"/>
                <w:color w:val="2C2C2C"/>
                <w:sz w:val="20"/>
                <w:szCs w:val="20"/>
              </w:rPr>
              <w:t xml:space="preserve">_______________________</w:t>
            </w:r>
          </w:p>
        </w:tc>
        <w:tc>
          <w:tcPr>
            <w:tcBorders>
              <w:top w:val="single" w:color="CCCCCC" w:sz="1"/>
              <w:left w:val="single" w:color="CCCCCC" w:sz="1"/>
              <w:bottom w:val="single" w:color="CCCCCC" w:sz="1"/>
              <w:right w:val="single" w:color="CCCCCC" w:sz="1"/>
            </w:tcBorders>
            <w:shd w:fill="F4F4F4" w:val="clear"/>
            <w:tcMar>
              <w:top w:type="dxa" w:w="100"/>
              <w:left w:type="dxa" w:w="120"/>
              <w:bottom w:type="dxa" w:w="100"/>
              <w:right w:type="dxa" w:w="120"/>
            </w:tcMar>
          </w:tcPr>
          <w:p>
            <w:r>
              <w:rPr>
                <w:rFonts w:ascii="Arial" w:cs="Arial" w:eastAsia="Arial" w:hAnsi="Arial"/>
                <w:b/>
                <w:bCs/>
                <w:color w:val="1B2F4E"/>
                <w:sz w:val="18"/>
                <w:szCs w:val="18"/>
              </w:rPr>
              <w:t xml:space="preserve">Reviewer Name:</w:t>
            </w:r>
          </w:p>
          <w:p>
            <w:r>
              <w:rPr>
                <w:rFonts w:ascii="Times New Roman" w:cs="Times New Roman" w:eastAsia="Times New Roman" w:hAnsi="Times New Roman"/>
                <w:color w:val="2C2C2C"/>
                <w:sz w:val="20"/>
                <w:szCs w:val="20"/>
              </w:rPr>
              <w:t xml:space="preserve">_______________________</w:t>
            </w:r>
          </w:p>
        </w:tc>
        <w:tc>
          <w:tcPr>
            <w:tcBorders>
              <w:top w:val="single" w:color="CCCCCC" w:sz="1"/>
              <w:left w:val="single" w:color="CCCCCC" w:sz="1"/>
              <w:bottom w:val="single" w:color="CCCCCC" w:sz="1"/>
              <w:right w:val="single" w:color="CCCCCC" w:sz="1"/>
            </w:tcBorders>
            <w:shd w:fill="F4F4F4" w:val="clear"/>
            <w:tcMar>
              <w:top w:type="dxa" w:w="100"/>
              <w:left w:type="dxa" w:w="120"/>
              <w:bottom w:type="dxa" w:w="100"/>
              <w:right w:type="dxa" w:w="120"/>
            </w:tcMar>
          </w:tcPr>
          <w:p>
            <w:r>
              <w:rPr>
                <w:rFonts w:ascii="Arial" w:cs="Arial" w:eastAsia="Arial" w:hAnsi="Arial"/>
                <w:b/>
                <w:bCs/>
                <w:color w:val="1B2F4E"/>
                <w:sz w:val="18"/>
                <w:szCs w:val="18"/>
              </w:rPr>
              <w:t xml:space="preserve">Audit Date / Version:</w:t>
            </w:r>
          </w:p>
          <w:p>
            <w:r>
              <w:rPr>
                <w:rFonts w:ascii="Times New Roman" w:cs="Times New Roman" w:eastAsia="Times New Roman" w:hAnsi="Times New Roman"/>
                <w:color w:val="2C2C2C"/>
                <w:sz w:val="20"/>
                <w:szCs w:val="20"/>
              </w:rPr>
              <w:t xml:space="preserve">_______________________</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1B2F4E" w:sz="4"/>
              <w:left w:val="single" w:color="1B2F4E" w:sz="4"/>
              <w:bottom w:val="single" w:color="1B2F4E" w:sz="4"/>
              <w:right w:val="single" w:color="1B2F4E" w:sz="4"/>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HOW TO USE THIS CHECKLIST</w:t>
            </w:r>
          </w:p>
          <w:p>
            <w:pPr>
              <w:spacing w:before="0" w:after="60"/>
            </w:pPr>
            <w:r>
              <w:rPr>
                <w:rFonts w:ascii="Times New Roman" w:cs="Times New Roman" w:eastAsia="Times New Roman" w:hAnsi="Times New Roman"/>
                <w:color w:val="2C2C2C"/>
                <w:sz w:val="22"/>
                <w:szCs w:val="22"/>
              </w:rPr>
              <w:t xml:space="preserve">This checklist is the post-development validation instrument for any document produced under the Hybrid Prosecutorial Research Standard. Complete one copy per document before publication. For each item, mark Pass, Fail, or N/A in the designated column, and record any flags or corrective notes in the Notes column.</w:t>
            </w:r>
          </w:p>
          <w:p>
            <w:pPr>
              <w:spacing w:before="0" w:after="60"/>
            </w:pPr>
            <w:r>
              <w:rPr>
                <w:rFonts w:ascii="Times New Roman" w:cs="Times New Roman" w:eastAsia="Times New Roman" w:hAnsi="Times New Roman"/>
                <w:color w:val="2C2C2C"/>
                <w:sz w:val="22"/>
                <w:szCs w:val="22"/>
              </w:rPr>
              <w:t xml:space="preserve"/>
            </w:r>
          </w:p>
          <w:p>
            <w:pPr>
              <w:spacing w:before="0" w:after="60"/>
            </w:pPr>
            <w:r>
              <w:rPr>
                <w:rFonts w:ascii="Times New Roman" w:cs="Times New Roman" w:eastAsia="Times New Roman" w:hAnsi="Times New Roman"/>
                <w:color w:val="2C2C2C"/>
                <w:sz w:val="22"/>
                <w:szCs w:val="22"/>
              </w:rPr>
              <w:t xml:space="preserve">Gates 1–5 are the authoritative clearance pathway. Section A confirms that collection-level instruments are in place. Section B is the Correction Justification Log for any unresolved Fail items.</w:t>
            </w:r>
          </w:p>
          <w:p>
            <w:pPr>
              <w:spacing w:before="0" w:after="60"/>
            </w:pPr>
            <w:r>
              <w:rPr>
                <w:rFonts w:ascii="Times New Roman" w:cs="Times New Roman" w:eastAsia="Times New Roman" w:hAnsi="Times New Roman"/>
                <w:color w:val="2C2C2C"/>
                <w:sz w:val="22"/>
                <w:szCs w:val="22"/>
              </w:rPr>
              <w:t xml:space="preserve"/>
            </w:r>
          </w:p>
          <w:p>
            <w:pPr>
              <w:spacing w:before="0" w:after="60"/>
            </w:pPr>
            <w:r>
              <w:rPr>
                <w:rFonts w:ascii="Times New Roman" w:cs="Times New Roman" w:eastAsia="Times New Roman" w:hAnsi="Times New Roman"/>
                <w:color w:val="2C2C2C"/>
                <w:sz w:val="22"/>
                <w:szCs w:val="22"/>
              </w:rPr>
              <w:t xml:space="preserve">A document that clears Gates 1–5 with zero unresolved Fail items is cleared for publication under HPRS 1.0.</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SECTION A — COLLECTION INTAKE CONFIRMATION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Collection Profile Form (C-01) is complete — all fields populated, no blanks</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Module Applicability Checklist (C-02) is complete — every module marked REQUIRED, CONDITIONAL, or NOT APPLICABLE</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Domain Verification Checklists (C-03) built for every domain present in the collection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Master Defined Terms Glossary (C-04) populated with all specialized terms used in the collection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Mathematical Appendix (C-05) initialized with a Calculation Register</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Collection Style Sheet (C-06) complete — accent colors assigned; WCAG AA contrast compliance confirmed for each</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Pending Verification Register (C-07) initialized — all Tier 3/4/5 figures entered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AI Source Conflict Log (C-08) initialized — all AI tools in use identified</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Collection Intake Sign-Off is complete — drafting was formally authorized before this document was begun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9B1C1C" w:sz="4"/>
              <w:left w:val="single" w:color="9B1C1C" w:sz="4"/>
              <w:bottom w:val="single" w:color="9B1C1C" w:sz="4"/>
              <w:right w:val="single" w:color="9B1C1C" w:sz="4"/>
            </w:tcBorders>
            <w:shd w:fill="FDECEA" w:val="clear"/>
            <w:tcMar>
              <w:top w:type="dxa" w:w="120"/>
              <w:left w:type="dxa" w:w="160"/>
              <w:bottom w:type="dxa" w:w="120"/>
              <w:right w:type="dxa" w:w="160"/>
            </w:tcMar>
          </w:tcPr>
          <w:p>
            <w:pPr>
              <w:spacing w:before="0" w:after="80"/>
            </w:pPr>
            <w:r>
              <w:rPr>
                <w:rFonts w:ascii="Arial" w:cs="Arial" w:eastAsia="Arial" w:hAnsi="Arial"/>
                <w:b/>
                <w:bCs/>
                <w:color w:val="9B1C1C"/>
                <w:sz w:val="22"/>
                <w:szCs w:val="22"/>
              </w:rPr>
              <w:t xml:space="preserve">GATE 1 — INLINE FLAG CLEARANCE: ZERO TOLERANCE</w:t>
            </w:r>
          </w:p>
          <w:p>
            <w:pPr>
              <w:spacing w:before="0" w:after="60"/>
            </w:pPr>
            <w:r>
              <w:rPr>
                <w:rFonts w:ascii="Times New Roman" w:cs="Times New Roman" w:eastAsia="Times New Roman" w:hAnsi="Times New Roman"/>
                <w:color w:val="2C2C2C"/>
                <w:sz w:val="22"/>
                <w:szCs w:val="22"/>
              </w:rPr>
              <w:t xml:space="preserve">No document may be published with any open inline flag of any type. Every item below must be marked Pass (zero open flags of this type) or N/A (this flag type does not apply to this document). A single Fail on any line closes Gate 1 until the flag is resolved and re-verified.</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[VERIFY CITATION] flags remain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[VERIFY LOCATION] flags remain in this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[CITATION NEEDED] flags remain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[CLASS NEEDED] flags remain in this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[INDEPENDENCE NEEDED] flags remain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[FALSIFIABILITY NEEDED] flags remain in this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[SCOPE DISCLOSURE] flags remain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[CHECK CURRENT VER] flags remain in this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[PRIMARY SRC NEEDED] flags remain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[PARAPHRASE — NOT QUOTE] flags remain in this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[ISOMORPHISM BRIDGE NEEDED] flags remain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[SUBJECT TO REVIEW] flags remain — or each has a completed Deferral Disclosure Note in C-07</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[ONLINE SOURCE — VERIFY STABLE] flags remain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Zero open [BASELINE IMPLICIT] flags remain in this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8080"/>
        <w:gridCol w:w="2000"/>
      </w:tblGrid>
      <w:tr>
        <w:tc>
          <w:tcPr>
            <w:tcBorders>
              <w:top w:val="single" w:color="1E4D2B" w:sz="4"/>
              <w:left w:val="single" w:color="1E4D2B" w:sz="4"/>
              <w:bottom w:val="single" w:color="1E4D2B" w:sz="4"/>
              <w:right w:val="nil"/>
            </w:tcBorders>
            <w:shd w:fill="E8F5E9" w:val="clear"/>
            <w:tcMar>
              <w:top w:type="dxa" w:w="100"/>
              <w:left w:type="dxa" w:w="160"/>
              <w:bottom w:type="dxa" w:w="100"/>
              <w:right w:type="dxa" w:w="160"/>
            </w:tcMar>
          </w:tcPr>
          <w:p>
            <w:r>
              <w:rPr>
                <w:rFonts w:ascii="Arial" w:cs="Arial" w:eastAsia="Arial" w:hAnsi="Arial"/>
                <w:b/>
                <w:bCs/>
                <w:color w:val="1E4D2B"/>
                <w:sz w:val="20"/>
                <w:szCs w:val="20"/>
              </w:rPr>
              <w:t xml:space="preserve">GATE 1 SIGN-OFF — Reviewer confirms zero open flags of any type:   Reviewer: _____________   Date: _____________</w:t>
            </w:r>
          </w:p>
        </w:tc>
        <w:tc>
          <w:tcPr>
            <w:tcBorders>
              <w:top w:val="single" w:color="1E4D2B" w:sz="4"/>
              <w:left w:val="nil"/>
              <w:bottom w:val="single" w:color="1E4D2B" w:sz="4"/>
              <w:right w:val="single" w:color="1E4D2B" w:sz="4"/>
            </w:tcBorders>
            <w:shd w:fill="E8F5E9" w:val="clear"/>
            <w:tcMar>
              <w:top w:type="dxa" w:w="100"/>
              <w:left w:type="dxa" w:w="160"/>
              <w:bottom w:type="dxa" w:w="100"/>
              <w:right w:type="dxa" w:w="160"/>
            </w:tcMar>
          </w:tcPr>
          <w:p>
            <w:pPr>
              <w:jc w:val="center"/>
            </w:pPr>
            <w:r>
              <w:rPr>
                <w:rFonts w:ascii="Arial" w:cs="Arial" w:eastAsia="Arial" w:hAnsi="Arial"/>
                <w:b/>
                <w:bCs/>
                <w:color w:val="1E4D2B"/>
                <w:sz w:val="20"/>
                <w:szCs w:val="20"/>
              </w:rPr>
              <w:t xml:space="preserve">[ ] CLEARED   [ ] OPEN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GATE 2 — CLAIM TRANSPARENCY FRAMEWORK DISCLOSURE</w:t>
            </w:r>
          </w:p>
        </w:tc>
      </w:tr>
    </w:tbl>
    <w:p>
      <w:pPr>
        <w:spacing w:before="60" w:after="60"/>
      </w:pPr>
    </w:p>
    <w:p>
      <w:pPr>
        <w:spacing w:before="0" w:after="120"/>
      </w:pPr>
      <w:r>
        <w:rPr>
          <w:rFonts w:ascii="Times New Roman" w:cs="Times New Roman" w:eastAsia="Times New Roman" w:hAnsi="Times New Roman"/>
          <w:color w:val="2C2C2C"/>
          <w:sz w:val="22"/>
          <w:szCs w:val="22"/>
        </w:rPr>
        <w:t xml:space="preserve">Gate 2 verifies that every mathematical, statistical, and probability claim has been fully classified under the HPRS Claim Transparency Framework and disclosed at the required level.</w:t>
      </w:r>
    </w:p>
    <w:p>
      <w:pPr>
        <w:spacing w:before="60" w:after="60"/>
      </w:pPr>
    </w:p>
    <w:p>
      <w:pPr>
        <w:spacing w:before="0" w:after="120"/>
      </w:pPr>
      <w:r>
        <w:rPr>
          <w:rFonts w:ascii="Times New Roman" w:cs="Times New Roman" w:eastAsia="Times New Roman" w:hAnsi="Times New Roman"/>
          <w:color w:val="2C2C2C"/>
          <w:sz w:val="22"/>
          <w:szCs w:val="22"/>
        </w:rPr>
        <w:t xml:space="preserve">2A — Tier Designation</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mathematical or statistical claim in this document has a Tier 1, 2, 3, 4, or 5 designation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mathematical claim appears without a Tier designation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Tier 5 (cross-register) claim has all active HPRS registers identified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2B — Methodological Notes (Required for Tier 3, 4, 5)</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Tier 3 claim has a complete Methodological Note containing: Claim Class · Component Inputs · Operations · Falsification Condition · Limitations</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Tier 4 claim has a complete MN containing all Tier 3 elements PLUS a four-part independence argument (Operational · Causal · Methodological · Variable independence)</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Tier 5 claim has a complete MN containing all Tier 4 elements PLUS: identification of every register the claim operates in; demonstration of each register's evidentiary standard independently met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Methodological Note is formatted as a Type 2 callout: background #FEF9E7, border #B8860B</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Methodological Note element is omitted or left blank</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2C — Independence Arguments (Tier 4 and 5 Only)</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Tier 4 or 5 compounded probability has a four-part independence argument addressing all four elements: Operational, Causal, Methodological, and Variable Independence</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domain pair in a Tier 4 or 5 calculation is addressed in the independence argument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any domain pair cannot be shown fully independent: the correlation structure is stated and the figure is recalculated under the stated correlation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2D — Asymmetry Principle, Scope, and Deferral</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Tier 4 or 5 document includes an Asymmetry Principle statement specifying the magnitude of correction to any component figure that would first threaten the conclusion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sourced figure applied beyond its original research scope has a Scope Disclosure stating the original scope and the justification for the application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figure listed in the Pending Verification Register (C-07) that appears in this document has a Deferral Disclosure Note in its Methodological Note</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2E — Falsifiability</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domain argument has an explicit falsifiability statement specifying: (a) what evidence would disprove the claim; (b) the evidentiary standard; (c) what objections do not constitute falsification and why</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falsifiability statement is circular — it does not define falsification as the mere absence of contrary evidence</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falsification condition in every MN is stated in advance of any challenge, not after</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8080"/>
        <w:gridCol w:w="2000"/>
      </w:tblGrid>
      <w:tr>
        <w:tc>
          <w:tcPr>
            <w:tcBorders>
              <w:top w:val="single" w:color="1E4D2B" w:sz="4"/>
              <w:left w:val="single" w:color="1E4D2B" w:sz="4"/>
              <w:bottom w:val="single" w:color="1E4D2B" w:sz="4"/>
              <w:right w:val="nil"/>
            </w:tcBorders>
            <w:shd w:fill="E8F5E9" w:val="clear"/>
            <w:tcMar>
              <w:top w:type="dxa" w:w="100"/>
              <w:left w:type="dxa" w:w="160"/>
              <w:bottom w:type="dxa" w:w="100"/>
              <w:right w:type="dxa" w:w="160"/>
            </w:tcMar>
          </w:tcPr>
          <w:p>
            <w:r>
              <w:rPr>
                <w:rFonts w:ascii="Arial" w:cs="Arial" w:eastAsia="Arial" w:hAnsi="Arial"/>
                <w:b/>
                <w:bCs/>
                <w:color w:val="1E4D2B"/>
                <w:sz w:val="20"/>
                <w:szCs w:val="20"/>
              </w:rPr>
              <w:t xml:space="preserve">GATE 2 SIGN-OFF — All CTF classifications and disclosures complete:   Reviewer: _____________   Date: _____________</w:t>
            </w:r>
          </w:p>
        </w:tc>
        <w:tc>
          <w:tcPr>
            <w:tcBorders>
              <w:top w:val="single" w:color="1E4D2B" w:sz="4"/>
              <w:left w:val="nil"/>
              <w:bottom w:val="single" w:color="1E4D2B" w:sz="4"/>
              <w:right w:val="single" w:color="1E4D2B" w:sz="4"/>
            </w:tcBorders>
            <w:shd w:fill="E8F5E9" w:val="clear"/>
            <w:tcMar>
              <w:top w:type="dxa" w:w="100"/>
              <w:left w:type="dxa" w:w="160"/>
              <w:bottom w:type="dxa" w:w="100"/>
              <w:right w:type="dxa" w:w="160"/>
            </w:tcMar>
          </w:tcPr>
          <w:p>
            <w:pPr>
              <w:jc w:val="center"/>
            </w:pPr>
            <w:r>
              <w:rPr>
                <w:rFonts w:ascii="Arial" w:cs="Arial" w:eastAsia="Arial" w:hAnsi="Arial"/>
                <w:b/>
                <w:bCs/>
                <w:color w:val="1E4D2B"/>
                <w:sz w:val="20"/>
                <w:szCs w:val="20"/>
              </w:rPr>
              <w:t xml:space="preserve">[ ] CLEARED   [ ] OPEN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GATE 3 — LEGAL AND REGULATORY CITATION PRECISION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9B1C1C" w:sz="4"/>
              <w:left w:val="single" w:color="9B1C1C" w:sz="4"/>
              <w:bottom w:val="single" w:color="9B1C1C" w:sz="4"/>
              <w:right w:val="single" w:color="9B1C1C" w:sz="4"/>
            </w:tcBorders>
            <w:shd w:fill="FDECEA" w:val="clear"/>
            <w:tcMar>
              <w:top w:type="dxa" w:w="120"/>
              <w:left w:type="dxa" w:w="160"/>
              <w:bottom w:type="dxa" w:w="120"/>
              <w:right w:type="dxa" w:w="160"/>
            </w:tcMar>
          </w:tcPr>
          <w:p>
            <w:pPr>
              <w:spacing w:before="0" w:after="80"/>
            </w:pPr>
            <w:r>
              <w:rPr>
                <w:rFonts w:ascii="Arial" w:cs="Arial" w:eastAsia="Arial" w:hAnsi="Arial"/>
                <w:b/>
                <w:bCs/>
                <w:color w:val="9B1C1C"/>
                <w:sz w:val="22"/>
                <w:szCs w:val="22"/>
              </w:rPr>
              <w:t xml:space="preserve">Gate 3 is the highest-risk gate for location-transposition errors.</w:t>
            </w:r>
          </w:p>
          <w:p>
            <w:pPr>
              <w:spacing w:before="0" w:after="60"/>
            </w:pPr>
            <w:r>
              <w:rPr>
                <w:rFonts w:ascii="Times New Roman" w:cs="Times New Roman" w:eastAsia="Times New Roman" w:hAnsi="Times New Roman"/>
                <w:color w:val="2C2C2C"/>
                <w:sz w:val="22"/>
                <w:szCs w:val="22"/>
              </w:rPr>
              <w:t xml:space="preserve">A citation to a parent section when the operative language is in a specific subsection is an evidentiary error — not a formatting error. Every item below requires independent verification against the official source, not from memory.</w:t>
            </w:r>
          </w:p>
        </w:tc>
      </w:tr>
    </w:tbl>
    <w:p>
      <w:pPr>
        <w:spacing w:before="60" w:after="60"/>
      </w:pPr>
    </w:p>
    <w:p>
      <w:pPr>
        <w:spacing w:before="0" w:after="120"/>
      </w:pPr>
      <w:r>
        <w:rPr>
          <w:rFonts w:ascii="Times New Roman" w:cs="Times New Roman" w:eastAsia="Times New Roman" w:hAnsi="Times New Roman"/>
          <w:color w:val="2C2C2C"/>
          <w:sz w:val="22"/>
          <w:szCs w:val="22"/>
        </w:rPr>
        <w:t xml:space="preserve">3A — FAR / DFARS (verified at acquisition.gov)</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FAR/DFARS citation verified at acquisition.gov</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FAR/DFARS citation includes the full subsection path: Part → Subpart → Section → Subsection → Paragraph</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described content appears at the cited subsection — not at a parent or adjacent section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FAR clause number also cites the C.F.R. location (48 C.F.R. § [number])</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Where a clause and its prescribing regulation are both relevant: both are cited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cited clause verified as not amended, suspended, or subject to a class deviation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quoted FAR/DFARS text verified verbatim against current acquisition.gov text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paraphrased FAR/DFARS text verified to not alter the operative legal meaning</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3B — C.F.R. (verified at ecfr.gov)</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C.F.R. citation includes Title · Part · Section · Subsection down to paragraph level</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described content appears at the cited subsection — not at a parent or adjacent provision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Effective date / revision date of the cited version confirmed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Federal Register checked for any final rules amending this provision since the cited date</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Any interim rules, proposed rules, or deviations affecting this provision identified and addressed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3C — U.S.C. Statutes (verified at uscode.house.gov)</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Title number, § symbol, section, and subsection all verified as correct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operative language is in the cited subsection — not in a parent section or adjacent provision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Year of codification included and matches the cited version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Statute has not been repealed, renumbered, or materially amended since the cited version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If amended: the version relied upon is specified and the amendment's effect on the argument is addressed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3D — Case Law</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case verified on scholar.google.com, CourtListener, Westlaw, or LexisNexis</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Case name, volume, reporter, page, court, and year all verified</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Pinpoint page provided for every quoted or paraphrased holding</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Case has not been overruled, vacated, or materially distinguished by a later decision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Circuit court citations note the specific circuit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3E — General Legal and Regulatory Integrity</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upward-generalized citations remain — every citation goes to the most granular applicable subsection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regulatory and statutory citations checked for currency — no superseded versions remain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[CHECK CURRENT VER] flags have been resolved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8080"/>
        <w:gridCol w:w="2000"/>
      </w:tblGrid>
      <w:tr>
        <w:tc>
          <w:tcPr>
            <w:tcBorders>
              <w:top w:val="single" w:color="1E4D2B" w:sz="4"/>
              <w:left w:val="single" w:color="1E4D2B" w:sz="4"/>
              <w:bottom w:val="single" w:color="1E4D2B" w:sz="4"/>
              <w:right w:val="nil"/>
            </w:tcBorders>
            <w:shd w:fill="E8F5E9" w:val="clear"/>
            <w:tcMar>
              <w:top w:type="dxa" w:w="100"/>
              <w:left w:type="dxa" w:w="160"/>
              <w:bottom w:type="dxa" w:w="100"/>
              <w:right w:type="dxa" w:w="160"/>
            </w:tcMar>
          </w:tcPr>
          <w:p>
            <w:r>
              <w:rPr>
                <w:rFonts w:ascii="Arial" w:cs="Arial" w:eastAsia="Arial" w:hAnsi="Arial"/>
                <w:b/>
                <w:bCs/>
                <w:color w:val="1E4D2B"/>
                <w:sz w:val="20"/>
                <w:szCs w:val="20"/>
              </w:rPr>
              <w:t xml:space="preserve">GATE 3 SIGN-OFF — All legal and regulatory citations verified against official sources:   Reviewer: _____________   Date: _____________</w:t>
            </w:r>
          </w:p>
        </w:tc>
        <w:tc>
          <w:tcPr>
            <w:tcBorders>
              <w:top w:val="single" w:color="1E4D2B" w:sz="4"/>
              <w:left w:val="nil"/>
              <w:bottom w:val="single" w:color="1E4D2B" w:sz="4"/>
              <w:right w:val="single" w:color="1E4D2B" w:sz="4"/>
            </w:tcBorders>
            <w:shd w:fill="E8F5E9" w:val="clear"/>
            <w:tcMar>
              <w:top w:type="dxa" w:w="100"/>
              <w:left w:type="dxa" w:w="160"/>
              <w:bottom w:type="dxa" w:w="100"/>
              <w:right w:type="dxa" w:w="160"/>
            </w:tcMar>
          </w:tcPr>
          <w:p>
            <w:pPr>
              <w:jc w:val="center"/>
            </w:pPr>
            <w:r>
              <w:rPr>
                <w:rFonts w:ascii="Arial" w:cs="Arial" w:eastAsia="Arial" w:hAnsi="Arial"/>
                <w:b/>
                <w:bCs/>
                <w:color w:val="1E4D2B"/>
                <w:sz w:val="20"/>
                <w:szCs w:val="20"/>
              </w:rPr>
              <w:t xml:space="preserve">[ ] CLEARED   [ ] OPEN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GATE 4 — CROSS-DOCUMENT CONSISTENCY</w:t>
            </w:r>
          </w:p>
        </w:tc>
      </w:tr>
    </w:tbl>
    <w:p>
      <w:pPr>
        <w:spacing w:before="60" w:after="60"/>
      </w:pPr>
    </w:p>
    <w:p>
      <w:pPr>
        <w:spacing w:before="0" w:after="120"/>
      </w:pPr>
      <w:r>
        <w:rPr>
          <w:rFonts w:ascii="Times New Roman" w:cs="Times New Roman" w:eastAsia="Times New Roman" w:hAnsi="Times New Roman"/>
          <w:color w:val="2C2C2C"/>
          <w:sz w:val="22"/>
          <w:szCs w:val="22"/>
        </w:rPr>
        <w:t xml:space="preserve">Gate 4 applies only to multi-document collections. For single-document collections, mark all items N/A and proceed to Gate 5.</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quantitative figure appearing in more than one document has the same value across all documents</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defined term (per the Master Defined Terms Glossary, C-04) is used with the same meaning in this document as in all other documents in the collection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cross-document reference cites the correct document identifier and title</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central thesis statement is worded consistently with all prior documents that state it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Any figure described as a 'floor estimate' or 'conservative figure' is described consistently across all documents</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Pending Verification Register (C-07) has been checked — every figure in this document carries the correct status and Deferral Disclosure Note</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Any correction made in a prior document that affects a claim in this document has been applied here</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document number, title, or series position reference in this document contradicts the Master Navigation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8080"/>
        <w:gridCol w:w="2000"/>
      </w:tblGrid>
      <w:tr>
        <w:tc>
          <w:tcPr>
            <w:tcBorders>
              <w:top w:val="single" w:color="1E4D2B" w:sz="4"/>
              <w:left w:val="single" w:color="1E4D2B" w:sz="4"/>
              <w:bottom w:val="single" w:color="1E4D2B" w:sz="4"/>
              <w:right w:val="nil"/>
            </w:tcBorders>
            <w:shd w:fill="E8F5E9" w:val="clear"/>
            <w:tcMar>
              <w:top w:type="dxa" w:w="100"/>
              <w:left w:type="dxa" w:w="160"/>
              <w:bottom w:type="dxa" w:w="100"/>
              <w:right w:type="dxa" w:w="160"/>
            </w:tcMar>
          </w:tcPr>
          <w:p>
            <w:r>
              <w:rPr>
                <w:rFonts w:ascii="Arial" w:cs="Arial" w:eastAsia="Arial" w:hAnsi="Arial"/>
                <w:b/>
                <w:bCs/>
                <w:color w:val="1E4D2B"/>
                <w:sz w:val="20"/>
                <w:szCs w:val="20"/>
              </w:rPr>
              <w:t xml:space="preserve">GATE 4 SIGN-OFF — Cross-document and series consistency verified:   Reviewer: _____________   Date: _____________</w:t>
            </w:r>
          </w:p>
        </w:tc>
        <w:tc>
          <w:tcPr>
            <w:tcBorders>
              <w:top w:val="single" w:color="1E4D2B" w:sz="4"/>
              <w:left w:val="nil"/>
              <w:bottom w:val="single" w:color="1E4D2B" w:sz="4"/>
              <w:right w:val="single" w:color="1E4D2B" w:sz="4"/>
            </w:tcBorders>
            <w:shd w:fill="E8F5E9" w:val="clear"/>
            <w:tcMar>
              <w:top w:type="dxa" w:w="100"/>
              <w:left w:type="dxa" w:w="160"/>
              <w:bottom w:type="dxa" w:w="100"/>
              <w:right w:type="dxa" w:w="160"/>
            </w:tcMar>
          </w:tcPr>
          <w:p>
            <w:pPr>
              <w:jc w:val="center"/>
            </w:pPr>
            <w:r>
              <w:rPr>
                <w:rFonts w:ascii="Arial" w:cs="Arial" w:eastAsia="Arial" w:hAnsi="Arial"/>
                <w:b/>
                <w:bCs/>
                <w:color w:val="1E4D2B"/>
                <w:sz w:val="20"/>
                <w:szCs w:val="20"/>
              </w:rPr>
              <w:t xml:space="preserve">[ ] CLEARED   [ ] OPEN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GATE 5 — FINAL INTEGRITY</w:t>
            </w:r>
          </w:p>
        </w:tc>
      </w:tr>
    </w:tbl>
    <w:p>
      <w:pPr>
        <w:spacing w:before="60" w:after="60"/>
      </w:pPr>
    </w:p>
    <w:p>
      <w:pPr>
        <w:spacing w:before="0" w:after="120"/>
      </w:pPr>
      <w:r>
        <w:rPr>
          <w:rFonts w:ascii="Times New Roman" w:cs="Times New Roman" w:eastAsia="Times New Roman" w:hAnsi="Times New Roman"/>
          <w:color w:val="2C2C2C"/>
          <w:sz w:val="22"/>
          <w:szCs w:val="22"/>
        </w:rPr>
        <w:t xml:space="preserve">5A — Evidentiary Integrity</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claim is either sourced (complete HPRS citation) or explicitly labeled as the researcher's analysis</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source is misrepresented — every citation describes what the source actually says at the cited location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secondary source is presented as a primary source</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quotation marks appear around paraphrased text anywhere in the document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Every block quotation (40+ words) has been verified verbatim against the primary source character by character</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claim extends beyond what its cited source supports without being labeled as a CTF Tier 2 or higher claim</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5B — Register Compliance</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R1 (Quantitative / Mathematical): every figure is classified under CTF; no figure appears without a Tier designation</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R2 (Empirical Science): every peer-reviewed citation verified against doi.org; retraction status checked at retractionwatch.com</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R3 (Legal / Regulatory): every legal citation meets Bluebook 21 standard embedded in Chicago endnote structure</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R4 (Institutional / Policy): every government report citation includes exact report number, publication date, and page-level reference</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R5 (Epistemological): every domain argument has an explicit falsifiability statement; no unfalsifiable claim is presented as a scholarly claim</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R6 (Rhetorical): all interpretive claims are explicitly labeled as the researcher's analysis</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5C — Style and Format Compliance</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body text is Times New Roman 11pt #2C2C2C — no other fonts or colors in body</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headings use Arial: H1/H2 on accent-colored banner backgrounds; H3/H4 in navy</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inline flags use Courier New 9pt Bold in the designated color per HPRS Manual Module 5</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Methodological Notes use Type 2 callout format: gold background #FEF9E7, gold border #B8860B</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typefaces other than Times New Roman, Arial, and Courier New appear anywhere in the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first-line indented paragraphs in body text — block paragraph style throughout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underlined text in body (hyperlinks excepted)</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Page size is US Letter (8.5" × 11"); margins are 0.75" on all four sides</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No prohibited formatting elements from HPRS Manual Section 5.5 are present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p>
      <w:pPr>
        <w:spacing w:before="0" w:after="120"/>
      </w:pPr>
      <w:r>
        <w:rPr>
          <w:rFonts w:ascii="Times New Roman" w:cs="Times New Roman" w:eastAsia="Times New Roman" w:hAnsi="Times New Roman"/>
          <w:color w:val="2C2C2C"/>
          <w:sz w:val="22"/>
          <w:szCs w:val="22"/>
        </w:rPr>
        <w:t xml:space="preserve">5D — Document Administration</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80"/>
        <w:gridCol w:w="1200"/>
        <w:gridCol w:w="900"/>
        <w:gridCol w:w="900"/>
      </w:tblGrid>
      <w:tr>
        <w:trPr>
          <w:tblHeader/>
        </w:trPr>
        <w:tc>
          <w:tcPr>
            <w:tcW w:type="dxa" w:w="708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left"/>
            </w:pPr>
            <w:r>
              <w:rPr>
                <w:rFonts w:ascii="Arial" w:cs="Arial" w:eastAsia="Arial" w:hAnsi="Arial"/>
                <w:b/>
                <w:bCs/>
                <w:color w:val="FFFFFF"/>
                <w:sz w:val="18"/>
                <w:szCs w:val="18"/>
              </w:rPr>
              <w:t xml:space="preserve">Pass</w:t>
            </w:r>
          </w:p>
        </w:tc>
        <w:tc>
          <w:tcPr>
            <w:tcW w:type="dxa" w:w="12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Fail</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N/A</w:t>
            </w:r>
          </w:p>
        </w:tc>
        <w:tc>
          <w:tcPr>
            <w:tcW w:type="dxa" w:w="900"/>
            <w:tcBorders>
              <w:top w:val="single" w:color="CCCCCC" w:sz="1"/>
              <w:left w:val="single" w:color="CCCCCC" w:sz="1"/>
              <w:bottom w:val="single" w:color="CCCCCC" w:sz="1"/>
              <w:right w:val="single" w:color="CCCCCC" w:sz="1"/>
            </w:tcBorders>
            <w:shd w:fill="1B2F4E" w:val="clear"/>
            <w:tcMar>
              <w:top w:type="dxa" w:w="80"/>
              <w:left w:type="dxa" w:w="120"/>
              <w:bottom w:type="dxa" w:w="80"/>
              <w:right w:type="dxa" w:w="120"/>
            </w:tcMar>
          </w:tcPr>
          <w:p>
            <w:pPr>
              <w:jc w:val="center"/>
            </w:pPr>
            <w:r>
              <w:rPr>
                <w:rFonts w:ascii="Arial" w:cs="Arial" w:eastAsia="Arial" w:hAnsi="Arial"/>
                <w:b/>
                <w:bCs/>
                <w:color w:val="FFFFFF"/>
                <w:sz w:val="18"/>
                <w:szCs w:val="18"/>
              </w:rPr>
              <w:t xml:space="preserve">Notes / Flag</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HPRS version governing this document is identified on the cover or title page</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Correction Justification Records are completed for every item that received a Fail disposition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AI Drafting Disclosure statement is present if AI tools were used in any capacity in this document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Copyright notice is present and current</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The researcher's independence declaration is present: no institutional affiliation or financial interest that materially affects the argument</w:t>
            </w:r>
          </w:p>
        </w:tc>
        <w:tc>
          <w:tcPr>
            <w:tcW w:type="dxa" w:w="12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4F4F4"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r>
        <w:tc>
          <w:tcPr>
            <w:tcW w:type="dxa" w:w="7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0" w:after="0"/>
            </w:pPr>
            <w:r>
              <w:rPr>
                <w:rFonts w:ascii="Times New Roman" w:cs="Times New Roman" w:eastAsia="Times New Roman" w:hAnsi="Times New Roman"/>
                <w:color w:val="2C2C2C"/>
                <w:sz w:val="20"/>
                <w:szCs w:val="20"/>
              </w:rPr>
              <w:t xml:space="preserve">All Deviation Records applicable to citation or formatting decisions in this document are complete</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color w:val="2C2C2C"/>
                <w:sz w:val="20"/>
                <w:szCs w:val="20"/>
              </w:rPr>
              <w:t xml:space="preserv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8080"/>
        <w:gridCol w:w="2000"/>
      </w:tblGrid>
      <w:tr>
        <w:tc>
          <w:tcPr>
            <w:tcBorders>
              <w:top w:val="single" w:color="1E4D2B" w:sz="4"/>
              <w:left w:val="single" w:color="1E4D2B" w:sz="4"/>
              <w:bottom w:val="single" w:color="1E4D2B" w:sz="4"/>
              <w:right w:val="nil"/>
            </w:tcBorders>
            <w:shd w:fill="E8F5E9" w:val="clear"/>
            <w:tcMar>
              <w:top w:type="dxa" w:w="100"/>
              <w:left w:type="dxa" w:w="160"/>
              <w:bottom w:type="dxa" w:w="100"/>
              <w:right w:type="dxa" w:w="160"/>
            </w:tcMar>
          </w:tcPr>
          <w:p>
            <w:r>
              <w:rPr>
                <w:rFonts w:ascii="Arial" w:cs="Arial" w:eastAsia="Arial" w:hAnsi="Arial"/>
                <w:b/>
                <w:bCs/>
                <w:color w:val="1E4D2B"/>
                <w:sz w:val="20"/>
                <w:szCs w:val="20"/>
              </w:rPr>
              <w:t xml:space="preserve">GATE 5 SIGN-OFF — Final integrity confirmed:   Reviewer: _____________   Date: _____________</w:t>
            </w:r>
          </w:p>
        </w:tc>
        <w:tc>
          <w:tcPr>
            <w:tcBorders>
              <w:top w:val="single" w:color="1E4D2B" w:sz="4"/>
              <w:left w:val="nil"/>
              <w:bottom w:val="single" w:color="1E4D2B" w:sz="4"/>
              <w:right w:val="single" w:color="1E4D2B" w:sz="4"/>
            </w:tcBorders>
            <w:shd w:fill="E8F5E9" w:val="clear"/>
            <w:tcMar>
              <w:top w:type="dxa" w:w="100"/>
              <w:left w:type="dxa" w:w="160"/>
              <w:bottom w:type="dxa" w:w="100"/>
              <w:right w:type="dxa" w:w="160"/>
            </w:tcMar>
          </w:tcPr>
          <w:p>
            <w:pPr>
              <w:jc w:val="center"/>
            </w:pPr>
            <w:r>
              <w:rPr>
                <w:rFonts w:ascii="Arial" w:cs="Arial" w:eastAsia="Arial" w:hAnsi="Arial"/>
                <w:b/>
                <w:bCs/>
                <w:color w:val="1E4D2B"/>
                <w:sz w:val="20"/>
                <w:szCs w:val="20"/>
              </w:rPr>
              <w:t xml:space="preserve">[ ] CLEARED   [ ] OPEN</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1E4D2B" w:sz="4"/>
              <w:left w:val="single" w:color="1E4D2B" w:sz="4"/>
              <w:bottom w:val="single" w:color="1E4D2B" w:sz="4"/>
              <w:right w:val="single" w:color="1E4D2B" w:sz="4"/>
            </w:tcBorders>
            <w:shd w:fill="E8F5E9" w:val="clear"/>
            <w:tcMar>
              <w:top w:type="dxa" w:w="160"/>
              <w:left w:type="dxa" w:w="200"/>
              <w:bottom w:type="dxa" w:w="160"/>
              <w:right w:type="dxa" w:w="200"/>
            </w:tcMar>
          </w:tcPr>
          <w:p>
            <w:pPr>
              <w:spacing w:before="0" w:after="80"/>
              <w:jc w:val="center"/>
            </w:pPr>
            <w:r>
              <w:rPr>
                <w:rFonts w:ascii="Arial" w:cs="Arial" w:eastAsia="Arial" w:hAnsi="Arial"/>
                <w:b/>
                <w:bCs/>
                <w:color w:val="1E4D2B"/>
                <w:sz w:val="24"/>
                <w:szCs w:val="24"/>
              </w:rPr>
              <w:t xml:space="preserve">PUBLICATION AUTHORIZATION — HPRS VERSION 1.0</w:t>
            </w:r>
          </w:p>
          <w:p>
            <w:pPr>
              <w:spacing w:before="0" w:after="80"/>
            </w:pPr>
            <w:r>
              <w:rPr>
                <w:rFonts w:ascii="Times New Roman" w:cs="Times New Roman" w:eastAsia="Times New Roman" w:hAnsi="Times New Roman"/>
                <w:color w:val="2C2C2C"/>
                <w:sz w:val="20"/>
                <w:szCs w:val="20"/>
              </w:rPr>
              <w:t xml:space="preserve">A document that clears Gates 1–5 with zero unresolved Fail items meets the full HPRS 1.0 standard. It is defensible to scholars, scientists, legal critics, logicians, and domain experts simultaneously across all six HPRS scholarly registers.</w:t>
            </w:r>
          </w:p>
          <w:p>
            <w:pPr>
              <w:spacing w:before="0" w:after="80"/>
            </w:pPr>
            <w:r>
              <w:rPr>
                <w:rFonts w:ascii="Arial" w:cs="Arial" w:eastAsia="Arial" w:hAnsi="Arial"/>
                <w:b/>
                <w:bCs/>
                <w:color w:val="1E4D2B"/>
                <w:sz w:val="20"/>
                <w:szCs w:val="20"/>
              </w:rPr>
              <w:t xml:space="preserve">Gate 1  [ ] Cleared    Gate 2  [ ] Cleared    Gate 3  [ ] Cleared    Gate 4  [ ] Cleared    Gate 5  [ ] Cleared</w:t>
            </w:r>
          </w:p>
          <w:p>
            <w:pPr>
              <w:spacing w:before="0" w:after="80"/>
            </w:pPr>
            <w:r>
              <w:rPr>
                <w:rFonts w:ascii="Arial" w:cs="Arial" w:eastAsia="Arial" w:hAnsi="Arial"/>
                <w:b/>
                <w:bCs/>
                <w:color w:val="1E4D2B"/>
                <w:sz w:val="20"/>
                <w:szCs w:val="20"/>
              </w:rPr>
              <w:t xml:space="preserve">Publication Authorized:  [ ] YES   [ ] NO — open items remain</w:t>
            </w:r>
          </w:p>
          <w:p>
            <w:pPr>
              <w:spacing w:before="0" w:after="0"/>
            </w:pPr>
            <w:r>
              <w:rPr>
                <w:rFonts w:ascii="Arial" w:cs="Arial" w:eastAsia="Arial" w:hAnsi="Arial"/>
                <w:color w:val="1E4D2B"/>
                <w:sz w:val="20"/>
                <w:szCs w:val="20"/>
              </w:rPr>
              <w:t xml:space="preserve">Reviewer: ___________________   Date: ___________________</w:t>
            </w:r>
          </w:p>
        </w:tc>
      </w:tr>
    </w:tbl>
    <w:p>
      <w:pPr>
        <w:spacing w:before="60" w:after="60"/>
      </w:pPr>
    </w:p>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nil"/>
              <w:left w:val="nil"/>
              <w:bottom w:val="nil"/>
              <w:right w:val="nil"/>
            </w:tcBorders>
            <w:shd w:fill="FEF9E7" w:val="clear"/>
            <w:tcMar>
              <w:top w:type="dxa" w:w="80"/>
              <w:left w:type="dxa" w:w="180"/>
              <w:bottom w:type="dxa" w:w="80"/>
              <w:right w:type="dxa" w:w="180"/>
            </w:tcMar>
          </w:tcPr>
          <w:p>
            <w:r>
              <w:rPr>
                <w:rFonts w:ascii="Arial" w:cs="Arial" w:eastAsia="Arial" w:hAnsi="Arial"/>
                <w:b/>
                <w:bCs/>
                <w:color w:val="B8860B"/>
                <w:sz w:val="22"/>
                <w:szCs w:val="22"/>
              </w:rPr>
              <w:t xml:space="preserve">SECTION B — CORRECTION JUSTIFICATION LOG</w:t>
            </w:r>
          </w:p>
        </w:tc>
      </w:tr>
    </w:tbl>
    <w:p>
      <w:pPr>
        <w:spacing w:before="60" w:after="60"/>
      </w:pPr>
    </w:p>
    <w:p>
      <w:pPr>
        <w:spacing w:before="0" w:after="120"/>
      </w:pPr>
      <w:r>
        <w:rPr>
          <w:rFonts w:ascii="Times New Roman" w:cs="Times New Roman" w:eastAsia="Times New Roman" w:hAnsi="Times New Roman"/>
          <w:color w:val="2C2C2C"/>
          <w:sz w:val="22"/>
          <w:szCs w:val="22"/>
        </w:rPr>
        <w:t xml:space="preserve">For every item that received a Fail mark but was NOT corrected (disposition: JUSTIFIED — NO CORRECTION REQUIRED), complete one Correction Justification Record below.</w:t>
      </w:r>
    </w:p>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CCCCCC" w:sz="1"/>
              <w:left w:val="single" w:color="CCCCCC" w:sz="1"/>
              <w:bottom w:val="single" w:color="CCCCCC" w:sz="1"/>
              <w:right w:val="single" w:color="CCCCCC" w:sz="1"/>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CORRECTION JUSTIFICATION RECORD  1</w:t>
            </w:r>
          </w:p>
          <w:p>
            <w:pPr>
              <w:spacing w:before="0" w:after="60"/>
            </w:pPr>
            <w:r>
              <w:rPr>
                <w:rFonts w:ascii="Times New Roman" w:cs="Times New Roman" w:eastAsia="Times New Roman" w:hAnsi="Times New Roman"/>
                <w:color w:val="2C2C2C"/>
                <w:sz w:val="20"/>
                <w:szCs w:val="20"/>
              </w:rPr>
              <w:t xml:space="preserve">Item ID:         [Document identifier · section · claim]</w:t>
            </w:r>
          </w:p>
          <w:p>
            <w:pPr>
              <w:spacing w:before="0" w:after="60"/>
            </w:pPr>
            <w:r>
              <w:rPr>
                <w:rFonts w:ascii="Times New Roman" w:cs="Times New Roman" w:eastAsia="Times New Roman" w:hAnsi="Times New Roman"/>
                <w:color w:val="2C2C2C"/>
                <w:sz w:val="20"/>
                <w:szCs w:val="20"/>
              </w:rPr>
              <w:t xml:space="preserve">Flag Type:       [Which HPRS flag or checklist item was triggered]</w:t>
            </w:r>
          </w:p>
          <w:p>
            <w:pPr>
              <w:spacing w:before="0" w:after="60"/>
            </w:pPr>
            <w:r>
              <w:rPr>
                <w:rFonts w:ascii="Times New Roman" w:cs="Times New Roman" w:eastAsia="Times New Roman" w:hAnsi="Times New Roman"/>
                <w:color w:val="2C2C2C"/>
                <w:sz w:val="20"/>
                <w:szCs w:val="20"/>
              </w:rPr>
              <w:t xml:space="preserve">Issue Identified: [Describe the error or inconsistency exactly as found]</w:t>
            </w:r>
          </w:p>
          <w:p>
            <w:pPr>
              <w:spacing w:before="0" w:after="60"/>
            </w:pPr>
            <w:r>
              <w:rPr>
                <w:rFonts w:ascii="Times New Roman" w:cs="Times New Roman" w:eastAsia="Times New Roman" w:hAnsi="Times New Roman"/>
                <w:color w:val="2C2C2C"/>
                <w:sz w:val="20"/>
                <w:szCs w:val="20"/>
              </w:rPr>
              <w:t xml:space="preserve">Disposition:     [ ] CORRECTED       /       [ ] JUSTIFIED — NO CORRECTION REQUIRED</w:t>
            </w:r>
          </w:p>
          <w:p>
            <w:pPr>
              <w:spacing w:before="0" w:after="60"/>
            </w:pPr>
            <w:r>
              <w:rPr>
                <w:rFonts w:ascii="Times New Roman" w:cs="Times New Roman" w:eastAsia="Times New Roman" w:hAnsi="Times New Roman"/>
                <w:color w:val="2C2C2C"/>
                <w:sz w:val="20"/>
                <w:szCs w:val="20"/>
              </w:rPr>
              <w:t xml:space="preserve">Correction Made: [If corrected: describe exactly what was changed and where]</w:t>
            </w:r>
          </w:p>
          <w:p>
            <w:pPr>
              <w:spacing w:before="0" w:after="60"/>
            </w:pPr>
            <w:r>
              <w:rPr>
                <w:rFonts w:ascii="Times New Roman" w:cs="Times New Roman" w:eastAsia="Times New Roman" w:hAnsi="Times New Roman"/>
                <w:color w:val="2C2C2C"/>
                <w:sz w:val="20"/>
                <w:szCs w:val="20"/>
              </w:rPr>
              <w:t xml:space="preserve">Justification:   [If not corrected: state the specific reason with supporting logic or citation]</w:t>
            </w:r>
          </w:p>
          <w:p>
            <w:pPr>
              <w:spacing w:before="0" w:after="60"/>
            </w:pPr>
            <w:r>
              <w:rPr>
                <w:rFonts w:ascii="Times New Roman" w:cs="Times New Roman" w:eastAsia="Times New Roman" w:hAnsi="Times New Roman"/>
                <w:color w:val="2C2C2C"/>
                <w:sz w:val="20"/>
                <w:szCs w:val="20"/>
              </w:rPr>
              <w:t xml:space="preserve">Effect on Arg.:  [State whether the non-correction affects conclusions and how]</w:t>
            </w:r>
          </w:p>
          <w:p>
            <w:pPr>
              <w:spacing w:before="0" w:after="0"/>
            </w:pPr>
            <w:r>
              <w:rPr>
                <w:rFonts w:ascii="Times New Roman" w:cs="Times New Roman" w:eastAsia="Times New Roman" w:hAnsi="Times New Roman"/>
                <w:color w:val="2C2C2C"/>
                <w:sz w:val="20"/>
                <w:szCs w:val="20"/>
              </w:rPr>
              <w:t xml:space="preserve">Reviewer &amp; Date: [Name · Date]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CCCCCC" w:sz="1"/>
              <w:left w:val="single" w:color="CCCCCC" w:sz="1"/>
              <w:bottom w:val="single" w:color="CCCCCC" w:sz="1"/>
              <w:right w:val="single" w:color="CCCCCC" w:sz="1"/>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CORRECTION JUSTIFICATION RECORD  2</w:t>
            </w:r>
          </w:p>
          <w:p>
            <w:pPr>
              <w:spacing w:before="0" w:after="60"/>
            </w:pPr>
            <w:r>
              <w:rPr>
                <w:rFonts w:ascii="Times New Roman" w:cs="Times New Roman" w:eastAsia="Times New Roman" w:hAnsi="Times New Roman"/>
                <w:color w:val="2C2C2C"/>
                <w:sz w:val="20"/>
                <w:szCs w:val="20"/>
              </w:rPr>
              <w:t xml:space="preserve">Item ID:         [Document identifier · section · claim]</w:t>
            </w:r>
          </w:p>
          <w:p>
            <w:pPr>
              <w:spacing w:before="0" w:after="60"/>
            </w:pPr>
            <w:r>
              <w:rPr>
                <w:rFonts w:ascii="Times New Roman" w:cs="Times New Roman" w:eastAsia="Times New Roman" w:hAnsi="Times New Roman"/>
                <w:color w:val="2C2C2C"/>
                <w:sz w:val="20"/>
                <w:szCs w:val="20"/>
              </w:rPr>
              <w:t xml:space="preserve">Flag Type:       [Which HPRS flag or checklist item was triggered]</w:t>
            </w:r>
          </w:p>
          <w:p>
            <w:pPr>
              <w:spacing w:before="0" w:after="60"/>
            </w:pPr>
            <w:r>
              <w:rPr>
                <w:rFonts w:ascii="Times New Roman" w:cs="Times New Roman" w:eastAsia="Times New Roman" w:hAnsi="Times New Roman"/>
                <w:color w:val="2C2C2C"/>
                <w:sz w:val="20"/>
                <w:szCs w:val="20"/>
              </w:rPr>
              <w:t xml:space="preserve">Issue Identified: [Describe the error or inconsistency exactly as found]</w:t>
            </w:r>
          </w:p>
          <w:p>
            <w:pPr>
              <w:spacing w:before="0" w:after="60"/>
            </w:pPr>
            <w:r>
              <w:rPr>
                <w:rFonts w:ascii="Times New Roman" w:cs="Times New Roman" w:eastAsia="Times New Roman" w:hAnsi="Times New Roman"/>
                <w:color w:val="2C2C2C"/>
                <w:sz w:val="20"/>
                <w:szCs w:val="20"/>
              </w:rPr>
              <w:t xml:space="preserve">Disposition:     [ ] CORRECTED       /       [ ] JUSTIFIED — NO CORRECTION REQUIRED</w:t>
            </w:r>
          </w:p>
          <w:p>
            <w:pPr>
              <w:spacing w:before="0" w:after="60"/>
            </w:pPr>
            <w:r>
              <w:rPr>
                <w:rFonts w:ascii="Times New Roman" w:cs="Times New Roman" w:eastAsia="Times New Roman" w:hAnsi="Times New Roman"/>
                <w:color w:val="2C2C2C"/>
                <w:sz w:val="20"/>
                <w:szCs w:val="20"/>
              </w:rPr>
              <w:t xml:space="preserve">Correction Made: [If corrected: describe exactly what was changed and where]</w:t>
            </w:r>
          </w:p>
          <w:p>
            <w:pPr>
              <w:spacing w:before="0" w:after="60"/>
            </w:pPr>
            <w:r>
              <w:rPr>
                <w:rFonts w:ascii="Times New Roman" w:cs="Times New Roman" w:eastAsia="Times New Roman" w:hAnsi="Times New Roman"/>
                <w:color w:val="2C2C2C"/>
                <w:sz w:val="20"/>
                <w:szCs w:val="20"/>
              </w:rPr>
              <w:t xml:space="preserve">Justification:   [If not corrected: state the specific reason with supporting logic or citation]</w:t>
            </w:r>
          </w:p>
          <w:p>
            <w:pPr>
              <w:spacing w:before="0" w:after="60"/>
            </w:pPr>
            <w:r>
              <w:rPr>
                <w:rFonts w:ascii="Times New Roman" w:cs="Times New Roman" w:eastAsia="Times New Roman" w:hAnsi="Times New Roman"/>
                <w:color w:val="2C2C2C"/>
                <w:sz w:val="20"/>
                <w:szCs w:val="20"/>
              </w:rPr>
              <w:t xml:space="preserve">Effect on Arg.:  [State whether the non-correction affects conclusions and how]</w:t>
            </w:r>
          </w:p>
          <w:p>
            <w:pPr>
              <w:spacing w:before="0" w:after="0"/>
            </w:pPr>
            <w:r>
              <w:rPr>
                <w:rFonts w:ascii="Times New Roman" w:cs="Times New Roman" w:eastAsia="Times New Roman" w:hAnsi="Times New Roman"/>
                <w:color w:val="2C2C2C"/>
                <w:sz w:val="20"/>
                <w:szCs w:val="20"/>
              </w:rPr>
              <w:t xml:space="preserve">Reviewer &amp; Date: [Name · Date]</w:t>
            </w:r>
          </w:p>
        </w:tc>
      </w:tr>
    </w:tbl>
    <w:p>
      <w:pPr>
        <w:spacing w:before="60" w:after="6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Borders>
              <w:top w:val="single" w:color="CCCCCC" w:sz="1"/>
              <w:left w:val="single" w:color="CCCCCC" w:sz="1"/>
              <w:bottom w:val="single" w:color="CCCCCC" w:sz="1"/>
              <w:right w:val="single" w:color="CCCCCC" w:sz="1"/>
            </w:tcBorders>
            <w:shd w:fill="EEF4FB" w:val="clear"/>
            <w:tcMar>
              <w:top w:type="dxa" w:w="120"/>
              <w:left w:type="dxa" w:w="160"/>
              <w:bottom w:type="dxa" w:w="120"/>
              <w:right w:type="dxa" w:w="160"/>
            </w:tcMar>
          </w:tcPr>
          <w:p>
            <w:pPr>
              <w:spacing w:before="0" w:after="80"/>
            </w:pPr>
            <w:r>
              <w:rPr>
                <w:rFonts w:ascii="Arial" w:cs="Arial" w:eastAsia="Arial" w:hAnsi="Arial"/>
                <w:b/>
                <w:bCs/>
                <w:color w:val="1B2F4E"/>
                <w:sz w:val="22"/>
                <w:szCs w:val="22"/>
              </w:rPr>
              <w:t xml:space="preserve">CORRECTION JUSTIFICATION RECORD  3</w:t>
            </w:r>
          </w:p>
          <w:p>
            <w:pPr>
              <w:spacing w:before="0" w:after="60"/>
            </w:pPr>
            <w:r>
              <w:rPr>
                <w:rFonts w:ascii="Times New Roman" w:cs="Times New Roman" w:eastAsia="Times New Roman" w:hAnsi="Times New Roman"/>
                <w:color w:val="2C2C2C"/>
                <w:sz w:val="20"/>
                <w:szCs w:val="20"/>
              </w:rPr>
              <w:t xml:space="preserve">Item ID:         [Document identifier · section · claim]</w:t>
            </w:r>
          </w:p>
          <w:p>
            <w:pPr>
              <w:spacing w:before="0" w:after="60"/>
            </w:pPr>
            <w:r>
              <w:rPr>
                <w:rFonts w:ascii="Times New Roman" w:cs="Times New Roman" w:eastAsia="Times New Roman" w:hAnsi="Times New Roman"/>
                <w:color w:val="2C2C2C"/>
                <w:sz w:val="20"/>
                <w:szCs w:val="20"/>
              </w:rPr>
              <w:t xml:space="preserve">Flag Type:       [Which HPRS flag or checklist item was triggered]</w:t>
            </w:r>
          </w:p>
          <w:p>
            <w:pPr>
              <w:spacing w:before="0" w:after="60"/>
            </w:pPr>
            <w:r>
              <w:rPr>
                <w:rFonts w:ascii="Times New Roman" w:cs="Times New Roman" w:eastAsia="Times New Roman" w:hAnsi="Times New Roman"/>
                <w:color w:val="2C2C2C"/>
                <w:sz w:val="20"/>
                <w:szCs w:val="20"/>
              </w:rPr>
              <w:t xml:space="preserve">Issue Identified: [Describe the error or inconsistency exactly as found]</w:t>
            </w:r>
          </w:p>
          <w:p>
            <w:pPr>
              <w:spacing w:before="0" w:after="60"/>
            </w:pPr>
            <w:r>
              <w:rPr>
                <w:rFonts w:ascii="Times New Roman" w:cs="Times New Roman" w:eastAsia="Times New Roman" w:hAnsi="Times New Roman"/>
                <w:color w:val="2C2C2C"/>
                <w:sz w:val="20"/>
                <w:szCs w:val="20"/>
              </w:rPr>
              <w:t xml:space="preserve">Disposition:     [ ] CORRECTED       /       [ ] JUSTIFIED — NO CORRECTION REQUIRED</w:t>
            </w:r>
          </w:p>
          <w:p>
            <w:pPr>
              <w:spacing w:before="0" w:after="60"/>
            </w:pPr>
            <w:r>
              <w:rPr>
                <w:rFonts w:ascii="Times New Roman" w:cs="Times New Roman" w:eastAsia="Times New Roman" w:hAnsi="Times New Roman"/>
                <w:color w:val="2C2C2C"/>
                <w:sz w:val="20"/>
                <w:szCs w:val="20"/>
              </w:rPr>
              <w:t xml:space="preserve">Correction Made: [If corrected: describe exactly what was changed and where]</w:t>
            </w:r>
          </w:p>
          <w:p>
            <w:pPr>
              <w:spacing w:before="0" w:after="60"/>
            </w:pPr>
            <w:r>
              <w:rPr>
                <w:rFonts w:ascii="Times New Roman" w:cs="Times New Roman" w:eastAsia="Times New Roman" w:hAnsi="Times New Roman"/>
                <w:color w:val="2C2C2C"/>
                <w:sz w:val="20"/>
                <w:szCs w:val="20"/>
              </w:rPr>
              <w:t xml:space="preserve">Justification:   [If not corrected: state the specific reason with supporting logic or citation]</w:t>
            </w:r>
          </w:p>
          <w:p>
            <w:pPr>
              <w:spacing w:before="0" w:after="60"/>
            </w:pPr>
            <w:r>
              <w:rPr>
                <w:rFonts w:ascii="Times New Roman" w:cs="Times New Roman" w:eastAsia="Times New Roman" w:hAnsi="Times New Roman"/>
                <w:color w:val="2C2C2C"/>
                <w:sz w:val="20"/>
                <w:szCs w:val="20"/>
              </w:rPr>
              <w:t xml:space="preserve">Effect on Arg.:  [State whether the non-correction affects conclusions and how]</w:t>
            </w:r>
          </w:p>
          <w:p>
            <w:pPr>
              <w:spacing w:before="0" w:after="0"/>
            </w:pPr>
            <w:r>
              <w:rPr>
                <w:rFonts w:ascii="Times New Roman" w:cs="Times New Roman" w:eastAsia="Times New Roman" w:hAnsi="Times New Roman"/>
                <w:color w:val="2C2C2C"/>
                <w:sz w:val="20"/>
                <w:szCs w:val="20"/>
              </w:rPr>
              <w:t xml:space="preserve">Reviewer &amp; Date: [Name · Date]</w:t>
            </w:r>
          </w:p>
        </w:tc>
      </w:tr>
    </w:tbl>
    <w:p>
      <w:pPr>
        <w:spacing w:before="60" w:after="60"/>
      </w:pP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B2F4E" w:sz="4" w:space="1"/>
      </w:pBdr>
      <w:spacing w:before="60" w:after="0"/>
      <w:jc w:val="right"/>
    </w:pPr>
    <w:r>
      <w:rPr>
        <w:rFonts w:ascii="Arial" w:cs="Arial" w:eastAsia="Arial" w:hAnsi="Arial"/>
        <w:color w:val="888888"/>
        <w:sz w:val="16"/>
        <w:szCs w:val="16"/>
      </w:rPr>
      <w:t xml:space="preserve">Page </w:t>
    </w:r>
    <w:r>
      <w:rPr>
        <w:rFonts w:ascii="Arial" w:cs="Arial" w:eastAsia="Arial" w:hAnsi="Arial"/>
        <w:color w:val="888888"/>
        <w:sz w:val="16"/>
        <w:szCs w:val="16"/>
      </w:rPr>
      <w:fldChar w:fldCharType="begin"/>
      <w:instrText xml:space="preserve">PAGE</w:instrText>
      <w:fldChar w:fldCharType="separate"/>
      <w:fldChar w:fldCharType="end"/>
    </w:r>
    <w:r>
      <w:rPr>
        <w:rFonts w:ascii="Arial" w:cs="Arial" w:eastAsia="Arial" w:hAnsi="Arial"/>
        <w:color w:val="888888"/>
        <w:sz w:val="16"/>
        <w:szCs w:val="16"/>
      </w:rPr>
      <w:t xml:space="preserve"> of </w:t>
    </w:r>
    <w:r>
      <w:rPr>
        <w:rFonts w:ascii="Arial" w:cs="Arial" w:eastAsia="Arial" w:hAnsi="Arial"/>
        <w:color w:val="88888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B2F4E" w:sz="4" w:space="1"/>
      </w:pBdr>
      <w:tabs>
        <w:tab w:val="right" w:pos="9360"/>
      </w:tabs>
      <w:spacing w:before="0" w:after="80"/>
    </w:pPr>
    <w:r>
      <w:rPr>
        <w:rFonts w:ascii="Arial" w:cs="Arial" w:eastAsia="Arial" w:hAnsi="Arial"/>
        <w:color w:val="1B2F4E"/>
        <w:sz w:val="16"/>
        <w:szCs w:val="16"/>
      </w:rPr>
      <w:t xml:space="preserve">HYBRID PROSECUTORIAL RESEARCH STANDARD  ·  HPRS VERSION 1.0</w:t>
    </w:r>
    <w:r>
      <w:rPr>
        <w:rFonts w:ascii="Arial" w:cs="Arial" w:eastAsia="Arial" w:hAnsi="Arial"/>
        <w:sz w:val="16"/>
        <w:szCs w:val="16"/>
      </w:rPr>
      <w:t xml:space="preserve">	</w:t>
    </w:r>
    <w:r>
      <w:rPr>
        <w:rFonts w:ascii="Arial" w:cs="Arial" w:eastAsia="Arial" w:hAnsi="Arial"/>
        <w:color w:val="888888"/>
        <w:sz w:val="16"/>
        <w:szCs w:val="16"/>
      </w:rPr>
      <w:t xml:space="preserve">C.B. Tinker  ·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2C2C2C"/>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2026-03-29T01:41:04.072Z</dcterms:created>
  <dcterms:modified xsi:type="dcterms:W3CDTF">2026-03-29T01:41:04.072Z</dcterms:modified>
</cp:coreProperties>
</file>

<file path=docProps/custom.xml><?xml version="1.0" encoding="utf-8"?>
<Properties xmlns="http://schemas.openxmlformats.org/officeDocument/2006/custom-properties" xmlns:vt="http://schemas.openxmlformats.org/officeDocument/2006/docPropsVTypes"/>
</file>