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autofit"/>
        <w:tblLook w:firstColumn="1" w:firstRow="1" w:lastColumn="0" w:lastRow="0" w:noHBand="0" w:noVBand="1" w:val="04A0"/>
      </w:tblPr>
      <w:tblGrid>
        <w:gridCol w:w="10080"/>
      </w:tblGrid>
      <w:tr>
        <w:tc>
          <w:tcPr>
            <w:tcW w:type="dxa" w:w="10080"/>
            <w:shd w:fill="103B2C"/>
            <w:tcBorders>
              <w:top w:val="single" w:sz="12" w:color="1E6B52"/>
              <w:left w:val="single" w:sz="12" w:color="1E6B52"/>
              <w:bottom w:val="single" w:sz="12" w:color="1E6B52"/>
              <w:right w:val="single" w:sz="12" w:color="1E6B52"/>
            </w:tcBorders>
          </w:tcPr>
          <w:p>
            <w:pPr>
              <w:spacing w:after="20"/>
              <w:jc w:val="center"/>
            </w:pPr>
            <w:r/>
            <w:r>
              <w:rPr>
                <w:rFonts w:ascii="Arial" w:hAnsi="Arial"/>
                <w:b/>
                <w:color w:val="F6F2E8"/>
                <w:sz w:val="17"/>
              </w:rPr>
              <w:t>REVIEWER 3 REPORT</w:t>
            </w:r>
          </w:p>
        </w:tc>
      </w:tr>
    </w:tbl>
    <w:p>
      <w:pPr>
        <w:spacing w:before="100" w:after="40"/>
        <w:jc w:val="center"/>
      </w:pPr>
      <w:r>
        <w:rPr>
          <w:rFonts w:ascii="Aptos" w:hAnsi="Aptos"/>
          <w:b/>
          <w:color w:val="103B2C"/>
          <w:sz w:val="36"/>
        </w:rPr>
        <w:t>African Journal of Climate Science and Vulnerability Assessment</w:t>
      </w:r>
    </w:p>
    <w:p>
      <w:pPr>
        <w:spacing w:after="60"/>
        <w:jc w:val="center"/>
      </w:pPr>
      <w:r>
        <w:rPr>
          <w:rFonts w:ascii="Aptos" w:hAnsi="Aptos"/>
          <w:b/>
          <w:color w:val="1F2A24"/>
          <w:sz w:val="26"/>
        </w:rPr>
        <w:t>Flood-Resilient Road Design Standards for the Sudd Wetland Region of South Sudan</w:t>
      </w:r>
    </w:p>
    <w:p>
      <w:pPr>
        <w:spacing w:after="160"/>
        <w:jc w:val="center"/>
      </w:pPr>
      <w:r>
        <w:rPr>
          <w:rFonts w:ascii="Arial" w:hAnsi="Arial"/>
          <w:color w:val="1D6A4F"/>
          <w:sz w:val="18"/>
        </w:rPr>
        <w:t>Structured peer-review report for editorial verification</w:t>
      </w:r>
    </w:p>
    <w:tbl>
      <w:tblPr>
        <w:tblW w:type="auto" w:w="0"/>
        <w:tblLayout w:type="autofit"/>
        <w:tblLook w:firstColumn="1" w:firstRow="1" w:lastColumn="0" w:lastRow="0" w:noHBand="0" w:noVBand="1" w:val="04A0"/>
      </w:tblPr>
      <w:tblGrid>
        <w:gridCol w:w="5040"/>
        <w:gridCol w:w="5040"/>
      </w:tblGrid>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Reviewer</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Reviewer 3</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Recommendation</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Major Revision</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Journal</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African Journal of Climate Science and Vulnerability Assessment</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Date</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24 Mar 2026</w:t>
            </w:r>
          </w:p>
        </w:tc>
      </w:tr>
    </w:tbl>
    <w:p/>
    <w:p>
      <w:pPr>
        <w:spacing w:before="160" w:after="40"/>
      </w:pPr>
      <w:r>
        <w:rPr>
          <w:rFonts w:ascii="Aptos" w:hAnsi="Aptos"/>
          <w:b/>
          <w:color w:val="103B2C"/>
          <w:sz w:val="23"/>
        </w:rPr>
        <w:t>Overall Summary</w:t>
      </w:r>
    </w:p>
    <w:p>
      <w:pPr>
        <w:spacing w:line="240" w:lineRule="auto" w:after="100"/>
      </w:pPr>
      <w:r>
        <w:rPr>
          <w:rFonts w:ascii="Times New Roman" w:hAnsi="Times New Roman"/>
          <w:i w:val="0"/>
          <w:color w:val="1F2A24"/>
          <w:sz w:val="21"/>
        </w:rPr>
        <w:t>This study addresses a critical infrastructure gap in South Sudan's Sudd wetland region by proposing flood-resilient road design standards. The integration of hydrological modelling, geotechnical analysis, and benefit-cost assessment is methodologically sound. However, the manuscript lacks sufficient methodological detail, validation of key assumptions, and consideration of practical implementation constraints, which significantly undermines its rigour and applicability.</w:t>
      </w:r>
    </w:p>
    <w:p>
      <w:pPr>
        <w:spacing w:before="160" w:after="40"/>
      </w:pPr>
      <w:r>
        <w:rPr>
          <w:rFonts w:ascii="Aptos" w:hAnsi="Aptos"/>
          <w:b/>
          <w:color w:val="103B2C"/>
          <w:sz w:val="23"/>
        </w:rPr>
        <w:t>Major Issues</w:t>
      </w:r>
    </w:p>
    <w:p>
      <w:pPr>
        <w:pStyle w:val="ListBullet"/>
      </w:pPr>
      <w:r>
        <w:rPr>
          <w:rFonts w:ascii="Times New Roman" w:hAnsi="Times New Roman"/>
          <w:color w:val="1F2A24"/>
          <w:sz w:val="20"/>
        </w:rPr>
        <w:t>Insufficient methodological detail: The paper omits critical information about the remote-sensing data sources, processing methods, and validation procedures for flood frequency analysis, making reproducibility impossible.</w:t>
      </w:r>
    </w:p>
    <w:p>
      <w:pPr>
        <w:pStyle w:val="ListBullet"/>
      </w:pPr>
      <w:r>
        <w:rPr>
          <w:rFonts w:ascii="Times New Roman" w:hAnsi="Times New Roman"/>
          <w:color w:val="1F2A24"/>
          <w:sz w:val="20"/>
        </w:rPr>
        <w:t>Unsubstantiated climate change surcharge: The 25% climate change surcharge on peak discharge lacks justification through regional climate projections or sensitivity analysis, appearing arbitrary.</w:t>
      </w:r>
    </w:p>
    <w:p>
      <w:pPr>
        <w:pStyle w:val="ListBullet"/>
      </w:pPr>
      <w:r>
        <w:rPr>
          <w:rFonts w:ascii="Times New Roman" w:hAnsi="Times New Roman"/>
          <w:color w:val="1F2A24"/>
          <w:sz w:val="20"/>
        </w:rPr>
        <w:t>Inadequate consideration of implementation feasibility: The proposed standards (e.g., lime stabilisation, geotextiles) do not address local material availability, construction capacity, maintenance requirements, or cost implications beyond the high-level NPV.</w:t>
      </w:r>
    </w:p>
    <w:p>
      <w:pPr>
        <w:spacing w:before="160" w:after="40"/>
      </w:pPr>
      <w:r>
        <w:rPr>
          <w:rFonts w:ascii="Aptos" w:hAnsi="Aptos"/>
          <w:b/>
          <w:color w:val="103B2C"/>
          <w:sz w:val="23"/>
        </w:rPr>
        <w:t>Minor Issues</w:t>
      </w:r>
    </w:p>
    <w:p>
      <w:pPr>
        <w:pStyle w:val="ListBullet"/>
      </w:pPr>
      <w:r>
        <w:rPr>
          <w:rFonts w:ascii="Times New Roman" w:hAnsi="Times New Roman"/>
          <w:color w:val="1F2A24"/>
          <w:sz w:val="20"/>
        </w:rPr>
        <w:t>Incomplete benefit-cost analysis: The NPV calculation of USD 4.7 million per kilometre lacks transparency regarding discount rates, cost components, and benefit monetisation methods.</w:t>
      </w:r>
    </w:p>
    <w:p>
      <w:pPr>
        <w:pStyle w:val="ListBullet"/>
      </w:pPr>
      <w:r>
        <w:rPr>
          <w:rFonts w:ascii="Times New Roman" w:hAnsi="Times New Roman"/>
          <w:color w:val="1F2A24"/>
          <w:sz w:val="20"/>
        </w:rPr>
        <w:t>Limited geotechnical sampling: Field investigations across only three road corridors may not capture the full spatial variability of subgrade conditions in the vast Sudd region.</w:t>
      </w:r>
    </w:p>
    <w:p>
      <w:pPr>
        <w:pStyle w:val="ListBullet"/>
      </w:pPr>
      <w:r>
        <w:rPr>
          <w:rFonts w:ascii="Times New Roman" w:hAnsi="Times New Roman"/>
          <w:color w:val="1F2A24"/>
          <w:sz w:val="20"/>
        </w:rPr>
        <w:t>Ambiguous authorship affiliation: Dual institutional affiliations (UNICAF/Liverpool John Moores University and UniAthena/Guglielmo Marconi University) require clarification regarding primary research base and ethical approval.</w:t>
      </w:r>
    </w:p>
    <w:p>
      <w:pPr>
        <w:spacing w:before="160" w:after="40"/>
      </w:pPr>
      <w:r>
        <w:rPr>
          <w:rFonts w:ascii="Aptos" w:hAnsi="Aptos"/>
          <w:b/>
          <w:color w:val="103B2C"/>
          <w:sz w:val="23"/>
        </w:rPr>
        <w:t>Questions for the Authors</w:t>
      </w:r>
    </w:p>
    <w:p>
      <w:pPr>
        <w:pStyle w:val="ListBullet"/>
      </w:pPr>
      <w:r>
        <w:rPr>
          <w:rFonts w:ascii="Times New Roman" w:hAnsi="Times New Roman"/>
          <w:color w:val="1F2A24"/>
          <w:sz w:val="20"/>
        </w:rPr>
        <w:t>What specific remote-sensing platforms (e.g., MODIS, Sentinel-1) and algorithms were used to derive inundation data from 2010-2023, and how was cloud cover or vegetation interference addressed?</w:t>
      </w:r>
    </w:p>
    <w:p>
      <w:pPr>
        <w:pStyle w:val="ListBullet"/>
      </w:pPr>
      <w:r>
        <w:rPr>
          <w:rFonts w:ascii="Times New Roman" w:hAnsi="Times New Roman"/>
          <w:color w:val="1F2A24"/>
          <w:sz w:val="20"/>
        </w:rPr>
        <w:t>How was the 50-year return period flood level determined, and what confidence intervals accompany this estimate given the relatively short 13-year data record?</w:t>
      </w:r>
    </w:p>
    <w:p>
      <w:pPr>
        <w:pStyle w:val="ListBullet"/>
      </w:pPr>
      <w:r>
        <w:rPr>
          <w:rFonts w:ascii="Times New Roman" w:hAnsi="Times New Roman"/>
          <w:color w:val="1F2A24"/>
          <w:sz w:val="20"/>
        </w:rPr>
        <w:t>What are the specific material specifications and construction protocols for the proposed modified asphalt wearing courses to ensure moisture resistance in saturated conditions?</w:t>
      </w:r>
    </w:p>
    <w:p>
      <w:pPr>
        <w:spacing w:before="160" w:after="40"/>
      </w:pPr>
      <w:r>
        <w:rPr>
          <w:rFonts w:ascii="Aptos" w:hAnsi="Aptos"/>
          <w:b/>
          <w:color w:val="103B2C"/>
          <w:sz w:val="23"/>
        </w:rPr>
        <w:t>Required Changes</w:t>
      </w:r>
    </w:p>
    <w:p>
      <w:pPr>
        <w:pStyle w:val="ListBullet"/>
      </w:pPr>
      <w:r>
        <w:rPr>
          <w:rFonts w:ascii="Times New Roman" w:hAnsi="Times New Roman"/>
          <w:color w:val="1F2A24"/>
          <w:sz w:val="20"/>
        </w:rPr>
        <w:t>Provide a detailed methodology section including remote-sensing data sources, processing steps, and validation metrics for the flood frequency analysis.</w:t>
      </w:r>
    </w:p>
    <w:p>
      <w:pPr>
        <w:pStyle w:val="ListBullet"/>
      </w:pPr>
      <w:r>
        <w:rPr>
          <w:rFonts w:ascii="Times New Roman" w:hAnsi="Times New Roman"/>
          <w:color w:val="1F2A24"/>
          <w:sz w:val="20"/>
        </w:rPr>
        <w:t>Justify the 25% climate change surcharge with regional climate model projections or peer-reviewed literature, or replace it with a sensitivity analysis.</w:t>
      </w:r>
    </w:p>
    <w:p>
      <w:pPr>
        <w:pStyle w:val="ListBullet"/>
      </w:pPr>
      <w:r>
        <w:rPr>
          <w:rFonts w:ascii="Times New Roman" w:hAnsi="Times New Roman"/>
          <w:color w:val="1F2A24"/>
          <w:sz w:val="20"/>
        </w:rPr>
        <w:t>Expand the discussion to address practical implementation challenges: local material sourcing, construction techniques, maintenance regimes, and training needs.</w:t>
      </w:r>
    </w:p>
    <w:p>
      <w:pPr>
        <w:pStyle w:val="ListBullet"/>
      </w:pPr>
      <w:r>
        <w:rPr>
          <w:rFonts w:ascii="Times New Roman" w:hAnsi="Times New Roman"/>
          <w:color w:val="1F2A24"/>
          <w:sz w:val="20"/>
        </w:rPr>
        <w:t>Include a transparent breakdown of the benefit-cost analysis, specifying all cost inputs, benefit valuations, discount rates, and sensitivity tests.</w:t>
      </w:r>
    </w:p>
    <w:p>
      <w:pPr>
        <w:spacing w:before="160" w:after="40"/>
      </w:pPr>
      <w:r>
        <w:rPr>
          <w:rFonts w:ascii="Aptos" w:hAnsi="Aptos"/>
          <w:b/>
          <w:color w:val="103B2C"/>
          <w:sz w:val="23"/>
        </w:rPr>
        <w:t>Decision Rationale</w:t>
      </w:r>
    </w:p>
    <w:p>
      <w:pPr>
        <w:spacing w:line="240" w:lineRule="auto" w:after="100"/>
      </w:pPr>
      <w:r>
        <w:rPr>
          <w:rFonts w:ascii="Times New Roman" w:hAnsi="Times New Roman"/>
          <w:i w:val="0"/>
          <w:color w:val="1F2A24"/>
          <w:sz w:val="21"/>
        </w:rPr>
        <w:t>The study addresses an important practical problem but contains major methodological gaps that prevent independent verification and application. Without substantial revisions to clarify methods and justify assumptions, the proposed standards lack scientific rigour and may be misleading for practitioners.</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olor w:val="1F2A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