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tblLayout w:type="autofit"/>
        <w:tblLook w:firstColumn="1" w:firstRow="1" w:lastColumn="0" w:lastRow="0" w:noHBand="0" w:noVBand="1" w:val="04A0"/>
      </w:tblPr>
      <w:tblGrid>
        <w:gridCol w:w="10080"/>
      </w:tblGrid>
      <w:tr>
        <w:tc>
          <w:tcPr>
            <w:tcW w:type="dxa" w:w="10080"/>
            <w:shd w:fill="103B2C"/>
            <w:tcBorders>
              <w:top w:val="single" w:sz="12" w:color="1E6B52"/>
              <w:left w:val="single" w:sz="12" w:color="1E6B52"/>
              <w:bottom w:val="single" w:sz="12" w:color="1E6B52"/>
              <w:right w:val="single" w:sz="12" w:color="1E6B52"/>
            </w:tcBorders>
          </w:tcPr>
          <w:p>
            <w:pPr>
              <w:spacing w:after="20"/>
              <w:jc w:val="center"/>
            </w:pPr>
            <w:r/>
            <w:r>
              <w:rPr>
                <w:rFonts w:ascii="Arial" w:hAnsi="Arial"/>
                <w:b/>
                <w:color w:val="F6F2E8"/>
                <w:sz w:val="17"/>
              </w:rPr>
              <w:t>REVIEWER 2 REPORT</w:t>
            </w:r>
          </w:p>
        </w:tc>
      </w:tr>
    </w:tbl>
    <w:p>
      <w:pPr>
        <w:spacing w:before="100" w:after="40"/>
        <w:jc w:val="center"/>
      </w:pPr>
      <w:r>
        <w:rPr>
          <w:rFonts w:ascii="Aptos" w:hAnsi="Aptos"/>
          <w:b/>
          <w:color w:val="103B2C"/>
          <w:sz w:val="36"/>
        </w:rPr>
        <w:t>African Journal of Climate Science and Vulnerability Assessment</w:t>
      </w:r>
    </w:p>
    <w:p>
      <w:pPr>
        <w:spacing w:after="60"/>
        <w:jc w:val="center"/>
      </w:pPr>
      <w:r>
        <w:rPr>
          <w:rFonts w:ascii="Aptos" w:hAnsi="Aptos"/>
          <w:b/>
          <w:color w:val="1F2A24"/>
          <w:sz w:val="26"/>
        </w:rPr>
        <w:t>Flood-Resilient Road Design Standards for the Sudd Wetland Region of South Sudan</w:t>
      </w:r>
    </w:p>
    <w:p>
      <w:pPr>
        <w:spacing w:after="160"/>
        <w:jc w:val="center"/>
      </w:pPr>
      <w:r>
        <w:rPr>
          <w:rFonts w:ascii="Arial" w:hAnsi="Arial"/>
          <w:color w:val="1D6A4F"/>
          <w:sz w:val="18"/>
        </w:rPr>
        <w:t>Structured peer-review report for editorial verification</w:t>
      </w:r>
    </w:p>
    <w:tbl>
      <w:tblPr>
        <w:tblW w:type="auto" w:w="0"/>
        <w:tblLayout w:type="autofit"/>
        <w:tblLook w:firstColumn="1" w:firstRow="1" w:lastColumn="0" w:lastRow="0" w:noHBand="0" w:noVBand="1" w:val="04A0"/>
      </w:tblPr>
      <w:tblGrid>
        <w:gridCol w:w="5040"/>
        <w:gridCol w:w="5040"/>
      </w:tblGrid>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Reviewer</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Reviewer 2</w:t>
            </w:r>
          </w:p>
        </w:tc>
      </w:tr>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Recommendation</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Reject</w:t>
            </w:r>
          </w:p>
        </w:tc>
      </w:tr>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Journal</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African Journal of Climate Science and Vulnerability Assessment</w:t>
            </w:r>
          </w:p>
        </w:tc>
      </w:tr>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Date</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24 Mar 2026</w:t>
            </w:r>
          </w:p>
        </w:tc>
      </w:tr>
    </w:tbl>
    <w:p/>
    <w:p>
      <w:pPr>
        <w:spacing w:before="160" w:after="40"/>
      </w:pPr>
      <w:r>
        <w:rPr>
          <w:rFonts w:ascii="Aptos" w:hAnsi="Aptos"/>
          <w:b/>
          <w:color w:val="103B2C"/>
          <w:sz w:val="23"/>
        </w:rPr>
        <w:t>Overall Summary</w:t>
      </w:r>
    </w:p>
    <w:p>
      <w:pPr>
        <w:spacing w:line="240" w:lineRule="auto" w:after="100"/>
      </w:pPr>
      <w:r>
        <w:rPr>
          <w:rFonts w:ascii="Times New Roman" w:hAnsi="Times New Roman"/>
          <w:i w:val="0"/>
          <w:color w:val="1F2A24"/>
          <w:sz w:val="21"/>
        </w:rPr>
        <w:t>This paper proposes flood-resilient road design standards for South Sudan's Sudd wetland region. While addressing an important practical problem, the study suffers from critical methodological flaws, insufficient validation, and questionable assumptions that undermine its scientific rigour and practical applicability. The analysis appears superficial given the complexity of the wetland environment, and key components lack proper justification or empirical support.</w:t>
      </w:r>
    </w:p>
    <w:p>
      <w:pPr>
        <w:spacing w:before="160" w:after="40"/>
      </w:pPr>
      <w:r>
        <w:rPr>
          <w:rFonts w:ascii="Aptos" w:hAnsi="Aptos"/>
          <w:b/>
          <w:color w:val="103B2C"/>
          <w:sz w:val="23"/>
        </w:rPr>
        <w:t>Major Issues</w:t>
      </w:r>
    </w:p>
    <w:p>
      <w:pPr>
        <w:pStyle w:val="ListBullet"/>
      </w:pPr>
      <w:r>
        <w:rPr>
          <w:rFonts w:ascii="Times New Roman" w:hAnsi="Times New Roman"/>
          <w:color w:val="1F2A24"/>
          <w:sz w:val="20"/>
        </w:rPr>
        <w:t>Inadequate validation of proposed standards through field trials or case studies</w:t>
      </w:r>
    </w:p>
    <w:p>
      <w:pPr>
        <w:pStyle w:val="ListBullet"/>
      </w:pPr>
      <w:r>
        <w:rPr>
          <w:rFonts w:ascii="Times New Roman" w:hAnsi="Times New Roman"/>
          <w:color w:val="1F2A24"/>
          <w:sz w:val="20"/>
        </w:rPr>
        <w:t>Questionable benefit-cost analysis methodology with unrealistic NPV figures (USD 4.7 million per km) unsupported by transparent calculations</w:t>
      </w:r>
    </w:p>
    <w:p>
      <w:pPr>
        <w:pStyle w:val="ListBullet"/>
      </w:pPr>
      <w:r>
        <w:rPr>
          <w:rFonts w:ascii="Times New Roman" w:hAnsi="Times New Roman"/>
          <w:color w:val="1F2A24"/>
          <w:sz w:val="20"/>
        </w:rPr>
        <w:t>Over-reliance on remote sensing data (2010-2023) for flood frequency analysis without ground-truthing or consideration of longer-term climate variability</w:t>
      </w:r>
    </w:p>
    <w:p>
      <w:pPr>
        <w:spacing w:before="160" w:after="40"/>
      </w:pPr>
      <w:r>
        <w:rPr>
          <w:rFonts w:ascii="Aptos" w:hAnsi="Aptos"/>
          <w:b/>
          <w:color w:val="103B2C"/>
          <w:sz w:val="23"/>
        </w:rPr>
        <w:t>Minor Issues</w:t>
      </w:r>
    </w:p>
    <w:p>
      <w:pPr>
        <w:pStyle w:val="ListBullet"/>
      </w:pPr>
      <w:r>
        <w:rPr>
          <w:rFonts w:ascii="Times New Roman" w:hAnsi="Times New Roman"/>
          <w:color w:val="1F2A24"/>
          <w:sz w:val="20"/>
        </w:rPr>
        <w:t>Poorly defined study area boundaries and selection criteria for 'three representative road corridors'</w:t>
      </w:r>
    </w:p>
    <w:p>
      <w:pPr>
        <w:pStyle w:val="ListBullet"/>
      </w:pPr>
      <w:r>
        <w:rPr>
          <w:rFonts w:ascii="Times New Roman" w:hAnsi="Times New Roman"/>
          <w:color w:val="1F2A24"/>
          <w:sz w:val="20"/>
        </w:rPr>
        <w:t>Insufficient discussion of construction feasibility and maintenance requirements in conflict-affected region</w:t>
      </w:r>
    </w:p>
    <w:p>
      <w:pPr>
        <w:pStyle w:val="ListBullet"/>
      </w:pPr>
      <w:r>
        <w:rPr>
          <w:rFonts w:ascii="Times New Roman" w:hAnsi="Times New Roman"/>
          <w:color w:val="1F2A24"/>
          <w:sz w:val="20"/>
        </w:rPr>
        <w:t>Limited consideration of alternative design approaches or comparative analysis with existing wetland road standards</w:t>
      </w:r>
    </w:p>
    <w:p>
      <w:pPr>
        <w:spacing w:before="160" w:after="40"/>
      </w:pPr>
      <w:r>
        <w:rPr>
          <w:rFonts w:ascii="Aptos" w:hAnsi="Aptos"/>
          <w:b/>
          <w:color w:val="103B2C"/>
          <w:sz w:val="23"/>
        </w:rPr>
        <w:t>Questions for the Authors</w:t>
      </w:r>
    </w:p>
    <w:p>
      <w:pPr>
        <w:pStyle w:val="ListBullet"/>
      </w:pPr>
      <w:r>
        <w:rPr>
          <w:rFonts w:ascii="Times New Roman" w:hAnsi="Times New Roman"/>
          <w:color w:val="1F2A24"/>
          <w:sz w:val="20"/>
        </w:rPr>
        <w:t>What specific validation methods were employed to test the proposed design standards beyond theoretical analysis?</w:t>
      </w:r>
    </w:p>
    <w:p>
      <w:pPr>
        <w:pStyle w:val="ListBullet"/>
      </w:pPr>
      <w:r>
        <w:rPr>
          <w:rFonts w:ascii="Times New Roman" w:hAnsi="Times New Roman"/>
          <w:color w:val="1F2A24"/>
          <w:sz w:val="20"/>
        </w:rPr>
        <w:t>How were the 25% climate change surcharge and 50-year return period flood level justified given limited historical data?</w:t>
      </w:r>
    </w:p>
    <w:p>
      <w:pPr>
        <w:pStyle w:val="ListBullet"/>
      </w:pPr>
      <w:r>
        <w:rPr>
          <w:rFonts w:ascii="Times New Roman" w:hAnsi="Times New Roman"/>
          <w:color w:val="1F2A24"/>
          <w:sz w:val="20"/>
        </w:rPr>
        <w:t>What assumptions underlie the benefit-cost analysis, particularly regarding discount rates, maintenance costs, and traffic projections?</w:t>
      </w:r>
    </w:p>
    <w:p>
      <w:pPr>
        <w:spacing w:before="160" w:after="40"/>
      </w:pPr>
      <w:r>
        <w:rPr>
          <w:rFonts w:ascii="Aptos" w:hAnsi="Aptos"/>
          <w:b/>
          <w:color w:val="103B2C"/>
          <w:sz w:val="23"/>
        </w:rPr>
        <w:t>Required Changes</w:t>
      </w:r>
    </w:p>
    <w:p>
      <w:pPr>
        <w:pStyle w:val="ListBullet"/>
      </w:pPr>
      <w:r>
        <w:rPr>
          <w:rFonts w:ascii="Times New Roman" w:hAnsi="Times New Roman"/>
          <w:color w:val="1F2A24"/>
          <w:sz w:val="20"/>
        </w:rPr>
        <w:t>Conduct and report field validation of proposed standards through pilot implementation</w:t>
      </w:r>
    </w:p>
    <w:p>
      <w:pPr>
        <w:pStyle w:val="ListBullet"/>
      </w:pPr>
      <w:r>
        <w:rPr>
          <w:rFonts w:ascii="Times New Roman" w:hAnsi="Times New Roman"/>
          <w:color w:val="1F2A24"/>
          <w:sz w:val="20"/>
        </w:rPr>
        <w:t>Provide complete methodological details for benefit-cost analysis with sensitivity testing</w:t>
      </w:r>
    </w:p>
    <w:p>
      <w:pPr>
        <w:pStyle w:val="ListBullet"/>
      </w:pPr>
      <w:r>
        <w:rPr>
          <w:rFonts w:ascii="Times New Roman" w:hAnsi="Times New Roman"/>
          <w:color w:val="1F2A24"/>
          <w:sz w:val="20"/>
        </w:rPr>
        <w:t>Extend hydrological analysis with longer-term data and ground verification</w:t>
      </w:r>
    </w:p>
    <w:p>
      <w:pPr>
        <w:pStyle w:val="ListBullet"/>
      </w:pPr>
      <w:r>
        <w:rPr>
          <w:rFonts w:ascii="Times New Roman" w:hAnsi="Times New Roman"/>
          <w:color w:val="1F2A24"/>
          <w:sz w:val="20"/>
        </w:rPr>
        <w:t>Address construction and maintenance practicalities in conflict-affected environment</w:t>
      </w:r>
    </w:p>
    <w:p>
      <w:pPr>
        <w:spacing w:before="160" w:after="40"/>
      </w:pPr>
      <w:r>
        <w:rPr>
          <w:rFonts w:ascii="Aptos" w:hAnsi="Aptos"/>
          <w:b/>
          <w:color w:val="103B2C"/>
          <w:sz w:val="23"/>
        </w:rPr>
        <w:t>Decision Rationale</w:t>
      </w:r>
    </w:p>
    <w:p>
      <w:pPr>
        <w:spacing w:line="240" w:lineRule="auto" w:after="100"/>
      </w:pPr>
      <w:r>
        <w:rPr>
          <w:rFonts w:ascii="Times New Roman" w:hAnsi="Times New Roman"/>
          <w:i w:val="0"/>
          <w:color w:val="1F2A24"/>
          <w:sz w:val="21"/>
        </w:rPr>
        <w:t>The study presents potentially useful practical recommendations but lacks scientific rigour. Major methodological flaws, unvalidated assumptions, and insufficient empirical support render the findings unreliable. The paper requires substantial additional research and validation before being suitable for publication in a peer-reviewed journal.</w:t>
      </w:r>
    </w:p>
    <w:sectPr w:rsidR="00FC693F" w:rsidRPr="0006063C" w:rsidSect="00034616">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color w:val="1F2A24"/>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