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tblLayout w:type="autofit"/>
        <w:tblLook w:firstColumn="1" w:firstRow="1" w:lastColumn="0" w:lastRow="0" w:noHBand="0" w:noVBand="1" w:val="04A0"/>
      </w:tblPr>
      <w:tblGrid>
        <w:gridCol w:w="10080"/>
      </w:tblGrid>
      <w:tr>
        <w:tc>
          <w:tcPr>
            <w:tcW w:type="dxa" w:w="10080"/>
            <w:shd w:fill="103B2C"/>
            <w:tcBorders>
              <w:top w:val="single" w:sz="12" w:color="1E6B52"/>
              <w:left w:val="single" w:sz="12" w:color="1E6B52"/>
              <w:bottom w:val="single" w:sz="12" w:color="1E6B52"/>
              <w:right w:val="single" w:sz="12" w:color="1E6B52"/>
            </w:tcBorders>
          </w:tcPr>
          <w:p>
            <w:pPr>
              <w:spacing w:after="20"/>
              <w:jc w:val="center"/>
            </w:pPr>
            <w:r/>
            <w:r>
              <w:rPr>
                <w:rFonts w:ascii="Arial" w:hAnsi="Arial"/>
                <w:b/>
                <w:color w:val="F6F2E8"/>
                <w:sz w:val="17"/>
              </w:rPr>
              <w:t>REVIEWER 1 REPORT</w:t>
            </w:r>
          </w:p>
        </w:tc>
      </w:tr>
    </w:tbl>
    <w:p>
      <w:pPr>
        <w:spacing w:before="100" w:after="40"/>
        <w:jc w:val="center"/>
      </w:pPr>
      <w:r>
        <w:rPr>
          <w:rFonts w:ascii="Aptos" w:hAnsi="Aptos"/>
          <w:b/>
          <w:color w:val="103B2C"/>
          <w:sz w:val="36"/>
        </w:rPr>
        <w:t>African Journal of Climate Science and Vulnerability Assessment</w:t>
      </w:r>
    </w:p>
    <w:p>
      <w:pPr>
        <w:spacing w:after="60"/>
        <w:jc w:val="center"/>
      </w:pPr>
      <w:r>
        <w:rPr>
          <w:rFonts w:ascii="Aptos" w:hAnsi="Aptos"/>
          <w:b/>
          <w:color w:val="1F2A24"/>
          <w:sz w:val="26"/>
        </w:rPr>
        <w:t>Flood-Resilient Road Design Standards for the Sudd Wetland Region of South Sudan</w:t>
      </w:r>
    </w:p>
    <w:p>
      <w:pPr>
        <w:spacing w:after="160"/>
        <w:jc w:val="center"/>
      </w:pPr>
      <w:r>
        <w:rPr>
          <w:rFonts w:ascii="Arial" w:hAnsi="Arial"/>
          <w:color w:val="1D6A4F"/>
          <w:sz w:val="18"/>
        </w:rPr>
        <w:t>Structured peer-review report for editorial verification</w:t>
      </w:r>
    </w:p>
    <w:tbl>
      <w:tblPr>
        <w:tblW w:type="auto" w:w="0"/>
        <w:tblLayout w:type="autofit"/>
        <w:tblLook w:firstColumn="1" w:firstRow="1" w:lastColumn="0" w:lastRow="0" w:noHBand="0" w:noVBand="1" w:val="04A0"/>
      </w:tblPr>
      <w:tblGrid>
        <w:gridCol w:w="5040"/>
        <w:gridCol w:w="5040"/>
      </w:tblGrid>
      <w:tr>
        <w:tc>
          <w:tcPr>
            <w:tcW w:type="dxa" w:w="5040"/>
            <w:shd w:fill="F7FAF8"/>
            <w:tcBorders>
              <w:top w:val="single" w:sz="8" w:color="8FAE9F"/>
              <w:left w:val="single" w:sz="8" w:color="8FAE9F"/>
              <w:bottom w:val="single" w:sz="8" w:color="8FAE9F"/>
              <w:right w:val="single" w:sz="8" w:color="8FAE9F"/>
            </w:tcBorders>
          </w:tcPr>
          <w:p>
            <w:r/>
            <w:r>
              <w:rPr>
                <w:rFonts w:ascii="Arial" w:hAnsi="Arial"/>
                <w:b/>
                <w:color w:val="103B2C"/>
                <w:sz w:val="17"/>
              </w:rPr>
              <w:t>Reviewer</w:t>
            </w:r>
          </w:p>
        </w:tc>
        <w:tc>
          <w:tcPr>
            <w:tcW w:type="dxa" w:w="5040"/>
            <w:shd w:fill="EEF6F1"/>
            <w:tcBorders>
              <w:top w:val="single" w:sz="8" w:color="8FAE9F"/>
              <w:left w:val="single" w:sz="8" w:color="8FAE9F"/>
              <w:bottom w:val="single" w:sz="8" w:color="8FAE9F"/>
              <w:right w:val="single" w:sz="8" w:color="8FAE9F"/>
            </w:tcBorders>
          </w:tcPr>
          <w:p>
            <w:r/>
            <w:r>
              <w:rPr>
                <w:rFonts w:ascii="Times New Roman" w:hAnsi="Times New Roman"/>
                <w:color w:val="1F2A24"/>
                <w:sz w:val="19"/>
              </w:rPr>
              <w:t>Reviewer 1</w:t>
            </w:r>
          </w:p>
        </w:tc>
      </w:tr>
      <w:tr>
        <w:tc>
          <w:tcPr>
            <w:tcW w:type="dxa" w:w="5040"/>
            <w:shd w:fill="F7FAF8"/>
            <w:tcBorders>
              <w:top w:val="single" w:sz="8" w:color="8FAE9F"/>
              <w:left w:val="single" w:sz="8" w:color="8FAE9F"/>
              <w:bottom w:val="single" w:sz="8" w:color="8FAE9F"/>
              <w:right w:val="single" w:sz="8" w:color="8FAE9F"/>
            </w:tcBorders>
          </w:tcPr>
          <w:p>
            <w:r/>
            <w:r>
              <w:rPr>
                <w:rFonts w:ascii="Arial" w:hAnsi="Arial"/>
                <w:b/>
                <w:color w:val="103B2C"/>
                <w:sz w:val="17"/>
              </w:rPr>
              <w:t>Recommendation</w:t>
            </w:r>
          </w:p>
        </w:tc>
        <w:tc>
          <w:tcPr>
            <w:tcW w:type="dxa" w:w="5040"/>
            <w:shd w:fill="EEF6F1"/>
            <w:tcBorders>
              <w:top w:val="single" w:sz="8" w:color="8FAE9F"/>
              <w:left w:val="single" w:sz="8" w:color="8FAE9F"/>
              <w:bottom w:val="single" w:sz="8" w:color="8FAE9F"/>
              <w:right w:val="single" w:sz="8" w:color="8FAE9F"/>
            </w:tcBorders>
          </w:tcPr>
          <w:p>
            <w:r/>
            <w:r>
              <w:rPr>
                <w:rFonts w:ascii="Times New Roman" w:hAnsi="Times New Roman"/>
                <w:color w:val="1F2A24"/>
                <w:sz w:val="19"/>
              </w:rPr>
              <w:t>Major Revision</w:t>
            </w:r>
          </w:p>
        </w:tc>
      </w:tr>
      <w:tr>
        <w:tc>
          <w:tcPr>
            <w:tcW w:type="dxa" w:w="5040"/>
            <w:shd w:fill="F7FAF8"/>
            <w:tcBorders>
              <w:top w:val="single" w:sz="8" w:color="8FAE9F"/>
              <w:left w:val="single" w:sz="8" w:color="8FAE9F"/>
              <w:bottom w:val="single" w:sz="8" w:color="8FAE9F"/>
              <w:right w:val="single" w:sz="8" w:color="8FAE9F"/>
            </w:tcBorders>
          </w:tcPr>
          <w:p>
            <w:r/>
            <w:r>
              <w:rPr>
                <w:rFonts w:ascii="Arial" w:hAnsi="Arial"/>
                <w:b/>
                <w:color w:val="103B2C"/>
                <w:sz w:val="17"/>
              </w:rPr>
              <w:t>Journal</w:t>
            </w:r>
          </w:p>
        </w:tc>
        <w:tc>
          <w:tcPr>
            <w:tcW w:type="dxa" w:w="5040"/>
            <w:shd w:fill="EEF6F1"/>
            <w:tcBorders>
              <w:top w:val="single" w:sz="8" w:color="8FAE9F"/>
              <w:left w:val="single" w:sz="8" w:color="8FAE9F"/>
              <w:bottom w:val="single" w:sz="8" w:color="8FAE9F"/>
              <w:right w:val="single" w:sz="8" w:color="8FAE9F"/>
            </w:tcBorders>
          </w:tcPr>
          <w:p>
            <w:r/>
            <w:r>
              <w:rPr>
                <w:rFonts w:ascii="Times New Roman" w:hAnsi="Times New Roman"/>
                <w:color w:val="1F2A24"/>
                <w:sz w:val="19"/>
              </w:rPr>
              <w:t>African Journal of Climate Science and Vulnerability Assessment</w:t>
            </w:r>
          </w:p>
        </w:tc>
      </w:tr>
      <w:tr>
        <w:tc>
          <w:tcPr>
            <w:tcW w:type="dxa" w:w="5040"/>
            <w:shd w:fill="F7FAF8"/>
            <w:tcBorders>
              <w:top w:val="single" w:sz="8" w:color="8FAE9F"/>
              <w:left w:val="single" w:sz="8" w:color="8FAE9F"/>
              <w:bottom w:val="single" w:sz="8" w:color="8FAE9F"/>
              <w:right w:val="single" w:sz="8" w:color="8FAE9F"/>
            </w:tcBorders>
          </w:tcPr>
          <w:p>
            <w:r/>
            <w:r>
              <w:rPr>
                <w:rFonts w:ascii="Arial" w:hAnsi="Arial"/>
                <w:b/>
                <w:color w:val="103B2C"/>
                <w:sz w:val="17"/>
              </w:rPr>
              <w:t>Date</w:t>
            </w:r>
          </w:p>
        </w:tc>
        <w:tc>
          <w:tcPr>
            <w:tcW w:type="dxa" w:w="5040"/>
            <w:shd w:fill="EEF6F1"/>
            <w:tcBorders>
              <w:top w:val="single" w:sz="8" w:color="8FAE9F"/>
              <w:left w:val="single" w:sz="8" w:color="8FAE9F"/>
              <w:bottom w:val="single" w:sz="8" w:color="8FAE9F"/>
              <w:right w:val="single" w:sz="8" w:color="8FAE9F"/>
            </w:tcBorders>
          </w:tcPr>
          <w:p>
            <w:r/>
            <w:r>
              <w:rPr>
                <w:rFonts w:ascii="Times New Roman" w:hAnsi="Times New Roman"/>
                <w:color w:val="1F2A24"/>
                <w:sz w:val="19"/>
              </w:rPr>
              <w:t>24 Mar 2026</w:t>
            </w:r>
          </w:p>
        </w:tc>
      </w:tr>
    </w:tbl>
    <w:p/>
    <w:p>
      <w:pPr>
        <w:spacing w:before="160" w:after="40"/>
      </w:pPr>
      <w:r>
        <w:rPr>
          <w:rFonts w:ascii="Aptos" w:hAnsi="Aptos"/>
          <w:b/>
          <w:color w:val="103B2C"/>
          <w:sz w:val="23"/>
        </w:rPr>
        <w:t>Overall Summary</w:t>
      </w:r>
    </w:p>
    <w:p>
      <w:pPr>
        <w:spacing w:line="240" w:lineRule="auto" w:after="100"/>
      </w:pPr>
      <w:r>
        <w:rPr>
          <w:rFonts w:ascii="Times New Roman" w:hAnsi="Times New Roman"/>
          <w:i w:val="0"/>
          <w:color w:val="1F2A24"/>
          <w:sz w:val="21"/>
        </w:rPr>
        <w:t>This study addresses a critical infrastructure gap by proposing flood-resilient road design standards for South Sudan's Sudd wetland region. It integrates hydrological modelling, geotechnical analysis, and economic assessment to develop practical engineering solutions. However, the manuscript suffers from significant methodological omissions, insufficient validation of key assumptions, and inadequate consideration of implementation challenges in a fragile state context. While the topic is highly relevant, substantial revisions are needed to meet publication standards.</w:t>
      </w:r>
    </w:p>
    <w:p>
      <w:pPr>
        <w:spacing w:before="160" w:after="40"/>
      </w:pPr>
      <w:r>
        <w:rPr>
          <w:rFonts w:ascii="Aptos" w:hAnsi="Aptos"/>
          <w:b/>
          <w:color w:val="103B2C"/>
          <w:sz w:val="23"/>
        </w:rPr>
        <w:t>Major Issues</w:t>
      </w:r>
    </w:p>
    <w:p>
      <w:pPr>
        <w:pStyle w:val="ListBullet"/>
      </w:pPr>
      <w:r>
        <w:rPr>
          <w:rFonts w:ascii="Times New Roman" w:hAnsi="Times New Roman"/>
          <w:color w:val="1F2A24"/>
          <w:sz w:val="20"/>
        </w:rPr>
        <w:t>Insufficient methodological detail on the hydrological modelling approach, particularly regarding data sources, validation procedures, and uncertainty quantification for the Log-Pearson Type III distribution application</w:t>
      </w:r>
    </w:p>
    <w:p>
      <w:pPr>
        <w:pStyle w:val="ListBullet"/>
      </w:pPr>
      <w:r>
        <w:rPr>
          <w:rFonts w:ascii="Times New Roman" w:hAnsi="Times New Roman"/>
          <w:color w:val="1F2A24"/>
          <w:sz w:val="20"/>
        </w:rPr>
        <w:t>No validation or sensitivity analysis for the benefit-cost calculations, with the reported NPV of USD 4.7 million per kilometre appearing exceptionally high without supporting evidence or comparison to regional benchmarks</w:t>
      </w:r>
    </w:p>
    <w:p>
      <w:pPr>
        <w:pStyle w:val="ListBullet"/>
      </w:pPr>
      <w:r>
        <w:rPr>
          <w:rFonts w:ascii="Times New Roman" w:hAnsi="Times New Roman"/>
          <w:color w:val="1F2A24"/>
          <w:sz w:val="20"/>
        </w:rPr>
        <w:t>Inadequate consideration of practical implementation challenges in South Sudan's context, including construction material availability, local technical capacity, maintenance requirements, and security constraints affecting infrastructure projects</w:t>
      </w:r>
    </w:p>
    <w:p>
      <w:pPr>
        <w:spacing w:before="160" w:after="40"/>
      </w:pPr>
      <w:r>
        <w:rPr>
          <w:rFonts w:ascii="Aptos" w:hAnsi="Aptos"/>
          <w:b/>
          <w:color w:val="103B2C"/>
          <w:sz w:val="23"/>
        </w:rPr>
        <w:t>Minor Issues</w:t>
      </w:r>
    </w:p>
    <w:p>
      <w:pPr>
        <w:pStyle w:val="ListBullet"/>
      </w:pPr>
      <w:r>
        <w:rPr>
          <w:rFonts w:ascii="Times New Roman" w:hAnsi="Times New Roman"/>
          <w:color w:val="1F2A24"/>
          <w:sz w:val="20"/>
        </w:rPr>
        <w:t>Abstract and introduction contain redundant content that should be streamlined</w:t>
      </w:r>
    </w:p>
    <w:p>
      <w:pPr>
        <w:pStyle w:val="ListBullet"/>
      </w:pPr>
      <w:r>
        <w:rPr>
          <w:rFonts w:ascii="Times New Roman" w:hAnsi="Times New Roman"/>
          <w:color w:val="1F2A24"/>
          <w:sz w:val="20"/>
        </w:rPr>
        <w:t>Inconsistent citation format throughout the manuscript (e.g., World Bank, 2022 vs. Mason et al., 2016)</w:t>
      </w:r>
    </w:p>
    <w:p>
      <w:pPr>
        <w:pStyle w:val="ListBullet"/>
      </w:pPr>
      <w:r>
        <w:rPr>
          <w:rFonts w:ascii="Times New Roman" w:hAnsi="Times New Roman"/>
          <w:color w:val="1F2A24"/>
          <w:sz w:val="20"/>
        </w:rPr>
        <w:t>Missing discussion of ethical considerations regarding field investigations in a conflict-affected region</w:t>
      </w:r>
    </w:p>
    <w:p>
      <w:pPr>
        <w:spacing w:before="160" w:after="40"/>
      </w:pPr>
      <w:r>
        <w:rPr>
          <w:rFonts w:ascii="Aptos" w:hAnsi="Aptos"/>
          <w:b/>
          <w:color w:val="103B2C"/>
          <w:sz w:val="23"/>
        </w:rPr>
        <w:t>Questions for the Authors</w:t>
      </w:r>
    </w:p>
    <w:p>
      <w:pPr>
        <w:pStyle w:val="ListBullet"/>
      </w:pPr>
      <w:r>
        <w:rPr>
          <w:rFonts w:ascii="Times New Roman" w:hAnsi="Times New Roman"/>
          <w:color w:val="1F2A24"/>
          <w:sz w:val="20"/>
        </w:rPr>
        <w:t>What specific remote sensing products and processing methods were used to derive the 2010-2023 inundation data, and how was cloud cover during flood events addressed?</w:t>
      </w:r>
    </w:p>
    <w:p>
      <w:pPr>
        <w:pStyle w:val="ListBullet"/>
      </w:pPr>
      <w:r>
        <w:rPr>
          <w:rFonts w:ascii="Times New Roman" w:hAnsi="Times New Roman"/>
          <w:color w:val="1F2A24"/>
          <w:sz w:val="20"/>
        </w:rPr>
        <w:t>How was the 25% climate change surcharge on peak discharge justified, and what climate projection scenarios were considered in its derivation?</w:t>
      </w:r>
    </w:p>
    <w:p>
      <w:pPr>
        <w:pStyle w:val="ListBullet"/>
      </w:pPr>
      <w:r>
        <w:rPr>
          <w:rFonts w:ascii="Times New Roman" w:hAnsi="Times New Roman"/>
          <w:color w:val="1F2A24"/>
          <w:sz w:val="20"/>
        </w:rPr>
        <w:t>What alternative stabilisation methods were considered besides hydrated lime, and what criteria led to its selection over other options like cement or geopolymers?</w:t>
      </w:r>
    </w:p>
    <w:p>
      <w:pPr>
        <w:spacing w:before="160" w:after="40"/>
      </w:pPr>
      <w:r>
        <w:rPr>
          <w:rFonts w:ascii="Aptos" w:hAnsi="Aptos"/>
          <w:b/>
          <w:color w:val="103B2C"/>
          <w:sz w:val="23"/>
        </w:rPr>
        <w:t>Required Changes</w:t>
      </w:r>
    </w:p>
    <w:p>
      <w:pPr>
        <w:pStyle w:val="ListBullet"/>
      </w:pPr>
      <w:r>
        <w:rPr>
          <w:rFonts w:ascii="Times New Roman" w:hAnsi="Times New Roman"/>
          <w:color w:val="1F2A24"/>
          <w:sz w:val="20"/>
        </w:rPr>
        <w:t>Provide comprehensive methodological details for all analytical components, including data sources, processing steps, model parameters, and validation procedures</w:t>
      </w:r>
    </w:p>
    <w:p>
      <w:pPr>
        <w:pStyle w:val="ListBullet"/>
      </w:pPr>
      <w:r>
        <w:rPr>
          <w:rFonts w:ascii="Times New Roman" w:hAnsi="Times New Roman"/>
          <w:color w:val="1F2A24"/>
          <w:sz w:val="20"/>
        </w:rPr>
        <w:t>Include sensitivity analysis for the benefit-cost calculations and compare results with similar infrastructure projects in comparable environments</w:t>
      </w:r>
    </w:p>
    <w:p>
      <w:pPr>
        <w:pStyle w:val="ListBullet"/>
      </w:pPr>
      <w:r>
        <w:rPr>
          <w:rFonts w:ascii="Times New Roman" w:hAnsi="Times New Roman"/>
          <w:color w:val="1F2A24"/>
          <w:sz w:val="20"/>
        </w:rPr>
        <w:t>Expand the discussion section to address implementation challenges, maintenance requirements, and adaptation strategies for local constraints</w:t>
      </w:r>
    </w:p>
    <w:p>
      <w:pPr>
        <w:pStyle w:val="ListBullet"/>
      </w:pPr>
      <w:r>
        <w:rPr>
          <w:rFonts w:ascii="Times New Roman" w:hAnsi="Times New Roman"/>
          <w:color w:val="1F2A24"/>
          <w:sz w:val="20"/>
        </w:rPr>
        <w:t>Clarify the study's limitations regarding data quality, model assumptions, and generalisability to other wetland regions</w:t>
      </w:r>
    </w:p>
    <w:p>
      <w:pPr>
        <w:spacing w:before="160" w:after="40"/>
      </w:pPr>
      <w:r>
        <w:rPr>
          <w:rFonts w:ascii="Aptos" w:hAnsi="Aptos"/>
          <w:b/>
          <w:color w:val="103B2C"/>
          <w:sz w:val="23"/>
        </w:rPr>
        <w:t>Decision Rationale</w:t>
      </w:r>
    </w:p>
    <w:p>
      <w:pPr>
        <w:spacing w:line="240" w:lineRule="auto" w:after="100"/>
      </w:pPr>
      <w:r>
        <w:rPr>
          <w:rFonts w:ascii="Times New Roman" w:hAnsi="Times New Roman"/>
          <w:i w:val="0"/>
          <w:color w:val="1F2A24"/>
          <w:sz w:val="21"/>
        </w:rPr>
        <w:t>The study addresses an important practical problem with potential real-world impact, but currently lacks the methodological rigour and contextual depth required for publication. Major revisions are necessary to strengthen the analytical foundation, validate key assumptions, and address implementation realities before the manuscript can be considered for acceptance.</w:t>
      </w:r>
    </w:p>
    <w:sectPr w:rsidR="00FC693F" w:rsidRPr="0006063C" w:rsidSect="00034616">
      <w:pgSz w:w="12240" w:h="15840"/>
      <w:pgMar w:top="936" w:right="1080" w:bottom="936"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color w:val="1F2A24"/>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